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49528" w14:textId="67843398" w:rsidR="00F74E5F" w:rsidRDefault="00F74E5F" w:rsidP="00024BB7"/>
    <w:p w14:paraId="011CCABF" w14:textId="77777777" w:rsidR="00F74E5F" w:rsidRDefault="00F74E5F" w:rsidP="00722F8F">
      <w:pPr>
        <w:jc w:val="center"/>
      </w:pPr>
    </w:p>
    <w:p w14:paraId="704D68A6" w14:textId="55BC3FBC" w:rsidR="00F74E5F" w:rsidRDefault="00F74E5F" w:rsidP="00722F8F">
      <w:pPr>
        <w:jc w:val="center"/>
      </w:pPr>
    </w:p>
    <w:p w14:paraId="31E5F041" w14:textId="5D3EC919" w:rsidR="00024BB7" w:rsidRDefault="00024BB7" w:rsidP="00722F8F">
      <w:pPr>
        <w:jc w:val="center"/>
      </w:pPr>
    </w:p>
    <w:p w14:paraId="4CB5BBF8" w14:textId="72F8E48B" w:rsidR="00024BB7" w:rsidRDefault="00024BB7" w:rsidP="00722F8F">
      <w:pPr>
        <w:jc w:val="center"/>
      </w:pPr>
    </w:p>
    <w:p w14:paraId="5164A553" w14:textId="1D2752AC" w:rsidR="00024BB7" w:rsidRDefault="00024BB7" w:rsidP="00722F8F">
      <w:pPr>
        <w:jc w:val="center"/>
      </w:pPr>
    </w:p>
    <w:p w14:paraId="089B4B15" w14:textId="489C19C1" w:rsidR="00024BB7" w:rsidRDefault="00024BB7" w:rsidP="00722F8F">
      <w:pPr>
        <w:jc w:val="center"/>
      </w:pPr>
    </w:p>
    <w:p w14:paraId="2794D2A3" w14:textId="136182AC" w:rsidR="00024BB7" w:rsidRDefault="00024BB7" w:rsidP="00722F8F">
      <w:pPr>
        <w:jc w:val="center"/>
      </w:pPr>
    </w:p>
    <w:p w14:paraId="1EDEB097" w14:textId="60295BDB" w:rsidR="00024BB7" w:rsidRDefault="00024BB7" w:rsidP="00722F8F">
      <w:pPr>
        <w:jc w:val="center"/>
      </w:pPr>
    </w:p>
    <w:p w14:paraId="05F2B453" w14:textId="4D2FB771" w:rsidR="00024BB7" w:rsidRDefault="00024BB7" w:rsidP="00722F8F">
      <w:pPr>
        <w:jc w:val="center"/>
      </w:pPr>
    </w:p>
    <w:p w14:paraId="3A9D56B3" w14:textId="4113D30A" w:rsidR="00395CBE" w:rsidRDefault="00395CBE" w:rsidP="00722F8F">
      <w:pPr>
        <w:jc w:val="center"/>
      </w:pPr>
    </w:p>
    <w:p w14:paraId="1256D63A" w14:textId="77777777" w:rsidR="00F74E5F" w:rsidRDefault="00F74E5F" w:rsidP="00395CBE"/>
    <w:p w14:paraId="781E1BDF" w14:textId="37529536" w:rsidR="00722F8F" w:rsidRDefault="00722F8F" w:rsidP="00722F8F">
      <w:pPr>
        <w:jc w:val="center"/>
      </w:pPr>
      <w:r w:rsidRPr="00CA5FA0">
        <w:t>Commitment Institutions and Electoral and Political Instability:</w:t>
      </w:r>
      <w:r w:rsidRPr="001F2071">
        <w:t xml:space="preserve"> A Reduced-Form Approach</w:t>
      </w:r>
    </w:p>
    <w:p w14:paraId="362CFD7C" w14:textId="38316C8B" w:rsidR="00F74E5F" w:rsidRDefault="00F74E5F" w:rsidP="00722F8F">
      <w:pPr>
        <w:jc w:val="center"/>
      </w:pPr>
      <w:r>
        <w:t>Isaac Liu</w:t>
      </w:r>
    </w:p>
    <w:p w14:paraId="5DF70E47" w14:textId="2961BAF0" w:rsidR="00722F8F" w:rsidRDefault="00722F8F" w:rsidP="00722F8F">
      <w:pPr>
        <w:jc w:val="center"/>
      </w:pPr>
      <w:r>
        <w:t>IPEC 401</w:t>
      </w:r>
      <w:r w:rsidR="00F74E5F">
        <w:t xml:space="preserve"> Thesis</w:t>
      </w:r>
      <w:r w:rsidR="000F2BB2">
        <w:t xml:space="preserve"> (Honors)</w:t>
      </w:r>
      <w:r w:rsidR="00F74E5F">
        <w:t xml:space="preserve">- </w:t>
      </w:r>
      <w:r w:rsidR="00922D93">
        <w:t>Prof</w:t>
      </w:r>
      <w:r w:rsidR="007913AB">
        <w:t>essor George</w:t>
      </w:r>
      <w:r w:rsidR="00922D93">
        <w:t xml:space="preserve"> </w:t>
      </w:r>
      <w:proofErr w:type="spellStart"/>
      <w:r w:rsidR="00F74E5F">
        <w:t>Shambaugh</w:t>
      </w:r>
      <w:proofErr w:type="spellEnd"/>
    </w:p>
    <w:p w14:paraId="38653ECD" w14:textId="73DBEE7F" w:rsidR="00F74E5F" w:rsidRDefault="00171F96" w:rsidP="00722F8F">
      <w:pPr>
        <w:jc w:val="center"/>
      </w:pPr>
      <w:r>
        <w:t xml:space="preserve">Submitted </w:t>
      </w:r>
      <w:r w:rsidR="00F74E5F">
        <w:t>April 28, 2020</w:t>
      </w:r>
    </w:p>
    <w:p w14:paraId="2597A68E" w14:textId="54A925DB" w:rsidR="00054B59" w:rsidRDefault="00054B59">
      <w:r>
        <w:br w:type="page"/>
      </w:r>
    </w:p>
    <w:p w14:paraId="729BD2F4" w14:textId="05583FE3" w:rsidR="00030234" w:rsidRDefault="00796037" w:rsidP="008A114C">
      <w:pPr>
        <w:pStyle w:val="Title"/>
        <w:jc w:val="center"/>
        <w:rPr>
          <w:sz w:val="36"/>
          <w:szCs w:val="36"/>
        </w:rPr>
      </w:pPr>
      <w:r w:rsidRPr="00CA5FA0">
        <w:rPr>
          <w:sz w:val="36"/>
          <w:szCs w:val="36"/>
        </w:rPr>
        <w:lastRenderedPageBreak/>
        <w:t xml:space="preserve">Commitment Institutions </w:t>
      </w:r>
      <w:r w:rsidR="00030234" w:rsidRPr="00CA5FA0">
        <w:rPr>
          <w:sz w:val="36"/>
          <w:szCs w:val="36"/>
        </w:rPr>
        <w:t xml:space="preserve">and </w:t>
      </w:r>
      <w:r w:rsidRPr="00CA5FA0">
        <w:rPr>
          <w:sz w:val="36"/>
          <w:szCs w:val="36"/>
        </w:rPr>
        <w:t xml:space="preserve">Electoral and Political </w:t>
      </w:r>
      <w:r w:rsidR="00030234" w:rsidRPr="00CA5FA0">
        <w:rPr>
          <w:sz w:val="36"/>
          <w:szCs w:val="36"/>
        </w:rPr>
        <w:t>Instability:</w:t>
      </w:r>
      <w:r w:rsidR="00030234" w:rsidRPr="001F2071">
        <w:rPr>
          <w:sz w:val="36"/>
          <w:szCs w:val="36"/>
        </w:rPr>
        <w:t xml:space="preserve"> A Reduced-Form Approach</w:t>
      </w:r>
    </w:p>
    <w:p w14:paraId="2DE16721" w14:textId="3742C829" w:rsidR="009F75B8" w:rsidRDefault="00293665" w:rsidP="00E35CBB">
      <w:pPr>
        <w:pStyle w:val="Title"/>
        <w:jc w:val="center"/>
        <w:rPr>
          <w:sz w:val="36"/>
          <w:szCs w:val="36"/>
        </w:rPr>
        <w:sectPr w:rsidR="009F75B8" w:rsidSect="00054B59">
          <w:footerReference w:type="default" r:id="rId8"/>
          <w:pgSz w:w="12240" w:h="15840"/>
          <w:pgMar w:top="1440" w:right="1440" w:bottom="1440" w:left="1440" w:header="708" w:footer="708" w:gutter="0"/>
          <w:cols w:space="708"/>
          <w:titlePg/>
          <w:docGrid w:linePitch="360"/>
        </w:sectPr>
      </w:pPr>
      <w:r w:rsidRPr="00E35CBB">
        <w:rPr>
          <w:sz w:val="36"/>
          <w:szCs w:val="36"/>
        </w:rPr>
        <w:t>Isaac Li</w:t>
      </w:r>
      <w:r w:rsidR="009F75B8">
        <w:rPr>
          <w:sz w:val="36"/>
          <w:szCs w:val="36"/>
        </w:rPr>
        <w:t>u</w:t>
      </w:r>
      <w:r w:rsidR="00B16551">
        <w:rPr>
          <w:rStyle w:val="FootnoteReference"/>
          <w:sz w:val="36"/>
          <w:szCs w:val="36"/>
        </w:rPr>
        <w:footnoteReference w:customMarkFollows="1" w:id="2"/>
        <w:t>*</w:t>
      </w:r>
    </w:p>
    <w:p w14:paraId="5B5035B1" w14:textId="32805AF4" w:rsidR="009F75B8" w:rsidRDefault="009F75B8" w:rsidP="009F75B8">
      <w:pPr>
        <w:pStyle w:val="Title"/>
        <w:rPr>
          <w:sz w:val="22"/>
          <w:szCs w:val="22"/>
        </w:rPr>
        <w:sectPr w:rsidR="009F75B8" w:rsidSect="009F75B8">
          <w:footnotePr>
            <w:numFmt w:val="chicago"/>
          </w:footnotePr>
          <w:type w:val="continuous"/>
          <w:pgSz w:w="12240" w:h="15840"/>
          <w:pgMar w:top="1440" w:right="1440" w:bottom="1440" w:left="1440" w:header="708" w:footer="708" w:gutter="0"/>
          <w:cols w:space="708"/>
          <w:titlePg/>
          <w:docGrid w:linePitch="360"/>
        </w:sectPr>
      </w:pPr>
    </w:p>
    <w:p w14:paraId="468912A3" w14:textId="6F855654" w:rsidR="00D157E1" w:rsidRDefault="00B85767" w:rsidP="001F2071">
      <w:pPr>
        <w:pStyle w:val="Heading1"/>
      </w:pPr>
      <w:r>
        <w:t>Abstract</w:t>
      </w:r>
    </w:p>
    <w:p w14:paraId="4AD8D89F" w14:textId="2AD63284" w:rsidR="004369DA" w:rsidRDefault="00D157E1" w:rsidP="002F28E1">
      <w:r>
        <w:t xml:space="preserve">In this </w:t>
      </w:r>
      <w:r w:rsidR="0096495D">
        <w:t>paper,</w:t>
      </w:r>
      <w:r>
        <w:t xml:space="preserve"> I</w:t>
      </w:r>
      <w:r w:rsidR="00BB09AB">
        <w:t xml:space="preserve"> take a reduced form </w:t>
      </w:r>
      <w:r w:rsidR="00BB09AB" w:rsidRPr="00947E02">
        <w:t>approach to</w:t>
      </w:r>
      <w:r w:rsidRPr="00947E02">
        <w:t xml:space="preserve"> test whether </w:t>
      </w:r>
      <w:r w:rsidR="00975A6E" w:rsidRPr="00947E02">
        <w:t xml:space="preserve">the limiting institutions of </w:t>
      </w:r>
      <w:r w:rsidR="007113C2" w:rsidRPr="00947E02">
        <w:t>central bank independence and fixed exchange rates</w:t>
      </w:r>
      <w:r w:rsidR="004C4E0F">
        <w:t xml:space="preserve"> </w:t>
      </w:r>
      <w:r w:rsidR="00C84481" w:rsidRPr="00947E02">
        <w:t>affect</w:t>
      </w:r>
      <w:r w:rsidR="00C84481">
        <w:t xml:space="preserve"> </w:t>
      </w:r>
      <w:r w:rsidR="00547244">
        <w:t xml:space="preserve">electoral </w:t>
      </w:r>
      <w:r w:rsidR="00A2555B">
        <w:t xml:space="preserve">and </w:t>
      </w:r>
      <w:r w:rsidR="00321B4E">
        <w:t xml:space="preserve">more broadly </w:t>
      </w:r>
      <w:r w:rsidR="00A2555B">
        <w:t>political instabilit</w:t>
      </w:r>
      <w:r w:rsidR="008924EB">
        <w:t>y</w:t>
      </w:r>
      <w:r w:rsidR="00337CD0">
        <w:t xml:space="preserve">. </w:t>
      </w:r>
      <w:r w:rsidR="00004C88">
        <w:t xml:space="preserve">This </w:t>
      </w:r>
      <w:r w:rsidR="00A56418">
        <w:t>provides insight into</w:t>
      </w:r>
      <w:r w:rsidR="007C2A33">
        <w:t xml:space="preserve"> </w:t>
      </w:r>
      <w:r w:rsidR="000D09CC">
        <w:t xml:space="preserve">choice among </w:t>
      </w:r>
      <w:r w:rsidR="007C2A33">
        <w:t xml:space="preserve">social </w:t>
      </w:r>
      <w:r w:rsidR="00D37D57">
        <w:t>welfare</w:t>
      </w:r>
      <w:r w:rsidR="007C2A33">
        <w:t xml:space="preserve">, political </w:t>
      </w:r>
      <w:r w:rsidR="00004C88">
        <w:t>business cycle</w:t>
      </w:r>
      <w:r w:rsidR="007C2A33">
        <w:t>,</w:t>
      </w:r>
      <w:r w:rsidR="00004C88">
        <w:t xml:space="preserve"> </w:t>
      </w:r>
      <w:r w:rsidR="009127F8">
        <w:t xml:space="preserve">and economic voting </w:t>
      </w:r>
      <w:r w:rsidR="002016F0">
        <w:t>theories</w:t>
      </w:r>
      <w:r w:rsidR="00004C88">
        <w:t>, which provide for</w:t>
      </w:r>
      <w:r w:rsidR="00B04430">
        <w:t xml:space="preserve"> </w:t>
      </w:r>
      <w:r w:rsidR="0043402C">
        <w:t>numerous</w:t>
      </w:r>
      <w:r w:rsidR="00B04430">
        <w:t xml:space="preserve"> competing mechanisms</w:t>
      </w:r>
      <w:r w:rsidR="002016F0">
        <w:t>.</w:t>
      </w:r>
      <w:r w:rsidR="00375EFD">
        <w:t xml:space="preserve"> </w:t>
      </w:r>
      <w:r w:rsidR="00C81904">
        <w:t xml:space="preserve">Differing from previous work, </w:t>
      </w:r>
      <w:r w:rsidR="0032626D">
        <w:t>I</w:t>
      </w:r>
      <w:r w:rsidR="009314C2">
        <w:t xml:space="preserve"> </w:t>
      </w:r>
      <w:r w:rsidR="00D47443">
        <w:t xml:space="preserve">consider both varieties of instability, extend </w:t>
      </w:r>
      <w:r w:rsidR="00B54E18">
        <w:t>analysis</w:t>
      </w:r>
      <w:r w:rsidR="005323A6">
        <w:t xml:space="preserve"> to </w:t>
      </w:r>
      <w:r w:rsidR="00322F04">
        <w:t>various branches of government</w:t>
      </w:r>
      <w:r w:rsidR="00D47443">
        <w:t>,</w:t>
      </w:r>
      <w:r w:rsidR="00256B72">
        <w:t xml:space="preserve"> and</w:t>
      </w:r>
      <w:r w:rsidR="0032626D">
        <w:t xml:space="preserve"> take care to address </w:t>
      </w:r>
      <w:r w:rsidR="00EB14C1">
        <w:t>important</w:t>
      </w:r>
      <w:r w:rsidR="0032626D">
        <w:t xml:space="preserve"> endogeneity</w:t>
      </w:r>
      <w:r w:rsidR="00EB14C1">
        <w:t xml:space="preserve"> problems</w:t>
      </w:r>
      <w:r w:rsidR="0032626D">
        <w:t xml:space="preserve"> </w:t>
      </w:r>
      <w:r w:rsidR="00647911">
        <w:t>by</w:t>
      </w:r>
      <w:r w:rsidR="00E923F8">
        <w:t xml:space="preserve"> using </w:t>
      </w:r>
      <w:r w:rsidR="00055076">
        <w:t xml:space="preserve">panel data and instrumental variables techniques </w:t>
      </w:r>
      <w:r w:rsidR="002E5345">
        <w:t xml:space="preserve">over a wide range of countries </w:t>
      </w:r>
      <w:r w:rsidR="00E923F8">
        <w:t>from 1970</w:t>
      </w:r>
      <w:r w:rsidR="00BF573A">
        <w:t>-2012</w:t>
      </w:r>
      <w:r w:rsidR="00A839CE">
        <w:t>.</w:t>
      </w:r>
      <w:r w:rsidR="00375EFD">
        <w:t xml:space="preserve"> </w:t>
      </w:r>
      <w:r w:rsidR="001124AD">
        <w:t xml:space="preserve">I find </w:t>
      </w:r>
      <w:r w:rsidR="00991A37">
        <w:t xml:space="preserve">suggestive evidence </w:t>
      </w:r>
      <w:r w:rsidR="00991A37" w:rsidRPr="00E30ABC">
        <w:t xml:space="preserve">that </w:t>
      </w:r>
      <w:r w:rsidR="00991B35" w:rsidRPr="00E30ABC">
        <w:t>de jure central bank independence increases instability and weaker evidence of a similar impact</w:t>
      </w:r>
      <w:r w:rsidR="00762BB3" w:rsidRPr="00E30ABC">
        <w:t xml:space="preserve"> for fixed exchange rates</w:t>
      </w:r>
      <w:r w:rsidR="00CE30BC" w:rsidRPr="00E30ABC">
        <w:t xml:space="preserve"> (perhaps political business cycle behavior)</w:t>
      </w:r>
      <w:r w:rsidR="00332AAC" w:rsidRPr="00E30ABC">
        <w:t>, with a slight opposite effect for de facto independence</w:t>
      </w:r>
      <w:r w:rsidR="00D7428C" w:rsidRPr="00E30ABC">
        <w:t xml:space="preserve"> (with some kind of welfare benefit)</w:t>
      </w:r>
      <w:r w:rsidR="00332AAC" w:rsidRPr="00E30ABC">
        <w:t>.</w:t>
      </w:r>
      <w:r w:rsidR="0018016F" w:rsidRPr="00E30ABC">
        <w:t xml:space="preserve"> There is thus the potential for serious political economy complications in the implementation of these institutions.</w:t>
      </w:r>
    </w:p>
    <w:p w14:paraId="6612B923" w14:textId="0A41D2E0" w:rsidR="00B85767" w:rsidRDefault="00B85767" w:rsidP="00293665">
      <w:pPr>
        <w:pStyle w:val="Heading1"/>
      </w:pPr>
      <w:r>
        <w:t>Introduction</w:t>
      </w:r>
    </w:p>
    <w:p w14:paraId="22690D43" w14:textId="0BCD3F7E" w:rsidR="00CD286F" w:rsidRDefault="00267034" w:rsidP="002F28E1">
      <w:r w:rsidRPr="00E30ABC">
        <w:t xml:space="preserve">The </w:t>
      </w:r>
      <w:r w:rsidR="008B034E" w:rsidRPr="00E30ABC">
        <w:t>l</w:t>
      </w:r>
      <w:r w:rsidR="00330FA7" w:rsidRPr="00E30ABC">
        <w:t>inkage</w:t>
      </w:r>
      <w:r w:rsidR="00FC1798" w:rsidRPr="00E30ABC">
        <w:t xml:space="preserve"> between</w:t>
      </w:r>
      <w:r w:rsidR="00954DFE" w:rsidRPr="00E30ABC">
        <w:t xml:space="preserve"> limiting institutions such as</w:t>
      </w:r>
      <w:r w:rsidR="00FC1798" w:rsidRPr="00E30ABC">
        <w:t xml:space="preserve"> </w:t>
      </w:r>
      <w:r w:rsidR="00C53701" w:rsidRPr="00E30ABC">
        <w:t>central bank independence</w:t>
      </w:r>
      <w:r w:rsidR="003A2C4B" w:rsidRPr="00E30ABC">
        <w:t xml:space="preserve"> and electoral </w:t>
      </w:r>
      <w:r w:rsidR="00A53B2A" w:rsidRPr="00E30ABC">
        <w:t>stability</w:t>
      </w:r>
      <w:r w:rsidR="003A2C4B" w:rsidRPr="00E30ABC">
        <w:t xml:space="preserve"> </w:t>
      </w:r>
      <w:r w:rsidR="00FD62CA" w:rsidRPr="00E30ABC">
        <w:t xml:space="preserve">in democracies </w:t>
      </w:r>
      <w:r w:rsidR="003A2C4B" w:rsidRPr="00E30ABC">
        <w:t xml:space="preserve">is </w:t>
      </w:r>
      <w:r w:rsidR="00954DFE" w:rsidRPr="00E30ABC">
        <w:t xml:space="preserve">a </w:t>
      </w:r>
      <w:r w:rsidR="006C7F5B" w:rsidRPr="00E30ABC">
        <w:t xml:space="preserve">largely </w:t>
      </w:r>
      <w:r w:rsidR="00DF51A7" w:rsidRPr="00E30ABC">
        <w:t>relevant</w:t>
      </w:r>
      <w:r w:rsidR="006C7F5B" w:rsidRPr="00E30ABC">
        <w:t xml:space="preserve"> </w:t>
      </w:r>
      <w:r w:rsidR="00870558" w:rsidRPr="00E30ABC">
        <w:t xml:space="preserve">debate that evades </w:t>
      </w:r>
      <w:r w:rsidR="00EB798B" w:rsidRPr="00E30ABC">
        <w:t xml:space="preserve">a </w:t>
      </w:r>
      <w:r w:rsidR="00D72494" w:rsidRPr="00E30ABC">
        <w:t>straightforward</w:t>
      </w:r>
      <w:r w:rsidR="00A94ACD" w:rsidRPr="00E30ABC">
        <w:t xml:space="preserve"> intuitive</w:t>
      </w:r>
      <w:r w:rsidR="00870558" w:rsidRPr="00E30ABC">
        <w:t xml:space="preserve"> answer</w:t>
      </w:r>
      <w:r w:rsidR="00B419C3" w:rsidRPr="00E30ABC">
        <w:t>.</w:t>
      </w:r>
      <w:r w:rsidR="0045785A" w:rsidRPr="00E30ABC">
        <w:t xml:space="preserve"> </w:t>
      </w:r>
      <w:r w:rsidR="00430561" w:rsidRPr="00E30ABC">
        <w:t>On the one hand,</w:t>
      </w:r>
      <w:r w:rsidR="00334024" w:rsidRPr="00E30ABC">
        <w:t xml:space="preserve"> </w:t>
      </w:r>
      <w:r w:rsidR="00430561" w:rsidRPr="00E30ABC">
        <w:t xml:space="preserve">independent </w:t>
      </w:r>
      <w:r w:rsidR="00334024" w:rsidRPr="00E30ABC">
        <w:t xml:space="preserve">central banks </w:t>
      </w:r>
      <w:r w:rsidR="00430561" w:rsidRPr="00E30ABC">
        <w:t xml:space="preserve">are widely </w:t>
      </w:r>
      <w:r w:rsidR="00BB15B8" w:rsidRPr="00E30ABC">
        <w:t>known</w:t>
      </w:r>
      <w:r w:rsidR="00430561" w:rsidRPr="00E30ABC">
        <w:t xml:space="preserve"> as </w:t>
      </w:r>
      <w:r w:rsidR="00334024" w:rsidRPr="00E30ABC">
        <w:t>welfare</w:t>
      </w:r>
      <w:r w:rsidR="00430561" w:rsidRPr="00E30ABC">
        <w:t>-enhancing institutions</w:t>
      </w:r>
      <w:r w:rsidR="00D84307" w:rsidRPr="00E30ABC">
        <w:t xml:space="preserve"> </w:t>
      </w:r>
      <w:r w:rsidR="0070489F" w:rsidRPr="00E30ABC">
        <w:t xml:space="preserve">which reduce inflation </w:t>
      </w:r>
      <w:r w:rsidR="0026037A" w:rsidRPr="00E30ABC">
        <w:fldChar w:fldCharType="begin"/>
      </w:r>
      <w:r w:rsidR="006F3F5C">
        <w:instrText xml:space="preserve"> ADDIN ZOTERO_ITEM CSL_CITATION {"citationID":"U55FIqgl","properties":{"formattedCitation":"(Chicago Booth Initiative on Global Markets 2019)","plainCitation":"(Chicago Booth Initiative on Global Markets 2019)","noteIndex":0},"citationItems":[{"id":203,"uris":["http://zotero.org/users/5939705/items/KQ36ZZ7B"],"uri":["http://zotero.org/users/5939705/items/KQ36ZZ7B"],"itemData":{"id":203,"type":"post-weblog","language":"en-US","title":"Fed Appointments | IGM Forum","URL":"http://www.igmchicago.org/surveys/fed-appointments","author":[{"family":"Chicago Booth Initiative on Global Markets","given":""}],"accessed":{"date-parts":[["2020",1,20]]},"issued":{"date-parts":[["2019"]]}}}],"schema":"https://github.com/citation-style-language/schema/raw/master/csl-citation.json"} </w:instrText>
      </w:r>
      <w:r w:rsidR="0026037A" w:rsidRPr="00E30ABC">
        <w:fldChar w:fldCharType="separate"/>
      </w:r>
      <w:r w:rsidR="006F3F5C" w:rsidRPr="006F3F5C">
        <w:rPr>
          <w:rFonts w:ascii="Calibri" w:hAnsi="Calibri" w:cs="Calibri"/>
        </w:rPr>
        <w:t>(Chicago Booth Initiative on Global Markets 2019)</w:t>
      </w:r>
      <w:r w:rsidR="0026037A" w:rsidRPr="00E30ABC">
        <w:fldChar w:fldCharType="end"/>
      </w:r>
      <w:r w:rsidR="0019504D" w:rsidRPr="00E30ABC">
        <w:t>.</w:t>
      </w:r>
      <w:r w:rsidR="00C360EC" w:rsidRPr="00E30ABC">
        <w:t xml:space="preserve"> </w:t>
      </w:r>
      <w:r w:rsidR="00425E71" w:rsidRPr="00E30ABC">
        <w:t xml:space="preserve">This benefit comes </w:t>
      </w:r>
      <w:r w:rsidR="00846E7B" w:rsidRPr="00E30ABC">
        <w:t xml:space="preserve">no </w:t>
      </w:r>
      <w:r w:rsidR="00425E71" w:rsidRPr="00E30ABC">
        <w:t>long run cost to real macroeconomic variables</w:t>
      </w:r>
      <w:r w:rsidR="00846E7B" w:rsidRPr="00E30ABC">
        <w:t xml:space="preserve"> </w:t>
      </w:r>
      <w:r w:rsidR="00425E71" w:rsidRPr="00E30ABC">
        <w:fldChar w:fldCharType="begin"/>
      </w:r>
      <w:r w:rsidR="007B01F4">
        <w:instrText xml:space="preserve"> ADDIN ZOTERO_ITEM CSL_CITATION {"citationID":"Nt2nma9J","properties":{"formattedCitation":"(Alesina and Summers 1993)","plainCitation":"(Alesina and Summers 1993)","noteIndex":0},"citationItems":[{"id":143,"uris":["http://zotero.org/users/5939705/items/CQZSLBKT"],"uri":["http://zotero.org/users/5939705/items/CQZSLBKT"],"itemData":{"id":143,"type":"article-journal","archive":"JSTOR","container-title":"Journal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425E71" w:rsidRPr="00E30ABC">
        <w:fldChar w:fldCharType="separate"/>
      </w:r>
      <w:r w:rsidR="00846E7B" w:rsidRPr="00E30ABC">
        <w:rPr>
          <w:rFonts w:ascii="Calibri" w:hAnsi="Calibri" w:cs="Calibri"/>
        </w:rPr>
        <w:t>(Alesina and Summers 1993)</w:t>
      </w:r>
      <w:r w:rsidR="00425E71" w:rsidRPr="00E30ABC">
        <w:fldChar w:fldCharType="end"/>
      </w:r>
      <w:r w:rsidR="00425E71" w:rsidRPr="00E30ABC">
        <w:t xml:space="preserve">. </w:t>
      </w:r>
      <w:r w:rsidR="00893CD8" w:rsidRPr="00E30ABC">
        <w:t xml:space="preserve">It is not difficult to imagine </w:t>
      </w:r>
      <w:r w:rsidR="00194C98" w:rsidRPr="00E30ABC">
        <w:t>a grateful populace consistently reward</w:t>
      </w:r>
      <w:r w:rsidR="00C93E41" w:rsidRPr="00E30ABC">
        <w:t>ing</w:t>
      </w:r>
      <w:r w:rsidR="00194C98" w:rsidRPr="00E30ABC">
        <w:t xml:space="preserve"> incumbents for better economic conditions. </w:t>
      </w:r>
      <w:r w:rsidR="00627719" w:rsidRPr="00E30ABC">
        <w:t>On the other hand,</w:t>
      </w:r>
      <w:r w:rsidR="00C96BBD" w:rsidRPr="00E30ABC">
        <w:t xml:space="preserve"> t</w:t>
      </w:r>
      <w:r w:rsidR="00D07EF0" w:rsidRPr="00E30ABC">
        <w:t>he capacity of central banks</w:t>
      </w:r>
      <w:r w:rsidR="002A4F0B" w:rsidRPr="00E30ABC">
        <w:t xml:space="preserve">, rather than politicians to </w:t>
      </w:r>
      <w:r w:rsidR="00D07EF0" w:rsidRPr="00E30ABC">
        <w:t>steer the economy</w:t>
      </w:r>
      <w:r w:rsidR="00816355" w:rsidRPr="00E30ABC">
        <w:t xml:space="preserve"> </w:t>
      </w:r>
      <w:r w:rsidR="00976966" w:rsidRPr="00E30ABC">
        <w:t xml:space="preserve">has been </w:t>
      </w:r>
      <w:r w:rsidR="00911AAD" w:rsidRPr="00E30ABC">
        <w:t xml:space="preserve">assumed to have serious electoral </w:t>
      </w:r>
      <w:r w:rsidR="00001ABB" w:rsidRPr="00E30ABC">
        <w:t>costs</w:t>
      </w:r>
      <w:r w:rsidR="00DE6B77" w:rsidRPr="00E30ABC">
        <w:t xml:space="preserve"> in disputes such as those between President Donald Trump and Federal Reserve </w:t>
      </w:r>
      <w:r w:rsidR="00940A1A" w:rsidRPr="00E30ABC">
        <w:t>Chairman Jay Powell</w:t>
      </w:r>
      <w:r w:rsidR="00DA170A">
        <w:t xml:space="preserve"> </w:t>
      </w:r>
      <w:r w:rsidR="002C4D49">
        <w:fldChar w:fldCharType="begin"/>
      </w:r>
      <w:r w:rsidR="00DA170A">
        <w:instrText xml:space="preserve"> ADDIN ZOTERO_ITEM CSL_CITATION {"citationID":"53tRpSPR","properties":{"formattedCitation":"(Long 2019)","plainCitation":"(Long 2019)","noteIndex":0},"citationItems":[{"id":234,"uris":["http://zotero.org/users/5939705/items/Y96SHLX3"],"uri":["http://zotero.org/users/5939705/items/Y96SHLX3"],"itemData":{"id":234,"type":"article-newspaper","abstract":"The U.S. benchmark interest rate is now just shy of 2 percent, down from about 2.25 percent. The move was widely expected and falls well short of Trump’s call for a “big” cut.","container-title":"Washington Post","language":"en","title":"Federal Reserve makes small interest rate cut. Trump slams central bank for having ‘no guts.’","URL":"https://www.washingtonpost.com/business/2019/09/18/federal-reserve-cuts-interest-rates-quarter-point-counter-trumps-trade-war/","author":[{"family":"Long","given":"Heather"}],"accessed":{"date-parts":[["2020",1,8]]},"issued":{"date-parts":[["2019",9,18]]}}}],"schema":"https://github.com/citation-style-language/schema/raw/master/csl-citation.json"} </w:instrText>
      </w:r>
      <w:r w:rsidR="002C4D49">
        <w:fldChar w:fldCharType="separate"/>
      </w:r>
      <w:r w:rsidR="00DA170A" w:rsidRPr="00DA170A">
        <w:rPr>
          <w:rFonts w:ascii="Calibri" w:hAnsi="Calibri" w:cs="Calibri"/>
        </w:rPr>
        <w:t>(Long 2019)</w:t>
      </w:r>
      <w:r w:rsidR="002C4D49">
        <w:fldChar w:fldCharType="end"/>
      </w:r>
      <w:r w:rsidR="00816355" w:rsidRPr="00E30ABC">
        <w:t>.</w:t>
      </w:r>
      <w:r w:rsidR="007C1115" w:rsidRPr="00E30ABC">
        <w:t xml:space="preserve"> </w:t>
      </w:r>
      <w:r w:rsidR="00F546A6" w:rsidRPr="00E30ABC">
        <w:t xml:space="preserve">Over time, we might expect </w:t>
      </w:r>
      <w:r w:rsidR="00EB2323" w:rsidRPr="00E30ABC">
        <w:t xml:space="preserve">central bank </w:t>
      </w:r>
      <w:r w:rsidR="00F546A6" w:rsidRPr="00E30ABC">
        <w:t xml:space="preserve">independence to </w:t>
      </w:r>
      <w:r w:rsidR="00334024" w:rsidRPr="00E30ABC">
        <w:t xml:space="preserve">repeatedly </w:t>
      </w:r>
      <w:r w:rsidR="00F546A6" w:rsidRPr="00E30ABC">
        <w:t xml:space="preserve">harm </w:t>
      </w:r>
      <w:r w:rsidR="002171FC" w:rsidRPr="00E30ABC">
        <w:t>the electoral chances of incumbents</w:t>
      </w:r>
      <w:r w:rsidR="005732DA" w:rsidRPr="00E30ABC">
        <w:t>.</w:t>
      </w:r>
    </w:p>
    <w:p w14:paraId="368C10B1" w14:textId="1B1AF12B" w:rsidR="00D1313F" w:rsidRDefault="00D72494" w:rsidP="002F28E1">
      <w:r w:rsidRPr="00E30ABC">
        <w:t>C</w:t>
      </w:r>
      <w:r w:rsidR="002337F8" w:rsidRPr="00E30ABC">
        <w:t>entral bank independence need not be the only economic constraint that matters for political outcomes. Fixed exchange rate regimes should also provide the same mechanism of economic policy “hand-tying” to politicians, with the outsourcing of monetary policy</w:t>
      </w:r>
      <w:r w:rsidR="00CE400A" w:rsidRPr="00E30ABC">
        <w:t xml:space="preserve"> in open economies without capital controls</w:t>
      </w:r>
      <w:r w:rsidR="00844143" w:rsidRPr="00E30ABC">
        <w:t xml:space="preserve"> </w:t>
      </w:r>
      <w:r w:rsidR="009136E1" w:rsidRPr="00E30ABC">
        <w:fldChar w:fldCharType="begin"/>
      </w:r>
      <w:r w:rsidR="007B01F4">
        <w:instrText xml:space="preserve"> ADDIN ZOTERO_ITEM CSL_CITATION {"citationID":"HpCzEvKv","properties":{"formattedCitation":"(Fleming 1962; R. A. Mundell 1963)","plainCitation":"(Fleming 1962; R. A. Mundell 1963)","noteIndex":0},"citationItems":[{"id":239,"uris":["http://zotero.org/users/5939705/items/WHGMJLAF"],"uri":["http://zotero.org/users/5939705/items/WHGMJLAF"],"itemData":{"id":239,"type":"article-journal","abstract":"Les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Marcus"}],"issued":{"date-parts":[["1962"]]}}},{"id":242,"uris":["http://zotero.org/users/5939705/items/P6RCABNT"],"uri":["http://zotero.org/users/5939705/items/P6RCABNT"],"itemData":{"id":242,"type":"article-journal","archive":"JSTOR","container-title":"The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9136E1" w:rsidRPr="00E30ABC">
        <w:fldChar w:fldCharType="separate"/>
      </w:r>
      <w:r w:rsidR="00844143" w:rsidRPr="00E30ABC">
        <w:rPr>
          <w:rFonts w:ascii="Calibri" w:hAnsi="Calibri" w:cs="Calibri"/>
        </w:rPr>
        <w:t>(Fleming 1962; R. A. Mundell 1963)</w:t>
      </w:r>
      <w:r w:rsidR="009136E1" w:rsidRPr="00E30ABC">
        <w:fldChar w:fldCharType="end"/>
      </w:r>
      <w:r w:rsidR="002337F8" w:rsidRPr="00E30ABC">
        <w:t xml:space="preserve">. Previous work has widely documented the importance of considering these institutions jointly </w:t>
      </w:r>
      <w:r w:rsidR="002337F8" w:rsidRPr="00E30ABC">
        <w:fldChar w:fldCharType="begin"/>
      </w:r>
      <w:r w:rsidR="007B01F4">
        <w:instrText xml:space="preserve"> ADDIN ZOTERO_ITEM CSL_CITATION {"citationID":"XFkvKbQu","properties":{"formattedCitation":"(Bernhard, Broz, and Clark 2002)","plainCitation":"(Bernhard, Broz, and Clark 2002)","noteIndex":0},"citationItems":[{"id":230,"uris":["http://zotero.org/users/5939705/items/RID6IKI8"],"uri":["http://zotero.org/users/5939705/items/RID6IKI8"],"itemData":{"id":230,"type":"article-journal","abstract":"In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2337F8" w:rsidRPr="00E30ABC">
        <w:fldChar w:fldCharType="separate"/>
      </w:r>
      <w:r w:rsidR="002337F8" w:rsidRPr="00E30ABC">
        <w:rPr>
          <w:rFonts w:ascii="Calibri" w:hAnsi="Calibri" w:cs="Calibri"/>
        </w:rPr>
        <w:t>(Bernhard, Broz, and Clark 2002)</w:t>
      </w:r>
      <w:r w:rsidR="002337F8" w:rsidRPr="00E30ABC">
        <w:fldChar w:fldCharType="end"/>
      </w:r>
      <w:r w:rsidR="003E2F60" w:rsidRPr="00E30ABC">
        <w:t>.</w:t>
      </w:r>
      <w:r w:rsidR="00A84818" w:rsidRPr="00E30ABC">
        <w:t xml:space="preserve"> </w:t>
      </w:r>
      <w:r w:rsidR="002337F8" w:rsidRPr="00E30ABC">
        <w:t>We thus might expect to find similar stories of fixed exchange rates affecting political and electoral stability: this is indeed the case.</w:t>
      </w:r>
      <w:r w:rsidR="0019515D" w:rsidRPr="00E30ABC">
        <w:t xml:space="preserve"> </w:t>
      </w:r>
      <w:r w:rsidR="00CA6776" w:rsidRPr="00E30ABC">
        <w:t>For example, in February 2019</w:t>
      </w:r>
      <w:r w:rsidR="00E4230B" w:rsidRPr="00E30ABC">
        <w:t xml:space="preserve"> the President of Cote D’Ivoire, Alassane Ouattara said </w:t>
      </w:r>
      <w:r w:rsidR="0059593E" w:rsidRPr="00E30ABC">
        <w:t>that</w:t>
      </w:r>
      <w:r w:rsidR="00E4230B" w:rsidRPr="00E30ABC">
        <w:t xml:space="preserve"> the </w:t>
      </w:r>
      <w:r w:rsidR="0011729C" w:rsidRPr="00E30ABC">
        <w:t>pegged CFA franc</w:t>
      </w:r>
      <w:r w:rsidR="0059593E" w:rsidRPr="00E30ABC">
        <w:t xml:space="preserve"> </w:t>
      </w:r>
      <w:r w:rsidR="00A07210" w:rsidRPr="00E30ABC">
        <w:t xml:space="preserve">has </w:t>
      </w:r>
      <w:r w:rsidR="0059593E" w:rsidRPr="00E30ABC">
        <w:t xml:space="preserve">played a key role in </w:t>
      </w:r>
      <w:r w:rsidR="00C442C1" w:rsidRPr="00E30ABC">
        <w:t>stabilizing the country</w:t>
      </w:r>
      <w:r w:rsidR="00A10AE1" w:rsidRPr="00E30ABC">
        <w:t xml:space="preserve"> </w:t>
      </w:r>
      <w:r w:rsidR="00BF7826" w:rsidRPr="00E30ABC">
        <w:t>by</w:t>
      </w:r>
      <w:r w:rsidR="00A10AE1" w:rsidRPr="00E30ABC">
        <w:t xml:space="preserve"> </w:t>
      </w:r>
      <w:r w:rsidR="00AC6640" w:rsidRPr="00E30ABC">
        <w:t>helping control</w:t>
      </w:r>
      <w:r w:rsidR="00A10AE1" w:rsidRPr="00E30ABC">
        <w:t xml:space="preserve"> inflation</w:t>
      </w:r>
      <w:r w:rsidR="00C442C1" w:rsidRPr="00E30ABC">
        <w:t xml:space="preserve"> </w:t>
      </w:r>
      <w:r w:rsidR="00B7331D" w:rsidRPr="00E30ABC">
        <w:fldChar w:fldCharType="begin"/>
      </w:r>
      <w:r w:rsidR="007B01F4">
        <w:instrText xml:space="preserve"> ADDIN ZOTERO_ITEM CSL_CITATION {"citationID":"QM2Si3Rq","properties":{"formattedCitation":"(Bassompierre 2019)","plainCitation":"(Bassompierre 2019)","noteIndex":0},"citationItems":[{"id":138,"uris":["http://zotero.org/users/5939705/items/89C4LP2I"],"uri":["http://zotero.org/users/5939705/items/89C4LP2I"],"itemData":{"id":138,"type":"webpage","container-title":"Bloomberg","title":"Ivorian President Reiterates Support for Euro-Pegged Currency - Bloomberg","URL":"https://www.bloomberg.com/news/articles/2019-02-16/ivorian-president-reiterates-support-for-euro-pegged-currency","author":[{"family":"Bassompierre","given":"Leanne","dropping-particle":"de"}],"accessed":{"date-parts":[["2020",2,9]]},"issued":{"date-parts":[["2019",2,16]]}}}],"schema":"https://github.com/citation-style-language/schema/raw/master/csl-citation.json"} </w:instrText>
      </w:r>
      <w:r w:rsidR="00B7331D" w:rsidRPr="00E30ABC">
        <w:fldChar w:fldCharType="separate"/>
      </w:r>
      <w:r w:rsidR="007B01F4" w:rsidRPr="007B01F4">
        <w:rPr>
          <w:rFonts w:ascii="Calibri" w:hAnsi="Calibri" w:cs="Calibri"/>
        </w:rPr>
        <w:t xml:space="preserve">(Bassompierre </w:t>
      </w:r>
      <w:r w:rsidR="007B01F4" w:rsidRPr="007B01F4">
        <w:rPr>
          <w:rFonts w:ascii="Calibri" w:hAnsi="Calibri" w:cs="Calibri"/>
        </w:rPr>
        <w:lastRenderedPageBreak/>
        <w:t>2019)</w:t>
      </w:r>
      <w:r w:rsidR="00B7331D" w:rsidRPr="00E30ABC">
        <w:fldChar w:fldCharType="end"/>
      </w:r>
      <w:r w:rsidR="00C442C1" w:rsidRPr="00E30ABC">
        <w:t>.</w:t>
      </w:r>
      <w:r w:rsidR="000240D1" w:rsidRPr="00E30ABC">
        <w:t xml:space="preserve"> </w:t>
      </w:r>
      <w:r w:rsidR="00D32DEF" w:rsidRPr="00E30ABC">
        <w:t>On the other hand</w:t>
      </w:r>
      <w:r w:rsidR="002337F8" w:rsidRPr="00E30ABC">
        <w:t xml:space="preserve">, in Lebanon, a fixed </w:t>
      </w:r>
      <w:r w:rsidR="0025228B" w:rsidRPr="00E30ABC">
        <w:t xml:space="preserve">exchange </w:t>
      </w:r>
      <w:r w:rsidR="002337F8" w:rsidRPr="00E30ABC">
        <w:t xml:space="preserve">rate is considered to have led to increasing political unrest and reform pressures in the country </w:t>
      </w:r>
      <w:r w:rsidR="002337F8" w:rsidRPr="00E30ABC">
        <w:fldChar w:fldCharType="begin"/>
      </w:r>
      <w:r w:rsidR="007B01F4">
        <w:instrText xml:space="preserve"> ADDIN ZOTERO_ITEM CSL_CITATION {"citationID":"nr5OCQZq","properties":{"formattedCitation":"(Diwan 2020)","plainCitation":"(Diwan 2020)","noteIndex":0},"citationItems":[{"id":228,"uris":["http://zotero.org/users/5939705/items/3JU47FS8"],"uri":["http://zotero.org/users/5939705/items/3JU47FS8"],"itemData":{"id":228,"type":"webpage","abstract":"After years of maintaining a dysfunctional political economy based on sectarianism and rentierism, Lebanon's ruling elites are being confronted with simultaneous financial, economic, and political crises. The question now is how they respond to a reformist movement demanding fundamental change, including a new political settlement.","container-title":"Project Syndicate","language":"en","title":"Lebanon’s Perfect Storm | by Ishac Diwan","URL":"https://www.project-syndicate.org/commentary/lebanon-political-economic-crises-protests-by-ishac-diwan","author":[{"family":"Diwan","given":"Ishac"}],"accessed":{"date-parts":[["2020",1,9]]},"issued":{"date-parts":[["2020",1,9]]}}}],"schema":"https://github.com/citation-style-language/schema/raw/master/csl-citation.json"} </w:instrText>
      </w:r>
      <w:r w:rsidR="002337F8" w:rsidRPr="00E30ABC">
        <w:fldChar w:fldCharType="separate"/>
      </w:r>
      <w:r w:rsidR="002337F8" w:rsidRPr="00E30ABC">
        <w:rPr>
          <w:rFonts w:ascii="Calibri" w:hAnsi="Calibri" w:cs="Calibri"/>
        </w:rPr>
        <w:t>(Diwan 2020)</w:t>
      </w:r>
      <w:r w:rsidR="002337F8" w:rsidRPr="00E30ABC">
        <w:fldChar w:fldCharType="end"/>
      </w:r>
      <w:r w:rsidR="002337F8" w:rsidRPr="00E30ABC">
        <w:t>.</w:t>
      </w:r>
    </w:p>
    <w:p w14:paraId="23102BAF" w14:textId="6B395D72" w:rsidR="00DE0338" w:rsidRDefault="00281150" w:rsidP="002F28E1">
      <w:r w:rsidRPr="00E30ABC">
        <w:t>Relationships between limiting regimes and</w:t>
      </w:r>
      <w:r w:rsidR="002C591C" w:rsidRPr="00E30ABC">
        <w:t xml:space="preserve"> political</w:t>
      </w:r>
      <w:r w:rsidRPr="00E30ABC">
        <w:t xml:space="preserve"> </w:t>
      </w:r>
      <w:r w:rsidR="00DF022F" w:rsidRPr="00E30ABC">
        <w:t>instability also need not be limited to democracies</w:t>
      </w:r>
      <w:r w:rsidR="002559DC" w:rsidRPr="00E30ABC">
        <w:t xml:space="preserve"> and </w:t>
      </w:r>
      <w:r w:rsidR="00792461" w:rsidRPr="00E30ABC">
        <w:t xml:space="preserve">non-violent </w:t>
      </w:r>
      <w:r w:rsidR="002559DC" w:rsidRPr="00E30ABC">
        <w:t>electoral stability</w:t>
      </w:r>
      <w:r w:rsidR="00DF022F" w:rsidRPr="00E30ABC">
        <w:t>.</w:t>
      </w:r>
      <w:r w:rsidR="007B721C" w:rsidRPr="00E30ABC">
        <w:t xml:space="preserve"> </w:t>
      </w:r>
      <w:r w:rsidR="00496D68" w:rsidRPr="00E30ABC">
        <w:t>China</w:t>
      </w:r>
      <w:r w:rsidR="007A23B1" w:rsidRPr="00E30ABC">
        <w:t xml:space="preserve">’s tight control of </w:t>
      </w:r>
      <w:r w:rsidR="00E61149" w:rsidRPr="00E30ABC">
        <w:t xml:space="preserve">the </w:t>
      </w:r>
      <w:r w:rsidR="008E23F9" w:rsidRPr="00E30ABC">
        <w:t>renminbi</w:t>
      </w:r>
      <w:r w:rsidR="00E61149" w:rsidRPr="00E30ABC">
        <w:t xml:space="preserve"> with the aim of trade promotion </w:t>
      </w:r>
      <w:r w:rsidR="001E3BC1" w:rsidRPr="00E30ABC">
        <w:t xml:space="preserve">fits within a broader national aim of economic development </w:t>
      </w:r>
      <w:r w:rsidR="008E23F9" w:rsidRPr="00E30ABC">
        <w:t>to maintain domestic stability</w:t>
      </w:r>
      <w:r w:rsidR="00E273A0" w:rsidRPr="00E30ABC">
        <w:t xml:space="preserve"> </w:t>
      </w:r>
      <w:r w:rsidR="008E23F9" w:rsidRPr="00E30ABC">
        <w:fldChar w:fldCharType="begin"/>
      </w:r>
      <w:r w:rsidR="007B01F4">
        <w:instrText xml:space="preserve"> ADDIN ZOTERO_ITEM CSL_CITATION {"citationID":"aFneGTs7","properties":{"formattedCitation":"(Kroeber 2011)","plainCitation":"(Kroeber 2011)","noteIndex":0},"citationItems":[{"id":137,"uris":["http://zotero.org/users/5939705/items/LTAQ8MFK"],"uri":["http://zotero.org/users/5939705/items/LTAQ8MFK"],"itemData":{"id":137,"type":"post-weblog","abstract":"The United States and other countries have complained that China keeps the value of its currency artificially low, boosting China’s exports and trade surplus at the expense of its global trading partners. Arthur Kroeber explains how the ongoing currency conflict is rooted in two very different views about the function of exchange rates.","container-title":"Brookings","language":"en-US","title":"The Renminbi: The Political Economy of a Currency","title-short":"The Renminbi","URL":"https://www.brookings.edu/research/the-renminbi-the-political-economy-of-a-currency/","author":[{"family":"Kroeber","given":"Arthur R."}],"accessed":{"date-parts":[["2020",2,9]]},"issued":{"date-parts":[["2011",9,7]]}}}],"schema":"https://github.com/citation-style-language/schema/raw/master/csl-citation.json"} </w:instrText>
      </w:r>
      <w:r w:rsidR="008E23F9" w:rsidRPr="00E30ABC">
        <w:fldChar w:fldCharType="separate"/>
      </w:r>
      <w:r w:rsidR="00605F18" w:rsidRPr="00E30ABC">
        <w:rPr>
          <w:rFonts w:ascii="Calibri" w:hAnsi="Calibri" w:cs="Calibri"/>
        </w:rPr>
        <w:t>(Kroeber 2011)</w:t>
      </w:r>
      <w:r w:rsidR="008E23F9" w:rsidRPr="00E30ABC">
        <w:fldChar w:fldCharType="end"/>
      </w:r>
      <w:r w:rsidR="008E23F9" w:rsidRPr="00E30ABC">
        <w:t>.</w:t>
      </w:r>
      <w:r w:rsidR="009C6CC5" w:rsidRPr="00E30ABC">
        <w:t xml:space="preserve"> </w:t>
      </w:r>
      <w:r w:rsidR="00E273A0" w:rsidRPr="00E30ABC">
        <w:t>Contrary arguments</w:t>
      </w:r>
      <w:r w:rsidR="009D33A9" w:rsidRPr="00E30ABC">
        <w:t xml:space="preserve"> for</w:t>
      </w:r>
      <w:r w:rsidR="009C6CC5" w:rsidRPr="00E30ABC">
        <w:t xml:space="preserve"> growing</w:t>
      </w:r>
      <w:r w:rsidR="00177D8E" w:rsidRPr="00E30ABC">
        <w:t xml:space="preserve"> unrest and</w:t>
      </w:r>
      <w:r w:rsidR="009D33A9" w:rsidRPr="00E30ABC">
        <w:t xml:space="preserve"> </w:t>
      </w:r>
      <w:r w:rsidR="00177D8E" w:rsidRPr="00E30ABC">
        <w:t>coup</w:t>
      </w:r>
      <w:r w:rsidR="00DE3A38" w:rsidRPr="00E30ABC">
        <w:t xml:space="preserve"> attempts </w:t>
      </w:r>
      <w:r w:rsidR="00177D8E" w:rsidRPr="00E30ABC">
        <w:t xml:space="preserve">are </w:t>
      </w:r>
      <w:r w:rsidR="00DE3A38" w:rsidRPr="00E30ABC">
        <w:t>easily extended</w:t>
      </w:r>
      <w:r w:rsidR="00177D8E" w:rsidRPr="00E30ABC">
        <w:t xml:space="preserve"> to </w:t>
      </w:r>
      <w:r w:rsidR="00ED583D" w:rsidRPr="00E30ABC">
        <w:t>current crises</w:t>
      </w:r>
      <w:r w:rsidR="008E0FBE" w:rsidRPr="00E30ABC">
        <w:t xml:space="preserve"> in semi-autocratic</w:t>
      </w:r>
      <w:r w:rsidR="00532889" w:rsidRPr="00E30ABC">
        <w:t xml:space="preserve"> Turkey </w:t>
      </w:r>
      <w:r w:rsidR="00D76A24" w:rsidRPr="00E30ABC">
        <w:fldChar w:fldCharType="begin"/>
      </w:r>
      <w:r w:rsidR="006F3F5C">
        <w:instrText xml:space="preserve"> ADDIN ZOTERO_ITEM CSL_CITATION {"citationID":"pwxS4FTx","properties":{"formattedCitation":"(Taner and Butler 2019)","plainCitation":"(Taner and Butler 2019)","noteIndex":0},"citationItems":[{"id":199,"uris":["http://zotero.org/users/5939705/items/CS5UXT5I"],"uri":["http://zotero.org/users/5939705/items/CS5UXT5I"],"itemData":{"id":199,"type":"webpage","title":"Turkish economy shrinks again as currency crisis bites - Reuters","URL":"https://www.reuters.com/article/us-turkey-economy-gdp/turkish-economy-shrinks-again-as-currency-crisis-bites-idUSKCN1T118O","author":[{"family":"Taner","given":"Behiye Selin"},{"family":"Butler","given":"Daren"}],"accessed":{"date-parts":[["2020",1,20]]},"issued":{"date-parts":[["2019",5,31]]}}}],"schema":"https://github.com/citation-style-language/schema/raw/master/csl-citation.json"} </w:instrText>
      </w:r>
      <w:r w:rsidR="00D76A24" w:rsidRPr="00E30ABC">
        <w:fldChar w:fldCharType="separate"/>
      </w:r>
      <w:r w:rsidR="006F3F5C" w:rsidRPr="006F3F5C">
        <w:rPr>
          <w:rFonts w:ascii="Calibri" w:hAnsi="Calibri" w:cs="Calibri"/>
        </w:rPr>
        <w:t>(Taner and Butler 2019)</w:t>
      </w:r>
      <w:r w:rsidR="00D76A24" w:rsidRPr="00E30ABC">
        <w:fldChar w:fldCharType="end"/>
      </w:r>
      <w:r w:rsidR="00361248" w:rsidRPr="00E30ABC">
        <w:t xml:space="preserve"> </w:t>
      </w:r>
      <w:r w:rsidR="00532889" w:rsidRPr="00E30ABC">
        <w:t>and Venezuela</w:t>
      </w:r>
      <w:r w:rsidR="004E088C" w:rsidRPr="00E30ABC">
        <w:t xml:space="preserve"> </w:t>
      </w:r>
      <w:r w:rsidR="004E088C" w:rsidRPr="00E30ABC">
        <w:fldChar w:fldCharType="begin"/>
      </w:r>
      <w:r w:rsidR="006F3F5C">
        <w:instrText xml:space="preserve"> ADDIN ZOTERO_ITEM CSL_CITATION {"citationID":"Vbfbv4uI","properties":{"formattedCitation":"(Armas and Pons 2019)","plainCitation":"(Armas and Pons 2019)","noteIndex":0},"citationItems":[{"id":200,"uris":["http://zotero.org/users/5939705/items/SFPLLH5G"],"uri":["http://zotero.org/users/5939705/items/SFPLLH5G"],"itemData":{"id":200,"type":"webpage","abstract":"Venezuelan authorities on Monday approved a new, privately run foreign exchange ...","container-title":"Reuters","language":"en","title":"Venezuela approves parallel currency exchange system amid political crisis","URL":"https://www.reuters.com/article/us-venezuela-economy-idUSKCN1PM2AA","author":[{"family":"Armas","given":"Mayela"},{"family":"Pons","given":"Corina"}],"accessed":{"date-parts":[["2020",1,20]]},"issued":{"date-parts":[["2019",1,28]]}}}],"schema":"https://github.com/citation-style-language/schema/raw/master/csl-citation.json"} </w:instrText>
      </w:r>
      <w:r w:rsidR="004E088C" w:rsidRPr="00E30ABC">
        <w:fldChar w:fldCharType="separate"/>
      </w:r>
      <w:r w:rsidR="006F3F5C" w:rsidRPr="006F3F5C">
        <w:rPr>
          <w:rFonts w:ascii="Calibri" w:hAnsi="Calibri" w:cs="Calibri"/>
        </w:rPr>
        <w:t>(Armas and Pons 2019)</w:t>
      </w:r>
      <w:r w:rsidR="004E088C" w:rsidRPr="00E30ABC">
        <w:fldChar w:fldCharType="end"/>
      </w:r>
      <w:r w:rsidR="00C349E4" w:rsidRPr="00E30ABC">
        <w:t>. These nations are</w:t>
      </w:r>
      <w:r w:rsidR="005F24C2" w:rsidRPr="00E30ABC">
        <w:t xml:space="preserve"> caught in currency crises</w:t>
      </w:r>
      <w:r w:rsidR="009C6CC5" w:rsidRPr="00E30ABC">
        <w:t xml:space="preserve"> with political spillovers</w:t>
      </w:r>
      <w:r w:rsidR="005F24C2" w:rsidRPr="00E30ABC">
        <w:t>, due in part to fixed rate mismanagement</w:t>
      </w:r>
      <w:r w:rsidR="00D51506" w:rsidRPr="00E30ABC">
        <w:t>.</w:t>
      </w:r>
    </w:p>
    <w:p w14:paraId="739BA2D2" w14:textId="0794FE48" w:rsidR="009D7E9F" w:rsidRDefault="00143602" w:rsidP="002F28E1">
      <w:r>
        <w:t>Having established</w:t>
      </w:r>
      <w:r w:rsidR="006D1BB3">
        <w:t xml:space="preserve"> the relevance of the issue, i</w:t>
      </w:r>
      <w:r w:rsidR="0032659B">
        <w:t xml:space="preserve">n this paper I </w:t>
      </w:r>
      <w:r w:rsidR="00C219EF">
        <w:t>examine</w:t>
      </w:r>
      <w:r w:rsidR="0032659B" w:rsidRPr="00947E02">
        <w:t xml:space="preserve"> </w:t>
      </w:r>
      <w:r w:rsidR="00F4488A">
        <w:t>arguments</w:t>
      </w:r>
      <w:r w:rsidR="006D1BB3">
        <w:t xml:space="preserve"> such as these</w:t>
      </w:r>
      <w:r w:rsidR="00EC5127">
        <w:t xml:space="preserve"> and determine </w:t>
      </w:r>
      <w:r w:rsidR="0032659B" w:rsidRPr="00947E02">
        <w:t>whether the limiting institutions of central bank independence and fixed exchange rates affect</w:t>
      </w:r>
      <w:r w:rsidR="0032659B">
        <w:t xml:space="preserve"> instability. I</w:t>
      </w:r>
      <w:r w:rsidR="003B2B0A">
        <w:t>n the first section, I</w:t>
      </w:r>
      <w:r w:rsidR="0032659B">
        <w:t xml:space="preserve"> begin by providing a</w:t>
      </w:r>
      <w:r w:rsidR="004772C0">
        <w:t xml:space="preserve">n </w:t>
      </w:r>
      <w:r w:rsidR="0032659B">
        <w:t xml:space="preserve">overview </w:t>
      </w:r>
      <w:r w:rsidR="004772C0">
        <w:t xml:space="preserve">of </w:t>
      </w:r>
      <w:r w:rsidR="00D52CFA">
        <w:t xml:space="preserve">competing </w:t>
      </w:r>
      <w:r w:rsidR="0032659B">
        <w:t>social welfare, political business cycle, and economic voting theories and relevant literature</w:t>
      </w:r>
      <w:r w:rsidR="00854CF7">
        <w:t xml:space="preserve"> in line with these explanations</w:t>
      </w:r>
      <w:r w:rsidR="00D52CFA">
        <w:t xml:space="preserve"> and examples</w:t>
      </w:r>
      <w:r w:rsidR="00AD375F">
        <w:t>.</w:t>
      </w:r>
    </w:p>
    <w:p w14:paraId="4CCB8E4C" w14:textId="346F39C6" w:rsidR="00E1604C" w:rsidRDefault="000810C8" w:rsidP="002F28E1">
      <w:r>
        <w:t xml:space="preserve">The presence of a </w:t>
      </w:r>
      <w:r w:rsidR="00F9556E">
        <w:t xml:space="preserve">robust, cross-national examination of these theories </w:t>
      </w:r>
      <w:r w:rsidR="00582CAD">
        <w:t>can be helpful.</w:t>
      </w:r>
      <w:r w:rsidR="00F805FC">
        <w:t xml:space="preserve"> </w:t>
      </w:r>
      <w:r w:rsidR="009E0B40">
        <w:t>In the next section</w:t>
      </w:r>
      <w:r w:rsidR="00790C70">
        <w:t xml:space="preserve"> I provide an outline of the reduced form</w:t>
      </w:r>
      <w:r w:rsidR="00A846A7">
        <w:t xml:space="preserve"> strategy pursued by this paper.</w:t>
      </w:r>
      <w:r w:rsidR="00D67133">
        <w:t xml:space="preserve"> This allows for a step back from mechanisms at work </w:t>
      </w:r>
      <w:r w:rsidR="009D5CAC">
        <w:t>in</w:t>
      </w:r>
      <w:r w:rsidR="003A7CE8">
        <w:t xml:space="preserve"> various</w:t>
      </w:r>
      <w:r w:rsidR="009D5CAC">
        <w:t xml:space="preserve"> stages of the process </w:t>
      </w:r>
      <w:r w:rsidR="00D67133">
        <w:t xml:space="preserve">to see if </w:t>
      </w:r>
      <w:r w:rsidR="0010091F">
        <w:t>broad predictions align.</w:t>
      </w:r>
      <w:r w:rsidR="00F74007">
        <w:t xml:space="preserve"> </w:t>
      </w:r>
      <w:r w:rsidR="00C55EE1">
        <w:t>I review similar work that has</w:t>
      </w:r>
      <w:r w:rsidR="00962CA4">
        <w:t xml:space="preserve"> </w:t>
      </w:r>
      <w:r w:rsidR="00C55EE1">
        <w:t>examined</w:t>
      </w:r>
      <w:r w:rsidR="00962CA4">
        <w:t xml:space="preserve"> the reduced form relationship in democracies</w:t>
      </w:r>
      <w:r w:rsidR="006F6B31">
        <w:t xml:space="preserve">. General findings are </w:t>
      </w:r>
      <w:r w:rsidR="007241F8">
        <w:t xml:space="preserve">that </w:t>
      </w:r>
      <w:r w:rsidR="00E73117">
        <w:t>limiting institutions increase the durability of cabinets and leader tenure</w:t>
      </w:r>
      <w:r w:rsidR="00844143">
        <w:t xml:space="preserve"> in open economies without capital controls</w:t>
      </w:r>
      <w:r w:rsidR="00CE7EAD">
        <w:t xml:space="preserve"> (with disagreement over central bank independence)</w:t>
      </w:r>
      <w:r w:rsidR="00A30454">
        <w:t>, although the timing</w:t>
      </w:r>
      <w:r w:rsidR="00447196">
        <w:t xml:space="preserve"> of</w:t>
      </w:r>
      <w:r w:rsidR="002514A8">
        <w:t xml:space="preserve"> </w:t>
      </w:r>
      <w:r w:rsidR="00A60491">
        <w:t xml:space="preserve">and </w:t>
      </w:r>
      <w:r w:rsidR="00EE331B">
        <w:t>mechanisms</w:t>
      </w:r>
      <w:r w:rsidR="002514A8">
        <w:t xml:space="preserve"> affecting</w:t>
      </w:r>
      <w:r w:rsidR="00A60491">
        <w:t xml:space="preserve"> such effects is disputed</w:t>
      </w:r>
      <w:r w:rsidR="002E14E1">
        <w:t>.</w:t>
      </w:r>
    </w:p>
    <w:p w14:paraId="24AABCD6" w14:textId="2CE834F1" w:rsidR="00F81CFE" w:rsidRDefault="00340562" w:rsidP="002F28E1">
      <w:r w:rsidRPr="00101DC0">
        <w:t>In the next section</w:t>
      </w:r>
      <w:r w:rsidR="008C740B" w:rsidRPr="00101DC0">
        <w:t xml:space="preserve"> </w:t>
      </w:r>
      <w:r w:rsidRPr="00101DC0">
        <w:t>I address a</w:t>
      </w:r>
      <w:r w:rsidR="00F423F0" w:rsidRPr="00101DC0">
        <w:t xml:space="preserve"> critical issue,</w:t>
      </w:r>
      <w:r w:rsidR="004314A6" w:rsidRPr="00101DC0">
        <w:t xml:space="preserve"> attention to which sets me apart from </w:t>
      </w:r>
      <w:r w:rsidR="00C2228A" w:rsidRPr="00101DC0">
        <w:t xml:space="preserve">this </w:t>
      </w:r>
      <w:r w:rsidR="00125BD7" w:rsidRPr="00101DC0">
        <w:t>past literature</w:t>
      </w:r>
      <w:r w:rsidR="00BF0085" w:rsidRPr="00101DC0">
        <w:t xml:space="preserve">: any potential interventions </w:t>
      </w:r>
      <w:r w:rsidR="00563146" w:rsidRPr="00101DC0">
        <w:t>affecting</w:t>
      </w:r>
      <w:r w:rsidR="00BF0085" w:rsidRPr="00101DC0">
        <w:t xml:space="preserve"> </w:t>
      </w:r>
      <w:r w:rsidR="00563146" w:rsidRPr="00101DC0">
        <w:t>limiting regimes</w:t>
      </w:r>
      <w:r w:rsidR="00D66942" w:rsidRPr="00101DC0">
        <w:t xml:space="preserve"> may be electorally motivated, made in the interests of maintaining political stability</w:t>
      </w:r>
      <w:r w:rsidR="00157684" w:rsidRPr="00101DC0">
        <w:t xml:space="preserve">, </w:t>
      </w:r>
      <w:r w:rsidR="00F139A8" w:rsidRPr="00101DC0">
        <w:t>or as a result of confounding institutions</w:t>
      </w:r>
      <w:r w:rsidR="00101DC0" w:rsidRPr="00101DC0">
        <w:t xml:space="preserve">. This is </w:t>
      </w:r>
      <w:r w:rsidR="00157684" w:rsidRPr="00101DC0">
        <w:t xml:space="preserve">a critical </w:t>
      </w:r>
      <w:r w:rsidR="00C86752" w:rsidRPr="00101DC0">
        <w:t>endogeneity</w:t>
      </w:r>
      <w:r w:rsidR="00157684" w:rsidRPr="00101DC0">
        <w:t xml:space="preserve"> </w:t>
      </w:r>
      <w:r w:rsidR="00042741" w:rsidRPr="00101DC0">
        <w:t>problem</w:t>
      </w:r>
      <w:r w:rsidR="00D66942" w:rsidRPr="00101DC0">
        <w:t>.</w:t>
      </w:r>
      <w:r w:rsidR="00652115" w:rsidRPr="00101DC0">
        <w:t xml:space="preserve"> </w:t>
      </w:r>
      <w:r w:rsidR="00D4598B" w:rsidRPr="00101DC0">
        <w:t>For example, d</w:t>
      </w:r>
      <w:r w:rsidR="00CD62E6" w:rsidRPr="00101DC0">
        <w:t xml:space="preserve">e </w:t>
      </w:r>
      <w:r w:rsidR="00A95D99" w:rsidRPr="00101DC0">
        <w:t xml:space="preserve">jure central bank independence may not be implemented, or de </w:t>
      </w:r>
      <w:r w:rsidR="00CD62E6" w:rsidRPr="00101DC0">
        <w:t>facto central bank independence</w:t>
      </w:r>
      <w:r w:rsidR="0054205E" w:rsidRPr="00101DC0">
        <w:t xml:space="preserve"> </w:t>
      </w:r>
      <w:r w:rsidR="009D2485" w:rsidRPr="00101DC0">
        <w:t>may</w:t>
      </w:r>
      <w:r w:rsidR="00CD62E6" w:rsidRPr="00101DC0">
        <w:t xml:space="preserve"> be eroded</w:t>
      </w:r>
      <w:r w:rsidR="00FE1727" w:rsidRPr="00101DC0">
        <w:t>.</w:t>
      </w:r>
      <w:r w:rsidR="00C76F2D" w:rsidRPr="00101DC0">
        <w:t xml:space="preserve"> </w:t>
      </w:r>
      <w:r w:rsidR="00C76F2D" w:rsidRPr="00E30ABC">
        <w:t xml:space="preserve">Politicians may threaten to </w:t>
      </w:r>
      <w:r w:rsidR="001905D8" w:rsidRPr="00E30ABC">
        <w:t>remove central bank officials from office</w:t>
      </w:r>
      <w:r w:rsidR="00012955" w:rsidRPr="00E30ABC">
        <w:t>: President Trump</w:t>
      </w:r>
      <w:r w:rsidR="00BE4689" w:rsidRPr="00E30ABC">
        <w:t xml:space="preserve"> has</w:t>
      </w:r>
      <w:r w:rsidR="00320EF3" w:rsidRPr="00E30ABC">
        <w:t xml:space="preserve"> </w:t>
      </w:r>
      <w:r w:rsidR="00BB42F2" w:rsidRPr="00E30ABC">
        <w:t xml:space="preserve">considered legal options to </w:t>
      </w:r>
      <w:r w:rsidR="00106027" w:rsidRPr="00E30ABC">
        <w:t xml:space="preserve">remove </w:t>
      </w:r>
      <w:r w:rsidR="00BE4689" w:rsidRPr="00E30ABC">
        <w:t xml:space="preserve">Federal Reserve </w:t>
      </w:r>
      <w:r w:rsidR="00C855BC" w:rsidRPr="00E30ABC">
        <w:t>Cha</w:t>
      </w:r>
      <w:r w:rsidR="00320EF3" w:rsidRPr="00E30ABC">
        <w:t>i</w:t>
      </w:r>
      <w:r w:rsidR="00C855BC" w:rsidRPr="00E30ABC">
        <w:t xml:space="preserve">rman </w:t>
      </w:r>
      <w:r w:rsidR="00320EF3" w:rsidRPr="00E30ABC">
        <w:t>Powell</w:t>
      </w:r>
      <w:r w:rsidR="00837DB8" w:rsidRPr="00E30ABC">
        <w:t xml:space="preserve"> </w:t>
      </w:r>
      <w:r w:rsidR="002A51B7" w:rsidRPr="00E30ABC">
        <w:fldChar w:fldCharType="begin"/>
      </w:r>
      <w:r w:rsidR="006F3F5C">
        <w:instrText xml:space="preserve"> ADDIN ZOTERO_ITEM CSL_CITATION {"citationID":"Uo0tNJ6v","properties":{"formattedCitation":"(Corbett 2019)","plainCitation":"(Corbett 2019)","noteIndex":0},"citationItems":[{"id":232,"uris":["http://zotero.org/users/5939705/items/M8IJ6FWN"],"uri":["http://zotero.org/users/5939705/items/M8IJ6FWN"],"itemData":{"id":232,"type":"webpage","abstract":"Trump has continuously pushed the boundaries of his presidential powers","container-title":"Fortune","language":"en","title":"Can Trump Fire Fed Chair Jerome Powell? What History Tells Us","title-short":"Can Trump Fire Fed Chair Jerome Powell?","URL":"https://fortune.com/2019/06/19/can-trump-fire-jerome-powell/","author":[{"family":"Corbett","given":"Erin"}],"accessed":{"date-parts":[["2020",1,8]]},"issued":{"date-parts":[["2019",6,19]]}}}],"schema":"https://github.com/citation-style-language/schema/raw/master/csl-citation.json"} </w:instrText>
      </w:r>
      <w:r w:rsidR="002A51B7" w:rsidRPr="00E30ABC">
        <w:fldChar w:fldCharType="separate"/>
      </w:r>
      <w:r w:rsidR="006F3F5C" w:rsidRPr="006F3F5C">
        <w:rPr>
          <w:rFonts w:ascii="Calibri" w:hAnsi="Calibri" w:cs="Calibri"/>
        </w:rPr>
        <w:t>(Corbett 2019)</w:t>
      </w:r>
      <w:r w:rsidR="002A51B7" w:rsidRPr="00E30ABC">
        <w:fldChar w:fldCharType="end"/>
      </w:r>
      <w:r w:rsidR="00837DB8" w:rsidRPr="00E30ABC">
        <w:t>.</w:t>
      </w:r>
      <w:r w:rsidR="000B188C" w:rsidRPr="00716DFD">
        <w:t xml:space="preserve"> In the past</w:t>
      </w:r>
      <w:r w:rsidR="00DB1ECA" w:rsidRPr="00716DFD">
        <w:t xml:space="preserve">, such </w:t>
      </w:r>
      <w:r w:rsidR="00074E81" w:rsidRPr="00716DFD">
        <w:t xml:space="preserve">electorally motivated </w:t>
      </w:r>
      <w:r w:rsidR="00DB1ECA" w:rsidRPr="00716DFD">
        <w:t xml:space="preserve">erosions of independence may </w:t>
      </w:r>
      <w:r w:rsidR="00AB219B" w:rsidRPr="00716DFD">
        <w:t>have been successful and influential in creating low interest rate environments in</w:t>
      </w:r>
      <w:r w:rsidR="002123E5">
        <w:t xml:space="preserve"> the United States in</w:t>
      </w:r>
      <w:r w:rsidR="00AB219B" w:rsidRPr="00716DFD">
        <w:t xml:space="preserve"> the Johnson and Nixon administrations</w:t>
      </w:r>
      <w:r w:rsidR="00E766F8" w:rsidRPr="00716DFD">
        <w:t xml:space="preserve"> </w:t>
      </w:r>
      <w:r w:rsidR="00AB219B" w:rsidRPr="00E30ABC">
        <w:fldChar w:fldCharType="begin"/>
      </w:r>
      <w:r w:rsidR="006F3F5C">
        <w:instrText xml:space="preserve"> ADDIN ZOTERO_ITEM CSL_CITATION {"citationID":"bLw8ua44","properties":{"formattedCitation":"(Binder and Spindel 2019)","plainCitation":"(Binder and Spindel 2019)","noteIndex":0},"citationItems":[{"id":231,"uris":["http://zotero.org/users/5939705/items/TFMI89QR"],"uri":["http://zotero.org/users/5939705/items/TFMI89QR"],"itemData":{"id":231,"type":"article-newspaper","container-title":"The Washington Post","title":"Trump is attacking the Federal Reserve. This explains why — and what comes next. - The Washington Post","URL":"https://www.washingtonpost.com/politics/2019/08/27/why-is-trump-attacking-federal-reserve-we-answer-your-questions/","author":[{"family":"Binder","given":"Sarah"},{"family":"Spindel","given":"Mark"}],"accessed":{"date-parts":[["2020",1,8]]},"issued":{"date-parts":[["2019",8,27]]}}}],"schema":"https://github.com/citation-style-language/schema/raw/master/csl-citation.json"} </w:instrText>
      </w:r>
      <w:r w:rsidR="00AB219B" w:rsidRPr="00E30ABC">
        <w:fldChar w:fldCharType="separate"/>
      </w:r>
      <w:r w:rsidR="006F3F5C" w:rsidRPr="006F3F5C">
        <w:rPr>
          <w:rFonts w:ascii="Calibri" w:hAnsi="Calibri" w:cs="Calibri"/>
        </w:rPr>
        <w:t>(Binder and Spindel 2019)</w:t>
      </w:r>
      <w:r w:rsidR="00AB219B" w:rsidRPr="00E30ABC">
        <w:fldChar w:fldCharType="end"/>
      </w:r>
      <w:r w:rsidR="00E766F8" w:rsidRPr="00E30ABC">
        <w:t>.</w:t>
      </w:r>
    </w:p>
    <w:p w14:paraId="5AF54E3C" w14:textId="5D80A1D3" w:rsidR="000B71BB" w:rsidRDefault="001D3BA4" w:rsidP="002F28E1">
      <w:r>
        <w:t>To deal with such</w:t>
      </w:r>
      <w:r w:rsidR="00E8458C">
        <w:t xml:space="preserve"> endogen</w:t>
      </w:r>
      <w:r w:rsidR="009151A0">
        <w:t>eity problems</w:t>
      </w:r>
      <w:r>
        <w:t xml:space="preserve"> as these, I construct a design using panel data and instrumental variables techniques over a wide range of countries from 1970-2012. </w:t>
      </w:r>
      <w:r w:rsidR="007A660B">
        <w:t>F</w:t>
      </w:r>
      <w:r w:rsidR="00A11015">
        <w:t>irst, f</w:t>
      </w:r>
      <w:r w:rsidR="007A660B">
        <w:t xml:space="preserve">ixed effects and controls are employed to account for institutional differences </w:t>
      </w:r>
      <w:r w:rsidR="00E75EC4">
        <w:t>between countries.</w:t>
      </w:r>
      <w:r w:rsidR="000A79F9">
        <w:t xml:space="preserve"> </w:t>
      </w:r>
      <w:r w:rsidR="000A79F9" w:rsidRPr="00E30ABC">
        <w:t xml:space="preserve">With this specification, de jure </w:t>
      </w:r>
      <w:r w:rsidR="001967E8" w:rsidRPr="00E30ABC">
        <w:t>central bank independence</w:t>
      </w:r>
      <w:r w:rsidR="000A79F9" w:rsidRPr="00E30ABC">
        <w:t xml:space="preserve"> </w:t>
      </w:r>
      <w:r w:rsidR="001967E8" w:rsidRPr="00E30ABC">
        <w:t xml:space="preserve">increases electoral and political instability, while de facto independence </w:t>
      </w:r>
      <w:r w:rsidR="006A3800" w:rsidRPr="00E30ABC">
        <w:t>and fixed exchange rates reduce electoral turnover</w:t>
      </w:r>
      <w:r w:rsidR="004658B4" w:rsidRPr="00E30ABC">
        <w:t>; fixed rates increase political instability events</w:t>
      </w:r>
      <w:r w:rsidR="006A3800" w:rsidRPr="00E30ABC">
        <w:t>.</w:t>
      </w:r>
      <w:r w:rsidR="004658B4">
        <w:t xml:space="preserve"> </w:t>
      </w:r>
      <w:r w:rsidR="00A11015">
        <w:t>Next, e</w:t>
      </w:r>
      <w:r w:rsidR="005247E7" w:rsidRPr="00FA4AC6">
        <w:t>ducation and economics technical expertise provide a</w:t>
      </w:r>
      <w:r w:rsidR="00494223">
        <w:t>n admittedly imperfect</w:t>
      </w:r>
      <w:r w:rsidR="005247E7" w:rsidRPr="00FA4AC6">
        <w:t xml:space="preserve"> instrument for central bank independence, and </w:t>
      </w:r>
      <w:r w:rsidR="000642ED" w:rsidRPr="00FA4AC6">
        <w:t xml:space="preserve">aggregate </w:t>
      </w:r>
      <w:r w:rsidR="004F4ABE" w:rsidRPr="00FA4AC6">
        <w:t>GDP</w:t>
      </w:r>
      <w:r w:rsidR="005247E7" w:rsidRPr="00FA4AC6">
        <w:t xml:space="preserve"> for</w:t>
      </w:r>
      <w:r w:rsidR="005247E7">
        <w:t xml:space="preserve"> fixed exchange rates.</w:t>
      </w:r>
      <w:r w:rsidR="008A1352">
        <w:t xml:space="preserve"> </w:t>
      </w:r>
      <w:r w:rsidR="008A1352" w:rsidRPr="00777BFA">
        <w:t>De jure central bank independence clearly increases electoral turnover and political instability events</w:t>
      </w:r>
      <w:r w:rsidR="002F4D98" w:rsidRPr="00777BFA">
        <w:t>, and in certain specifications a similar result holds for fixed exchange rates.</w:t>
      </w:r>
      <w:r w:rsidR="002F4D98">
        <w:t xml:space="preserve"> </w:t>
      </w:r>
      <w:r w:rsidR="00A11015">
        <w:t xml:space="preserve">Finally, I observe a specification </w:t>
      </w:r>
      <w:r w:rsidR="007949CB">
        <w:t>using lagged independent variables.</w:t>
      </w:r>
      <w:r w:rsidR="001543F0">
        <w:t xml:space="preserve"> </w:t>
      </w:r>
      <w:r w:rsidR="001543F0" w:rsidRPr="00777BFA">
        <w:t xml:space="preserve">Here I </w:t>
      </w:r>
      <w:r w:rsidR="000751C0" w:rsidRPr="00777BFA">
        <w:t xml:space="preserve">find </w:t>
      </w:r>
      <w:r w:rsidR="001543F0" w:rsidRPr="00777BFA">
        <w:t>that de jure CBI reduces head of government turnover o</w:t>
      </w:r>
      <w:r w:rsidR="00676413" w:rsidRPr="00777BFA">
        <w:t>ver</w:t>
      </w:r>
      <w:r w:rsidR="001543F0" w:rsidRPr="00777BFA">
        <w:t xml:space="preserve"> a long time horizon, but </w:t>
      </w:r>
      <w:r w:rsidR="00FD2501" w:rsidRPr="00777BFA">
        <w:t xml:space="preserve">also </w:t>
      </w:r>
      <w:r w:rsidR="00676413" w:rsidRPr="00777BFA">
        <w:t xml:space="preserve">mostly </w:t>
      </w:r>
      <w:r w:rsidR="00FD2501" w:rsidRPr="00777BFA">
        <w:t>increase</w:t>
      </w:r>
      <w:r w:rsidR="00676413" w:rsidRPr="00777BFA">
        <w:t>s</w:t>
      </w:r>
      <w:r w:rsidR="00FD2501" w:rsidRPr="00777BFA">
        <w:t xml:space="preserve"> political instability events across a variety of time scales.</w:t>
      </w:r>
      <w:r w:rsidR="006118DC" w:rsidRPr="00777BFA">
        <w:t xml:space="preserve"> Contemporaneou</w:t>
      </w:r>
      <w:r w:rsidR="007D58F2" w:rsidRPr="00777BFA">
        <w:t xml:space="preserve">sly </w:t>
      </w:r>
      <w:r w:rsidR="00777BFA" w:rsidRPr="00777BFA">
        <w:t>only</w:t>
      </w:r>
      <w:r w:rsidR="007D58F2" w:rsidRPr="00777BFA">
        <w:t xml:space="preserve">, de facto CBI appears to </w:t>
      </w:r>
      <w:r w:rsidR="00777BFA">
        <w:t xml:space="preserve">be </w:t>
      </w:r>
      <w:r w:rsidR="00777BFA" w:rsidRPr="00777BFA">
        <w:t>related to reduced</w:t>
      </w:r>
      <w:r w:rsidR="007D58F2" w:rsidRPr="00777BFA">
        <w:t xml:space="preserve"> electoral turnover. </w:t>
      </w:r>
      <w:r w:rsidR="00731536" w:rsidRPr="00777BFA">
        <w:t>Again, in some specifications fixed exchange rates increase electoral turnover in the mid-term.</w:t>
      </w:r>
      <w:r w:rsidR="003F7854" w:rsidRPr="00777BFA">
        <w:t xml:space="preserve"> </w:t>
      </w:r>
      <w:r w:rsidR="007949CB" w:rsidRPr="00777BFA">
        <w:t xml:space="preserve">Overall, </w:t>
      </w:r>
      <w:r w:rsidR="000B71BB" w:rsidRPr="00777BFA">
        <w:t xml:space="preserve">I find suggestive evidence that </w:t>
      </w:r>
      <w:r w:rsidR="000B71BB" w:rsidRPr="00777BFA">
        <w:lastRenderedPageBreak/>
        <w:t>de jure central bank independence increases instability and weaker evidence of a similar impact for fixed exchange rates (perhaps political business cycle behavior), with a slight opposite effect for de facto independence (with some kind of welfare benefit).</w:t>
      </w:r>
    </w:p>
    <w:p w14:paraId="20015D1C" w14:textId="5D8469CA" w:rsidR="00430BAD" w:rsidRDefault="00B133E7" w:rsidP="00293DEB">
      <w:r>
        <w:t xml:space="preserve">Aside from testing of various </w:t>
      </w:r>
      <w:proofErr w:type="spellStart"/>
      <w:r>
        <w:t>codings</w:t>
      </w:r>
      <w:proofErr w:type="spellEnd"/>
      <w:r w:rsidR="00430BAD">
        <w:t xml:space="preserve"> of variables</w:t>
      </w:r>
      <w:r>
        <w:t xml:space="preserve"> and linear and nonlinea</w:t>
      </w:r>
      <w:r w:rsidR="00430BAD">
        <w:t>r</w:t>
      </w:r>
      <w:r>
        <w:t xml:space="preserve"> models,</w:t>
      </w:r>
      <w:r w:rsidR="00430BAD">
        <w:t xml:space="preserve"> I explore the role of</w:t>
      </w:r>
      <w:r w:rsidR="007A7524">
        <w:t xml:space="preserve"> capital controls and democratization in determining impacts.</w:t>
      </w:r>
      <w:r w:rsidR="00474B63">
        <w:t xml:space="preserve"> Capital controls may affect the level of constraints on monetary policy via the Mundell-Fleming trilemma, and democracy might be expected to be linked to the rule of law and de jure versus de facto independence.</w:t>
      </w:r>
      <w:r w:rsidR="001E4DED">
        <w:t xml:space="preserve"> Although results are not yet </w:t>
      </w:r>
      <w:r w:rsidR="004B547E">
        <w:t>endogeneity-robust</w:t>
      </w:r>
      <w:r w:rsidR="004C49FF">
        <w:t xml:space="preserve">, </w:t>
      </w:r>
      <w:r w:rsidR="004C49FF" w:rsidRPr="00777BFA">
        <w:t>preliminary evidence suggests unexpected behavior, and it is not clear that either</w:t>
      </w:r>
      <w:r w:rsidR="000D38A8" w:rsidRPr="00777BFA">
        <w:t xml:space="preserve"> intervening factor is significant.</w:t>
      </w:r>
      <w:r w:rsidR="008B6245">
        <w:t xml:space="preserve"> </w:t>
      </w:r>
      <w:r w:rsidR="00430BAD">
        <w:t>Finally, I investigate divergent results based on the branch of government considered</w:t>
      </w:r>
      <w:r w:rsidR="000D38A8">
        <w:t>.</w:t>
      </w:r>
      <w:r w:rsidR="00AC0B89">
        <w:t xml:space="preserve"> I </w:t>
      </w:r>
      <w:r w:rsidR="004A5082">
        <w:t>add in interaction terms for whether the head of government and head of state are the same individual and whether the legislature has effective power</w:t>
      </w:r>
      <w:r w:rsidR="00EA7763">
        <w:t xml:space="preserve">, testing </w:t>
      </w:r>
      <w:r w:rsidR="00FF5EA0">
        <w:t>theory concerning accountability of those in power in practice</w:t>
      </w:r>
      <w:r w:rsidR="004A5082" w:rsidRPr="003C58EB">
        <w:t>.</w:t>
      </w:r>
      <w:r w:rsidR="00F23D6A">
        <w:t xml:space="preserve"> </w:t>
      </w:r>
      <w:r w:rsidR="008B6245" w:rsidRPr="003C58EB">
        <w:t>It appears that the effect of fixed rates is stronger when the Head of Government and Head of State are the same individual</w:t>
      </w:r>
      <w:r w:rsidR="00BC150C">
        <w:t>, while legislature power in practice does not seem to matter much</w:t>
      </w:r>
      <w:r w:rsidR="008B6245" w:rsidRPr="003C58EB">
        <w:t>; however, t</w:t>
      </w:r>
      <w:r w:rsidR="00A91067" w:rsidRPr="003C58EB">
        <w:t xml:space="preserve">hese findings </w:t>
      </w:r>
      <w:r w:rsidR="003E4229" w:rsidRPr="003C58EB">
        <w:t xml:space="preserve">also </w:t>
      </w:r>
      <w:r w:rsidR="00A91067" w:rsidRPr="003C58EB">
        <w:t xml:space="preserve">are not yet </w:t>
      </w:r>
      <w:r w:rsidR="004B6B8C" w:rsidRPr="003C58EB">
        <w:t>endogeneity robust</w:t>
      </w:r>
      <w:r w:rsidR="00A91067" w:rsidRPr="003C58EB">
        <w:t>.</w:t>
      </w:r>
    </w:p>
    <w:p w14:paraId="189041A4" w14:textId="3C066744" w:rsidR="00293DEB" w:rsidRDefault="00463AA5" w:rsidP="00293DEB">
      <w:r>
        <w:t>I conclude with a discussion of implications and directions for future research.</w:t>
      </w:r>
      <w:r w:rsidR="000A1D30">
        <w:t xml:space="preserve"> </w:t>
      </w:r>
      <w:r w:rsidR="009428AF" w:rsidRPr="003C58EB">
        <w:t>D</w:t>
      </w:r>
      <w:r w:rsidR="00293DEB" w:rsidRPr="003C58EB">
        <w:t>estabilizing effects of limiting regimes may add a new dimension to any normative debates over their adoption</w:t>
      </w:r>
      <w:r w:rsidR="00293DEB" w:rsidRPr="006D18EE">
        <w:t xml:space="preserve">. </w:t>
      </w:r>
      <w:r w:rsidR="004B6B8C" w:rsidRPr="006D18EE">
        <w:t xml:space="preserve">More kinds of endogeneity should be explored in </w:t>
      </w:r>
      <w:r w:rsidR="006D18EE" w:rsidRPr="006D18EE">
        <w:t>any literature on this topic</w:t>
      </w:r>
      <w:r w:rsidR="00297871" w:rsidRPr="006D18EE">
        <w:t>.</w:t>
      </w:r>
      <w:r w:rsidR="00297871">
        <w:t xml:space="preserve"> </w:t>
      </w:r>
      <w:r w:rsidR="00404292">
        <w:t>Adjustments to the methodology pursued might be useful. In an interesting case study, the</w:t>
      </w:r>
      <w:r w:rsidR="008B551D">
        <w:t xml:space="preserve"> Eurozone may offer</w:t>
      </w:r>
      <w:r w:rsidR="005F7222">
        <w:t xml:space="preserve"> a chance to compare</w:t>
      </w:r>
      <w:r w:rsidR="00256633">
        <w:t xml:space="preserve"> results following varied entry dates of member nations, as well as an opportunity </w:t>
      </w:r>
      <w:r w:rsidR="00732762">
        <w:t xml:space="preserve">to </w:t>
      </w:r>
      <w:r w:rsidR="00136C15">
        <w:t>examine the ideological style</w:t>
      </w:r>
      <w:r w:rsidR="00732762">
        <w:t xml:space="preserve"> and type of upheaval </w:t>
      </w:r>
      <w:r w:rsidR="00404292">
        <w:t xml:space="preserve">as a result of </w:t>
      </w:r>
      <w:r w:rsidR="00B44A9E">
        <w:t>central bank independence and a fixed exchange rate</w:t>
      </w:r>
      <w:r w:rsidR="00732762">
        <w:t>.</w:t>
      </w:r>
      <w:r w:rsidR="00404292">
        <w:t xml:space="preserve"> </w:t>
      </w:r>
      <w:r w:rsidR="001F3793">
        <w:t xml:space="preserve">Further study should be devoted to </w:t>
      </w:r>
      <w:r w:rsidR="005F3D76">
        <w:t xml:space="preserve">the </w:t>
      </w:r>
      <w:r w:rsidR="001F3793">
        <w:t>political e</w:t>
      </w:r>
      <w:r w:rsidR="00755FDB">
        <w:t xml:space="preserve">ffects </w:t>
      </w:r>
      <w:r w:rsidR="001F3793">
        <w:t>of these institutions.</w:t>
      </w:r>
    </w:p>
    <w:p w14:paraId="7ACA3215" w14:textId="16648533" w:rsidR="00C53701" w:rsidRDefault="0021672B" w:rsidP="00043B4B">
      <w:pPr>
        <w:pStyle w:val="Heading1"/>
      </w:pPr>
      <w:r>
        <w:t>Theory</w:t>
      </w:r>
    </w:p>
    <w:p w14:paraId="4732706E" w14:textId="05382676" w:rsidR="00346E46" w:rsidRDefault="002E4065" w:rsidP="002F28E1">
      <w:r>
        <w:t>In some sense</w:t>
      </w:r>
      <w:r w:rsidR="00547156">
        <w:t xml:space="preserve">, the adjudication of the question of whether </w:t>
      </w:r>
      <w:r w:rsidR="00DD1431">
        <w:t xml:space="preserve">limiting institutions </w:t>
      </w:r>
      <w:r w:rsidR="00A74CB2">
        <w:t>affect instability</w:t>
      </w:r>
      <w:r w:rsidR="00CC5074">
        <w:t>, and in which direction,</w:t>
      </w:r>
      <w:r w:rsidR="00A74CB2">
        <w:t xml:space="preserve"> is </w:t>
      </w:r>
      <w:r w:rsidR="007124D9">
        <w:t>one between two stra</w:t>
      </w:r>
      <w:r w:rsidR="0021672B">
        <w:t>nds of theory</w:t>
      </w:r>
      <w:r w:rsidR="00834825">
        <w:t xml:space="preserve"> </w:t>
      </w:r>
      <w:r w:rsidR="00342340" w:rsidRPr="007E7107">
        <w:fldChar w:fldCharType="begin"/>
      </w:r>
      <w:r w:rsidR="006F3F5C">
        <w:instrText xml:space="preserve"> ADDIN ZOTERO_ITEM CSL_CITATION {"citationID":"McC5Enej","properties":{"formattedCitation":"(Alesina, Roubini, and Cohen 1997)","plainCitation":"(Alesina, Roubini, and Cohen 1997)","dontUpdate":true,"noteIndex":0},"citationItems":[{"id":283,"uris":["http://zotero.org/users/5939705/items/IBU925PS"],"uri":["http://zotero.org/users/5939705/items/IBU925PS"],"itemData":{"id":283,"type":"book","call-number":"JA77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342340" w:rsidRPr="007E7107">
        <w:fldChar w:fldCharType="separate"/>
      </w:r>
      <w:r w:rsidR="00834825" w:rsidRPr="007E7107">
        <w:rPr>
          <w:rFonts w:ascii="Calibri" w:hAnsi="Calibri" w:cs="Calibri"/>
        </w:rPr>
        <w:t>(</w:t>
      </w:r>
      <w:r w:rsidR="001D632A" w:rsidRPr="007E7107">
        <w:rPr>
          <w:rFonts w:ascii="Calibri" w:hAnsi="Calibri" w:cs="Calibri"/>
        </w:rPr>
        <w:t>some sense</w:t>
      </w:r>
      <w:r w:rsidR="005C23E2" w:rsidRPr="007E7107">
        <w:rPr>
          <w:rFonts w:ascii="Calibri" w:hAnsi="Calibri" w:cs="Calibri"/>
        </w:rPr>
        <w:t xml:space="preserve"> of this division for central banks can be found in </w:t>
      </w:r>
      <w:r w:rsidR="00834825" w:rsidRPr="007E7107">
        <w:rPr>
          <w:rFonts w:ascii="Calibri" w:hAnsi="Calibri" w:cs="Calibri"/>
        </w:rPr>
        <w:t>Alesina, Roubini, and Cohen 1997, p. 212)</w:t>
      </w:r>
      <w:r w:rsidR="00342340" w:rsidRPr="007E7107">
        <w:fldChar w:fldCharType="end"/>
      </w:r>
      <w:r w:rsidR="0021672B" w:rsidRPr="007E7107">
        <w:t>.</w:t>
      </w:r>
      <w:r w:rsidR="00260233" w:rsidRPr="007E7107">
        <w:t xml:space="preserve"> </w:t>
      </w:r>
      <w:r w:rsidR="00A86DD0" w:rsidRPr="007E7107">
        <w:t xml:space="preserve">In </w:t>
      </w:r>
      <w:r w:rsidR="001D520B" w:rsidRPr="007E7107">
        <w:t>both</w:t>
      </w:r>
      <w:r w:rsidR="00A86DD0" w:rsidRPr="007E7107">
        <w:t xml:space="preserve"> strands, </w:t>
      </w:r>
      <w:r w:rsidR="003C3726" w:rsidRPr="007E7107">
        <w:t xml:space="preserve">incumbent </w:t>
      </w:r>
      <w:r w:rsidR="00A86DD0" w:rsidRPr="007E7107">
        <w:t xml:space="preserve">politicians </w:t>
      </w:r>
      <w:r w:rsidR="006B32AA" w:rsidRPr="007E7107">
        <w:t>seek to deliver electoral victory</w:t>
      </w:r>
      <w:r w:rsidR="00B246F2">
        <w:t xml:space="preserve"> </w:t>
      </w:r>
      <w:r w:rsidR="000E3949">
        <w:t>or</w:t>
      </w:r>
      <w:r w:rsidR="00B246F2">
        <w:t xml:space="preserve"> a secure hold on power</w:t>
      </w:r>
      <w:r w:rsidR="00A86DD0" w:rsidRPr="007E7107">
        <w:t xml:space="preserve">. </w:t>
      </w:r>
      <w:r w:rsidR="00C66B4C" w:rsidRPr="007E7107">
        <w:t>As will become clear, however, in one strand t</w:t>
      </w:r>
      <w:r w:rsidR="00B246F2">
        <w:t xml:space="preserve">his </w:t>
      </w:r>
      <w:r w:rsidR="001D520B" w:rsidRPr="007E7107">
        <w:t>incentive</w:t>
      </w:r>
      <w:r w:rsidR="00C16376" w:rsidRPr="007E7107">
        <w:t xml:space="preserve"> usually</w:t>
      </w:r>
      <w:r w:rsidR="001D520B" w:rsidRPr="007E7107">
        <w:t xml:space="preserve"> </w:t>
      </w:r>
      <w:r w:rsidR="0002353E" w:rsidRPr="007E7107">
        <w:t xml:space="preserve">is aligned with </w:t>
      </w:r>
      <w:r w:rsidR="0046548F" w:rsidRPr="007E7107">
        <w:t xml:space="preserve">the general </w:t>
      </w:r>
      <w:r w:rsidR="00153057" w:rsidRPr="007E7107">
        <w:t xml:space="preserve">or long-term </w:t>
      </w:r>
      <w:r w:rsidR="0046548F" w:rsidRPr="007E7107">
        <w:t>welfare interests of the population</w:t>
      </w:r>
      <w:r w:rsidR="004F1F1D" w:rsidRPr="007E7107">
        <w:t>, as adopting limiting institutions</w:t>
      </w:r>
      <w:r w:rsidR="00070FC8" w:rsidRPr="007E7107">
        <w:t xml:space="preserve"> usually</w:t>
      </w:r>
      <w:r w:rsidR="004F1F1D" w:rsidRPr="007E7107">
        <w:t xml:space="preserve"> provide key benefits</w:t>
      </w:r>
      <w:r w:rsidR="00057B5B" w:rsidRPr="007E7107">
        <w:t>.</w:t>
      </w:r>
      <w:r w:rsidR="008707A0" w:rsidRPr="007E7107">
        <w:t xml:space="preserve"> </w:t>
      </w:r>
      <w:r w:rsidR="00057B5B" w:rsidRPr="007E7107">
        <w:t>I</w:t>
      </w:r>
      <w:r w:rsidR="0046548F" w:rsidRPr="007E7107">
        <w:t xml:space="preserve">n the other </w:t>
      </w:r>
      <w:r w:rsidR="00057B5B" w:rsidRPr="007E7107">
        <w:t>strand</w:t>
      </w:r>
      <w:r w:rsidR="002E7790" w:rsidRPr="007E7107">
        <w:t>, however, interests are not aligned:</w:t>
      </w:r>
      <w:r w:rsidR="00436405" w:rsidRPr="007E7107">
        <w:t xml:space="preserve"> </w:t>
      </w:r>
      <w:r w:rsidR="003476CB" w:rsidRPr="007E7107">
        <w:t>limiting regimes</w:t>
      </w:r>
      <w:r w:rsidR="006C5F06" w:rsidRPr="007E7107">
        <w:t xml:space="preserve"> </w:t>
      </w:r>
      <w:r w:rsidR="003476CB" w:rsidRPr="007E7107">
        <w:t xml:space="preserve">prevent </w:t>
      </w:r>
      <w:r w:rsidR="006C7522">
        <w:t xml:space="preserve">manipulations of the economy </w:t>
      </w:r>
      <w:r w:rsidR="002B09C5" w:rsidRPr="007E7107">
        <w:t xml:space="preserve">and </w:t>
      </w:r>
      <w:r w:rsidR="00A627E3" w:rsidRPr="007E7107">
        <w:t xml:space="preserve">are </w:t>
      </w:r>
      <w:r w:rsidR="006C7522">
        <w:t>politically</w:t>
      </w:r>
      <w:r w:rsidR="00A627E3" w:rsidRPr="007E7107">
        <w:t xml:space="preserve"> costly</w:t>
      </w:r>
      <w:r w:rsidR="00FA4738" w:rsidRPr="007E7107">
        <w:t>.</w:t>
      </w:r>
      <w:r w:rsidR="005567A7">
        <w:t xml:space="preserve"> </w:t>
      </w:r>
      <w:r w:rsidR="00346E46">
        <w:t xml:space="preserve">Mechanisms from both strands are then translated into outcomes of increased or decreased stability </w:t>
      </w:r>
      <w:r w:rsidR="00A80513">
        <w:t>th</w:t>
      </w:r>
      <w:r w:rsidR="000D69EC">
        <w:t>r</w:t>
      </w:r>
      <w:r w:rsidR="00A80513">
        <w:t xml:space="preserve">ough </w:t>
      </w:r>
      <w:r w:rsidR="0060169E">
        <w:t>the economic voting literature.</w:t>
      </w:r>
    </w:p>
    <w:p w14:paraId="0149BF60" w14:textId="044DC9C2" w:rsidR="008A15AC" w:rsidRDefault="00800A9D" w:rsidP="008A15AC">
      <w:pPr>
        <w:pStyle w:val="Heading2"/>
      </w:pPr>
      <w:r>
        <w:t xml:space="preserve">General </w:t>
      </w:r>
      <w:r w:rsidR="00297536">
        <w:t>Welfar</w:t>
      </w:r>
      <w:r>
        <w:t>e</w:t>
      </w:r>
      <w:r w:rsidR="00E353FF">
        <w:t xml:space="preserve"> Effects</w:t>
      </w:r>
      <w:r w:rsidR="008A15AC">
        <w:t xml:space="preserve"> of </w:t>
      </w:r>
      <w:r w:rsidR="0031755B">
        <w:t>Limiting Institutions</w:t>
      </w:r>
    </w:p>
    <w:p w14:paraId="101FF804" w14:textId="59D1C5F9" w:rsidR="001A2030" w:rsidRDefault="0021672B" w:rsidP="002F28E1">
      <w:r>
        <w:t>In the first strand</w:t>
      </w:r>
      <w:r w:rsidR="00FB0938">
        <w:t xml:space="preserve"> lie </w:t>
      </w:r>
      <w:r w:rsidR="00260233">
        <w:t>the</w:t>
      </w:r>
      <w:r w:rsidR="00E75E99">
        <w:t xml:space="preserve"> </w:t>
      </w:r>
      <w:r w:rsidR="00DD3068">
        <w:t>social welfar</w:t>
      </w:r>
      <w:r w:rsidR="000B57B0">
        <w:t xml:space="preserve">e or </w:t>
      </w:r>
      <w:r w:rsidR="00186884">
        <w:t xml:space="preserve">planner-style </w:t>
      </w:r>
      <w:r w:rsidR="00260233">
        <w:t>implications</w:t>
      </w:r>
      <w:r w:rsidR="00E75E99">
        <w:t xml:space="preserve"> of </w:t>
      </w:r>
      <w:r w:rsidR="008748D7">
        <w:t>adopting limiting regimes.</w:t>
      </w:r>
      <w:r w:rsidR="0037796F">
        <w:t xml:space="preserve"> </w:t>
      </w:r>
      <w:r w:rsidR="008F379B">
        <w:t>These are most often economic</w:t>
      </w:r>
      <w:r w:rsidR="00FD4616">
        <w:t>, but occasionally political</w:t>
      </w:r>
      <w:r w:rsidR="0008412D">
        <w:t>.</w:t>
      </w:r>
      <w:r w:rsidR="00B97AAB">
        <w:t xml:space="preserve"> </w:t>
      </w:r>
      <w:r w:rsidR="0039660B">
        <w:t xml:space="preserve">They </w:t>
      </w:r>
      <w:r w:rsidR="0058195D">
        <w:t>affect the entire population</w:t>
      </w:r>
      <w:r w:rsidR="00144091">
        <w:t xml:space="preserve"> or are focused on </w:t>
      </w:r>
      <w:r w:rsidR="009E767D">
        <w:t>nationwide aggregates</w:t>
      </w:r>
      <w:r w:rsidR="0058195D">
        <w:t xml:space="preserve">. </w:t>
      </w:r>
      <w:r w:rsidR="00B97AAB">
        <w:t xml:space="preserve">They </w:t>
      </w:r>
      <w:r w:rsidR="009032A9">
        <w:t>almost always</w:t>
      </w:r>
      <w:r w:rsidR="00B97AAB">
        <w:t xml:space="preserve"> rest </w:t>
      </w:r>
      <w:r w:rsidR="002358CE">
        <w:t xml:space="preserve">upon the </w:t>
      </w:r>
      <w:r w:rsidR="00C66D15">
        <w:t>beneficial</w:t>
      </w:r>
      <w:r w:rsidR="002358CE">
        <w:t xml:space="preserve"> effects of commitment</w:t>
      </w:r>
      <w:r w:rsidR="00C66D15">
        <w:t xml:space="preserve"> but may also account for a costly loss of flexibility</w:t>
      </w:r>
      <w:r w:rsidR="002358CE">
        <w:t>.</w:t>
      </w:r>
    </w:p>
    <w:p w14:paraId="450A009C" w14:textId="63827BC7" w:rsidR="00D42B35" w:rsidRDefault="00B1318C" w:rsidP="002F28E1">
      <w:r>
        <w:t xml:space="preserve">The key economic </w:t>
      </w:r>
      <w:r w:rsidR="00B51150">
        <w:t xml:space="preserve">commitment </w:t>
      </w:r>
      <w:r>
        <w:t xml:space="preserve">benefit </w:t>
      </w:r>
      <w:r w:rsidR="001A4C17">
        <w:t xml:space="preserve">derived from central bank independence is </w:t>
      </w:r>
      <w:r w:rsidR="003C2443">
        <w:t>the resolution of the</w:t>
      </w:r>
      <w:r w:rsidR="00ED7890">
        <w:t xml:space="preserve"> well-known</w:t>
      </w:r>
      <w:r w:rsidR="00CE12C1">
        <w:t xml:space="preserve"> inflation time-inconsistency problem.</w:t>
      </w:r>
      <w:r w:rsidR="0036224D">
        <w:t xml:space="preserve"> </w:t>
      </w:r>
      <w:r w:rsidR="008728AC">
        <w:t>Th</w:t>
      </w:r>
      <w:r w:rsidR="00BC3A9E">
        <w:t>e appoint</w:t>
      </w:r>
      <w:r w:rsidR="00E15A71">
        <w:t>ment</w:t>
      </w:r>
      <w:r w:rsidR="00BC3A9E">
        <w:t xml:space="preserve"> of an independent, conservative</w:t>
      </w:r>
      <w:r w:rsidR="00952211">
        <w:t xml:space="preserve"> (relative to society)</w:t>
      </w:r>
      <w:r w:rsidR="00BC3A9E">
        <w:t xml:space="preserve"> central </w:t>
      </w:r>
      <w:r w:rsidR="00BC3A9E" w:rsidRPr="00544DA1">
        <w:t>bank</w:t>
      </w:r>
      <w:r w:rsidR="00952211" w:rsidRPr="00544DA1">
        <w:t>er</w:t>
      </w:r>
      <w:r w:rsidR="00083916" w:rsidRPr="00544DA1">
        <w:t xml:space="preserve"> can </w:t>
      </w:r>
      <w:r w:rsidR="00E15A71" w:rsidRPr="00544DA1">
        <w:t>improve welfare</w:t>
      </w:r>
      <w:r w:rsidR="00433473" w:rsidRPr="00544DA1">
        <w:t xml:space="preserve"> </w:t>
      </w:r>
      <w:r w:rsidR="00B0340B" w:rsidRPr="00544DA1">
        <w:t xml:space="preserve">by controlling expectations of inflation </w:t>
      </w:r>
      <w:r w:rsidR="00433473" w:rsidRPr="00544DA1">
        <w:rPr>
          <w:rFonts w:ascii="Calibri" w:hAnsi="Calibri" w:cs="Calibri"/>
        </w:rPr>
        <w:t>(Rogoff 1985)</w:t>
      </w:r>
      <w:r w:rsidR="00A5009B" w:rsidRPr="00544DA1">
        <w:t>, with little cost to long run real macroeconomic performance</w:t>
      </w:r>
      <w:r w:rsidR="00191F89" w:rsidRPr="00544DA1">
        <w:t xml:space="preserve"> </w:t>
      </w:r>
      <w:r w:rsidR="00A5009B" w:rsidRPr="00544DA1">
        <w:fldChar w:fldCharType="begin"/>
      </w:r>
      <w:r w:rsidR="007B01F4">
        <w:instrText xml:space="preserve"> ADDIN ZOTERO_ITEM CSL_CITATION {"citationID":"5NQGY400","properties":{"formattedCitation":"(Alesina and Summers 1993)","plainCitation":"(Alesina and Summers 1993)","noteIndex":0},"citationItems":[{"id":143,"uris":["http://zotero.org/users/5939705/items/CQZSLBKT"],"uri":["http://zotero.org/users/5939705/items/CQZSLBKT"],"itemData":{"id":143,"type":"article-journal","archive":"JSTOR","container-title":"Journal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A5009B" w:rsidRPr="00544DA1">
        <w:fldChar w:fldCharType="separate"/>
      </w:r>
      <w:r w:rsidR="00191F89" w:rsidRPr="00544DA1">
        <w:rPr>
          <w:rFonts w:ascii="Calibri" w:hAnsi="Calibri" w:cs="Calibri"/>
        </w:rPr>
        <w:t>(Alesina and Summers 1993)</w:t>
      </w:r>
      <w:r w:rsidR="00A5009B" w:rsidRPr="00544DA1">
        <w:fldChar w:fldCharType="end"/>
      </w:r>
      <w:r w:rsidR="00A5009B" w:rsidRPr="00544DA1">
        <w:t xml:space="preserve">. </w:t>
      </w:r>
      <w:r w:rsidR="007506EC" w:rsidRPr="00544DA1">
        <w:t>A</w:t>
      </w:r>
      <w:r w:rsidR="00074FC8" w:rsidRPr="00544DA1">
        <w:t>long with a similar time-inconsistency inflation benefit</w:t>
      </w:r>
      <w:r w:rsidR="00790BEE" w:rsidRPr="00544DA1">
        <w:t xml:space="preserve"> in reducing inflation</w:t>
      </w:r>
      <w:r w:rsidR="00A133CB" w:rsidRPr="00544DA1">
        <w:t xml:space="preserve"> (</w:t>
      </w:r>
      <w:r w:rsidR="001B3031" w:rsidRPr="00544DA1">
        <w:t xml:space="preserve">when there are no capital </w:t>
      </w:r>
      <w:r w:rsidR="001B3031" w:rsidRPr="00544DA1">
        <w:lastRenderedPageBreak/>
        <w:t xml:space="preserve">controls </w:t>
      </w:r>
      <w:r w:rsidR="00DD585E" w:rsidRPr="00544DA1">
        <w:t xml:space="preserve">used </w:t>
      </w:r>
      <w:r w:rsidR="001B3031" w:rsidRPr="00544DA1">
        <w:t>to</w:t>
      </w:r>
      <w:r w:rsidR="00950485" w:rsidRPr="00544DA1">
        <w:t xml:space="preserve"> maintain</w:t>
      </w:r>
      <w:r w:rsidR="00890CD3" w:rsidRPr="00F65B37">
        <w:t xml:space="preserve"> mo</w:t>
      </w:r>
      <w:r w:rsidR="001D7BC6" w:rsidRPr="00F65B37">
        <w:t>netary autonomy</w:t>
      </w:r>
      <w:r w:rsidR="00890CD3" w:rsidRPr="00F65B37">
        <w:t>)</w:t>
      </w:r>
      <w:r w:rsidR="00AE19FD" w:rsidRPr="00F65B37">
        <w:t>,</w:t>
      </w:r>
      <w:r w:rsidR="00890CD3">
        <w:t xml:space="preserve"> </w:t>
      </w:r>
      <w:r w:rsidR="00790BEE">
        <w:t>a</w:t>
      </w:r>
      <w:r w:rsidR="00101AF4">
        <w:t xml:space="preserve"> fixed exchange rate may</w:t>
      </w:r>
      <w:r w:rsidR="007506EC">
        <w:t xml:space="preserve"> provide economic benefits such</w:t>
      </w:r>
      <w:r w:rsidR="00101AF4">
        <w:t xml:space="preserve"> </w:t>
      </w:r>
      <w:r w:rsidR="007506EC">
        <w:t xml:space="preserve">as </w:t>
      </w:r>
      <w:r w:rsidR="00C56309">
        <w:t>reducing uncertainty</w:t>
      </w:r>
      <w:r w:rsidR="00101AF4">
        <w:t xml:space="preserve"> </w:t>
      </w:r>
      <w:r w:rsidR="003760D9">
        <w:t>and barriers to</w:t>
      </w:r>
      <w:r w:rsidR="00101AF4">
        <w:t xml:space="preserve"> external trade</w:t>
      </w:r>
      <w:r w:rsidR="004429CA">
        <w:t xml:space="preserve"> and investment</w:t>
      </w:r>
      <w:r w:rsidR="003760D9">
        <w:t xml:space="preserve"> </w:t>
      </w:r>
      <w:r w:rsidR="003760D9">
        <w:fldChar w:fldCharType="begin"/>
      </w:r>
      <w:r w:rsidR="007B01F4">
        <w:instrText xml:space="preserve"> ADDIN ZOTERO_ITEM CSL_CITATION {"citationID":"Rv7Quhh9","properties":{"formattedCitation":"(Robert A. Mundell 1961)","plainCitation":"(Robert A. Mundell 1961)","noteIndex":0},"citationItems":[{"id":235,"uris":["http://zotero.org/users/5939705/items/3JN5F978"],"uri":["http://zotero.org/users/5939705/items/3JN5F978"],"itemData":{"id":235,"type":"article-journal","archive":"JSTOR","container-title":"The American Economic Review","ISSN":"0002-8282","issue":"4","page":"657-665","source":"JSTOR","title":"A Theory of Optimum Currency Areas","volume":"51","author":[{"family":"Mundell","given":"Robert A."}],"issued":{"date-parts":[["1961"]]}}}],"schema":"https://github.com/citation-style-language/schema/raw/master/csl-citation.json"} </w:instrText>
      </w:r>
      <w:r w:rsidR="003760D9">
        <w:fldChar w:fldCharType="separate"/>
      </w:r>
      <w:r w:rsidR="004D1AAC" w:rsidRPr="004D1AAC">
        <w:rPr>
          <w:rFonts w:ascii="Calibri" w:hAnsi="Calibri" w:cs="Calibri"/>
        </w:rPr>
        <w:t>(Robert A. Mundell 1961)</w:t>
      </w:r>
      <w:r w:rsidR="003760D9">
        <w:fldChar w:fldCharType="end"/>
      </w:r>
      <w:r w:rsidR="005C7567">
        <w:t>.</w:t>
      </w:r>
      <w:r w:rsidR="00791801">
        <w:t xml:space="preserve"> It may also allow for</w:t>
      </w:r>
      <w:r w:rsidR="00D42B35">
        <w:t xml:space="preserve"> access to foreign capital</w:t>
      </w:r>
      <w:r w:rsidR="00791801">
        <w:t xml:space="preserve"> </w:t>
      </w:r>
      <w:r w:rsidR="00D42B35">
        <w:t>for any nations faced with an “original sin” problem, able only to borrow in foreign currency</w:t>
      </w:r>
      <w:r w:rsidR="00FE75B3">
        <w:t xml:space="preserve"> </w:t>
      </w:r>
      <w:r w:rsidR="001342F0">
        <w:fldChar w:fldCharType="begin"/>
      </w:r>
      <w:r w:rsidR="00FE75B3">
        <w:instrText xml:space="preserve"> ADDIN ZOTERO_ITEM CSL_CITATION {"citationID":"PlZFL7oN","properties":{"formattedCitation":"(Eichengreen and Hausmann 2005)","plainCitation":"(Eichengreen and Hausmann 2005)","noteIndex":0},"citationItems":[{"id":223,"uris":["http://zotero.org/users/5939705/items/TEG2SHRD"],"uri":["http://zotero.org/users/5939705/items/TEG2SHRD"],"itemData":{"id":223,"type":"book","ISBN":"978-0-226-19455-4","language":"en","note":"DOI: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1342F0">
        <w:fldChar w:fldCharType="separate"/>
      </w:r>
      <w:r w:rsidR="00FE75B3" w:rsidRPr="00FE75B3">
        <w:rPr>
          <w:rFonts w:ascii="Calibri" w:hAnsi="Calibri" w:cs="Calibri"/>
        </w:rPr>
        <w:t>(Eichengreen and Hausmann 2005)</w:t>
      </w:r>
      <w:r w:rsidR="001342F0">
        <w:fldChar w:fldCharType="end"/>
      </w:r>
      <w:r w:rsidR="00D42B35">
        <w:t>.</w:t>
      </w:r>
    </w:p>
    <w:p w14:paraId="2BA4B391" w14:textId="1780533D" w:rsidR="00BF024F" w:rsidRDefault="00E463DF" w:rsidP="002F28E1">
      <w:r>
        <w:t xml:space="preserve">There may also be political benefits </w:t>
      </w:r>
      <w:r w:rsidR="002E2DD8">
        <w:t xml:space="preserve">to limiting regimes </w:t>
      </w:r>
      <w:r>
        <w:t>which</w:t>
      </w:r>
      <w:r w:rsidR="00BA2D8A">
        <w:t xml:space="preserve"> also increase </w:t>
      </w:r>
      <w:r w:rsidR="00C56309">
        <w:t>stability</w:t>
      </w:r>
      <w:r w:rsidR="00144426">
        <w:t xml:space="preserve"> and </w:t>
      </w:r>
      <w:r w:rsidR="0039171A">
        <w:t>possible social welfare</w:t>
      </w:r>
      <w:r w:rsidR="00BF3DE1">
        <w:t xml:space="preserve"> through increasing political efficacy.</w:t>
      </w:r>
      <w:r w:rsidR="00137A86">
        <w:t xml:space="preserve"> </w:t>
      </w:r>
      <w:r w:rsidR="00B248DE">
        <w:t xml:space="preserve">For example, monetary commitments such as central bank independence may </w:t>
      </w:r>
      <w:r w:rsidR="00BD0E6B">
        <w:t>provid</w:t>
      </w:r>
      <w:r w:rsidR="00F20560">
        <w:t>e</w:t>
      </w:r>
      <w:r w:rsidR="00BD0E6B">
        <w:t xml:space="preserve"> information</w:t>
      </w:r>
      <w:r w:rsidR="00B248DE">
        <w:t xml:space="preserve"> about policy for both sides of the government</w:t>
      </w:r>
      <w:r w:rsidR="001029CD">
        <w:t>, increasing transparency</w:t>
      </w:r>
      <w:r w:rsidR="00246E6A">
        <w:t xml:space="preserve"> and promoting </w:t>
      </w:r>
      <w:proofErr w:type="spellStart"/>
      <w:r w:rsidR="00246E6A">
        <w:t>tr</w:t>
      </w:r>
      <w:r w:rsidR="009E7271">
        <w:t>alp</w:t>
      </w:r>
      <w:r w:rsidR="00246E6A">
        <w:t>ust</w:t>
      </w:r>
      <w:proofErr w:type="spellEnd"/>
      <w:r w:rsidR="00BA34DF">
        <w:t xml:space="preserve"> </w:t>
      </w:r>
      <w:r w:rsidR="00BA34DF">
        <w:fldChar w:fldCharType="begin"/>
      </w:r>
      <w:r w:rsidR="007B01F4">
        <w:instrText xml:space="preserve"> ADDIN ZOTERO_ITEM CSL_CITATION {"citationID":"g9RYMHG2","properties":{"formattedCitation":"(Bernhard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BA34DF">
        <w:fldChar w:fldCharType="separate"/>
      </w:r>
      <w:r w:rsidR="00BA34DF" w:rsidRPr="00F8399F">
        <w:rPr>
          <w:rFonts w:ascii="Calibri" w:hAnsi="Calibri" w:cs="Calibri"/>
        </w:rPr>
        <w:t xml:space="preserve">(Bernhard and </w:t>
      </w:r>
      <w:proofErr w:type="spellStart"/>
      <w:r w:rsidR="00BA34DF" w:rsidRPr="00F8399F">
        <w:rPr>
          <w:rFonts w:ascii="Calibri" w:hAnsi="Calibri" w:cs="Calibri"/>
        </w:rPr>
        <w:t>Leblang</w:t>
      </w:r>
      <w:proofErr w:type="spellEnd"/>
      <w:r w:rsidR="00BA34DF" w:rsidRPr="00F8399F">
        <w:rPr>
          <w:rFonts w:ascii="Calibri" w:hAnsi="Calibri" w:cs="Calibri"/>
        </w:rPr>
        <w:t xml:space="preserve"> 2002)</w:t>
      </w:r>
      <w:r w:rsidR="00BA34DF">
        <w:fldChar w:fldCharType="end"/>
      </w:r>
      <w:r w:rsidR="00432C4E">
        <w:t>.</w:t>
      </w:r>
      <w:r w:rsidR="00BA34DF">
        <w:t xml:space="preserve"> </w:t>
      </w:r>
      <w:r w:rsidR="00B25784">
        <w:t xml:space="preserve">In terms of decisions, a fixed exchange rate may either provide a justification for </w:t>
      </w:r>
      <w:r w:rsidR="008B67EE">
        <w:t>hard but necessary choices or a focus for negotiations.</w:t>
      </w:r>
      <w:r w:rsidR="000E7489">
        <w:t xml:space="preserve"> There does not appear to be much empirical evidence to verify this part of the theory, admittedly difficult due to the abstract nature of these variables</w:t>
      </w:r>
      <w:r w:rsidR="00F13BAE">
        <w:t>, but the theoretical logic is sound</w:t>
      </w:r>
      <w:r w:rsidR="000E7489">
        <w:t>.</w:t>
      </w:r>
    </w:p>
    <w:p w14:paraId="2BF6A660" w14:textId="4A090BD6" w:rsidR="008B2411" w:rsidRDefault="00922A5D" w:rsidP="002F28E1">
      <w:r>
        <w:t xml:space="preserve">However, </w:t>
      </w:r>
      <w:r w:rsidR="004C7FF1">
        <w:t>limiting regimes may also introduce</w:t>
      </w:r>
      <w:r w:rsidR="001F27F5">
        <w:t xml:space="preserve"> costs</w:t>
      </w:r>
      <w:r w:rsidR="0088178D">
        <w:t xml:space="preserve"> to valuable policy flexibility. </w:t>
      </w:r>
      <w:r w:rsidR="0000795B">
        <w:t>H</w:t>
      </w:r>
      <w:r w:rsidR="0088178D">
        <w:t>armful flexibility consequences in the event of a recession may not be a major issue for independent central banking</w:t>
      </w:r>
      <w:r w:rsidR="0084609B">
        <w:t xml:space="preserve">, </w:t>
      </w:r>
      <w:r w:rsidR="002F7D91">
        <w:t>as technocratic officials are still capable of responding. Th</w:t>
      </w:r>
      <w:r w:rsidR="00E45BCD">
        <w:t xml:space="preserve">ere </w:t>
      </w:r>
      <w:r w:rsidR="00887065">
        <w:t>may be problems if</w:t>
      </w:r>
      <w:r w:rsidR="0088178D">
        <w:t xml:space="preserve"> </w:t>
      </w:r>
      <w:r w:rsidR="00CC5CC9">
        <w:t>an</w:t>
      </w:r>
      <w:r w:rsidR="004B7227">
        <w:t xml:space="preserve"> inadequately flexible monetary policy rule is adopted</w:t>
      </w:r>
      <w:r w:rsidR="00BB15FE">
        <w:t xml:space="preserve"> </w:t>
      </w:r>
      <w:r w:rsidR="00DE5AC2">
        <w:fldChar w:fldCharType="begin"/>
      </w:r>
      <w:r w:rsidR="007B01F4">
        <w:instrText xml:space="preserve"> ADDIN ZOTERO_ITEM CSL_CITATION {"citationID":"F4dlqm5U","properties":{"formattedCitation":"(Bernanke 2015)","plainCitation":"(Bernanke 2015)","noteIndex":0},"citationItems":[{"id":216,"uris":["http://zotero.org/users/5939705/items/YUZY8VQL"],"uri":["http://zotero.org/users/5939705/items/YUZY8VQL"],"itemData":{"id":216,"type":"post-weblog","abstract":"&lt;p&gt;Ben Bernanke explains why he disagrees with John Taylor's characterization of the Fed's monetary policies and why the Fed should not use the Taylor Rule mechanically to set interest rates.&lt;/p&gt;","container-title":"Brookings","language":"en-US","title":"The Taylor Rule: A benchmark for monetary policy?","title-short":"The Taylor Rule","URL":"https://www.brookings.edu/blog/ben-bernanke/2015/04/28/the-taylor-rule-a-benchmark-for-monetary-policy/","author":[{"family":"Bernanke","given":"Ben S."}],"accessed":{"date-parts":[["2020",1,11]]},"issued":{"date-parts":[["2015"]]}}}],"schema":"https://github.com/citation-style-language/schema/raw/master/csl-citation.json"} </w:instrText>
      </w:r>
      <w:r w:rsidR="00DE5AC2">
        <w:fldChar w:fldCharType="separate"/>
      </w:r>
      <w:r w:rsidR="00DD4EC5" w:rsidRPr="00DD4EC5">
        <w:rPr>
          <w:rFonts w:ascii="Calibri" w:hAnsi="Calibri" w:cs="Calibri"/>
        </w:rPr>
        <w:t>(Bernanke 2015)</w:t>
      </w:r>
      <w:r w:rsidR="00DE5AC2">
        <w:fldChar w:fldCharType="end"/>
      </w:r>
      <w:r w:rsidR="00495FEE">
        <w:t xml:space="preserve">, or </w:t>
      </w:r>
      <w:r w:rsidR="0088178D">
        <w:t xml:space="preserve">central bankers are </w:t>
      </w:r>
      <w:r w:rsidR="00495FEE">
        <w:t>excessively</w:t>
      </w:r>
      <w:r w:rsidR="0088178D">
        <w:t xml:space="preserve"> conservative</w:t>
      </w:r>
      <w:r w:rsidR="00B02291">
        <w:t>, as may have been the case in the early 2010s</w:t>
      </w:r>
      <w:r w:rsidR="00BF3689">
        <w:t xml:space="preserve"> in the</w:t>
      </w:r>
      <w:r w:rsidR="00B02291">
        <w:t xml:space="preserve"> </w:t>
      </w:r>
      <w:r w:rsidR="00B02291" w:rsidRPr="00A4168F">
        <w:t>Eurozone</w:t>
      </w:r>
      <w:r w:rsidR="00BA78CB" w:rsidRPr="00A4168F">
        <w:t xml:space="preserve"> </w:t>
      </w:r>
      <w:r w:rsidR="00B02291" w:rsidRPr="00A4168F">
        <w:fldChar w:fldCharType="begin"/>
      </w:r>
      <w:r w:rsidR="007B01F4">
        <w:instrText xml:space="preserve"> ADDIN ZOTERO_ITEM CSL_CITATION {"citationID":"eLof2ebE","properties":{"formattedCitation":"(Krugman 2011)","plainCitation":"(Krugman 2011)","noteIndex":0},"citationItems":[{"id":145,"uris":["http://zotero.org/users/5939705/items/FT4773IU"],"uri":["http://zotero.org/users/5939705/items/FT4773IU"],"itemData":{"id":145,"type":"article-newspaper","abstract":"The moralizers, who hate the idea of letting nations off the hook for alleged fiscal sins, are sending the euro over the edge.","container-title":"The New York Times","ISSN":"0362-4331","language":"en-US","section":"Opinion","source":"NYTimes.com","title":"Opinion | An Impeccable Disaster","URL":"https://www.nytimes.com/2011/09/12/opinion/an-impeccable-disaster.html","author":[{"family":"Krugman","given":"Paul"}],"accessed":{"date-parts":[["2020",2,2]]},"issued":{"date-parts":[["2011",9,11]]}}}],"schema":"https://github.com/citation-style-language/schema/raw/master/csl-citation.json"} </w:instrText>
      </w:r>
      <w:r w:rsidR="00B02291" w:rsidRPr="00A4168F">
        <w:fldChar w:fldCharType="separate"/>
      </w:r>
      <w:r w:rsidR="00BA78CB" w:rsidRPr="00A4168F">
        <w:rPr>
          <w:rFonts w:ascii="Calibri" w:hAnsi="Calibri" w:cs="Calibri"/>
        </w:rPr>
        <w:t>(Krugman 2011)</w:t>
      </w:r>
      <w:r w:rsidR="00B02291" w:rsidRPr="00A4168F">
        <w:fldChar w:fldCharType="end"/>
      </w:r>
      <w:r w:rsidR="00495FEE" w:rsidRPr="00A4168F">
        <w:t>.</w:t>
      </w:r>
      <w:r w:rsidR="000B5364" w:rsidRPr="00A4168F">
        <w:t xml:space="preserve"> </w:t>
      </w:r>
      <w:r w:rsidR="00887065" w:rsidRPr="00A4168F">
        <w:t>But t</w:t>
      </w:r>
      <w:r w:rsidR="00C86839" w:rsidRPr="00A4168F">
        <w:t xml:space="preserve">here is no reason </w:t>
      </w:r>
      <w:r w:rsidR="00291F01" w:rsidRPr="00A4168F">
        <w:t xml:space="preserve">to believe that </w:t>
      </w:r>
      <w:r w:rsidR="00FC2121" w:rsidRPr="00A4168F">
        <w:t>these problems always or directly correlate with central bank independence</w:t>
      </w:r>
      <w:r w:rsidR="006E372B" w:rsidRPr="00A4168F">
        <w:t>, while the evidence clearly shows that low and stable inflation does.</w:t>
      </w:r>
    </w:p>
    <w:p w14:paraId="694D2F65" w14:textId="5E67D60C" w:rsidR="00E23181" w:rsidRDefault="00D012EC" w:rsidP="00202507">
      <w:r>
        <w:t>A</w:t>
      </w:r>
      <w:r w:rsidR="001778CD">
        <w:t xml:space="preserve"> </w:t>
      </w:r>
      <w:r>
        <w:t xml:space="preserve">more serious </w:t>
      </w:r>
      <w:r w:rsidR="0088178D">
        <w:t xml:space="preserve">problem </w:t>
      </w:r>
      <w:r w:rsidR="001778CD">
        <w:t xml:space="preserve">from the loss of flexibility </w:t>
      </w:r>
      <w:r w:rsidR="0088178D">
        <w:t xml:space="preserve">is clear for regimes of fixed exchange rates. </w:t>
      </w:r>
      <w:r w:rsidR="005A4E07">
        <w:t>The</w:t>
      </w:r>
      <w:r w:rsidR="0088178D">
        <w:t xml:space="preserve"> fixed exchange rate precludes the free exercise of monetary </w:t>
      </w:r>
      <w:r w:rsidR="003722F4">
        <w:t xml:space="preserve">and potentially fiscal </w:t>
      </w:r>
      <w:r w:rsidR="0088178D">
        <w:t>policy</w:t>
      </w:r>
      <w:r w:rsidR="003E6324">
        <w:t xml:space="preserve"> unless capital controls are introduced</w:t>
      </w:r>
      <w:r w:rsidR="0088178D">
        <w:t xml:space="preserve"> </w:t>
      </w:r>
      <w:r w:rsidR="0088178D">
        <w:fldChar w:fldCharType="begin"/>
      </w:r>
      <w:r w:rsidR="007B01F4">
        <w:instrText xml:space="preserve"> ADDIN ZOTERO_ITEM CSL_CITATION {"citationID":"Dn9xZYK1","properties":{"formattedCitation":"(Fleming 1962; R. A. Mundell 1963)","plainCitation":"(Fleming 1962; R. A. Mundell 1963)","noteIndex":0},"citationItems":[{"id":239,"uris":["http://zotero.org/users/5939705/items/WHGMJLAF"],"uri":["http://zotero.org/users/5939705/items/WHGMJLAF"],"itemData":{"id":239,"type":"article-journal","abstract":"Les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Marcus"}],"issued":{"date-parts":[["1962"]]}}},{"id":242,"uris":["http://zotero.org/users/5939705/items/P6RCABNT"],"uri":["http://zotero.org/users/5939705/items/P6RCABNT"],"itemData":{"id":242,"type":"article-journal","archive":"JSTOR","container-title":"The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88178D">
        <w:fldChar w:fldCharType="separate"/>
      </w:r>
      <w:r w:rsidR="0088178D" w:rsidRPr="004D1AAC">
        <w:rPr>
          <w:rFonts w:ascii="Calibri" w:hAnsi="Calibri" w:cs="Calibri"/>
        </w:rPr>
        <w:t>(Fleming 1962; R. A. Mundell 1963)</w:t>
      </w:r>
      <w:r w:rsidR="0088178D">
        <w:fldChar w:fldCharType="end"/>
      </w:r>
      <w:r w:rsidR="0088178D">
        <w:t>.</w:t>
      </w:r>
      <w:r w:rsidR="00B86CF9">
        <w:t xml:space="preserve"> </w:t>
      </w:r>
      <w:r w:rsidR="003E6324">
        <w:t>P</w:t>
      </w:r>
      <w:r w:rsidR="00B86CF9">
        <w:t xml:space="preserve">olicy is tied to </w:t>
      </w:r>
      <w:r w:rsidR="00A82AB7">
        <w:t xml:space="preserve">that of </w:t>
      </w:r>
      <w:r w:rsidR="00B86CF9">
        <w:t>other nations</w:t>
      </w:r>
      <w:r w:rsidR="00A82AB7">
        <w:t>, which may not be experiencing a recession</w:t>
      </w:r>
      <w:r w:rsidR="00AB4004">
        <w:t>.</w:t>
      </w:r>
      <w:r w:rsidR="00C73112">
        <w:t xml:space="preserve"> Adjustment may be slow </w:t>
      </w:r>
      <w:r w:rsidR="00C73112" w:rsidRPr="00AF731F">
        <w:t>and painful</w:t>
      </w:r>
      <w:r w:rsidR="008A7CFB" w:rsidRPr="00AF731F">
        <w:t>.</w:t>
      </w:r>
      <w:r w:rsidR="0084440C" w:rsidRPr="00AF731F">
        <w:rPr>
          <w:rStyle w:val="FootnoteReference"/>
        </w:rPr>
        <w:footnoteReference w:id="3"/>
      </w:r>
    </w:p>
    <w:p w14:paraId="294EC8FA" w14:textId="45B45B03" w:rsidR="008F54B5" w:rsidRDefault="00312B2D" w:rsidP="00421CAB">
      <w:r w:rsidRPr="00312B2D">
        <w:t>Overall, n</w:t>
      </w:r>
      <w:r w:rsidR="00C238B4" w:rsidRPr="00312B2D">
        <w:t>et social benefits appear to outweigh the costs for limiting</w:t>
      </w:r>
      <w:r>
        <w:t xml:space="preserve"> regimes</w:t>
      </w:r>
      <w:r w:rsidR="004C2CAD">
        <w:t>, at least in the long run</w:t>
      </w:r>
      <w:r w:rsidR="00FD0559">
        <w:t xml:space="preserve"> or on average,</w:t>
      </w:r>
      <w:r w:rsidR="00AE5106">
        <w:t xml:space="preserve"> abstracting from specific incidents</w:t>
      </w:r>
      <w:r w:rsidR="00B74729">
        <w:t xml:space="preserve"> and problems</w:t>
      </w:r>
      <w:r>
        <w:t>.</w:t>
      </w:r>
      <w:r w:rsidR="000F7809">
        <w:t xml:space="preserve"> </w:t>
      </w:r>
      <w:r w:rsidR="00421CAB" w:rsidRPr="000F7809">
        <w:t xml:space="preserve">Commitment brings major benefits despite any costs of flexibility, especially for the case of central bank independence relative to fixed exchange rates. </w:t>
      </w:r>
      <w:r w:rsidR="00F23888">
        <w:t xml:space="preserve">Arguments of </w:t>
      </w:r>
      <w:r w:rsidR="000E12FA">
        <w:t xml:space="preserve">net </w:t>
      </w:r>
      <w:r w:rsidR="00F23888">
        <w:t xml:space="preserve">welfare drawbacks </w:t>
      </w:r>
      <w:r w:rsidR="005C4973">
        <w:t xml:space="preserve">for central bank independence </w:t>
      </w:r>
      <w:r w:rsidR="004E4D18">
        <w:t xml:space="preserve">(to the point of advocating dependence) </w:t>
      </w:r>
      <w:r w:rsidR="005C4973">
        <w:t>are especially ra</w:t>
      </w:r>
      <w:r w:rsidR="00B735AB">
        <w:t>r</w:t>
      </w:r>
      <w:r w:rsidR="005C4973">
        <w:t xml:space="preserve">e, </w:t>
      </w:r>
      <w:r w:rsidR="00C2532D">
        <w:t>excepting</w:t>
      </w:r>
      <w:r w:rsidR="00CD5E9C">
        <w:t xml:space="preserve"> complaints calling for</w:t>
      </w:r>
      <w:r w:rsidR="00C2532D">
        <w:t xml:space="preserve"> the adoption </w:t>
      </w:r>
      <w:r w:rsidR="005539E7">
        <w:t>of</w:t>
      </w:r>
      <w:r w:rsidR="00CA626C">
        <w:t xml:space="preserve"> democratic oversight </w:t>
      </w:r>
      <w:r w:rsidR="005539E7">
        <w:t>for</w:t>
      </w:r>
      <w:r w:rsidR="00CA626C">
        <w:t xml:space="preserve"> </w:t>
      </w:r>
      <w:r w:rsidR="00C2532D">
        <w:t>distributional considerations</w:t>
      </w:r>
      <w:r w:rsidR="00CA626C">
        <w:t xml:space="preserve"> or a desire for more inflation</w:t>
      </w:r>
      <w:r w:rsidR="00B735AB">
        <w:t xml:space="preserve"> </w:t>
      </w:r>
      <w:r w:rsidR="00F90723">
        <w:fldChar w:fldCharType="begin"/>
      </w:r>
      <w:r w:rsidR="006F3F5C">
        <w:instrText xml:space="preserve"> ADDIN ZOTERO_ITEM CSL_CITATION {"citationID":"2uvMFqdU","properties":{"formattedCitation":"(Fels 2016)","plainCitation":"(Fels 2016)","noteIndex":0},"citationItems":[{"id":213,"uris":["http://zotero.org/users/5939705/items/JTUBDSKY"],"uri":["http://zotero.org/users/5939705/items/JTUBDSKY"],"itemData":{"id":213,"type":"webpage","abstract":"What if central banks were not independent?","container-title":"Pacific Investment Management Company LLC","language":"en","title":"The Downside of Central Bank Independence","URL":"https://www.pimco.com/en-us/insights/economic-and-market-commentary/macro-perspectives/the-downside-of-central-bank-independence","author":[{"family":"Fels","given":"Joachim"}],"accessed":{"date-parts":[["2020",1,11]]},"issued":{"date-parts":[["2016",5,19]]}}}],"schema":"https://github.com/citation-style-language/schema/raw/master/csl-citation.json"} </w:instrText>
      </w:r>
      <w:r w:rsidR="00F90723">
        <w:fldChar w:fldCharType="separate"/>
      </w:r>
      <w:r w:rsidR="006F3F5C" w:rsidRPr="006F3F5C">
        <w:rPr>
          <w:rFonts w:ascii="Calibri" w:hAnsi="Calibri" w:cs="Calibri"/>
        </w:rPr>
        <w:t>(Fels 2016)</w:t>
      </w:r>
      <w:r w:rsidR="00F90723">
        <w:fldChar w:fldCharType="end"/>
      </w:r>
      <w:r w:rsidR="00F90723">
        <w:t>.</w:t>
      </w:r>
      <w:r w:rsidR="00DC0C78">
        <w:t xml:space="preserve"> </w:t>
      </w:r>
    </w:p>
    <w:p w14:paraId="2AAC9AFB" w14:textId="1FF877CA" w:rsidR="00DC0C78" w:rsidRDefault="00DC0C78" w:rsidP="00421CAB">
      <w:r>
        <w:t>The merit of fixed exchange rates appears to be far more debatable</w:t>
      </w:r>
      <w:r w:rsidR="009906EA">
        <w:t xml:space="preserve">, although </w:t>
      </w:r>
      <w:r w:rsidR="00582599">
        <w:t>a large number of countries still maintain them</w:t>
      </w:r>
      <w:r w:rsidR="007C63EE">
        <w:t xml:space="preserve"> </w:t>
      </w:r>
      <w:r w:rsidR="00D82A9A">
        <w:fldChar w:fldCharType="begin"/>
      </w:r>
      <w:r w:rsidR="006F3F5C">
        <w:instrText xml:space="preserve"> ADDIN ZOTERO_ITEM CSL_CITATION {"citationID":"FhEi1KmS","properties":{"formattedCitation":"(Ilzetzki 2019)","plainCitation":"(Ilzetzki 2019)","noteIndex":0},"citationItems":[{"id":264,"uris":["http://zotero.org/users/5939705/items/DIT93F47"],"uri":["http://zotero.org/users/5939705/items/DIT93F47"],"itemData":{"id":264,"type":"webpage","language":"en","title":"IRR Data","URL":"https://www.ilzetzki.com/irr-data","author":[{"family":"Ilzetzki","given":"Ethan"}],"accessed":{"date-parts":[["2020",1,4]]},"issued":{"date-parts":[["2019",2]]}}}],"schema":"https://github.com/citation-style-language/schema/raw/master/csl-citation.json"} </w:instrText>
      </w:r>
      <w:r w:rsidR="00D82A9A">
        <w:fldChar w:fldCharType="separate"/>
      </w:r>
      <w:r w:rsidR="006F3F5C" w:rsidRPr="006F3F5C">
        <w:rPr>
          <w:rFonts w:ascii="Calibri" w:hAnsi="Calibri" w:cs="Calibri"/>
        </w:rPr>
        <w:t>(Ilzetzki 2019)</w:t>
      </w:r>
      <w:r w:rsidR="00D82A9A">
        <w:fldChar w:fldCharType="end"/>
      </w:r>
      <w:r w:rsidR="00DE71E8">
        <w:t>.</w:t>
      </w:r>
      <w:r w:rsidR="00B355AB">
        <w:t xml:space="preserve"> </w:t>
      </w:r>
      <w:r w:rsidR="00764530">
        <w:t xml:space="preserve">Time inconsistency solutions, stable trade, and greater access to capital for “original sin” nations </w:t>
      </w:r>
      <w:r w:rsidR="005C11B4">
        <w:t>clearly provide serious value.</w:t>
      </w:r>
      <w:r w:rsidR="00114C3F">
        <w:t xml:space="preserve"> If fixed rates </w:t>
      </w:r>
      <w:r w:rsidR="00F144BF">
        <w:t>had</w:t>
      </w:r>
      <w:r w:rsidR="00114C3F">
        <w:t xml:space="preserve"> a net</w:t>
      </w:r>
      <w:r w:rsidR="00222C4C">
        <w:t xml:space="preserve"> welfare cost </w:t>
      </w:r>
      <w:r w:rsidR="00AE1A20">
        <w:t>and</w:t>
      </w:r>
      <w:r w:rsidR="00147540">
        <w:t xml:space="preserve"> prevent manipulation of the economy as outlined in the section below, there would seem to be little reason left for their</w:t>
      </w:r>
      <w:r w:rsidR="000A0DD6">
        <w:t xml:space="preserve"> wide</w:t>
      </w:r>
      <w:r w:rsidR="00147540">
        <w:t xml:space="preserve"> adoption</w:t>
      </w:r>
      <w:r w:rsidR="00364341">
        <w:t>, so here I maintain that they also provide a net</w:t>
      </w:r>
      <w:r w:rsidR="00A76D66">
        <w:t xml:space="preserve"> welfare</w:t>
      </w:r>
      <w:r w:rsidR="00364341">
        <w:t xml:space="preserve"> benefit</w:t>
      </w:r>
      <w:r w:rsidR="00147540">
        <w:t>.</w:t>
      </w:r>
    </w:p>
    <w:p w14:paraId="3ED9CBB0" w14:textId="42B2C80A" w:rsidR="00972538" w:rsidRDefault="006157C7" w:rsidP="0088178D">
      <w:pPr>
        <w:pStyle w:val="Heading2"/>
      </w:pPr>
      <w:r>
        <w:lastRenderedPageBreak/>
        <w:t>Political Business Cycle Effects</w:t>
      </w:r>
      <w:r w:rsidR="00794666">
        <w:t xml:space="preserve"> of Limiting Institutions</w:t>
      </w:r>
    </w:p>
    <w:p w14:paraId="745A953F" w14:textId="653356A6" w:rsidR="00C31CFC" w:rsidRPr="006027AA" w:rsidRDefault="00955441" w:rsidP="00FC7DA6">
      <w:r>
        <w:t xml:space="preserve">The main driver of the </w:t>
      </w:r>
      <w:r w:rsidR="00112DB6">
        <w:t xml:space="preserve">second strand </w:t>
      </w:r>
      <w:r>
        <w:t xml:space="preserve">is the idea of a political business cycle: that </w:t>
      </w:r>
      <w:r w:rsidR="00CD1B04">
        <w:t>politicians have a motivation to manipulate the economy in the short run</w:t>
      </w:r>
      <w:r w:rsidR="004D7397">
        <w:t xml:space="preserve"> and that institutions such as central bank independence and fixed exchange rates can limit this tendency. </w:t>
      </w:r>
      <w:r w:rsidR="00C254CA">
        <w:t>Motivations for p</w:t>
      </w:r>
      <w:r w:rsidR="001622AD">
        <w:t>olitical business cycles may be opportunistic</w:t>
      </w:r>
      <w:r w:rsidR="00A7111F">
        <w:t xml:space="preserve"> (explicitly focused</w:t>
      </w:r>
      <w:r w:rsidR="00524578">
        <w:t xml:space="preserve"> towards staying in office</w:t>
      </w:r>
      <w:r w:rsidR="00A7111F">
        <w:t>)</w:t>
      </w:r>
      <w:r w:rsidR="001622AD">
        <w:t xml:space="preserve"> or partisan</w:t>
      </w:r>
      <w:r w:rsidR="00524578">
        <w:t xml:space="preserve"> (</w:t>
      </w:r>
      <w:r w:rsidR="00F87298">
        <w:t>aimed towards implementing party policy; but as I would argue</w:t>
      </w:r>
      <w:r w:rsidR="00BF0178">
        <w:t xml:space="preserve">, </w:t>
      </w:r>
      <w:r w:rsidR="008F2374">
        <w:t>in the process</w:t>
      </w:r>
      <w:r w:rsidR="00BF0178">
        <w:t xml:space="preserve"> satisfying </w:t>
      </w:r>
      <w:r w:rsidR="001D2495">
        <w:t xml:space="preserve">party elites and staying in </w:t>
      </w:r>
      <w:r w:rsidR="008F2374">
        <w:t>power</w:t>
      </w:r>
      <w:r w:rsidR="00524578">
        <w:t>)</w:t>
      </w:r>
      <w:r w:rsidR="008712EB">
        <w:t xml:space="preserve">, and a </w:t>
      </w:r>
      <w:r w:rsidR="00171244">
        <w:t xml:space="preserve">wide variety of </w:t>
      </w:r>
      <w:r w:rsidR="00FB767E">
        <w:t xml:space="preserve">traditional and rational expectations </w:t>
      </w:r>
      <w:r w:rsidR="00171244">
        <w:t xml:space="preserve">models </w:t>
      </w:r>
      <w:r w:rsidR="004330CF">
        <w:t>exist to characterize them</w:t>
      </w:r>
      <w:r w:rsidR="00382C00">
        <w:t xml:space="preserve"> </w:t>
      </w:r>
      <w:r w:rsidR="004632D7">
        <w:fldChar w:fldCharType="begin"/>
      </w:r>
      <w:r w:rsidR="006F3F5C">
        <w:instrText xml:space="preserve"> ADDIN ZOTERO_ITEM CSL_CITATION {"citationID":"Heko5LM0","properties":{"formattedCitation":"(Alesina, Roubini, and Cohen 1997)","plainCitation":"(Alesina, Roubini, and Cohen 1997)","noteIndex":0},"citationItems":[{"id":283,"uris":["http://zotero.org/users/5939705/items/IBU925PS"],"uri":["http://zotero.org/users/5939705/items/IBU925PS"],"itemData":{"id":283,"type":"book","call-number":"JA77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4632D7">
        <w:fldChar w:fldCharType="separate"/>
      </w:r>
      <w:r w:rsidR="00872E1C" w:rsidRPr="00872E1C">
        <w:rPr>
          <w:rFonts w:ascii="Calibri" w:hAnsi="Calibri" w:cs="Calibri"/>
        </w:rPr>
        <w:t>(Alesina, Roubini, and Cohen 1997)</w:t>
      </w:r>
      <w:r w:rsidR="004632D7">
        <w:fldChar w:fldCharType="end"/>
      </w:r>
      <w:r w:rsidR="004330CF">
        <w:t>.</w:t>
      </w:r>
      <w:r w:rsidR="00FC7DA6">
        <w:t xml:space="preserve"> In general, methods of manipulation for either of these sets of cycles may be monetary or fiscal</w:t>
      </w:r>
      <w:r w:rsidR="00551D85">
        <w:t xml:space="preserve"> </w:t>
      </w:r>
      <w:r w:rsidR="00551D85">
        <w:fldChar w:fldCharType="begin"/>
      </w:r>
      <w:r w:rsidR="007B01F4">
        <w:instrText xml:space="preserve"> ADDIN ZOTERO_ITEM CSL_CITATION {"citationID":"2xB2o444","properties":{"formattedCitation":"(Fortunato and Loftis 2018)","plainCitation":"(Fortunato and Loftis 2018)","noteIndex":0},"citationItems":[{"id":246,"uris":["http://zotero.org/users/5939705/items/LKEDCYKC"],"uri":["http://zotero.org/users/5939705/items/LKEDCYKC"],"itemData":{"id":246,"type":"article-journal","abstract":"We argue that short government durations in parliamentary democracies increase public spending by driving a political budget cycle. We present a revision of the standard political budget cycle model that relaxes the common (often implicit) assumption that election timing is fixed and known in advance. Instead, we allow cabinets to form expectations about their durability and use these expectations to inform their spending choices. The model predicts that (1) cabinets should spend more as their expected term in office draws to a close and (2) cabinets that outlive their expected duration should run higher deficits. Using data from 15 European democracies over several decades, we show that governments increase spending as their expected duration withers and run higher deficits as they surpass their forecasted life expectancy.","container-title":"American Political Science Review","DOI":"10.1017/S0003055418000436","ISSN":"0003-0554, 1537-5943","issue":"4","language":"en","page":"939-953","source":"Cambridge Core","title":"Cabinet Durability and Fiscal Discipline","volume":"112","author":[{"family":"Fortunato","given":"David"},{"family":"Loftis","given":"Matt W."}],"issued":{"date-parts":[["2018",11]]}}}],"schema":"https://github.com/citation-style-language/schema/raw/master/csl-citation.json"} </w:instrText>
      </w:r>
      <w:r w:rsidR="00551D85">
        <w:fldChar w:fldCharType="separate"/>
      </w:r>
      <w:r w:rsidR="00551D85" w:rsidRPr="00FE742A">
        <w:rPr>
          <w:rFonts w:ascii="Calibri" w:hAnsi="Calibri" w:cs="Calibri"/>
        </w:rPr>
        <w:t>(Fortunato and Loftis 2018)</w:t>
      </w:r>
      <w:r w:rsidR="00551D85">
        <w:fldChar w:fldCharType="end"/>
      </w:r>
      <w:r w:rsidR="00FC7DA6">
        <w:t>, and there may be some sort of substitutability between instruments</w:t>
      </w:r>
      <w:r w:rsidR="003159DE">
        <w:t xml:space="preserve"> in the case of limits.</w:t>
      </w:r>
    </w:p>
    <w:p w14:paraId="479A2762" w14:textId="66B30661" w:rsidR="00387F5D" w:rsidRDefault="00827CFB" w:rsidP="00FF6F1E">
      <w:r>
        <w:t xml:space="preserve">Limiting regimes </w:t>
      </w:r>
      <w:r w:rsidR="0081329B">
        <w:t>should normally reduce</w:t>
      </w:r>
      <w:r w:rsidR="00202234">
        <w:t xml:space="preserve"> </w:t>
      </w:r>
      <w:r w:rsidR="00851801">
        <w:t xml:space="preserve">these </w:t>
      </w:r>
      <w:r w:rsidR="00202234">
        <w:t>political business cycles.</w:t>
      </w:r>
      <w:r w:rsidR="00370F59">
        <w:t xml:space="preserve"> </w:t>
      </w:r>
      <w:r w:rsidR="00045CCC">
        <w:t>Independent C</w:t>
      </w:r>
      <w:r w:rsidR="006123D2">
        <w:t>entral Banking</w:t>
      </w:r>
      <w:r w:rsidR="006A0C0B">
        <w:t xml:space="preserve"> </w:t>
      </w:r>
      <w:r w:rsidR="00D02E0C">
        <w:t xml:space="preserve">can put major limitations on </w:t>
      </w:r>
      <w:r w:rsidR="00F16381">
        <w:t>incumbents’</w:t>
      </w:r>
      <w:r w:rsidR="008C5504">
        <w:t xml:space="preserve"> capacity to engage in both monetary and fiscal policy business cycles.</w:t>
      </w:r>
      <w:r w:rsidR="00DC1C23">
        <w:t xml:space="preserve"> </w:t>
      </w:r>
      <w:r w:rsidR="004B64D9">
        <w:t xml:space="preserve">When monetary </w:t>
      </w:r>
      <w:r w:rsidR="004F43AA">
        <w:t xml:space="preserve">policy tools are in the hands of central bankers with </w:t>
      </w:r>
      <w:r w:rsidR="00F24902">
        <w:t>non-electoral</w:t>
      </w:r>
      <w:r w:rsidR="00F136DF">
        <w:t xml:space="preserve"> time horizons and </w:t>
      </w:r>
      <w:r w:rsidR="001B25B0">
        <w:t xml:space="preserve">relative freedom from </w:t>
      </w:r>
      <w:r w:rsidR="007808FB">
        <w:t>politic</w:t>
      </w:r>
      <w:r w:rsidR="001B25B0">
        <w:t xml:space="preserve">al </w:t>
      </w:r>
      <w:r w:rsidR="001B25B0" w:rsidRPr="00154D1E">
        <w:t>pressures</w:t>
      </w:r>
      <w:r w:rsidR="00FA5690" w:rsidRPr="00154D1E">
        <w:t xml:space="preserve">, political manipulation </w:t>
      </w:r>
      <w:r w:rsidR="004E0295" w:rsidRPr="00154D1E">
        <w:t>is clearly limited.</w:t>
      </w:r>
      <w:r w:rsidR="00317B70" w:rsidRPr="00154D1E">
        <w:t xml:space="preserve"> Evidence</w:t>
      </w:r>
      <w:r w:rsidR="0093585C" w:rsidRPr="00154D1E">
        <w:t xml:space="preserve"> on </w:t>
      </w:r>
      <w:r w:rsidR="00690451" w:rsidRPr="00154D1E">
        <w:t>the impact of independence on</w:t>
      </w:r>
      <w:r w:rsidR="005312C4" w:rsidRPr="00154D1E">
        <w:t>, for example</w:t>
      </w:r>
      <w:r w:rsidR="005312C4" w:rsidRPr="00BB2AC6">
        <w:t>,</w:t>
      </w:r>
      <w:r w:rsidR="00690451" w:rsidRPr="00BB2AC6">
        <w:t xml:space="preserve"> </w:t>
      </w:r>
      <w:r w:rsidR="00131AE2" w:rsidRPr="00BB2AC6">
        <w:t xml:space="preserve">monetary, </w:t>
      </w:r>
      <w:r w:rsidR="00690451" w:rsidRPr="00BB2AC6">
        <w:t>rational</w:t>
      </w:r>
      <w:r w:rsidR="00690451">
        <w:t xml:space="preserve"> partisan business cycles</w:t>
      </w:r>
      <w:r w:rsidR="004663EB">
        <w:t xml:space="preserve"> in OECD nations have found serious reductions</w:t>
      </w:r>
      <w:r w:rsidR="000E19D9">
        <w:t xml:space="preserve"> </w:t>
      </w:r>
      <w:r w:rsidR="00690451">
        <w:fldChar w:fldCharType="begin"/>
      </w:r>
      <w:r w:rsidR="007B01F4">
        <w:instrText xml:space="preserve"> ADDIN ZOTERO_ITEM CSL_CITATION {"citationID":"VQLWRHE9","properties":{"formattedCitation":"(Maloney, Pickering, and Hadri 2003)","plainCitation":"(Maloney, Pickering, and Hadri 2003)","noteIndex":0},"citationItems":[{"id":225,"uris":["http://zotero.org/users/5939705/items/2GIDITZR"],"uri":["http://zotero.org/users/5939705/items/2GIDITZR"],"itemData":{"id":225,"type":"article-journal","abstract":"This paper develops a dynamic model of Rational Partisan Business Cycles in which wage contracts overlap elections and wage setters have to make a prediction about the election result. Empirical analysis of 20 OECD countries supports the theoretical implication that left wing incumbents increase output, but increased expectation of a left wing regime reduces it. The model is extended to incorporate the effects of alternative measures of Central Bank Independence (CBI). The measure of objective independence outperforms the other measures and it is found that CBI reduces politically induced business cycles.","container-title":"The Economic Journal","DOI":"10.1111/1468-0297.00115","ISSN":"1468-0297","issue":"486","language":"en","page":"C167-C181","source":"Wiley Online Library","title":"Political Business Cycles and Central Bank Independence*","volume":"113","author":[{"family":"Maloney","given":"John"},{"family":"Pickering","given":"Andrew C."},{"family":"Hadri","given":"Kaddour"}],"issued":{"date-parts":[["2003"]]}}}],"schema":"https://github.com/citation-style-language/schema/raw/master/csl-citation.json"} </w:instrText>
      </w:r>
      <w:r w:rsidR="00690451">
        <w:fldChar w:fldCharType="separate"/>
      </w:r>
      <w:r w:rsidR="006949EA" w:rsidRPr="00FF6F1E">
        <w:rPr>
          <w:rFonts w:ascii="Calibri" w:hAnsi="Calibri" w:cs="Calibri"/>
        </w:rPr>
        <w:t>(Maloney, Pickering, and Hadri 2003)</w:t>
      </w:r>
      <w:r w:rsidR="00690451">
        <w:fldChar w:fldCharType="end"/>
      </w:r>
      <w:r w:rsidR="000E19D9">
        <w:t>.</w:t>
      </w:r>
    </w:p>
    <w:p w14:paraId="1FCCC02E" w14:textId="662D6184" w:rsidR="001A00C7" w:rsidRDefault="001A00C7" w:rsidP="001A00C7">
      <w:pPr>
        <w:rPr>
          <w:lang w:val="en-GB"/>
        </w:rPr>
      </w:pPr>
      <w:r>
        <w:rPr>
          <w:lang w:val="en-GB"/>
        </w:rPr>
        <w:t xml:space="preserve">Aside from limitations on monetary policy, central bank independence may also reduce the scope for fiscal policy manipulation. In democracies with adequate protections of the rule of law, independent central banks may prefer fiscal restraint and low deficits </w:t>
      </w:r>
      <w:r w:rsidR="009E2FBB">
        <w:rPr>
          <w:lang w:val="en-GB"/>
        </w:rPr>
        <w:t>to</w:t>
      </w:r>
      <w:r>
        <w:rPr>
          <w:lang w:val="en-GB"/>
        </w:rPr>
        <w:t xml:space="preserve"> avoid inflation, any may threaten interest rate increases or denial of credit to enforce it</w:t>
      </w:r>
      <w:r w:rsidR="00023B3F">
        <w:rPr>
          <w:lang w:val="en-GB"/>
        </w:rPr>
        <w:t xml:space="preserve">. This pattern </w:t>
      </w:r>
      <w:r w:rsidR="00F161CE">
        <w:rPr>
          <w:lang w:val="en-GB"/>
        </w:rPr>
        <w:t xml:space="preserve">has been found to hold particularly true in non-election years </w:t>
      </w:r>
      <w:r w:rsidR="00C82D1F">
        <w:rPr>
          <w:lang w:val="en-GB"/>
        </w:rPr>
        <w:t>under left government tenure</w:t>
      </w:r>
      <w:r>
        <w:rPr>
          <w:lang w:val="en-GB"/>
        </w:rPr>
        <w:t xml:space="preserve"> </w:t>
      </w:r>
      <w:r>
        <w:rPr>
          <w:lang w:val="en-GB"/>
        </w:rPr>
        <w:fldChar w:fldCharType="begin"/>
      </w:r>
      <w:r w:rsidR="007B01F4">
        <w:rPr>
          <w:lang w:val="en-GB"/>
        </w:rPr>
        <w:instrText xml:space="preserve"> ADDIN ZOTERO_ITEM CSL_CITATION {"citationID":"ZnQtI6Gz","properties":{"formattedCitation":"(Bodea and Higashijima 2017)","plainCitation":"(Bodea and Higashijima 2017)","noteIndex":0},"citationItems":[{"id":257,"uris":["http://zotero.org/users/5939705/items/TY86JMY3"],"uri":["http://zotero.org/users/5939705/items/TY86JMY3"],"itemData":{"id":257,"type":"report","abstract":"Independent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Pr>
          <w:lang w:val="en-GB"/>
        </w:rPr>
        <w:fldChar w:fldCharType="separate"/>
      </w:r>
      <w:r w:rsidRPr="00AE18D9">
        <w:rPr>
          <w:rFonts w:ascii="Calibri" w:hAnsi="Calibri" w:cs="Calibri"/>
        </w:rPr>
        <w:t>(Bodea and Higashijima 2017)</w:t>
      </w:r>
      <w:r>
        <w:rPr>
          <w:lang w:val="en-GB"/>
        </w:rPr>
        <w:fldChar w:fldCharType="end"/>
      </w:r>
      <w:r>
        <w:rPr>
          <w:lang w:val="en-GB"/>
        </w:rPr>
        <w:t>.</w:t>
      </w:r>
    </w:p>
    <w:p w14:paraId="79B60B4D" w14:textId="5C9A38CA" w:rsidR="009E2D26" w:rsidRDefault="000166D8" w:rsidP="00455EE5">
      <w:pPr>
        <w:rPr>
          <w:strike/>
        </w:rPr>
      </w:pPr>
      <w:r>
        <w:t xml:space="preserve">Fixed exchange rates are also likely to put major constraints on </w:t>
      </w:r>
      <w:r w:rsidR="00006F74">
        <w:t>monetary policy.</w:t>
      </w:r>
      <w:r w:rsidR="00813038">
        <w:t xml:space="preserve"> </w:t>
      </w:r>
      <w:r w:rsidR="000C63D6">
        <w:t xml:space="preserve">Again, citing the </w:t>
      </w:r>
      <w:r w:rsidR="000C2ED9">
        <w:t xml:space="preserve">Mundell-Fleming </w:t>
      </w:r>
      <w:r w:rsidR="000C63D6">
        <w:t xml:space="preserve">trilemma, </w:t>
      </w:r>
      <w:r w:rsidR="00FF2943">
        <w:t>in an open economy</w:t>
      </w:r>
      <w:r w:rsidR="00813038">
        <w:t xml:space="preserve"> </w:t>
      </w:r>
      <w:r w:rsidR="00BB2AC6">
        <w:t xml:space="preserve">without capital controls, </w:t>
      </w:r>
      <w:r w:rsidR="00813038">
        <w:t>fixed rates preclude independent monetary policy.</w:t>
      </w:r>
      <w:r w:rsidR="00B94F71">
        <w:t xml:space="preserve"> They </w:t>
      </w:r>
      <w:r w:rsidR="00D46786">
        <w:t xml:space="preserve">effectively </w:t>
      </w:r>
      <w:r w:rsidR="00B94F71">
        <w:t>represent an outsourcing</w:t>
      </w:r>
      <w:r w:rsidR="00D535F7">
        <w:t xml:space="preserve"> of </w:t>
      </w:r>
      <w:r w:rsidR="00384E0D">
        <w:t xml:space="preserve">what was once a </w:t>
      </w:r>
      <w:r w:rsidR="00064D0E">
        <w:t>means to manipul</w:t>
      </w:r>
      <w:r w:rsidR="007C3491">
        <w:t>ate the economy.</w:t>
      </w:r>
      <w:r w:rsidR="000F0458">
        <w:t xml:space="preserve"> Policy</w:t>
      </w:r>
      <w:r w:rsidR="00F35BE2">
        <w:t xml:space="preserve"> is subject to the maintenance of</w:t>
      </w:r>
      <w:r w:rsidR="000F0458">
        <w:t xml:space="preserve"> the rate</w:t>
      </w:r>
      <w:r w:rsidR="000B0071">
        <w:t>,</w:t>
      </w:r>
      <w:r w:rsidR="006114B9">
        <w:t xml:space="preserve"> rather than electoral opportunism or partisanship</w:t>
      </w:r>
      <w:r w:rsidR="004A45FF">
        <w:t>.</w:t>
      </w:r>
      <w:r w:rsidR="00637973">
        <w:rPr>
          <w:rStyle w:val="FootnoteReference"/>
        </w:rPr>
        <w:footnoteReference w:id="4"/>
      </w:r>
    </w:p>
    <w:p w14:paraId="5B046E51" w14:textId="3C985C20" w:rsidR="003D735D" w:rsidRDefault="00F77456" w:rsidP="009E5B56">
      <w:r>
        <w:t>Adopting a fixed exchange rate may</w:t>
      </w:r>
      <w:r w:rsidR="00FD75A0">
        <w:t xml:space="preserve">, on the other hand, allow for a loosening of </w:t>
      </w:r>
      <w:r w:rsidR="00F73432">
        <w:t>fiscal policy.</w:t>
      </w:r>
      <w:r w:rsidR="00E27A8D">
        <w:t xml:space="preserve"> </w:t>
      </w:r>
      <w:r w:rsidR="00A4786B">
        <w:t>A fixed exchange rate may increase confidence in a nation</w:t>
      </w:r>
      <w:r w:rsidR="003B5E78">
        <w:t>’</w:t>
      </w:r>
      <w:r w:rsidR="00A4786B">
        <w:t xml:space="preserve">s ability to repay external debt </w:t>
      </w:r>
      <w:r w:rsidR="002D5E98">
        <w:t>which is not denominated in its own currency</w:t>
      </w:r>
      <w:r w:rsidR="001A47A1">
        <w:t xml:space="preserve">, opening access to </w:t>
      </w:r>
      <w:r w:rsidR="00FC6912">
        <w:t>vast amounts of foreign capital</w:t>
      </w:r>
      <w:r w:rsidR="002D5E98">
        <w:t>.</w:t>
      </w:r>
      <w:r w:rsidR="000C0D71">
        <w:t xml:space="preserve"> This may be particularly important for </w:t>
      </w:r>
      <w:r w:rsidR="000F356C">
        <w:t>any nations faced with an “</w:t>
      </w:r>
      <w:r w:rsidR="00CB231E">
        <w:t xml:space="preserve">original sin” problem, able only to borrow in foreign currency </w:t>
      </w:r>
      <w:r w:rsidR="00CB231E">
        <w:fldChar w:fldCharType="begin"/>
      </w:r>
      <w:r w:rsidR="007B01F4">
        <w:instrText xml:space="preserve"> ADDIN ZOTERO_ITEM CSL_CITATION {"citationID":"e8UgaB4u","properties":{"formattedCitation":"(Eichengreen and Hausmann 2005)","plainCitation":"(Eichengreen and Hausmann 2005)","noteIndex":0},"citationItems":[{"id":223,"uris":["http://zotero.org/users/5939705/items/TEG2SHRD"],"uri":["http://zotero.org/users/5939705/items/TEG2SHRD"],"itemData":{"id":223,"type":"book","ISBN":"978-0-226-19455-4","language":"en","note":"DOI: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CB231E">
        <w:fldChar w:fldCharType="separate"/>
      </w:r>
      <w:r w:rsidR="004D5196" w:rsidRPr="004D5196">
        <w:rPr>
          <w:rFonts w:ascii="Calibri" w:hAnsi="Calibri" w:cs="Calibri"/>
        </w:rPr>
        <w:t>(Eichengreen and Hausmann 2005)</w:t>
      </w:r>
      <w:r w:rsidR="00CB231E">
        <w:fldChar w:fldCharType="end"/>
      </w:r>
      <w:r w:rsidR="004D5196">
        <w:t xml:space="preserve">. </w:t>
      </w:r>
      <w:r w:rsidR="003D735D">
        <w:t xml:space="preserve">The </w:t>
      </w:r>
      <w:r w:rsidR="00AB5F55">
        <w:t>theoretical</w:t>
      </w:r>
      <w:r w:rsidR="003D735D">
        <w:t xml:space="preserve"> effect of fixed </w:t>
      </w:r>
      <w:r w:rsidR="00635F24">
        <w:t>rates on overall manipulation is hence unclear</w:t>
      </w:r>
      <w:r w:rsidR="009D3179">
        <w:t>.</w:t>
      </w:r>
    </w:p>
    <w:p w14:paraId="3F8199BB" w14:textId="3AE5B6AC" w:rsidR="009E5B56" w:rsidRDefault="004606BE" w:rsidP="009E5B56">
      <w:r>
        <w:t>However</w:t>
      </w:r>
      <w:r w:rsidR="009E5B56">
        <w:t xml:space="preserve">, the evidence for a </w:t>
      </w:r>
      <w:r w:rsidR="007E51BF">
        <w:t xml:space="preserve">net </w:t>
      </w:r>
      <w:r w:rsidR="009E5B56">
        <w:t xml:space="preserve">limiting impact of </w:t>
      </w:r>
      <w:r w:rsidR="0006475E">
        <w:t xml:space="preserve">both </w:t>
      </w:r>
      <w:r w:rsidR="009E5B56">
        <w:t xml:space="preserve">CBI and fixed rates on </w:t>
      </w:r>
      <w:r w:rsidR="00C3062B">
        <w:t>political business cycles through the</w:t>
      </w:r>
      <w:r w:rsidR="001A65F3">
        <w:t>se theoretical mechanisms seems to be convincing.</w:t>
      </w:r>
      <w:r w:rsidR="00AD5421">
        <w:t xml:space="preserve"> For OECD nations</w:t>
      </w:r>
      <w:r w:rsidR="00BD12DB">
        <w:t xml:space="preserve"> from the 1960s to the 1980s</w:t>
      </w:r>
      <w:r w:rsidR="00AD5421">
        <w:t xml:space="preserve">, </w:t>
      </w:r>
      <w:r w:rsidR="00733B04">
        <w:t>evidence suggests that both regimes</w:t>
      </w:r>
      <w:r w:rsidR="00A724ED">
        <w:t>, at least at levels above</w:t>
      </w:r>
      <w:r w:rsidR="00306BA3">
        <w:t xml:space="preserve"> their average values</w:t>
      </w:r>
      <w:r w:rsidR="009B0EAE">
        <w:t xml:space="preserve">, reduce cyclical (opportunistic) behavior </w:t>
      </w:r>
      <w:r w:rsidR="008B34F7">
        <w:t>in both time-series and cross-sectional analysis</w:t>
      </w:r>
      <w:r w:rsidR="00D36C7A">
        <w:t xml:space="preserve">, although the effect of fixed </w:t>
      </w:r>
      <w:r w:rsidR="00D36C7A">
        <w:lastRenderedPageBreak/>
        <w:t>rates is of net small and di</w:t>
      </w:r>
      <w:r w:rsidR="00626606">
        <w:t>fficult to detect as significant</w:t>
      </w:r>
      <w:r w:rsidR="008B34F7">
        <w:t xml:space="preserve"> </w:t>
      </w:r>
      <w:r w:rsidR="00443254">
        <w:fldChar w:fldCharType="begin"/>
      </w:r>
      <w:r w:rsidR="007B01F4">
        <w:instrText xml:space="preserve"> ADDIN ZOTERO_ITEM CSL_CITATION {"citationID":"mcuXNMZ2","properties":{"formattedCitation":"(William Roberts Clark et al. 1998)","plainCitation":"(William Roberts Clark et al. 1998)","noteIndex":0},"citationItems":[{"id":224,"uris":["http://zotero.org/users/5939705/items/3JPY4HEU"],"uri":["http://zotero.org/users/5939705/items/3JPY4HEU"],"itemData":{"id":224,"type":"article-journal","abstract":"The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00443254">
        <w:fldChar w:fldCharType="separate"/>
      </w:r>
      <w:r w:rsidR="001B0163" w:rsidRPr="001B0163">
        <w:rPr>
          <w:rFonts w:ascii="Calibri" w:hAnsi="Calibri" w:cs="Calibri"/>
        </w:rPr>
        <w:t>(William Roberts Clark et al. 1998)</w:t>
      </w:r>
      <w:r w:rsidR="00443254">
        <w:fldChar w:fldCharType="end"/>
      </w:r>
      <w:r w:rsidR="008B34F7">
        <w:t>.</w:t>
      </w:r>
      <w:r w:rsidR="00EE62E9">
        <w:t xml:space="preserve"> This occurs for variables of both output and employment, potentially affected by both monetary and fiscal policy.</w:t>
      </w:r>
    </w:p>
    <w:p w14:paraId="126BDEA6" w14:textId="1263BCAF" w:rsidR="00675DBD" w:rsidRDefault="00112093" w:rsidP="00112093">
      <w:pPr>
        <w:pStyle w:val="Heading2"/>
      </w:pPr>
      <w:r>
        <w:t>Economic Voting</w:t>
      </w:r>
    </w:p>
    <w:p w14:paraId="1E67F094" w14:textId="3D35FC9D" w:rsidR="00AA7640" w:rsidRDefault="0088346C" w:rsidP="002E72B3">
      <w:r>
        <w:t xml:space="preserve">Central to the implications </w:t>
      </w:r>
      <w:r w:rsidR="00380BA4">
        <w:t>of</w:t>
      </w:r>
      <w:r>
        <w:t xml:space="preserve"> </w:t>
      </w:r>
      <w:r w:rsidR="00112093">
        <w:t>the strands</w:t>
      </w:r>
      <w:r>
        <w:t xml:space="preserve"> above </w:t>
      </w:r>
      <w:r w:rsidR="004F7C58">
        <w:t xml:space="preserve">is the </w:t>
      </w:r>
      <w:r w:rsidR="002E72B3">
        <w:t>literature</w:t>
      </w:r>
      <w:r w:rsidR="004F7C58">
        <w:t xml:space="preserve"> on economic voting.</w:t>
      </w:r>
      <w:r w:rsidR="006D0C0A">
        <w:t xml:space="preserve"> There must </w:t>
      </w:r>
      <w:r w:rsidR="00BB56F7">
        <w:t xml:space="preserve">be a mechanism in place through which voters respond to </w:t>
      </w:r>
      <w:r w:rsidR="00501458">
        <w:t>economic variables and manipulation</w:t>
      </w:r>
      <w:r w:rsidR="00F906FE">
        <w:t xml:space="preserve">, and politicians </w:t>
      </w:r>
      <w:r w:rsidR="00731272">
        <w:t>should</w:t>
      </w:r>
      <w:r w:rsidR="00F906FE">
        <w:t xml:space="preserve"> be aware of this mechanism</w:t>
      </w:r>
      <w:r w:rsidR="00501458">
        <w:t>.</w:t>
      </w:r>
      <w:r w:rsidR="0018292A">
        <w:t xml:space="preserve"> Voters may be concerned with their own </w:t>
      </w:r>
      <w:r w:rsidR="00B92E03">
        <w:t xml:space="preserve">status (pocketbook concerned) </w:t>
      </w:r>
      <w:r w:rsidR="00815F9E">
        <w:t xml:space="preserve">or </w:t>
      </w:r>
      <w:r w:rsidR="00B92E03">
        <w:t>with the overall economy (</w:t>
      </w:r>
      <w:proofErr w:type="spellStart"/>
      <w:r w:rsidR="00B92E03">
        <w:t>sociotropic</w:t>
      </w:r>
      <w:proofErr w:type="spellEnd"/>
      <w:r w:rsidR="00B92E03">
        <w:t>)</w:t>
      </w:r>
      <w:r w:rsidR="00730930">
        <w:t xml:space="preserve">, and </w:t>
      </w:r>
      <w:r w:rsidR="003E63D2">
        <w:t>retrospective (backward-looking) or prospective (forward-looking).</w:t>
      </w:r>
    </w:p>
    <w:p w14:paraId="0B7CDC97" w14:textId="34F9D34A" w:rsidR="00645612" w:rsidRPr="00D80FF1" w:rsidRDefault="00D8276B" w:rsidP="002E72B3">
      <w:r>
        <w:t>A review of the literature generally reveals that economic voting exists</w:t>
      </w:r>
      <w:r w:rsidR="002D1B60">
        <w:t>, which means that political business cycles are in fact plausible.</w:t>
      </w:r>
      <w:r w:rsidR="00ED626D">
        <w:t xml:space="preserve"> In particular, this eco</w:t>
      </w:r>
      <w:r w:rsidR="00ED626D" w:rsidRPr="00A069EB">
        <w:t xml:space="preserve">nomic voting is </w:t>
      </w:r>
      <w:proofErr w:type="spellStart"/>
      <w:r w:rsidR="00ED626D" w:rsidRPr="00A069EB">
        <w:t>sociotropic</w:t>
      </w:r>
      <w:proofErr w:type="spellEnd"/>
      <w:r w:rsidR="00ED626D" w:rsidRPr="00A069EB">
        <w:t xml:space="preserve"> and retrospective, </w:t>
      </w:r>
      <w:r w:rsidR="007534CC" w:rsidRPr="00A069EB">
        <w:t>with the exception of cases</w:t>
      </w:r>
      <w:r w:rsidR="000249E3" w:rsidRPr="00A069EB">
        <w:t xml:space="preserve"> when an incumbent is not running</w:t>
      </w:r>
      <w:r w:rsidR="00866F4F" w:rsidRPr="00A069EB">
        <w:t xml:space="preserve">, when voting is more prospective </w:t>
      </w:r>
      <w:r w:rsidR="00385642" w:rsidRPr="00A069EB">
        <w:fldChar w:fldCharType="begin"/>
      </w:r>
      <w:r w:rsidR="007B01F4">
        <w:instrText xml:space="preserve"> ADDIN ZOTERO_ITEM CSL_CITATION {"citationID":"04iMfrD3","properties":{"formattedCitation":"(Lewis-Beck and Stegmaier 2019; Nadeau and Lewis-Beck 2001)","plainCitation":"(Lewis-Beck and Stegmaier 2019; Nadeau and Lewis-Beck 2001)","noteIndex":0},"citationItems":[{"id":221,"uris":["http://zotero.org/users/5939705/items/4UIHK76I"],"uri":["http://zotero.org/users/5939705/items/4UIHK76I"],"itemData":{"id":221,"type":"article-journal","abstract":"We examine the economics and elections connection, often referred to as economic voting, via a review of key studies by economists and political scientists, focusing on key generalizations applicable across democracies. Early work (1930s–1960s) was exploratory, seeking to establish whether economics mattered for elections, in the examination of individual country studies. In two strands of later work, one (1970–1990) developed “vote-popularity functions” over time; another (1980–2000) researched micro-level economic voting in national election surveys. Leading, global generalizations began to emerge in the contemporary period (2000s–2010s), such as the following: sociotropic retrospective economic evaluations dominate the economic vote choice, the economic vote itself can vary with clarity of policy responsibility, and the strong research results at the national level mirror results at the individual voter level. Currently, questions of the impact of economic crisis, and further dimensions of the economic vote, such as positional or patrimonial voting, are under serious consideration.","container-title":"The Oxford Handbook of Public Choice, Volume 1","DOI":"10.1093/oxfordhb/9780190469733.013.12","language":"en","source":"www.oxfordhandbooks.com","title":"Economic Voting","URL":"https://www.oxfordhandbooks.com/view/10.1093/oxfordhb/9780190469733.001.0001/oxfordhb-9780190469733-e-12","author":[{"family":"Lewis-Beck","given":"Michael S."},{"family":"Stegmaier","given":"Mary"}],"accessed":{"date-parts":[["2020",1,10]]},"issued":{"date-parts":[["2019",2,28]]}}},{"id":262,"uris":["http://zotero.org/users/5939705/items/RBQ65FGY"],"uri":["http://zotero.org/users/5939705/items/RBQ65FGY"],"itemData":{"id":262,"type":"article-journal","abstract":"National economic conditions regularly influence outcomes in U.S. presidential elections. However, beyond this simple finding, much remains unclear. How large are national economic effects? Which macroeconomic indicators? Subjective or objective measures? Retrospective or prospective? What is the role of institutions? In our analysis of the American National Election Studies, 1956-1996, we employ a National Business Index (NBI), an aggregate measure that amalgamates individual voter perceptions of the collective economy. It outperforms other national economic measures and reveals that effects have been underestimated. The assumption of strong retrospective economic voting is tested under different institutional hypotheses. Contrary to expectations, it is not found to be influenced by divided government, but it is heavily influenced by incumbency, meaning in practice whether a popularly elected president is running. Moreover, this incumbency variable highly conditions the time horizon of national economic voting. When a popularly elected president is not running, such voting is almost entirely prospective. These conditional effects go a long way toward explaining certain enduring controversies in the literature.","archive":"JSTOR","container-title":"The Journal of Politics","ISSN":"0022-3816","issue":"1","page":"159-181","source":"JSTOR","title":"National Economic Voting in U.S. Presidential Elections","volume":"63","author":[{"family":"Nadeau","given":"Richard"},{"family":"Lewis-Beck","given":"Michael S."}],"issued":{"date-parts":[["2001"]]}}}],"schema":"https://github.com/citation-style-language/schema/raw/master/csl-citation.json"} </w:instrText>
      </w:r>
      <w:r w:rsidR="00385642" w:rsidRPr="00A069EB">
        <w:fldChar w:fldCharType="separate"/>
      </w:r>
      <w:r w:rsidR="00341652" w:rsidRPr="00A069EB">
        <w:rPr>
          <w:rFonts w:ascii="Calibri" w:hAnsi="Calibri" w:cs="Calibri"/>
        </w:rPr>
        <w:t>(Lewis-Beck and Stegmaier 2019; Nadeau and Lewis-Beck 2001)</w:t>
      </w:r>
      <w:r w:rsidR="00385642" w:rsidRPr="00A069EB">
        <w:fldChar w:fldCharType="end"/>
      </w:r>
      <w:r w:rsidR="00866F4F" w:rsidRPr="00A069EB">
        <w:t>.</w:t>
      </w:r>
      <w:r w:rsidR="00847436" w:rsidRPr="00A069EB">
        <w:rPr>
          <w:rStyle w:val="FootnoteReference"/>
        </w:rPr>
        <w:footnoteReference w:id="5"/>
      </w:r>
      <w:r w:rsidR="00CE6F32">
        <w:t xml:space="preserve"> I abstract from these cases by noting that prospective evaluations are still likely to be informed by past performance.</w:t>
      </w:r>
      <w:r w:rsidR="00DD2E76">
        <w:rPr>
          <w:rStyle w:val="FootnoteReference"/>
        </w:rPr>
        <w:footnoteReference w:id="6"/>
      </w:r>
    </w:p>
    <w:p w14:paraId="22FE51E3" w14:textId="47C2963D" w:rsidR="00C003DA" w:rsidRDefault="004E59FE" w:rsidP="002E72B3">
      <w:r>
        <w:t>Politicians</w:t>
      </w:r>
      <w:r w:rsidR="00C003DA">
        <w:t xml:space="preserve"> </w:t>
      </w:r>
      <w:r w:rsidR="005D0566">
        <w:t>also appear to be</w:t>
      </w:r>
      <w:r w:rsidR="00C003DA">
        <w:t xml:space="preserve"> aware of economic voting, creating the appropriate motivations for </w:t>
      </w:r>
      <w:r w:rsidR="00972324">
        <w:t xml:space="preserve">welfare enhancing or manipulative </w:t>
      </w:r>
      <w:r w:rsidR="00C003DA" w:rsidRPr="00EB1896">
        <w:t xml:space="preserve">behavior. </w:t>
      </w:r>
      <w:r w:rsidR="00C003DA" w:rsidRPr="00F96F82">
        <w:t>There is</w:t>
      </w:r>
      <w:r w:rsidR="00CE4916" w:rsidRPr="00F96F82">
        <w:t xml:space="preserve"> at least</w:t>
      </w:r>
      <w:r w:rsidR="00C003DA" w:rsidRPr="00F96F82">
        <w:t xml:space="preserve"> </w:t>
      </w:r>
      <w:r w:rsidR="000B0122" w:rsidRPr="00F96F82">
        <w:t xml:space="preserve">good anecdotal </w:t>
      </w:r>
      <w:r w:rsidR="00C003DA" w:rsidRPr="00F96F82">
        <w:t>evidence on this point.</w:t>
      </w:r>
      <w:r w:rsidR="00F96F82">
        <w:rPr>
          <w:rStyle w:val="FootnoteReference"/>
        </w:rPr>
        <w:footnoteReference w:id="7"/>
      </w:r>
      <w:r w:rsidR="00C003DA">
        <w:t xml:space="preserve"> In the US, for example, statistical studies were actually commissioned by top government officials which found a clear responsiveness of vote shares to economic conditions as early as the 1970s </w:t>
      </w:r>
      <w:r w:rsidR="00C003DA">
        <w:fldChar w:fldCharType="begin"/>
      </w:r>
      <w:r w:rsidR="006F3F5C">
        <w:instrText xml:space="preserve"> ADDIN ZOTERO_ITEM CSL_CITATION {"citationID":"ea0U6F5G","properties":{"formattedCitation":"(Tufte 1980)","plainCitation":"(Tufte 1980)","noteIndex":0},"citationItems":[{"id":256,"uris":["http://zotero.org/users/5939705/items/ATHLW8P9"],"uri":["http://zotero.org/users/5939705/items/ATHLW8P9"],"itemData":{"id":256,"type":"book","edition":"1.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C003DA">
        <w:fldChar w:fldCharType="separate"/>
      </w:r>
      <w:r w:rsidR="00C003DA" w:rsidRPr="00D14714">
        <w:rPr>
          <w:rFonts w:ascii="Calibri" w:hAnsi="Calibri" w:cs="Calibri"/>
        </w:rPr>
        <w:t>(Tufte 1980)</w:t>
      </w:r>
      <w:r w:rsidR="00C003DA">
        <w:fldChar w:fldCharType="end"/>
      </w:r>
      <w:r w:rsidR="00C003DA">
        <w:t xml:space="preserve">. Perhaps the most famous articulation of awareness was that of the 1992 U.S. presidential campaign, when Bill Clinton’s chief strategist James Carville put up a sign in campaign headquarters that read: “It’s the economy, stupid!” </w:t>
      </w:r>
      <w:r w:rsidR="00C003DA">
        <w:fldChar w:fldCharType="begin"/>
      </w:r>
      <w:r w:rsidR="007B01F4">
        <w:instrText xml:space="preserve"> ADDIN ZOTERO_ITEM CSL_CITATION {"citationID":"TIk9J3ue","properties":{"formattedCitation":"(Anderson 2007)","plainCitation":"(Anderson 2007)","noteIndex":0},"citationItems":[{"id":220,"uris":["http://zotero.org/users/5939705/items/RKASPTD9"],"uri":["http://zotero.org/users/5939705/items/RKASPTD9"],"itemData":{"id":220,"type":"paper-conference","abstract":"▪ Abstract The predominant normative justification for research on economic voting has been its essential role in shaping democratic accountability. A systematic examination of this literature reveals, however, that economic voting is highly contingent on two critical moderating factors: voters themselves and the political context in which they make judgments. The trend toward a better and more realistic understanding of economic voting produced by almost four decades of empirical research has created what I label “contingency dilemmas” for the field's normative foundations because economic voting does not function as envisioned by advocates of democratic accountability. This essay reviews these empirical findings and critically examines how they affect the economic voting paradigm. It argues that, when viewed from a normative perspective, contingent accountability is clearly problematic, and it calls for a reconsideration of the normative underpinnings of the economic voting paradigm in light of the curr...","DOI":"10.1146/annurev.polisci.10.050806.155344","source":"Semantic Scholar","title":"The End of Economic Voting? Contingency Dilemmas and the Limits of Democratic Accountability","title-short":"The End of Economic Voting?","author":[{"family":"Anderson","given":"Christopher J."}],"issued":{"date-parts":[["2007"]]}}}],"schema":"https://github.com/citation-style-language/schema/raw/master/csl-citation.json"} </w:instrText>
      </w:r>
      <w:r w:rsidR="00C003DA">
        <w:fldChar w:fldCharType="separate"/>
      </w:r>
      <w:r w:rsidR="00C003DA" w:rsidRPr="003852AD">
        <w:rPr>
          <w:rFonts w:ascii="Calibri" w:hAnsi="Calibri" w:cs="Calibri"/>
        </w:rPr>
        <w:t>(Anderson 2007)</w:t>
      </w:r>
      <w:r w:rsidR="00C003DA">
        <w:fldChar w:fldCharType="end"/>
      </w:r>
    </w:p>
    <w:p w14:paraId="36321562" w14:textId="76395878" w:rsidR="007D21A6" w:rsidRDefault="00FC644F" w:rsidP="002E72B3">
      <w:r>
        <w:t xml:space="preserve">With a </w:t>
      </w:r>
      <w:proofErr w:type="spellStart"/>
      <w:r>
        <w:t>sociotropic</w:t>
      </w:r>
      <w:proofErr w:type="spellEnd"/>
      <w:r>
        <w:t xml:space="preserve">, </w:t>
      </w:r>
      <w:r w:rsidR="00ED1892">
        <w:t xml:space="preserve">mostly </w:t>
      </w:r>
      <w:r>
        <w:t xml:space="preserve">retrospective, and </w:t>
      </w:r>
      <w:r w:rsidR="00DA14D5">
        <w:t>well-known model of economic voting in place, we can now move t</w:t>
      </w:r>
      <w:r w:rsidR="001165CD">
        <w:t>hrough to evaluate the electoral implications of</w:t>
      </w:r>
      <w:r w:rsidR="00F81D0C">
        <w:t xml:space="preserve"> limiting institutions through each strand of mechanisms.</w:t>
      </w:r>
      <w:r w:rsidR="001165CD">
        <w:t xml:space="preserve"> </w:t>
      </w:r>
      <w:r w:rsidR="00435A70">
        <w:t xml:space="preserve">The implied instability consequences of welfare effects of limiting institutions fit well with findings of </w:t>
      </w:r>
      <w:r w:rsidR="00252C86">
        <w:t xml:space="preserve">mostly </w:t>
      </w:r>
      <w:r w:rsidR="00056CB3">
        <w:t>retrospective</w:t>
      </w:r>
      <w:r w:rsidR="000B13F8">
        <w:t xml:space="preserve"> and </w:t>
      </w:r>
      <w:proofErr w:type="spellStart"/>
      <w:r w:rsidR="000B13F8">
        <w:t>sociotropic</w:t>
      </w:r>
      <w:proofErr w:type="spellEnd"/>
      <w:r w:rsidR="000B13F8">
        <w:t xml:space="preserve"> </w:t>
      </w:r>
      <w:r w:rsidR="00435A70">
        <w:t>voting.</w:t>
      </w:r>
      <w:r w:rsidR="002C63FC">
        <w:t xml:space="preserve"> </w:t>
      </w:r>
      <w:r w:rsidR="00354E82">
        <w:t xml:space="preserve">Voters </w:t>
      </w:r>
      <w:r w:rsidR="006A317B">
        <w:t>reflect on their</w:t>
      </w:r>
      <w:r w:rsidR="00FA01E4">
        <w:t xml:space="preserve"> net</w:t>
      </w:r>
      <w:r w:rsidR="006A317B">
        <w:t xml:space="preserve"> improved </w:t>
      </w:r>
      <w:r w:rsidR="00242366">
        <w:t>present condition under the limiting regimes.</w:t>
      </w:r>
      <w:r w:rsidR="00FA01E4">
        <w:t xml:space="preserve"> </w:t>
      </w:r>
      <w:r w:rsidR="00242366">
        <w:t>They are glad to see that s</w:t>
      </w:r>
      <w:r w:rsidR="00C76BC3">
        <w:t xml:space="preserve">ociety </w:t>
      </w:r>
      <w:r w:rsidR="00DC5D3B">
        <w:t>is</w:t>
      </w:r>
      <w:r w:rsidR="00C76BC3">
        <w:t xml:space="preserve"> p</w:t>
      </w:r>
      <w:r w:rsidR="000B13F8">
        <w:t>ermanently better off with the new institutions</w:t>
      </w:r>
      <w:r w:rsidR="00C76BC3">
        <w:t xml:space="preserve">, facing a better output-inflation tradeoff, </w:t>
      </w:r>
      <w:r w:rsidR="00346C78">
        <w:t>stable trade, and greater political efficacy</w:t>
      </w:r>
      <w:r w:rsidR="00636467">
        <w:t xml:space="preserve"> </w:t>
      </w:r>
      <w:r w:rsidR="0045119B">
        <w:t>along with other net benefits</w:t>
      </w:r>
      <w:r w:rsidR="001858B6">
        <w:t xml:space="preserve"> despite some loss of flexibility</w:t>
      </w:r>
      <w:r w:rsidR="00983C85">
        <w:t>.</w:t>
      </w:r>
      <w:r w:rsidR="00FA01E4">
        <w:t xml:space="preserve"> </w:t>
      </w:r>
      <w:r w:rsidR="007D21A6" w:rsidRPr="007E56A4">
        <w:t>As a next step,</w:t>
      </w:r>
      <w:r w:rsidR="007E56A4">
        <w:t xml:space="preserve"> a</w:t>
      </w:r>
      <w:r w:rsidR="007D21A6" w:rsidRPr="007E56A4">
        <w:t xml:space="preserve"> happy society and electorate </w:t>
      </w:r>
      <w:r w:rsidR="007E56A4" w:rsidRPr="007E56A4">
        <w:t>consistently</w:t>
      </w:r>
      <w:r w:rsidR="007D21A6" w:rsidRPr="007E56A4">
        <w:t xml:space="preserve"> reward</w:t>
      </w:r>
      <w:r w:rsidR="007E56A4" w:rsidRPr="007E56A4">
        <w:t>s</w:t>
      </w:r>
      <w:r w:rsidR="007D21A6" w:rsidRPr="007E56A4">
        <w:t xml:space="preserve"> elected officials</w:t>
      </w:r>
      <w:r w:rsidR="007E56A4">
        <w:t xml:space="preserve"> for maintaining these good conditions and institutions</w:t>
      </w:r>
      <w:r w:rsidR="007D21A6" w:rsidRPr="007E56A4">
        <w:t>.</w:t>
      </w:r>
    </w:p>
    <w:p w14:paraId="0775E21F" w14:textId="3041EB5D" w:rsidR="00EB3505" w:rsidRPr="004D7053" w:rsidRDefault="007554F9" w:rsidP="00630CF6">
      <w:pPr>
        <w:rPr>
          <w:highlight w:val="yellow"/>
        </w:rPr>
      </w:pPr>
      <w:r>
        <w:t xml:space="preserve">Within the political business cycle strand, </w:t>
      </w:r>
      <w:r w:rsidR="00C21CD4">
        <w:t xml:space="preserve">with </w:t>
      </w:r>
      <w:proofErr w:type="spellStart"/>
      <w:r w:rsidR="00C21CD4">
        <w:t>sociotropic</w:t>
      </w:r>
      <w:proofErr w:type="spellEnd"/>
      <w:r w:rsidR="00C21CD4">
        <w:t xml:space="preserve"> and </w:t>
      </w:r>
      <w:r w:rsidR="00D13089">
        <w:t xml:space="preserve">mostly </w:t>
      </w:r>
      <w:r w:rsidR="00C21CD4" w:rsidRPr="00B2404E">
        <w:t>retrospective voting,</w:t>
      </w:r>
      <w:r w:rsidR="00722FA1" w:rsidRPr="00B2404E">
        <w:t xml:space="preserve"> </w:t>
      </w:r>
      <w:r w:rsidR="00BA1ADF" w:rsidRPr="00B2404E">
        <w:t>the</w:t>
      </w:r>
      <w:r w:rsidR="00983FD5" w:rsidRPr="00B2404E">
        <w:t xml:space="preserve"> general</w:t>
      </w:r>
      <w:r w:rsidR="00983FD5">
        <w:t xml:space="preserve"> effect seems to be that of increased instability from </w:t>
      </w:r>
      <w:r w:rsidR="00983FD5" w:rsidRPr="00554560">
        <w:t>limiting institutions</w:t>
      </w:r>
      <w:r w:rsidR="00B94A45" w:rsidRPr="00554560">
        <w:t xml:space="preserve"> due to decrease</w:t>
      </w:r>
      <w:r w:rsidR="00DC5516" w:rsidRPr="00554560">
        <w:t>d</w:t>
      </w:r>
      <w:r w:rsidR="00B94A45" w:rsidRPr="00554560">
        <w:t xml:space="preserve"> manipulation</w:t>
      </w:r>
      <w:r w:rsidR="00983FD5" w:rsidRPr="00554560">
        <w:t>.</w:t>
      </w:r>
      <w:r w:rsidR="00207BDA" w:rsidRPr="00554560">
        <w:t xml:space="preserve"> </w:t>
      </w:r>
      <w:r w:rsidR="00545543" w:rsidRPr="00554560">
        <w:t xml:space="preserve">If political business cycles are opportunistic or </w:t>
      </w:r>
      <w:r w:rsidR="00DC2C2B" w:rsidRPr="00554560">
        <w:t xml:space="preserve">directly </w:t>
      </w:r>
      <w:r w:rsidR="002D0E78" w:rsidRPr="00554560">
        <w:t xml:space="preserve">driven by </w:t>
      </w:r>
      <w:r w:rsidR="00DD6AD1" w:rsidRPr="00554560">
        <w:t>short-term desire to stay in office,</w:t>
      </w:r>
      <w:r w:rsidR="00EC6E56" w:rsidRPr="00554560">
        <w:t xml:space="preserve"> economic voting predictions of the consequences of limits on manipulation are</w:t>
      </w:r>
      <w:r w:rsidR="00E7089B" w:rsidRPr="00554560">
        <w:t xml:space="preserve"> relatively straightforward.</w:t>
      </w:r>
      <w:r w:rsidR="00002177" w:rsidRPr="00554560">
        <w:t xml:space="preserve"> The incumbent would like to </w:t>
      </w:r>
      <w:r w:rsidR="005501F5" w:rsidRPr="00554560">
        <w:t xml:space="preserve">create socially </w:t>
      </w:r>
      <w:r w:rsidR="00B26208" w:rsidRPr="00554560">
        <w:t>desired</w:t>
      </w:r>
      <w:r w:rsidR="0080735C" w:rsidRPr="00554560">
        <w:t xml:space="preserve"> short-</w:t>
      </w:r>
      <w:r w:rsidR="0080735C" w:rsidRPr="0070766F">
        <w:t>term</w:t>
      </w:r>
      <w:r w:rsidR="002538A1" w:rsidRPr="0070766F">
        <w:t xml:space="preserve"> conditions for </w:t>
      </w:r>
      <w:r w:rsidR="0064078B" w:rsidRPr="0070766F">
        <w:t>variables</w:t>
      </w:r>
      <w:r w:rsidR="00B43044" w:rsidRPr="0070766F">
        <w:t xml:space="preserve"> </w:t>
      </w:r>
      <w:r w:rsidR="00B43044" w:rsidRPr="0070766F">
        <w:lastRenderedPageBreak/>
        <w:t xml:space="preserve">such as </w:t>
      </w:r>
      <w:r w:rsidR="004640CC">
        <w:t xml:space="preserve">low </w:t>
      </w:r>
      <w:r w:rsidR="00B43044" w:rsidRPr="0070766F">
        <w:t>inflation and unemployment</w:t>
      </w:r>
      <w:r w:rsidR="00096B06" w:rsidRPr="0070766F">
        <w:t xml:space="preserve"> but cannot do so</w:t>
      </w:r>
      <w:r w:rsidR="00B43044" w:rsidRPr="0070766F">
        <w:t>.</w:t>
      </w:r>
      <w:r w:rsidR="00BE6C18">
        <w:rPr>
          <w:rStyle w:val="FootnoteReference"/>
        </w:rPr>
        <w:footnoteReference w:id="8"/>
      </w:r>
      <w:r w:rsidR="00404EA4" w:rsidRPr="0070766F">
        <w:t xml:space="preserve"> </w:t>
      </w:r>
      <w:r w:rsidR="0037019E" w:rsidRPr="0070766F">
        <w:t xml:space="preserve">Retrospective voters may </w:t>
      </w:r>
      <w:r w:rsidR="00404EA4" w:rsidRPr="0070766F">
        <w:t xml:space="preserve">then </w:t>
      </w:r>
      <w:r w:rsidR="0037019E" w:rsidRPr="0070766F">
        <w:t>explicitly punish them at the polls</w:t>
      </w:r>
      <w:r w:rsidR="00404EA4" w:rsidRPr="0070766F">
        <w:t xml:space="preserve"> by voting for an opponent</w:t>
      </w:r>
      <w:r w:rsidR="0037019E" w:rsidRPr="0070766F">
        <w:t>.</w:t>
      </w:r>
      <w:r w:rsidR="00320F91" w:rsidRPr="0070766F">
        <w:t xml:space="preserve"> This increases instability.</w:t>
      </w:r>
    </w:p>
    <w:p w14:paraId="06C7B2B0" w14:textId="0695C18D" w:rsidR="003013B4" w:rsidRDefault="008E6B42" w:rsidP="00CB61C1">
      <w:pPr>
        <w:rPr>
          <w:lang w:val="en-GB"/>
        </w:rPr>
      </w:pPr>
      <w:r w:rsidRPr="003B5B20">
        <w:rPr>
          <w:lang w:val="en-GB"/>
        </w:rPr>
        <w:t>In a partisan model</w:t>
      </w:r>
      <w:r w:rsidR="00D759CB" w:rsidRPr="003B5B20">
        <w:rPr>
          <w:lang w:val="en-GB"/>
        </w:rPr>
        <w:t>,</w:t>
      </w:r>
      <w:r w:rsidR="00421E68" w:rsidRPr="003B5B20">
        <w:rPr>
          <w:lang w:val="en-GB"/>
        </w:rPr>
        <w:t xml:space="preserve"> the only real change</w:t>
      </w:r>
      <w:r w:rsidR="00E94706" w:rsidRPr="003B5B20">
        <w:rPr>
          <w:lang w:val="en-GB"/>
        </w:rPr>
        <w:t xml:space="preserve"> to the consequences of failure to </w:t>
      </w:r>
      <w:r w:rsidR="00F81B42" w:rsidRPr="003B5B20">
        <w:rPr>
          <w:lang w:val="en-GB"/>
        </w:rPr>
        <w:t>deliver on preferences</w:t>
      </w:r>
      <w:r w:rsidR="00421E68" w:rsidRPr="003B5B20">
        <w:rPr>
          <w:lang w:val="en-GB"/>
        </w:rPr>
        <w:t xml:space="preserve"> </w:t>
      </w:r>
      <w:r w:rsidR="00FE1F47" w:rsidRPr="003B5B20">
        <w:rPr>
          <w:lang w:val="en-GB"/>
        </w:rPr>
        <w:t>comes from the fact that optimal</w:t>
      </w:r>
      <w:r w:rsidR="00D457FD" w:rsidRPr="003B5B20">
        <w:rPr>
          <w:lang w:val="en-GB"/>
        </w:rPr>
        <w:t xml:space="preserve"> levels of economic variables are </w:t>
      </w:r>
      <w:r w:rsidR="000E5A68" w:rsidRPr="003B5B20">
        <w:rPr>
          <w:lang w:val="en-GB"/>
        </w:rPr>
        <w:t>not social</w:t>
      </w:r>
      <w:r w:rsidR="00D457FD" w:rsidRPr="003B5B20">
        <w:rPr>
          <w:lang w:val="en-GB"/>
        </w:rPr>
        <w:t>ly uniform</w:t>
      </w:r>
      <w:r w:rsidR="0005002F" w:rsidRPr="003B5B20">
        <w:rPr>
          <w:lang w:val="en-GB"/>
        </w:rPr>
        <w:t xml:space="preserve">, but instead specific to parties and groups of </w:t>
      </w:r>
      <w:r w:rsidR="00D80616" w:rsidRPr="003B5B20">
        <w:rPr>
          <w:lang w:val="en-GB"/>
        </w:rPr>
        <w:t xml:space="preserve">heterogenous agents. </w:t>
      </w:r>
      <w:r w:rsidR="004B1A3C" w:rsidRPr="003B5B20">
        <w:rPr>
          <w:lang w:val="en-GB"/>
        </w:rPr>
        <w:t>Again</w:t>
      </w:r>
      <w:r w:rsidR="00F10860" w:rsidRPr="003B5B20">
        <w:rPr>
          <w:lang w:val="en-GB"/>
        </w:rPr>
        <w:t>,</w:t>
      </w:r>
      <w:r w:rsidR="004B1A3C" w:rsidRPr="003B5B20">
        <w:rPr>
          <w:lang w:val="en-GB"/>
        </w:rPr>
        <w:t xml:space="preserve"> the incumbent tries to satisfy the</w:t>
      </w:r>
      <w:r w:rsidR="00DA4353" w:rsidRPr="003B5B20">
        <w:rPr>
          <w:lang w:val="en-GB"/>
        </w:rPr>
        <w:t>ir</w:t>
      </w:r>
      <w:r w:rsidR="004B1A3C" w:rsidRPr="003B5B20">
        <w:rPr>
          <w:lang w:val="en-GB"/>
        </w:rPr>
        <w:t xml:space="preserve"> party optimums but cannot do so.</w:t>
      </w:r>
      <w:r w:rsidR="00B95CA8" w:rsidRPr="003B5B20">
        <w:rPr>
          <w:lang w:val="en-GB"/>
        </w:rPr>
        <w:t xml:space="preserve"> Now </w:t>
      </w:r>
      <w:r w:rsidR="00872583" w:rsidRPr="003B5B20">
        <w:rPr>
          <w:lang w:val="en-GB"/>
        </w:rPr>
        <w:t xml:space="preserve">retrospective </w:t>
      </w:r>
      <w:r w:rsidR="00F957E1" w:rsidRPr="003B5B20">
        <w:rPr>
          <w:lang w:val="en-GB"/>
        </w:rPr>
        <w:t xml:space="preserve">elites or </w:t>
      </w:r>
      <w:r w:rsidR="00B95CA8" w:rsidRPr="003B5B20">
        <w:rPr>
          <w:lang w:val="en-GB"/>
        </w:rPr>
        <w:t xml:space="preserve">party </w:t>
      </w:r>
      <w:r w:rsidR="00872583" w:rsidRPr="003B5B20">
        <w:rPr>
          <w:lang w:val="en-GB"/>
        </w:rPr>
        <w:t>voters</w:t>
      </w:r>
      <w:r w:rsidR="00F04422" w:rsidRPr="003B5B20">
        <w:rPr>
          <w:lang w:val="en-GB"/>
        </w:rPr>
        <w:t xml:space="preserve"> are not adequately satisfied</w:t>
      </w:r>
      <w:r w:rsidR="00D82FE5" w:rsidRPr="003B5B20">
        <w:rPr>
          <w:lang w:val="en-GB"/>
        </w:rPr>
        <w:t xml:space="preserve">. They need </w:t>
      </w:r>
      <w:r w:rsidR="00177B30" w:rsidRPr="003B5B20">
        <w:rPr>
          <w:lang w:val="en-GB"/>
        </w:rPr>
        <w:t>not vote for opponents</w:t>
      </w:r>
      <w:r w:rsidR="008722BB" w:rsidRPr="003B5B20">
        <w:rPr>
          <w:lang w:val="en-GB"/>
        </w:rPr>
        <w:t>;</w:t>
      </w:r>
      <w:r w:rsidR="00ED2C60" w:rsidRPr="003B5B20">
        <w:rPr>
          <w:lang w:val="en-GB"/>
        </w:rPr>
        <w:t xml:space="preserve"> however</w:t>
      </w:r>
      <w:r w:rsidR="008722BB" w:rsidRPr="003B5B20">
        <w:rPr>
          <w:lang w:val="en-GB"/>
        </w:rPr>
        <w:t>,</w:t>
      </w:r>
      <w:r w:rsidR="00ED2C60" w:rsidRPr="003B5B20">
        <w:rPr>
          <w:lang w:val="en-GB"/>
        </w:rPr>
        <w:t xml:space="preserve"> </w:t>
      </w:r>
      <w:r w:rsidR="00EB050F" w:rsidRPr="003B5B20">
        <w:rPr>
          <w:lang w:val="en-GB"/>
        </w:rPr>
        <w:t xml:space="preserve">a loss of turnout or participation may be </w:t>
      </w:r>
      <w:r w:rsidR="00710009" w:rsidRPr="003B5B20">
        <w:rPr>
          <w:lang w:val="en-GB"/>
        </w:rPr>
        <w:t>enough to inflict electoral damage</w:t>
      </w:r>
      <w:r w:rsidR="00DE6380" w:rsidRPr="003B5B20">
        <w:rPr>
          <w:lang w:val="en-GB"/>
        </w:rPr>
        <w:t>, a case especially strong if there is some cost to voting</w:t>
      </w:r>
      <w:r w:rsidR="00782293" w:rsidRPr="003B5B20">
        <w:rPr>
          <w:lang w:val="en-GB"/>
        </w:rPr>
        <w:t xml:space="preserve"> </w:t>
      </w:r>
      <w:r w:rsidR="00702593" w:rsidRPr="003B5B20">
        <w:rPr>
          <w:lang w:val="en-GB"/>
        </w:rPr>
        <w:fldChar w:fldCharType="begin"/>
      </w:r>
      <w:r w:rsidR="007B01F4">
        <w:rPr>
          <w:lang w:val="en-GB"/>
        </w:rPr>
        <w:instrText xml:space="preserve"> ADDIN ZOTERO_ITEM CSL_CITATION {"citationID":"b8dHw60x","properties":{"formattedCitation":"(Downs 1957)","plainCitation":"(Downs 1957)","noteIndex":0},"citationItems":[{"id":215,"uris":["http://zotero.org/users/5939705/items/XLQ6UL8D"],"uri":["http://zotero.org/users/5939705/items/XLQ6UL8D"],"itemData":{"id":215,"type":"article-journal","archive":"JSTOR","container-title":"Journal of Political Economy","ISSN":"0022-3808","issue":"2","page":"135-150","source":"JSTOR","title":"An Economic Theory of Political Action in a Democracy","volume":"65","author":[{"family":"Downs","given":"Anthony"}],"issued":{"date-parts":[["1957"]]}}}],"schema":"https://github.com/citation-style-language/schema/raw/master/csl-citation.json"} </w:instrText>
      </w:r>
      <w:r w:rsidR="00702593" w:rsidRPr="003B5B20">
        <w:rPr>
          <w:lang w:val="en-GB"/>
        </w:rPr>
        <w:fldChar w:fldCharType="separate"/>
      </w:r>
      <w:r w:rsidR="00816439" w:rsidRPr="003B5B20">
        <w:rPr>
          <w:rFonts w:ascii="Calibri" w:hAnsi="Calibri" w:cs="Calibri"/>
        </w:rPr>
        <w:t>(Downs 1957)</w:t>
      </w:r>
      <w:r w:rsidR="00702593" w:rsidRPr="003B5B20">
        <w:rPr>
          <w:lang w:val="en-GB"/>
        </w:rPr>
        <w:fldChar w:fldCharType="end"/>
      </w:r>
      <w:r w:rsidR="00816439" w:rsidRPr="003B5B20">
        <w:rPr>
          <w:lang w:val="en-GB"/>
        </w:rPr>
        <w:t>.</w:t>
      </w:r>
      <w:r w:rsidR="0097638B" w:rsidRPr="003B5B20">
        <w:rPr>
          <w:lang w:val="en-GB"/>
        </w:rPr>
        <w:t xml:space="preserve"> </w:t>
      </w:r>
      <w:r w:rsidR="00C73333" w:rsidRPr="003B5B20">
        <w:rPr>
          <w:lang w:val="en-GB"/>
        </w:rPr>
        <w:t>Here again</w:t>
      </w:r>
      <w:r w:rsidR="0097638B" w:rsidRPr="003B5B20">
        <w:rPr>
          <w:lang w:val="en-GB"/>
        </w:rPr>
        <w:t xml:space="preserve">, limiting institutions in the </w:t>
      </w:r>
      <w:r w:rsidR="009657EB" w:rsidRPr="003B5B20">
        <w:rPr>
          <w:lang w:val="en-GB"/>
        </w:rPr>
        <w:t>political</w:t>
      </w:r>
      <w:r w:rsidR="0097638B" w:rsidRPr="003B5B20">
        <w:rPr>
          <w:lang w:val="en-GB"/>
        </w:rPr>
        <w:t xml:space="preserve"> business cycle model are likely to increase instability.</w:t>
      </w:r>
    </w:p>
    <w:p w14:paraId="63E5A05D" w14:textId="3F428D8A" w:rsidR="00270CE4" w:rsidRDefault="00B772B6" w:rsidP="00A41F42">
      <w:pPr>
        <w:pStyle w:val="Heading2"/>
        <w:rPr>
          <w:lang w:val="en-GB"/>
        </w:rPr>
      </w:pPr>
      <w:r>
        <w:rPr>
          <w:lang w:val="en-GB"/>
        </w:rPr>
        <w:t>Varieties of</w:t>
      </w:r>
      <w:r w:rsidR="00E71D2C">
        <w:rPr>
          <w:lang w:val="en-GB"/>
        </w:rPr>
        <w:t xml:space="preserve"> Instability</w:t>
      </w:r>
    </w:p>
    <w:p w14:paraId="26674E88" w14:textId="1D8E668A" w:rsidR="00337EC9" w:rsidRDefault="00337EC9" w:rsidP="00CB61C1">
      <w:pPr>
        <w:rPr>
          <w:lang w:val="en-GB"/>
        </w:rPr>
      </w:pPr>
      <w:r>
        <w:rPr>
          <w:lang w:val="en-GB"/>
        </w:rPr>
        <w:t>To account for potentially more autocratic situations</w:t>
      </w:r>
      <w:r w:rsidR="00570E0B">
        <w:rPr>
          <w:lang w:val="en-GB"/>
        </w:rPr>
        <w:t xml:space="preserve"> or even democratic situations between elections</w:t>
      </w:r>
      <w:r>
        <w:rPr>
          <w:lang w:val="en-GB"/>
        </w:rPr>
        <w:t>,</w:t>
      </w:r>
      <w:r w:rsidR="009D2A1F">
        <w:rPr>
          <w:lang w:val="en-GB"/>
        </w:rPr>
        <w:t xml:space="preserve"> it should be noted that</w:t>
      </w:r>
      <w:r>
        <w:rPr>
          <w:lang w:val="en-GB"/>
        </w:rPr>
        <w:t xml:space="preserve"> in this paper I generalize </w:t>
      </w:r>
      <w:r w:rsidR="009D2A1F">
        <w:rPr>
          <w:lang w:val="en-GB"/>
        </w:rPr>
        <w:t xml:space="preserve">the same ideas about economic voting to situations when voting </w:t>
      </w:r>
      <w:r w:rsidR="00F67122">
        <w:rPr>
          <w:lang w:val="en-GB"/>
        </w:rPr>
        <w:t xml:space="preserve">may not necessarily be fair and competitive. In other cases, disaffection may be </w:t>
      </w:r>
      <w:r w:rsidR="00541CD1">
        <w:rPr>
          <w:lang w:val="en-GB"/>
        </w:rPr>
        <w:t>expressed more loosely in “</w:t>
      </w:r>
      <w:r w:rsidR="00F67122">
        <w:rPr>
          <w:lang w:val="en-GB"/>
        </w:rPr>
        <w:t>political</w:t>
      </w:r>
      <w:r w:rsidR="00541CD1">
        <w:rPr>
          <w:lang w:val="en-GB"/>
        </w:rPr>
        <w:t>”</w:t>
      </w:r>
      <w:r w:rsidR="00A6149B">
        <w:rPr>
          <w:lang w:val="en-GB"/>
        </w:rPr>
        <w:t xml:space="preserve">, rather than </w:t>
      </w:r>
      <w:r w:rsidR="00541CD1">
        <w:rPr>
          <w:lang w:val="en-GB"/>
        </w:rPr>
        <w:t>“</w:t>
      </w:r>
      <w:r w:rsidR="00A6149B">
        <w:rPr>
          <w:lang w:val="en-GB"/>
        </w:rPr>
        <w:t>electoral</w:t>
      </w:r>
      <w:r w:rsidR="00541CD1">
        <w:rPr>
          <w:lang w:val="en-GB"/>
        </w:rPr>
        <w:t>”</w:t>
      </w:r>
      <w:r w:rsidR="00A6149B">
        <w:rPr>
          <w:lang w:val="en-GB"/>
        </w:rPr>
        <w:t xml:space="preserve"> </w:t>
      </w:r>
      <w:r w:rsidR="00541CD1">
        <w:rPr>
          <w:lang w:val="en-GB"/>
        </w:rPr>
        <w:t xml:space="preserve">terms </w:t>
      </w:r>
      <w:r w:rsidR="00A6149B">
        <w:rPr>
          <w:lang w:val="en-GB"/>
        </w:rPr>
        <w:t xml:space="preserve">(perhaps reaching the level of violence). </w:t>
      </w:r>
      <w:r w:rsidR="00541CD1">
        <w:rPr>
          <w:lang w:val="en-GB"/>
        </w:rPr>
        <w:t xml:space="preserve">Welfare benefits of commitment institutions may limit the results of this disaffection. </w:t>
      </w:r>
      <w:r w:rsidR="00A6149B">
        <w:rPr>
          <w:lang w:val="en-GB"/>
        </w:rPr>
        <w:t xml:space="preserve">Likewise, political business cycles </w:t>
      </w:r>
      <w:r w:rsidR="00605CEE">
        <w:rPr>
          <w:lang w:val="en-GB"/>
        </w:rPr>
        <w:t>need</w:t>
      </w:r>
      <w:r w:rsidR="00A6149B">
        <w:rPr>
          <w:lang w:val="en-GB"/>
        </w:rPr>
        <w:t xml:space="preserve"> not</w:t>
      </w:r>
      <w:r w:rsidR="00504A07">
        <w:rPr>
          <w:lang w:val="en-GB"/>
        </w:rPr>
        <w:t xml:space="preserve"> necessarily adhere to an electoral </w:t>
      </w:r>
      <w:r w:rsidR="000640B2">
        <w:rPr>
          <w:lang w:val="en-GB"/>
        </w:rPr>
        <w:t>calendar but</w:t>
      </w:r>
      <w:r w:rsidR="00504A07">
        <w:rPr>
          <w:lang w:val="en-GB"/>
        </w:rPr>
        <w:t xml:space="preserve"> may also manifest as efforts by leaders to head off rebellion in general by placating the population.</w:t>
      </w:r>
      <w:r w:rsidR="00435142">
        <w:rPr>
          <w:lang w:val="en-GB"/>
        </w:rPr>
        <w:t xml:space="preserve"> Restrictions on business cycles </w:t>
      </w:r>
      <w:r w:rsidR="00605CEE">
        <w:rPr>
          <w:lang w:val="en-GB"/>
        </w:rPr>
        <w:t>are then likely to further instability.</w:t>
      </w:r>
    </w:p>
    <w:p w14:paraId="2787F577" w14:textId="41C09382" w:rsidR="0000722D" w:rsidRDefault="0000722D" w:rsidP="0000722D">
      <w:pPr>
        <w:rPr>
          <w:lang w:val="en-GB"/>
        </w:rPr>
      </w:pPr>
      <w:r>
        <w:rPr>
          <w:lang w:val="en-GB"/>
        </w:rPr>
        <w:t>Electoral instability in terms of the turnover of government officials may</w:t>
      </w:r>
      <w:r w:rsidR="00BB328C">
        <w:rPr>
          <w:lang w:val="en-GB"/>
        </w:rPr>
        <w:t xml:space="preserve"> also</w:t>
      </w:r>
      <w:r>
        <w:rPr>
          <w:lang w:val="en-GB"/>
        </w:rPr>
        <w:t xml:space="preserve"> be expressed through changes in a variety of branches. For this project, I consider two forms of the</w:t>
      </w:r>
      <w:r w:rsidR="00193ECE">
        <w:rPr>
          <w:lang w:val="en-GB"/>
        </w:rPr>
        <w:t xml:space="preserve"> elected</w:t>
      </w:r>
      <w:r>
        <w:rPr>
          <w:lang w:val="en-GB"/>
        </w:rPr>
        <w:t xml:space="preserve"> executive: the head of government and the head of state. The head of government is the individual leading policy making in a nation, while the head of state is the symbolic and ceremonial leader, often with importance for diplomatic relations. These may be the same individual, such as the President of the United States, or different individuals such as the </w:t>
      </w:r>
      <w:r w:rsidR="00DC4352">
        <w:rPr>
          <w:lang w:val="en-GB"/>
        </w:rPr>
        <w:t>President and Chancellor of Germany.</w:t>
      </w:r>
      <w:r>
        <w:rPr>
          <w:lang w:val="en-GB"/>
        </w:rPr>
        <w:t xml:space="preserve"> I also consider the lower house of the legislature (given that upper house data for bicameral nations is not currently available). This is typically a more directly elected body with control over revenue and general legislation.</w:t>
      </w:r>
    </w:p>
    <w:p w14:paraId="75F8D9BA" w14:textId="22C8BEF0" w:rsidR="00B21C9D" w:rsidRDefault="00B21C9D" w:rsidP="00C70035">
      <w:pPr>
        <w:pStyle w:val="Heading1"/>
      </w:pPr>
      <w:r>
        <w:t>A Reduced-Form Approach</w:t>
      </w:r>
    </w:p>
    <w:p w14:paraId="745196BC" w14:textId="03A6B98E" w:rsidR="007C55C0" w:rsidRDefault="009E6862" w:rsidP="0095563F">
      <w:r>
        <w:t xml:space="preserve">The key merit in the reduced form approach to </w:t>
      </w:r>
      <w:r w:rsidR="007F4032">
        <w:t>the question</w:t>
      </w:r>
      <w:r>
        <w:t xml:space="preserve"> is that of the ability to </w:t>
      </w:r>
      <w:r w:rsidR="0072013C">
        <w:t>take a step back from literature on specific mechanisms mentioned above</w:t>
      </w:r>
      <w:r w:rsidR="00610623">
        <w:t xml:space="preserve">. </w:t>
      </w:r>
      <w:r w:rsidR="00044D23">
        <w:t>It could be the case that certain mechanisms are true and other</w:t>
      </w:r>
      <w:r w:rsidR="00EA60FD">
        <w:t>s</w:t>
      </w:r>
      <w:r w:rsidR="00044D23">
        <w:t xml:space="preserve"> false: partisan or opportunistic political business cycles, or action and limits through only fiscal or monetary policy.</w:t>
      </w:r>
      <w:r w:rsidR="00816127">
        <w:t xml:space="preserve"> Mechanisms could be further tangled between each other</w:t>
      </w:r>
      <w:r w:rsidR="00B256C4">
        <w:t xml:space="preserve"> in complex causal relationships</w:t>
      </w:r>
      <w:r w:rsidR="007556B8">
        <w:t xml:space="preserve"> such as substitutions</w:t>
      </w:r>
      <w:r w:rsidR="00270FE3">
        <w:t xml:space="preserve"> between regimes </w:t>
      </w:r>
      <w:r w:rsidR="00CF05D3">
        <w:t>(central banks and fixed rates) or kinds of policy.</w:t>
      </w:r>
      <w:r w:rsidR="00D20D3A">
        <w:t xml:space="preserve"> The reduced form approach allows for overall focus on </w:t>
      </w:r>
      <w:r w:rsidR="00E161C0">
        <w:t>whether</w:t>
      </w:r>
      <w:r w:rsidR="0052174F">
        <w:t xml:space="preserve"> </w:t>
      </w:r>
      <w:r w:rsidR="00EF388F">
        <w:t>the regimes weigh on instability</w:t>
      </w:r>
      <w:r w:rsidR="00F33A18">
        <w:t xml:space="preserve">, </w:t>
      </w:r>
      <w:r w:rsidR="00E161C0">
        <w:t xml:space="preserve">adjudicating </w:t>
      </w:r>
      <w:r w:rsidR="00DE6906">
        <w:t>whether</w:t>
      </w:r>
      <w:r w:rsidR="00E161C0">
        <w:t xml:space="preserve"> basic intuitions are reasonable</w:t>
      </w:r>
      <w:r w:rsidR="00EF388F">
        <w:t>.</w:t>
      </w:r>
    </w:p>
    <w:p w14:paraId="06D91E4C" w14:textId="6DE55473" w:rsidR="00AE625A" w:rsidRDefault="00EB0A44" w:rsidP="007C55C0">
      <w:pPr>
        <w:rPr>
          <w:i/>
          <w:iCs/>
        </w:rPr>
      </w:pPr>
      <w:r>
        <w:rPr>
          <w:i/>
          <w:iCs/>
        </w:rPr>
        <w:t>Effects of Limiting Institutions on Instability</w:t>
      </w:r>
    </w:p>
    <w:p w14:paraId="43234EF5" w14:textId="14FD2966" w:rsidR="007C55C0" w:rsidRDefault="007C55C0" w:rsidP="007C55C0">
      <w:pPr>
        <w:rPr>
          <w:i/>
          <w:iCs/>
        </w:rPr>
      </w:pPr>
      <w:r>
        <w:rPr>
          <w:i/>
          <w:iCs/>
        </w:rPr>
        <w:t>Welfar</w:t>
      </w:r>
      <w:r w:rsidR="00A65F2D">
        <w:rPr>
          <w:i/>
          <w:iCs/>
        </w:rPr>
        <w:t>e</w:t>
      </w:r>
      <w:r w:rsidR="000A0C11">
        <w:rPr>
          <w:i/>
          <w:iCs/>
        </w:rPr>
        <w:t xml:space="preserve"> Model</w:t>
      </w:r>
    </w:p>
    <w:p w14:paraId="743AEF3D" w14:textId="1B1519D5" w:rsidR="009E6174" w:rsidRDefault="00007043" w:rsidP="007C55C0">
      <w:pPr>
        <w:rPr>
          <w:i/>
          <w:iCs/>
        </w:rPr>
      </w:pPr>
      <w:r>
        <w:rPr>
          <w:i/>
          <w:iCs/>
        </w:rPr>
        <w:lastRenderedPageBreak/>
        <w:t xml:space="preserve">De Jure </w:t>
      </w:r>
      <w:r w:rsidR="007C55C0">
        <w:rPr>
          <w:i/>
          <w:iCs/>
        </w:rPr>
        <w:t xml:space="preserve">Independent CB/Fixed Exchange Rate </w:t>
      </w:r>
      <w:r w:rsidR="007C55C0" w:rsidRPr="00271BEA">
        <w:rPr>
          <w:i/>
          <w:iCs/>
        </w:rPr>
        <w:sym w:font="Wingdings" w:char="F0E0"/>
      </w:r>
      <w:r w:rsidR="007C55C0">
        <w:rPr>
          <w:i/>
          <w:iCs/>
        </w:rPr>
        <w:t xml:space="preserve">  </w:t>
      </w:r>
      <w:r w:rsidR="00DE2B8C">
        <w:rPr>
          <w:i/>
          <w:iCs/>
        </w:rPr>
        <w:t xml:space="preserve">(Welfare) </w:t>
      </w:r>
      <w:r w:rsidR="00147AEF">
        <w:rPr>
          <w:i/>
          <w:iCs/>
        </w:rPr>
        <w:t xml:space="preserve">Net </w:t>
      </w:r>
      <w:r w:rsidR="00E92B0F">
        <w:rPr>
          <w:i/>
          <w:iCs/>
        </w:rPr>
        <w:t>S</w:t>
      </w:r>
      <w:r w:rsidR="00745AE5">
        <w:rPr>
          <w:i/>
          <w:iCs/>
        </w:rPr>
        <w:t xml:space="preserve">ocial </w:t>
      </w:r>
      <w:r w:rsidR="00E92B0F">
        <w:rPr>
          <w:i/>
          <w:iCs/>
        </w:rPr>
        <w:t>B</w:t>
      </w:r>
      <w:r w:rsidR="007C55C0">
        <w:rPr>
          <w:i/>
          <w:iCs/>
        </w:rPr>
        <w:t xml:space="preserve">enefits </w:t>
      </w:r>
      <w:r w:rsidR="002B0815">
        <w:rPr>
          <w:i/>
          <w:iCs/>
        </w:rPr>
        <w:t xml:space="preserve">from </w:t>
      </w:r>
      <w:r w:rsidR="00E92B0F">
        <w:rPr>
          <w:i/>
          <w:iCs/>
        </w:rPr>
        <w:t>C</w:t>
      </w:r>
      <w:r w:rsidR="002B0815">
        <w:rPr>
          <w:i/>
          <w:iCs/>
        </w:rPr>
        <w:t xml:space="preserve">ommitment </w:t>
      </w:r>
      <w:r w:rsidR="00E92B0F">
        <w:rPr>
          <w:i/>
          <w:iCs/>
        </w:rPr>
        <w:t>D</w:t>
      </w:r>
      <w:r w:rsidR="002B0815">
        <w:rPr>
          <w:i/>
          <w:iCs/>
        </w:rPr>
        <w:t>espite</w:t>
      </w:r>
      <w:r w:rsidR="00147AEF">
        <w:rPr>
          <w:i/>
          <w:iCs/>
        </w:rPr>
        <w:t xml:space="preserve"> </w:t>
      </w:r>
      <w:r w:rsidR="00526F0F">
        <w:rPr>
          <w:i/>
          <w:iCs/>
        </w:rPr>
        <w:t>P</w:t>
      </w:r>
      <w:r w:rsidR="00147AEF">
        <w:rPr>
          <w:i/>
          <w:iCs/>
        </w:rPr>
        <w:t xml:space="preserve">otential </w:t>
      </w:r>
      <w:r w:rsidR="00526F0F">
        <w:rPr>
          <w:i/>
          <w:iCs/>
        </w:rPr>
        <w:t>C</w:t>
      </w:r>
      <w:r w:rsidR="00147AEF">
        <w:rPr>
          <w:i/>
          <w:iCs/>
        </w:rPr>
        <w:t xml:space="preserve">ost to </w:t>
      </w:r>
      <w:r w:rsidR="00526F0F">
        <w:rPr>
          <w:i/>
          <w:iCs/>
        </w:rPr>
        <w:t>F</w:t>
      </w:r>
      <w:r w:rsidR="00147AEF">
        <w:rPr>
          <w:i/>
          <w:iCs/>
        </w:rPr>
        <w:t xml:space="preserve">lexibility </w:t>
      </w:r>
      <w:r w:rsidR="00937B39" w:rsidRPr="00937B39">
        <w:rPr>
          <w:i/>
          <w:iCs/>
        </w:rPr>
        <w:sym w:font="Wingdings" w:char="F0E0"/>
      </w:r>
      <w:r w:rsidR="007C55C0">
        <w:rPr>
          <w:i/>
          <w:iCs/>
        </w:rPr>
        <w:t xml:space="preserve"> (Economic Voting Theory) </w:t>
      </w:r>
      <w:r w:rsidR="00256FF2">
        <w:rPr>
          <w:i/>
          <w:iCs/>
        </w:rPr>
        <w:t xml:space="preserve">Net </w:t>
      </w:r>
      <w:r w:rsidR="00745AE5">
        <w:rPr>
          <w:i/>
          <w:iCs/>
        </w:rPr>
        <w:t>L</w:t>
      </w:r>
      <w:r w:rsidR="007C55C0">
        <w:rPr>
          <w:i/>
          <w:iCs/>
        </w:rPr>
        <w:t xml:space="preserve">ess </w:t>
      </w:r>
      <w:r w:rsidR="00526F0F">
        <w:rPr>
          <w:i/>
          <w:iCs/>
        </w:rPr>
        <w:t>T</w:t>
      </w:r>
      <w:r w:rsidR="007C55C0">
        <w:rPr>
          <w:i/>
          <w:iCs/>
        </w:rPr>
        <w:t>urnover/</w:t>
      </w:r>
      <w:r w:rsidR="00724932">
        <w:rPr>
          <w:i/>
          <w:iCs/>
        </w:rPr>
        <w:t>I</w:t>
      </w:r>
      <w:r w:rsidR="007C55C0">
        <w:rPr>
          <w:i/>
          <w:iCs/>
        </w:rPr>
        <w:t>nstability</w:t>
      </w:r>
    </w:p>
    <w:p w14:paraId="511BFB4B" w14:textId="050838D3" w:rsidR="007C55C0" w:rsidRDefault="007C55C0" w:rsidP="007C55C0">
      <w:pPr>
        <w:rPr>
          <w:i/>
          <w:iCs/>
        </w:rPr>
      </w:pPr>
      <w:r>
        <w:rPr>
          <w:i/>
          <w:iCs/>
        </w:rPr>
        <w:t>P</w:t>
      </w:r>
      <w:r w:rsidR="000A0C11">
        <w:rPr>
          <w:i/>
          <w:iCs/>
        </w:rPr>
        <w:t>olitical Business Cycle Model</w:t>
      </w:r>
    </w:p>
    <w:p w14:paraId="39845E10" w14:textId="58E409EA" w:rsidR="007C55C0" w:rsidRPr="00484A01" w:rsidRDefault="00007043" w:rsidP="007C55C0">
      <w:pPr>
        <w:rPr>
          <w:i/>
          <w:iCs/>
        </w:rPr>
      </w:pPr>
      <w:r>
        <w:rPr>
          <w:i/>
          <w:iCs/>
        </w:rPr>
        <w:t xml:space="preserve">De Jure </w:t>
      </w:r>
      <w:r w:rsidR="007C55C0" w:rsidRPr="00F743FA">
        <w:rPr>
          <w:i/>
          <w:iCs/>
        </w:rPr>
        <w:t xml:space="preserve">Independent CB/Fixed Exchange Rate </w:t>
      </w:r>
      <w:r w:rsidR="00937B39" w:rsidRPr="00937B39">
        <w:rPr>
          <w:i/>
          <w:iCs/>
        </w:rPr>
        <w:sym w:font="Wingdings" w:char="F0E0"/>
      </w:r>
      <w:r w:rsidR="00286DF3">
        <w:rPr>
          <w:i/>
          <w:iCs/>
        </w:rPr>
        <w:t xml:space="preserve"> </w:t>
      </w:r>
      <w:r w:rsidR="007C55C0">
        <w:rPr>
          <w:i/>
          <w:iCs/>
        </w:rPr>
        <w:t xml:space="preserve"> (PBC Theory)</w:t>
      </w:r>
      <w:r w:rsidR="007D4414">
        <w:rPr>
          <w:i/>
          <w:iCs/>
        </w:rPr>
        <w:t xml:space="preserve"> Net</w:t>
      </w:r>
      <w:r w:rsidR="007C55C0" w:rsidRPr="00F743FA">
        <w:rPr>
          <w:i/>
          <w:iCs/>
        </w:rPr>
        <w:t xml:space="preserve"> </w:t>
      </w:r>
      <w:r w:rsidR="00745AE5">
        <w:rPr>
          <w:i/>
          <w:iCs/>
        </w:rPr>
        <w:t>Le</w:t>
      </w:r>
      <w:r w:rsidR="007C55C0" w:rsidRPr="00F743FA">
        <w:rPr>
          <w:i/>
          <w:iCs/>
        </w:rPr>
        <w:t>s</w:t>
      </w:r>
      <w:r w:rsidR="00745AE5">
        <w:rPr>
          <w:i/>
          <w:iCs/>
        </w:rPr>
        <w:t>s</w:t>
      </w:r>
      <w:r w:rsidR="007C55C0" w:rsidRPr="00F743FA">
        <w:rPr>
          <w:i/>
          <w:iCs/>
        </w:rPr>
        <w:t xml:space="preserve"> PBC Manipulation </w:t>
      </w:r>
      <w:r w:rsidR="00937B39" w:rsidRPr="00937B39">
        <w:rPr>
          <w:i/>
          <w:iCs/>
        </w:rPr>
        <w:sym w:font="Wingdings" w:char="F0E0"/>
      </w:r>
      <w:r w:rsidR="007C55C0" w:rsidRPr="00F743FA">
        <w:rPr>
          <w:i/>
          <w:iCs/>
        </w:rPr>
        <w:t xml:space="preserve"> </w:t>
      </w:r>
      <w:r w:rsidR="007C55C0">
        <w:rPr>
          <w:i/>
          <w:iCs/>
        </w:rPr>
        <w:t xml:space="preserve">(Economic Voting Theory) </w:t>
      </w:r>
      <w:r w:rsidR="00256FF2">
        <w:rPr>
          <w:i/>
          <w:iCs/>
        </w:rPr>
        <w:t xml:space="preserve">Net </w:t>
      </w:r>
      <w:r w:rsidR="00745AE5">
        <w:rPr>
          <w:i/>
          <w:iCs/>
        </w:rPr>
        <w:t>M</w:t>
      </w:r>
      <w:r w:rsidR="007C55C0">
        <w:rPr>
          <w:i/>
          <w:iCs/>
        </w:rPr>
        <w:t xml:space="preserve">ore </w:t>
      </w:r>
      <w:r w:rsidR="007C55C0" w:rsidRPr="00F743FA">
        <w:rPr>
          <w:i/>
          <w:iCs/>
        </w:rPr>
        <w:t>Turnover/Instability</w:t>
      </w:r>
    </w:p>
    <w:p w14:paraId="1C3F76E1" w14:textId="2EA17C65" w:rsidR="004841BF" w:rsidRDefault="007D5D62" w:rsidP="0095563F">
      <w:r>
        <w:t>S</w:t>
      </w:r>
      <w:r w:rsidR="00AF2704">
        <w:t>imilar work has examined the use of monetary commitment</w:t>
      </w:r>
      <w:r w:rsidR="003E46A7">
        <w:t>s to increase the durability of cabinets</w:t>
      </w:r>
      <w:r w:rsidR="00BA73F0">
        <w:t xml:space="preserve"> (as a share of maximum legal duration)</w:t>
      </w:r>
      <w:r w:rsidR="003E46A7">
        <w:t xml:space="preserve"> in the face of growing international </w:t>
      </w:r>
      <w:r w:rsidR="003E46A7" w:rsidRPr="009B63C0">
        <w:t>economic openness and globalization</w:t>
      </w:r>
      <w:r w:rsidRPr="009B63C0">
        <w:t xml:space="preserve"> for 16 </w:t>
      </w:r>
      <w:r w:rsidR="00AD4649" w:rsidRPr="009B63C0">
        <w:t>parliamentary democracie</w:t>
      </w:r>
      <w:r w:rsidRPr="009B63C0">
        <w:t>s from 19</w:t>
      </w:r>
      <w:r w:rsidR="00972C14" w:rsidRPr="009B63C0">
        <w:t>72 to 1998</w:t>
      </w:r>
      <w:r w:rsidR="003E46A7" w:rsidRPr="009B63C0">
        <w:t xml:space="preserve"> </w:t>
      </w:r>
      <w:r w:rsidR="004841BF" w:rsidRPr="009B63C0">
        <w:fldChar w:fldCharType="begin"/>
      </w:r>
      <w:r w:rsidR="007B01F4">
        <w:instrText xml:space="preserve"> ADDIN ZOTERO_ITEM CSL_CITATION {"citationID":"O406ZBHS","properties":{"formattedCitation":"(Bernhard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4841BF" w:rsidRPr="009B63C0">
        <w:fldChar w:fldCharType="separate"/>
      </w:r>
      <w:r w:rsidR="00685844" w:rsidRPr="009B63C0">
        <w:rPr>
          <w:rFonts w:ascii="Calibri" w:hAnsi="Calibri" w:cs="Calibri"/>
        </w:rPr>
        <w:t>(Bernhard and Leblang 2002)</w:t>
      </w:r>
      <w:r w:rsidR="004841BF" w:rsidRPr="009B63C0">
        <w:fldChar w:fldCharType="end"/>
      </w:r>
      <w:r w:rsidR="003E46A7" w:rsidRPr="009B63C0">
        <w:t>.</w:t>
      </w:r>
      <w:r w:rsidR="00F835B6" w:rsidRPr="009B63C0">
        <w:t xml:space="preserve"> These commitments are hypothesized to </w:t>
      </w:r>
      <w:r w:rsidR="00E613D5" w:rsidRPr="009B63C0">
        <w:t>allow for the management of diverse interests and improve policy efficacy</w:t>
      </w:r>
      <w:r w:rsidR="004829DB" w:rsidRPr="009B63C0">
        <w:t xml:space="preserve"> by</w:t>
      </w:r>
      <w:r w:rsidR="00406826" w:rsidRPr="009B63C0">
        <w:t xml:space="preserve"> providing information</w:t>
      </w:r>
      <w:r w:rsidR="005E425B" w:rsidRPr="009B63C0">
        <w:t xml:space="preserve">, </w:t>
      </w:r>
      <w:r w:rsidR="00424A75" w:rsidRPr="009B63C0">
        <w:t xml:space="preserve">justifying hard decisions, and </w:t>
      </w:r>
      <w:r w:rsidR="008C492D" w:rsidRPr="009B63C0">
        <w:t>providing a focus for negotiations</w:t>
      </w:r>
      <w:r w:rsidR="0020722F" w:rsidRPr="009B63C0">
        <w:t xml:space="preserve">, in line with the social </w:t>
      </w:r>
      <w:r w:rsidR="00947D5F" w:rsidRPr="009B63C0">
        <w:t>welfare</w:t>
      </w:r>
      <w:r w:rsidR="00947D5F">
        <w:t xml:space="preserve"> </w:t>
      </w:r>
      <w:r w:rsidR="0020722F" w:rsidRPr="009B63C0">
        <w:t>strand</w:t>
      </w:r>
      <w:r w:rsidR="0081573C" w:rsidRPr="009B63C0">
        <w:t>.</w:t>
      </w:r>
      <w:r w:rsidR="009A308F" w:rsidRPr="009B63C0">
        <w:t xml:space="preserve"> </w:t>
      </w:r>
      <w:r w:rsidR="00C963EF" w:rsidRPr="009B63C0">
        <w:t>In OLS results, independent central banks were found to</w:t>
      </w:r>
      <w:r w:rsidR="00C963EF">
        <w:t xml:space="preserve"> increase cabinet duration by </w:t>
      </w:r>
      <w:r w:rsidR="00AD5BCE">
        <w:t>nearly three months</w:t>
      </w:r>
      <w:r w:rsidR="00EF79F0">
        <w:t>, and fixed exchange rates by about five.</w:t>
      </w:r>
      <w:r w:rsidR="00167425">
        <w:t xml:space="preserve"> </w:t>
      </w:r>
      <w:r w:rsidR="00503F38">
        <w:t xml:space="preserve">Coalition governments </w:t>
      </w:r>
      <w:r w:rsidR="000B2F74">
        <w:t>saw stronger benefits</w:t>
      </w:r>
      <w:r w:rsidR="00BD5099">
        <w:t xml:space="preserve">, while openness </w:t>
      </w:r>
      <w:r w:rsidR="00115F0D">
        <w:t xml:space="preserve">to trade </w:t>
      </w:r>
      <w:r w:rsidR="00BD5099">
        <w:t xml:space="preserve">had </w:t>
      </w:r>
      <w:r w:rsidR="00115F0D">
        <w:t>a mixed impact on the scale of</w:t>
      </w:r>
      <w:r w:rsidR="00BD5099">
        <w:t xml:space="preserve"> effects.</w:t>
      </w:r>
      <w:r w:rsidR="00167425">
        <w:t xml:space="preserve"> </w:t>
      </w:r>
    </w:p>
    <w:p w14:paraId="62146903" w14:textId="5BC5090D" w:rsidR="002A34F3" w:rsidRPr="00654FAD" w:rsidRDefault="00654FAD" w:rsidP="0095563F">
      <w:r w:rsidRPr="005F6FA6">
        <w:t xml:space="preserve">A focus on parliamentary democracies only as in Bernhard and </w:t>
      </w:r>
      <w:proofErr w:type="spellStart"/>
      <w:r w:rsidRPr="005F6FA6">
        <w:t>Leblang</w:t>
      </w:r>
      <w:proofErr w:type="spellEnd"/>
      <w:r w:rsidRPr="005F6FA6">
        <w:t xml:space="preserve"> unfortunately weakens the use of this paper in the </w:t>
      </w:r>
      <w:r w:rsidR="00A812A2" w:rsidRPr="005F6FA6">
        <w:t xml:space="preserve">overall </w:t>
      </w:r>
      <w:r w:rsidRPr="005F6FA6">
        <w:t>judgement of political business cycles</w:t>
      </w:r>
      <w:r w:rsidR="007557CB" w:rsidRPr="005F6FA6">
        <w:t xml:space="preserve"> and impacts on voter welfare</w:t>
      </w:r>
      <w:r w:rsidRPr="005F6FA6">
        <w:t xml:space="preserve">. </w:t>
      </w:r>
      <w:r w:rsidR="005F6FA6" w:rsidRPr="005F6FA6">
        <w:t xml:space="preserve">Cabinet durability </w:t>
      </w:r>
      <w:r w:rsidRPr="005F6FA6">
        <w:t>may be more a function of party and coalition</w:t>
      </w:r>
      <w:r w:rsidR="00F21701" w:rsidRPr="005F6FA6">
        <w:t xml:space="preserve"> system</w:t>
      </w:r>
      <w:r w:rsidRPr="005F6FA6">
        <w:t xml:space="preserve"> dynamics, rather than actual voter stances in many situations.</w:t>
      </w:r>
      <w:r w:rsidR="003640EC" w:rsidRPr="005F6FA6">
        <w:t xml:space="preserve"> </w:t>
      </w:r>
      <w:r w:rsidR="00237FF5" w:rsidRPr="003A2119">
        <w:t>The nature of endogenous elections accounted for may</w:t>
      </w:r>
      <w:r w:rsidR="00AB3B79" w:rsidRPr="003A2119">
        <w:t xml:space="preserve"> also</w:t>
      </w:r>
      <w:r w:rsidR="00237FF5" w:rsidRPr="003A2119">
        <w:t xml:space="preserve"> </w:t>
      </w:r>
      <w:r w:rsidR="003A2119">
        <w:t xml:space="preserve">introduce </w:t>
      </w:r>
      <w:r w:rsidR="00237FF5" w:rsidRPr="003A2119">
        <w:t>dynamic</w:t>
      </w:r>
      <w:r w:rsidR="003A2119">
        <w:t>s not found elsewhere</w:t>
      </w:r>
      <w:r w:rsidR="003640EC" w:rsidRPr="003A2119">
        <w:t>.</w:t>
      </w:r>
      <w:r w:rsidRPr="003A2119">
        <w:t xml:space="preserve"> In my work, I instead focus on a broader range of </w:t>
      </w:r>
      <w:r w:rsidR="002D3951" w:rsidRPr="003A2119">
        <w:t>political systems</w:t>
      </w:r>
      <w:r w:rsidR="00C01305" w:rsidRPr="003A2119">
        <w:t>.</w:t>
      </w:r>
    </w:p>
    <w:p w14:paraId="2508BDC6" w14:textId="110E7C95" w:rsidR="005B7BAB" w:rsidRDefault="005B7BAB" w:rsidP="005B7BAB">
      <w:r>
        <w:t>Probably the</w:t>
      </w:r>
      <w:r w:rsidR="00B75B93">
        <w:t xml:space="preserve"> most similar work</w:t>
      </w:r>
      <w:r w:rsidR="0002743C">
        <w:t xml:space="preserve"> to mine</w:t>
      </w:r>
      <w:r w:rsidR="00B75B93">
        <w:t xml:space="preserve"> I have located on the reduced form relationship</w:t>
      </w:r>
      <w:r w:rsidR="00FF1539">
        <w:t xml:space="preserve"> between limiting institutions and political survival </w:t>
      </w:r>
      <w:r w:rsidR="006371C5">
        <w:t xml:space="preserve">has made use of a </w:t>
      </w:r>
      <w:r w:rsidR="00BE2889">
        <w:t xml:space="preserve">Cox-proportional </w:t>
      </w:r>
      <w:r w:rsidR="006371C5">
        <w:t xml:space="preserve">hazard model for </w:t>
      </w:r>
      <w:r w:rsidR="002E6E4F">
        <w:t>leader</w:t>
      </w:r>
      <w:r w:rsidR="006371C5">
        <w:t xml:space="preserve"> tenure</w:t>
      </w:r>
      <w:r w:rsidR="00264CC7">
        <w:t xml:space="preserve"> on 19 OECD countries</w:t>
      </w:r>
      <w:r w:rsidR="00F82D05">
        <w:t xml:space="preserve"> during </w:t>
      </w:r>
      <w:r w:rsidR="00F3239B">
        <w:t>the recent era of high capital mobility</w:t>
      </w:r>
      <w:r w:rsidR="003D5ECA">
        <w:t xml:space="preserve"> </w:t>
      </w:r>
      <w:r>
        <w:rPr>
          <w:b/>
          <w:bCs/>
        </w:rPr>
        <w:fldChar w:fldCharType="begin"/>
      </w:r>
      <w:r w:rsidR="007B01F4">
        <w:rPr>
          <w:b/>
          <w:bCs/>
        </w:rPr>
        <w:instrText xml:space="preserve"> ADDIN ZOTERO_ITEM CSL_CITATION {"citationID":"3rAzdFGn","properties":{"formattedCitation":"(William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Pr>
          <w:b/>
          <w:bCs/>
        </w:rPr>
        <w:fldChar w:fldCharType="separate"/>
      </w:r>
      <w:r w:rsidR="008B4F7F" w:rsidRPr="008B4F7F">
        <w:rPr>
          <w:rFonts w:ascii="Calibri" w:hAnsi="Calibri" w:cs="Calibri"/>
        </w:rPr>
        <w:t>(William R. Clark, Golder, and Poast 2013)</w:t>
      </w:r>
      <w:r>
        <w:rPr>
          <w:b/>
          <w:bCs/>
        </w:rPr>
        <w:fldChar w:fldCharType="end"/>
      </w:r>
      <w:r>
        <w:rPr>
          <w:b/>
          <w:bCs/>
        </w:rPr>
        <w:t>.</w:t>
      </w:r>
      <w:r w:rsidR="003D5ECA" w:rsidRPr="003D5ECA">
        <w:rPr>
          <w:rStyle w:val="FootnoteReference"/>
        </w:rPr>
        <w:t xml:space="preserve"> </w:t>
      </w:r>
      <w:r w:rsidR="003D5ECA">
        <w:rPr>
          <w:rStyle w:val="FootnoteReference"/>
        </w:rPr>
        <w:footnoteReference w:id="9"/>
      </w:r>
      <w:r w:rsidR="000D5BA0">
        <w:rPr>
          <w:b/>
          <w:bCs/>
        </w:rPr>
        <w:t xml:space="preserve"> </w:t>
      </w:r>
      <w:r w:rsidR="000D5BA0">
        <w:t xml:space="preserve">Included were controls for </w:t>
      </w:r>
      <w:r w:rsidR="00A76E46">
        <w:t>endogenous elections, single-party majority governments</w:t>
      </w:r>
      <w:r w:rsidR="00F84205">
        <w:t xml:space="preserve">, and the number of </w:t>
      </w:r>
      <w:r w:rsidR="005636BE">
        <w:t>electoral districts (to represent fractionalization).</w:t>
      </w:r>
      <w:r w:rsidR="00A55036">
        <w:t xml:space="preserve"> The hypotheses that</w:t>
      </w:r>
      <w:r w:rsidR="00894B3A">
        <w:t xml:space="preserve"> under capital mobility,</w:t>
      </w:r>
      <w:r w:rsidR="00A55036">
        <w:t xml:space="preserve"> </w:t>
      </w:r>
      <w:r w:rsidR="0089039A">
        <w:t xml:space="preserve">fixed exchange rates </w:t>
      </w:r>
      <w:r w:rsidR="00894B3A">
        <w:t xml:space="preserve">(with independent central banks) </w:t>
      </w:r>
      <w:r w:rsidR="0089039A">
        <w:t>and dependent central banks increased leader survival after 7 year</w:t>
      </w:r>
      <w:r w:rsidR="00847029">
        <w:t>s in</w:t>
      </w:r>
      <w:r w:rsidR="0089039A">
        <w:t xml:space="preserve"> office were</w:t>
      </w:r>
      <w:r w:rsidR="00623308">
        <w:t xml:space="preserve"> seemingly confirmed.</w:t>
      </w:r>
      <w:r w:rsidR="004A3546">
        <w:rPr>
          <w:rStyle w:val="FootnoteReference"/>
        </w:rPr>
        <w:footnoteReference w:id="10"/>
      </w:r>
      <w:r w:rsidR="00422C65">
        <w:t xml:space="preserve"> This </w:t>
      </w:r>
      <w:r w:rsidR="00CB2341">
        <w:t>is claimed to provide</w:t>
      </w:r>
      <w:r w:rsidR="00237FF5">
        <w:t xml:space="preserve"> some</w:t>
      </w:r>
      <w:r w:rsidR="00B9197D">
        <w:t xml:space="preserve"> evidence against political business cycle and economic voting literatures</w:t>
      </w:r>
      <w:r w:rsidR="0014356D">
        <w:t xml:space="preserve">, at least in </w:t>
      </w:r>
      <w:r w:rsidR="0014356D" w:rsidRPr="008931FA">
        <w:t>the early part of incumbent terms</w:t>
      </w:r>
      <w:r w:rsidR="00D07F0E" w:rsidRPr="008931FA">
        <w:t xml:space="preserve">: </w:t>
      </w:r>
      <w:r w:rsidR="00357595" w:rsidRPr="008931FA">
        <w:t xml:space="preserve">outside means such as diversionary war or </w:t>
      </w:r>
      <w:r w:rsidR="00D07F0E" w:rsidRPr="008931FA">
        <w:t>other factors such as resignations</w:t>
      </w:r>
      <w:r w:rsidR="00F53FFD">
        <w:t xml:space="preserve"> are said to be likely </w:t>
      </w:r>
      <w:r w:rsidR="00D07F0E" w:rsidRPr="008931FA">
        <w:t>more important in determining leader survival.</w:t>
      </w:r>
    </w:p>
    <w:p w14:paraId="100A1F5C" w14:textId="66F1079F" w:rsidR="0006642E" w:rsidRPr="008931FA" w:rsidRDefault="0006642E" w:rsidP="0006642E">
      <w:pPr>
        <w:pStyle w:val="Heading1"/>
      </w:pPr>
      <w:r>
        <w:t>Endogeneity Issues</w:t>
      </w:r>
    </w:p>
    <w:p w14:paraId="1ED3ABD6" w14:textId="158349EE" w:rsidR="00F31C49" w:rsidRDefault="00C85BE8" w:rsidP="003D2646">
      <w:r>
        <w:t>I</w:t>
      </w:r>
      <w:r w:rsidR="00BE1305">
        <w:t>mportantly</w:t>
      </w:r>
      <w:r w:rsidR="003D2646">
        <w:t xml:space="preserve">, I argue that </w:t>
      </w:r>
      <w:r w:rsidR="0090713F">
        <w:t>both</w:t>
      </w:r>
      <w:r w:rsidR="003D2646">
        <w:t xml:space="preserve"> works on the topic are faced with potential endogeneity problems. </w:t>
      </w:r>
      <w:r w:rsidR="0090713F">
        <w:t>Several</w:t>
      </w:r>
      <w:r w:rsidR="003D2646">
        <w:t xml:space="preserve"> institutional variables accounted for do give a good sense of changes relative to “normal” cabinet duration induced by </w:t>
      </w:r>
      <w:r w:rsidR="001E1548">
        <w:t>limiting institutions</w:t>
      </w:r>
      <w:r w:rsidR="003D2646">
        <w:t xml:space="preserve">. These include controls for fractionalization, polarization, and endogenous electoral timing, items which I seek to replicate using country fixed </w:t>
      </w:r>
      <w:r w:rsidR="003D2646">
        <w:lastRenderedPageBreak/>
        <w:t>effects. But the provided OLS</w:t>
      </w:r>
      <w:r w:rsidR="00B11DBD">
        <w:t xml:space="preserve"> and hazard</w:t>
      </w:r>
      <w:r w:rsidR="003D2646">
        <w:t xml:space="preserve"> regressions do not </w:t>
      </w:r>
      <w:r w:rsidR="00F31C49">
        <w:t xml:space="preserve">rule out the potential that the choice of commitment institutions </w:t>
      </w:r>
      <w:r w:rsidR="008B421B">
        <w:t xml:space="preserve">and their de facto strength </w:t>
      </w:r>
      <w:r w:rsidR="00F31C49">
        <w:t>may be dependent on politics and stability considerations specifically</w:t>
      </w:r>
      <w:r w:rsidR="008B421B">
        <w:t xml:space="preserve">, nor do they </w:t>
      </w:r>
      <w:r w:rsidR="003D2646">
        <w:t>capture other potential confounders such as federalism or corporatism</w:t>
      </w:r>
      <w:r w:rsidR="008B421B">
        <w:t>.</w:t>
      </w:r>
      <w:r w:rsidR="00683319">
        <w:rPr>
          <w:rStyle w:val="FootnoteReference"/>
        </w:rPr>
        <w:footnoteReference w:id="11"/>
      </w:r>
    </w:p>
    <w:p w14:paraId="5B20DB3A" w14:textId="69F44C89" w:rsidR="00714CD2" w:rsidRDefault="000D1824" w:rsidP="002F28E1">
      <w:pPr>
        <w:rPr>
          <w:lang w:val="en-GB"/>
        </w:rPr>
      </w:pPr>
      <w:r>
        <w:t>There is every reason to believe that c</w:t>
      </w:r>
      <w:r w:rsidR="00771418">
        <w:t>entral bank independence</w:t>
      </w:r>
      <w:r w:rsidR="00BB6DEC">
        <w:t xml:space="preserve"> is </w:t>
      </w:r>
      <w:r w:rsidR="00680EEB">
        <w:t>a</w:t>
      </w:r>
      <w:r w:rsidR="00BB6DEC">
        <w:t xml:space="preserve"> political question.</w:t>
      </w:r>
      <w:r w:rsidR="000D556D">
        <w:t xml:space="preserve"> </w:t>
      </w:r>
      <w:r w:rsidR="00254DF1">
        <w:rPr>
          <w:lang w:val="en-GB"/>
        </w:rPr>
        <w:t>For example, t</w:t>
      </w:r>
      <w:r w:rsidR="000D556D">
        <w:rPr>
          <w:lang w:val="en-GB"/>
        </w:rPr>
        <w:t xml:space="preserve">here are a wide variety of areas on which responsibilities between governments and central bankers can be divided where political considerations may come into play, such as the setting of broader targets and objectives and the appointment of central bank officials </w:t>
      </w:r>
      <w:r w:rsidR="000D556D">
        <w:rPr>
          <w:lang w:val="en-GB"/>
        </w:rPr>
        <w:fldChar w:fldCharType="begin"/>
      </w:r>
      <w:r w:rsidR="006F3F5C">
        <w:rPr>
          <w:lang w:val="en-GB"/>
        </w:rPr>
        <w:instrText xml:space="preserve"> ADDIN ZOTERO_ITEM CSL_CITATION {"citationID":"c0PPeM0V","properties":{"formattedCitation":"(Eijffinger and Haan 1996)","plainCitation":"(Eijffinger and Haan 1996)","noteIndex":0},"citationItems":[{"id":278,"uris":["http://zotero.org/users/5939705/items/MQS7IIR8"],"uri":["http://zotero.org/users/5939705/items/MQS7IIR8"],"itemData":{"id":278,"type":"book","call-number":"HG1811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 Bank Independence","author":[{"family":"Eijffinger","given":"Sylvester C. W."},{"family":"Haan","given":"Jakob","dropping-particle":"de"}],"issued":{"date-parts":[["1996"]]}}}],"schema":"https://github.com/citation-style-language/schema/raw/master/csl-citation.json"} </w:instrText>
      </w:r>
      <w:r w:rsidR="000D556D">
        <w:rPr>
          <w:lang w:val="en-GB"/>
        </w:rPr>
        <w:fldChar w:fldCharType="separate"/>
      </w:r>
      <w:r w:rsidR="000D556D" w:rsidRPr="002E6F59">
        <w:rPr>
          <w:rFonts w:ascii="Calibri" w:hAnsi="Calibri" w:cs="Calibri"/>
        </w:rPr>
        <w:t>(Eijffinger and Haan 1996)</w:t>
      </w:r>
      <w:r w:rsidR="000D556D">
        <w:rPr>
          <w:lang w:val="en-GB"/>
        </w:rPr>
        <w:fldChar w:fldCharType="end"/>
      </w:r>
      <w:r w:rsidR="000D556D">
        <w:rPr>
          <w:lang w:val="en-GB"/>
        </w:rPr>
        <w:t>.</w:t>
      </w:r>
      <w:r w:rsidR="00B337A7">
        <w:rPr>
          <w:lang w:val="en-GB"/>
        </w:rPr>
        <w:t xml:space="preserve"> </w:t>
      </w:r>
    </w:p>
    <w:p w14:paraId="0A1169F4" w14:textId="0BF17DD1" w:rsidR="008120B7" w:rsidRPr="008C1F67" w:rsidRDefault="00AF5498" w:rsidP="002F28E1">
      <w:r w:rsidRPr="008C1F67">
        <w:t>This point is especially salient in the consideration of de jure and de facto independence</w:t>
      </w:r>
      <w:r w:rsidR="00AD0359" w:rsidRPr="008C1F67">
        <w:t>. De jure</w:t>
      </w:r>
      <w:r w:rsidR="00DE727A" w:rsidRPr="008C1F67">
        <w:t>, or statutory independence tends to be rather fixed over time</w:t>
      </w:r>
      <w:r w:rsidR="000E49C8" w:rsidRPr="008C1F67">
        <w:t xml:space="preserve"> </w:t>
      </w:r>
      <w:r w:rsidR="000E49C8" w:rsidRPr="008C1F67">
        <w:fldChar w:fldCharType="begin"/>
      </w:r>
      <w:r w:rsidR="007B01F4">
        <w:instrText xml:space="preserve"> ADDIN ZOTERO_ITEM CSL_CITATION {"citationID":"RXgTHuO6","properties":{"formattedCitation":"(Garriga 2016)","plainCitation":"(Garriga 2016)","noteIndex":0},"citationItems":[{"id":255,"uris":["http://zotero.org/users/5939705/items/7DK89CLX"],"uri":["http://zotero.org/users/5939705/items/7DK89CLX"],"itemData":{"id":255,"type":"article-journal","abstract":"This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0E49C8" w:rsidRPr="008C1F67">
        <w:fldChar w:fldCharType="separate"/>
      </w:r>
      <w:r w:rsidR="000E49C8" w:rsidRPr="008C1F67">
        <w:rPr>
          <w:rFonts w:ascii="Calibri" w:hAnsi="Calibri" w:cs="Calibri"/>
        </w:rPr>
        <w:t>(Garriga 2016)</w:t>
      </w:r>
      <w:r w:rsidR="000E49C8" w:rsidRPr="008C1F67">
        <w:fldChar w:fldCharType="end"/>
      </w:r>
      <w:r w:rsidR="00822232" w:rsidRPr="008C1F67">
        <w:t>, meaning that it tends to b</w:t>
      </w:r>
      <w:r w:rsidR="005B777C" w:rsidRPr="008C1F67">
        <w:t>e based on a single set of decisions</w:t>
      </w:r>
      <w:r w:rsidR="00056BCA" w:rsidRPr="008C1F67">
        <w:t xml:space="preserve"> </w:t>
      </w:r>
      <w:r w:rsidR="00744FAD" w:rsidRPr="008C1F67">
        <w:t>when relevant legal measures are passed</w:t>
      </w:r>
      <w:r w:rsidR="000E49C8" w:rsidRPr="008C1F67">
        <w:t>, perhaps limiting political considerations to that period</w:t>
      </w:r>
      <w:r w:rsidR="002F4130" w:rsidRPr="008C1F67">
        <w:t>.</w:t>
      </w:r>
      <w:r w:rsidR="0053203E" w:rsidRPr="008C1F67">
        <w:t xml:space="preserve"> </w:t>
      </w:r>
      <w:r w:rsidR="008120B7" w:rsidRPr="008C1F67">
        <w:t xml:space="preserve">But the </w:t>
      </w:r>
      <w:r w:rsidR="00DD47BF" w:rsidRPr="008C1F67">
        <w:t>matter</w:t>
      </w:r>
      <w:r w:rsidR="008120B7" w:rsidRPr="008C1F67">
        <w:t xml:space="preserve"> of de facto central bank independence is far more often</w:t>
      </w:r>
      <w:r w:rsidR="00DD47BF" w:rsidRPr="008C1F67">
        <w:t xml:space="preserve"> political</w:t>
      </w:r>
      <w:r w:rsidR="00646411" w:rsidRPr="008C1F67">
        <w:t xml:space="preserve">. This can be seen in the current example </w:t>
      </w:r>
      <w:r w:rsidR="001B0EED">
        <w:t xml:space="preserve">of the Trump administration </w:t>
      </w:r>
      <w:r w:rsidR="00646411" w:rsidRPr="008C1F67">
        <w:t>given earlier</w:t>
      </w:r>
      <w:r w:rsidR="0053203E" w:rsidRPr="008C1F67">
        <w:t xml:space="preserve">: </w:t>
      </w:r>
      <w:r w:rsidR="00FF6074">
        <w:t>regardless of</w:t>
      </w:r>
      <w:r w:rsidR="00413463">
        <w:t xml:space="preserve"> the law, </w:t>
      </w:r>
      <w:r w:rsidR="0053203E" w:rsidRPr="008C1F67">
        <w:t>political interference and threats are very much possible.</w:t>
      </w:r>
      <w:r w:rsidR="004344FA" w:rsidRPr="008C1F67">
        <w:t xml:space="preserve"> Political actors may be heterogenous in the value they place on independence, as outcry </w:t>
      </w:r>
      <w:r w:rsidR="00FF6074">
        <w:t xml:space="preserve">to these events </w:t>
      </w:r>
      <w:r w:rsidR="004344FA" w:rsidRPr="008C1F67">
        <w:t>indicate</w:t>
      </w:r>
      <w:r w:rsidR="00FF6074">
        <w:t>d</w:t>
      </w:r>
      <w:r w:rsidR="004344FA" w:rsidRPr="008C1F67">
        <w:t>.</w:t>
      </w:r>
    </w:p>
    <w:p w14:paraId="5CA621DA" w14:textId="1B8B684D" w:rsidR="00140B6E" w:rsidRPr="008C1F67" w:rsidRDefault="00FD3172" w:rsidP="002F28E1">
      <w:pPr>
        <w:rPr>
          <w:lang w:val="en-GB"/>
        </w:rPr>
      </w:pPr>
      <w:r w:rsidRPr="008C1F67">
        <w:rPr>
          <w:lang w:val="en-GB"/>
        </w:rPr>
        <w:t xml:space="preserve">Some authors have argued that de </w:t>
      </w:r>
      <w:r w:rsidR="00377807">
        <w:rPr>
          <w:lang w:val="en-GB"/>
        </w:rPr>
        <w:t>jure</w:t>
      </w:r>
      <w:r w:rsidRPr="008C1F67">
        <w:rPr>
          <w:lang w:val="en-GB"/>
        </w:rPr>
        <w:t xml:space="preserve"> independence </w:t>
      </w:r>
      <w:r w:rsidR="00552160">
        <w:rPr>
          <w:lang w:val="en-GB"/>
        </w:rPr>
        <w:t>is not important</w:t>
      </w:r>
      <w:r w:rsidR="00C15E9D" w:rsidRPr="008C1F67">
        <w:rPr>
          <w:lang w:val="en-GB"/>
        </w:rPr>
        <w:t xml:space="preserve"> </w:t>
      </w:r>
      <w:r w:rsidRPr="008C1F67">
        <w:rPr>
          <w:lang w:val="en-GB"/>
        </w:rPr>
        <w:t xml:space="preserve">in </w:t>
      </w:r>
      <w:r w:rsidR="00431F74" w:rsidRPr="008C1F67">
        <w:rPr>
          <w:lang w:val="en-GB"/>
        </w:rPr>
        <w:t xml:space="preserve">developing nations or </w:t>
      </w:r>
      <w:r w:rsidRPr="008C1F67">
        <w:rPr>
          <w:lang w:val="en-GB"/>
        </w:rPr>
        <w:t>non-democracies</w:t>
      </w:r>
      <w:r w:rsidR="00532D71" w:rsidRPr="008C1F67">
        <w:rPr>
          <w:lang w:val="en-GB"/>
        </w:rPr>
        <w:t>.</w:t>
      </w:r>
      <w:r w:rsidR="00D96307" w:rsidRPr="008C1F67">
        <w:rPr>
          <w:lang w:val="en-GB"/>
        </w:rPr>
        <w:t xml:space="preserve"> </w:t>
      </w:r>
      <w:r w:rsidR="00536188" w:rsidRPr="008C1F67">
        <w:t>In terms of</w:t>
      </w:r>
      <w:r w:rsidR="00D96307" w:rsidRPr="008C1F67">
        <w:t xml:space="preserve"> predicting</w:t>
      </w:r>
      <w:r w:rsidR="00536188" w:rsidRPr="008C1F67">
        <w:t xml:space="preserve"> the impact on </w:t>
      </w:r>
      <w:r w:rsidR="00D96307" w:rsidRPr="008C1F67">
        <w:t>average inflation rates, turnover of bank</w:t>
      </w:r>
      <w:r w:rsidR="00140B6E" w:rsidRPr="008C1F67">
        <w:t xml:space="preserve"> executive</w:t>
      </w:r>
      <w:r w:rsidR="00D96307" w:rsidRPr="008C1F67">
        <w:t>s</w:t>
      </w:r>
      <w:r w:rsidR="00140B6E" w:rsidRPr="008C1F67">
        <w:t xml:space="preserve"> is </w:t>
      </w:r>
      <w:r w:rsidR="00D96307" w:rsidRPr="008C1F67">
        <w:t xml:space="preserve">superior to de jure independence in a number of countries </w:t>
      </w:r>
      <w:r w:rsidR="00140B6E" w:rsidRPr="008C1F67">
        <w:fldChar w:fldCharType="begin"/>
      </w:r>
      <w:r w:rsidR="007B01F4">
        <w:instrText xml:space="preserve"> ADDIN ZOTERO_ITEM CSL_CITATION {"citationID":"NWGqHUAw","properties":{"formattedCitation":"(Cukierman, Webb, and Neyapti 1992)","plainCitation":"(Cukierman, Webb, and Neyapti 1992)","noteIndex":0},"citationItems":[{"id":281,"uris":["http://zotero.org/users/5939705/items/8E25K9J9"],"uri":["http://zotero.org/users/5939705/items/8E25K9J9"],"itemData":{"id":281,"type":"article-journal","abstract":"Making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0B6E" w:rsidRPr="008C1F67">
        <w:fldChar w:fldCharType="separate"/>
      </w:r>
      <w:r w:rsidR="00140B6E" w:rsidRPr="008C1F67">
        <w:rPr>
          <w:rFonts w:ascii="Calibri" w:hAnsi="Calibri" w:cs="Calibri"/>
        </w:rPr>
        <w:t>(Cukierman, Webb, and Neyapti 1992)</w:t>
      </w:r>
      <w:r w:rsidR="00140B6E" w:rsidRPr="008C1F67">
        <w:fldChar w:fldCharType="end"/>
      </w:r>
      <w:r w:rsidR="00140B6E" w:rsidRPr="008C1F67">
        <w:t>.</w:t>
      </w:r>
      <w:r w:rsidR="00BF0FB0" w:rsidRPr="008C1F67">
        <w:t xml:space="preserve"> Justification for the fact that </w:t>
      </w:r>
      <w:r w:rsidR="002145FB" w:rsidRPr="008C1F67">
        <w:t xml:space="preserve">independence seems to create fiscal restraint only in democratic and rule of law countries </w:t>
      </w:r>
      <w:r w:rsidR="00F91141" w:rsidRPr="008C1F67">
        <w:t>comes from the fact</w:t>
      </w:r>
      <w:r w:rsidR="00D31298" w:rsidRPr="008C1F67">
        <w:t xml:space="preserve"> that</w:t>
      </w:r>
      <w:r w:rsidR="008B30FD" w:rsidRPr="008C1F67">
        <w:t>, due to political circumstances,</w:t>
      </w:r>
      <w:r w:rsidR="00D31298" w:rsidRPr="008C1F67">
        <w:t xml:space="preserve"> these countries have de jure</w:t>
      </w:r>
      <w:r w:rsidR="008B30FD" w:rsidRPr="008C1F67">
        <w:t xml:space="preserve"> </w:t>
      </w:r>
      <w:r w:rsidR="00DD0162" w:rsidRPr="008C1F67">
        <w:t>and not just de facto independence</w:t>
      </w:r>
      <w:r w:rsidR="002F076C" w:rsidRPr="008C1F67">
        <w:t xml:space="preserve"> </w:t>
      </w:r>
      <w:r w:rsidR="00DD0162" w:rsidRPr="008C1F67">
        <w:fldChar w:fldCharType="begin"/>
      </w:r>
      <w:r w:rsidR="007B01F4">
        <w:instrText xml:space="preserve"> ADDIN ZOTERO_ITEM CSL_CITATION {"citationID":"9mOzGegC","properties":{"formattedCitation":"(Bodea and Higashijima 2017)","plainCitation":"(Bodea and Higashijima 2017)","noteIndex":0},"citationItems":[{"id":257,"uris":["http://zotero.org/users/5939705/items/TY86JMY3"],"uri":["http://zotero.org/users/5939705/items/TY86JMY3"],"itemData":{"id":257,"type":"report","abstract":"Independent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sidR="00DD0162" w:rsidRPr="008C1F67">
        <w:fldChar w:fldCharType="separate"/>
      </w:r>
      <w:r w:rsidR="002F076C" w:rsidRPr="008C1F67">
        <w:rPr>
          <w:rFonts w:ascii="Calibri" w:hAnsi="Calibri" w:cs="Calibri"/>
        </w:rPr>
        <w:t>(Bodea and Higashijima 2017)</w:t>
      </w:r>
      <w:r w:rsidR="00DD0162" w:rsidRPr="008C1F67">
        <w:fldChar w:fldCharType="end"/>
      </w:r>
      <w:r w:rsidR="00DD0162" w:rsidRPr="008C1F67">
        <w:t>.</w:t>
      </w:r>
    </w:p>
    <w:p w14:paraId="126AC013" w14:textId="246686FE" w:rsidR="00AA6517" w:rsidRDefault="00331019" w:rsidP="009B2B16">
      <w:r>
        <w:rPr>
          <w:lang w:val="en-GB"/>
        </w:rPr>
        <w:t xml:space="preserve">If politics in general </w:t>
      </w:r>
      <w:r w:rsidR="007E4DA2">
        <w:rPr>
          <w:lang w:val="en-GB"/>
        </w:rPr>
        <w:t xml:space="preserve">may influence </w:t>
      </w:r>
      <w:r w:rsidR="00937F1E">
        <w:rPr>
          <w:lang w:val="en-GB"/>
        </w:rPr>
        <w:t>the level of central bank independence</w:t>
      </w:r>
      <w:r w:rsidR="00FC3578">
        <w:rPr>
          <w:lang w:val="en-GB"/>
        </w:rPr>
        <w:t xml:space="preserve">, then </w:t>
      </w:r>
      <w:r w:rsidR="00D0558D">
        <w:rPr>
          <w:lang w:val="en-GB"/>
        </w:rPr>
        <w:t xml:space="preserve">it is not a far leap to presume that </w:t>
      </w:r>
      <w:r w:rsidR="00E6612B">
        <w:rPr>
          <w:lang w:val="en-GB"/>
        </w:rPr>
        <w:t>stability or instability has an impact</w:t>
      </w:r>
      <w:r w:rsidR="004918F0">
        <w:rPr>
          <w:lang w:val="en-GB"/>
        </w:rPr>
        <w:t xml:space="preserve">; we should be wary of </w:t>
      </w:r>
      <w:r w:rsidR="008C1F67">
        <w:rPr>
          <w:lang w:val="en-GB"/>
        </w:rPr>
        <w:t>endogeneity</w:t>
      </w:r>
      <w:r w:rsidR="004918F0">
        <w:rPr>
          <w:lang w:val="en-GB"/>
        </w:rPr>
        <w:t xml:space="preserve"> problems in this reduced form examination</w:t>
      </w:r>
      <w:r w:rsidR="00E6612B">
        <w:rPr>
          <w:lang w:val="en-GB"/>
        </w:rPr>
        <w:t>.</w:t>
      </w:r>
      <w:r w:rsidR="000F59CF">
        <w:rPr>
          <w:lang w:val="en-GB"/>
        </w:rPr>
        <w:t xml:space="preserve"> </w:t>
      </w:r>
      <w:r w:rsidR="000F59CF">
        <w:t>The literature in fact documents specific models and mechanisms for this impact</w:t>
      </w:r>
      <w:r w:rsidR="00143BF1">
        <w:t xml:space="preserve"> </w:t>
      </w:r>
      <w:r w:rsidR="00143BF1">
        <w:fldChar w:fldCharType="begin"/>
      </w:r>
      <w:r w:rsidR="006F3F5C">
        <w:instrText xml:space="preserve"> ADDIN ZOTERO_ITEM CSL_CITATION {"citationID":"tICjSfrQ","properties":{"formattedCitation":"(Eijffinger and Haan 1996)","plainCitation":"(Eijffinger and Haan 1996)","noteIndex":0},"citationItems":[{"id":278,"uris":["http://zotero.org/users/5939705/items/MQS7IIR8"],"uri":["http://zotero.org/users/5939705/items/MQS7IIR8"],"itemData":{"id":278,"type":"book","call-number":"HG1811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 Bank Independence","author":[{"family":"Eijffinger","given":"Sylvester C. W."},{"family":"Haan","given":"Jakob","dropping-particle":"de"}],"issued":{"date-parts":[["1996"]]}}}],"schema":"https://github.com/citation-style-language/schema/raw/master/csl-citation.json"} </w:instrText>
      </w:r>
      <w:r w:rsidR="00143BF1">
        <w:fldChar w:fldCharType="separate"/>
      </w:r>
      <w:r w:rsidR="00680697" w:rsidRPr="00680697">
        <w:rPr>
          <w:rFonts w:ascii="Calibri" w:hAnsi="Calibri" w:cs="Calibri"/>
        </w:rPr>
        <w:t>(Eijffinger and Haan 1996)</w:t>
      </w:r>
      <w:r w:rsidR="00143BF1">
        <w:fldChar w:fldCharType="end"/>
      </w:r>
      <w:r w:rsidR="00160F24">
        <w:t>.</w:t>
      </w:r>
      <w:r w:rsidR="002A5458">
        <w:rPr>
          <w:lang w:val="en-GB"/>
        </w:rPr>
        <w:t xml:space="preserve"> </w:t>
      </w:r>
      <w:r w:rsidR="00D266B3">
        <w:rPr>
          <w:lang w:val="en-GB"/>
        </w:rPr>
        <w:t>I</w:t>
      </w:r>
      <w:r w:rsidR="00FE0528">
        <w:t xml:space="preserve">nstability </w:t>
      </w:r>
      <w:r w:rsidR="0098600E">
        <w:t>may lead to</w:t>
      </w:r>
      <w:r w:rsidR="00FE0528">
        <w:t xml:space="preserve"> a more independent central bank as incumbents seek to limit the range of options available to opponents</w:t>
      </w:r>
      <w:r w:rsidR="002D6626">
        <w:t xml:space="preserve"> </w:t>
      </w:r>
      <w:r w:rsidR="003157B8">
        <w:fldChar w:fldCharType="begin"/>
      </w:r>
      <w:r w:rsidR="007B01F4">
        <w:instrText xml:space="preserve"> ADDIN ZOTERO_ITEM CSL_CITATION {"citationID":"Oa6yxlsl","properties":{"formattedCitation":"(Goodman 1991)","plainCitation":"(Goodman 1991)","dontUpdate":true,"noteIndex":0},"citationItems":[{"id":268,"uris":["http://zotero.org/users/5939705/items/KU9XMBXE"],"uri":["http://zotero.org/users/5939705/items/KU9XMBXE"],"itemData":{"id":268,"type":"article-journal","archive":"JSTOR","container-title":"Comparative Politics","DOI":"10.2307/422090","ISSN":"0010-4159","issue":"3","page":"329-349","source":"JSTOR","title":"The Politics of Central Bank Independence","volume":"23","author":[{"family":"Goodman","given":"John B."}],"issued":{"date-parts":[["1991"]]}}}],"schema":"https://github.com/citation-style-language/schema/raw/master/csl-citation.json"} </w:instrText>
      </w:r>
      <w:r w:rsidR="003157B8">
        <w:fldChar w:fldCharType="separate"/>
      </w:r>
      <w:r w:rsidR="002D6626" w:rsidRPr="002D6626">
        <w:rPr>
          <w:rFonts w:ascii="Calibri" w:hAnsi="Calibri" w:cs="Calibri"/>
        </w:rPr>
        <w:t>(</w:t>
      </w:r>
      <w:r w:rsidR="00C041AD">
        <w:rPr>
          <w:rFonts w:ascii="Calibri" w:hAnsi="Calibri" w:cs="Calibri"/>
        </w:rPr>
        <w:t xml:space="preserve">see case studies discussed in </w:t>
      </w:r>
      <w:r w:rsidR="002D6626" w:rsidRPr="002D6626">
        <w:rPr>
          <w:rFonts w:ascii="Calibri" w:hAnsi="Calibri" w:cs="Calibri"/>
        </w:rPr>
        <w:t>Goodman 1991)</w:t>
      </w:r>
      <w:r w:rsidR="003157B8">
        <w:fldChar w:fldCharType="end"/>
      </w:r>
      <w:r w:rsidR="00292947">
        <w:t>.</w:t>
      </w:r>
      <w:r w:rsidR="002A5458">
        <w:t xml:space="preserve"> </w:t>
      </w:r>
      <w:r w:rsidR="00AA6517">
        <w:t>On the other hand, increased instability may inspire a greater need to make use of the political business cycle</w:t>
      </w:r>
      <w:r w:rsidR="002A5458">
        <w:t xml:space="preserve"> to remain in office, reducing independence.</w:t>
      </w:r>
    </w:p>
    <w:p w14:paraId="0EB69D1D" w14:textId="216EA620" w:rsidR="006821AF" w:rsidRDefault="00487D37" w:rsidP="00154F12">
      <w:r>
        <w:t xml:space="preserve">Attempts have </w:t>
      </w:r>
      <w:r w:rsidRPr="00103F12">
        <w:t xml:space="preserve">been made to unify these theories </w:t>
      </w:r>
      <w:r w:rsidR="006821AF" w:rsidRPr="00103F12">
        <w:t xml:space="preserve">by noting that </w:t>
      </w:r>
      <w:r w:rsidR="0047676E" w:rsidRPr="00103F12">
        <w:t>in nations with high degrees of consensus or low polarization</w:t>
      </w:r>
      <w:r w:rsidR="000C360B">
        <w:t>, instability increases independence</w:t>
      </w:r>
      <w:r w:rsidR="00C10F23">
        <w:t>, w</w:t>
      </w:r>
      <w:r w:rsidR="00C92D7C">
        <w:t xml:space="preserve">ith the reverse true in </w:t>
      </w:r>
      <w:r w:rsidR="00377510">
        <w:t>nations with low consensus</w:t>
      </w:r>
      <w:r w:rsidR="00AB3832">
        <w:t>.</w:t>
      </w:r>
      <w:r w:rsidR="00154F12">
        <w:t xml:space="preserve"> </w:t>
      </w:r>
      <w:r w:rsidR="00AB3832">
        <w:t>T</w:t>
      </w:r>
      <w:r w:rsidR="00154F12">
        <w:t>ests find expected signs when using appropriate measures</w:t>
      </w:r>
      <w:r w:rsidR="004B32A1">
        <w:t xml:space="preserve"> of</w:t>
      </w:r>
      <w:r w:rsidR="00154F12">
        <w:t xml:space="preserve"> </w:t>
      </w:r>
      <w:r w:rsidR="003D2056">
        <w:t xml:space="preserve">legal central bank </w:t>
      </w:r>
      <w:r w:rsidR="003D2056" w:rsidRPr="00AB3832">
        <w:t xml:space="preserve">independence </w:t>
      </w:r>
      <w:r w:rsidR="004B32A1" w:rsidRPr="00AB3832">
        <w:t>and</w:t>
      </w:r>
      <w:r w:rsidR="00154F12" w:rsidRPr="00AB3832">
        <w:t xml:space="preserve"> instability </w:t>
      </w:r>
      <w:r w:rsidR="00666D41" w:rsidRPr="00AB3832">
        <w:t>for each type of nation</w:t>
      </w:r>
      <w:r w:rsidR="00D805D8" w:rsidRPr="00AB3832">
        <w:t xml:space="preserve"> (party </w:t>
      </w:r>
      <w:r w:rsidR="00AB3832" w:rsidRPr="00AB3832">
        <w:t xml:space="preserve">instability </w:t>
      </w:r>
      <w:r w:rsidR="00D805D8" w:rsidRPr="00AB3832">
        <w:t>in high consensus</w:t>
      </w:r>
      <w:r w:rsidR="00AB3832" w:rsidRPr="00AB3832">
        <w:t xml:space="preserve"> nations</w:t>
      </w:r>
      <w:r w:rsidR="00D805D8" w:rsidRPr="00AB3832">
        <w:t xml:space="preserve">, regime </w:t>
      </w:r>
      <w:r w:rsidR="00AB3832" w:rsidRPr="00AB3832">
        <w:t xml:space="preserve">instability </w:t>
      </w:r>
      <w:r w:rsidR="00D805D8" w:rsidRPr="00AB3832">
        <w:t>in low)</w:t>
      </w:r>
      <w:r w:rsidR="00666D41" w:rsidRPr="00AB3832">
        <w:t xml:space="preserve"> </w:t>
      </w:r>
      <w:r w:rsidR="00154F12" w:rsidRPr="00AB3832">
        <w:fldChar w:fldCharType="begin"/>
      </w:r>
      <w:r w:rsidR="007B01F4">
        <w:instrText xml:space="preserve"> ADDIN ZOTERO_ITEM CSL_CITATION {"citationID":"Dmq9JPQg","properties":{"formattedCitation":"(Cukierman 1992)","plainCitation":"(Cukierman 1992)","noteIndex":0},"citationItems":[{"id":277,"uris":["http://zotero.org/users/5939705/items/BB5FLGYR"],"uri":["http://zotero.org/users/5939705/items/BB5FLGYR"],"itemData":{"id":277,"type":"book","call-number":"HG229 .C82 1992","event-place":"Cambridge, Mass","ISBN":"978-0-262-03198-1","number-of-pages":"496","publisher":"MIT Press","publisher-place":"Cambridge, Mass","source":"Library of Congress ISBN","title":"Central bank strategy, credibility, and independence: theory and evidence","title-short":"Central bank strategy, credibility, and independence","author":[{"family":"Cukierman","given":"Alex"}],"issued":{"date-parts":[["1992"]]}}}],"schema":"https://github.com/citation-style-language/schema/raw/master/csl-citation.json"} </w:instrText>
      </w:r>
      <w:r w:rsidR="00154F12" w:rsidRPr="00AB3832">
        <w:fldChar w:fldCharType="separate"/>
      </w:r>
      <w:r w:rsidR="00154F12" w:rsidRPr="00AB3832">
        <w:rPr>
          <w:rFonts w:ascii="Calibri" w:hAnsi="Calibri" w:cs="Calibri"/>
        </w:rPr>
        <w:t>(Cukierman 1992)</w:t>
      </w:r>
      <w:r w:rsidR="00154F12" w:rsidRPr="00AB3832">
        <w:fldChar w:fldCharType="end"/>
      </w:r>
      <w:r w:rsidR="00154F12" w:rsidRPr="00AB3832">
        <w:t>.</w:t>
      </w:r>
      <w:r w:rsidR="00F875D7" w:rsidRPr="00AB3832">
        <w:t xml:space="preserve"> Later work focused on </w:t>
      </w:r>
      <w:r w:rsidR="00A6232F" w:rsidRPr="00AB3832">
        <w:t xml:space="preserve">de jure independence and found effects only for </w:t>
      </w:r>
      <w:r w:rsidR="00D92009" w:rsidRPr="00AB3832">
        <w:t xml:space="preserve">high-level </w:t>
      </w:r>
      <w:r w:rsidR="00A6232F" w:rsidRPr="00AB3832">
        <w:t xml:space="preserve">changes in regimes and </w:t>
      </w:r>
      <w:r w:rsidR="00D92009" w:rsidRPr="00AB3832">
        <w:t>coups</w:t>
      </w:r>
      <w:r w:rsidR="007745B1" w:rsidRPr="00AB3832">
        <w:t xml:space="preserve"> </w:t>
      </w:r>
      <w:r w:rsidR="007745B1" w:rsidRPr="00AB3832">
        <w:fldChar w:fldCharType="begin"/>
      </w:r>
      <w:r w:rsidR="007B01F4">
        <w:instrText xml:space="preserve"> ADDIN ZOTERO_ITEM CSL_CITATION {"citationID":"Tb68p5PW","properties":{"formattedCitation":"(Cukierman and Webb 1995)","plainCitation":"(Cukierman and Webb 1995)","noteIndex":0},"citationItems":[{"id":276,"uris":["http://zotero.org/users/5939705/items/EZTKZEY8"],"uri":["http://zotero.org/users/5939705/items/EZTKZEY8"],"itemData":{"id":276,"type":"article-journal","abstract":"Political influence on the central bank is measured here by looking at the probability that a central bank governor will be replaced shortly after a political change of government. The governor changes about half the time within six months of a nonconstitutional or other radical change of government-a military coup or a restoration of democracy. The governor is much less likely to change within six months following a routine change in the head of government-about one-fourth of the time in developing countries and one-tenth in industrial countries. These indicators vary across countries and correlate statistically with inflation and its variability and with real growth and real interest rates. Differences in the vulnerability of the central bank to political instability, in political instability itself, and in central bank turnover in nonpolitical periods seem to be a major part of the explanation for why developing countries have, on average, higher and more variable inflation than industrial countries do.","archive":"JSTOR","container-title":"The World Bank Economic Review","ISSN":"0258-6770","issue":"3","page":"397-423","source":"JSTOR","title":"Political Influence on the Central Bank: International Evidence","title-short":"Political Influence on the Central Bank","volume":"9","author":[{"family":"Cukierman","given":"Alex"},{"family":"Webb","given":"Steven B."}],"issued":{"date-parts":[["1995"]]}}}],"schema":"https://github.com/citation-style-language/schema/raw/master/csl-citation.json"} </w:instrText>
      </w:r>
      <w:r w:rsidR="007745B1" w:rsidRPr="00AB3832">
        <w:fldChar w:fldCharType="separate"/>
      </w:r>
      <w:r w:rsidR="0069682D" w:rsidRPr="00AB3832">
        <w:rPr>
          <w:rFonts w:ascii="Calibri" w:hAnsi="Calibri" w:cs="Calibri"/>
        </w:rPr>
        <w:t>(Cukierman and Webb 1995)</w:t>
      </w:r>
      <w:r w:rsidR="007745B1" w:rsidRPr="00AB3832">
        <w:fldChar w:fldCharType="end"/>
      </w:r>
      <w:r w:rsidR="00F15205" w:rsidRPr="00AB3832">
        <w:t xml:space="preserve"> </w:t>
      </w:r>
      <w:r w:rsidR="00F15205" w:rsidRPr="00AB3832">
        <w:fldChar w:fldCharType="begin"/>
      </w:r>
      <w:r w:rsidR="007B01F4">
        <w:instrText xml:space="preserve"> ADDIN ZOTERO_ITEM CSL_CITATION {"citationID":"u18QeNtY","properties":{"formattedCitation":"(J. D. Haan and Siermann 1996)","plainCitation":"(J. D. Haan and Siermann 1996)","noteIndex":0},"citationItems":[{"id":275,"uris":["http://zotero.org/users/5939705/items/VD8JK9VU"],"uri":["http://zotero.org/users/5939705/items/VD8JK9VU"],"itemData":{"id":275,"type":"article-journal","abstract":"We test whether political instability affects central bank independence in developing countries. Both a legal measure and the turnover tate of central bank governors are used as proxies for central bank independence and the frequency of government transfers is used to proxy political instability. Only the number of coups affects the turnover rate of central bank governors. We also find that both the turnover rate of central bank governors and political instability affect the rate of inflation.","container-title":"The Journal of Policy Reform","DOI":"10.1080/13841289608523360","ISSN":"1384-1289","issue":"2","page":"135-147","source":"Taylor and Francis+NEJM","title":"Central bank independence, inflation and political instability in developing countries","volume":"1","author":[{"family":"Haan","given":"Jakob De"},{"family":"Siermann","given":"Clemens L. J."}],"issued":{"date-parts":[["1996",1,1]]}}}],"schema":"https://github.com/citation-style-language/schema/raw/master/csl-citation.json"} </w:instrText>
      </w:r>
      <w:r w:rsidR="00F15205" w:rsidRPr="00AB3832">
        <w:fldChar w:fldCharType="separate"/>
      </w:r>
      <w:r w:rsidR="00D80077" w:rsidRPr="00AB3832">
        <w:rPr>
          <w:rFonts w:ascii="Calibri" w:hAnsi="Calibri" w:cs="Calibri"/>
        </w:rPr>
        <w:t>(J. D. Haan and Siermann 1996)</w:t>
      </w:r>
      <w:r w:rsidR="00F15205" w:rsidRPr="00AB3832">
        <w:fldChar w:fldCharType="end"/>
      </w:r>
      <w:r w:rsidR="00DB390A" w:rsidRPr="00AB3832">
        <w:t>.</w:t>
      </w:r>
      <w:r w:rsidR="0091123E" w:rsidRPr="00AB3832">
        <w:t xml:space="preserve"> Finally,</w:t>
      </w:r>
      <w:r w:rsidR="00557130" w:rsidRPr="00AB3832">
        <w:t xml:space="preserve"> </w:t>
      </w:r>
      <w:r w:rsidR="0091123E" w:rsidRPr="00AB3832">
        <w:t>other</w:t>
      </w:r>
      <w:r w:rsidR="00557130">
        <w:t xml:space="preserve"> checks using the </w:t>
      </w:r>
      <w:r w:rsidR="00BE3BED">
        <w:t xml:space="preserve">frequency of government changes and significant government changes </w:t>
      </w:r>
      <w:r w:rsidR="00F02CAA">
        <w:t xml:space="preserve">and a variety of central bank autonomy measures find mixed results and </w:t>
      </w:r>
      <w:r w:rsidR="00EC765B">
        <w:t xml:space="preserve">negative or null </w:t>
      </w:r>
      <w:r w:rsidR="00E32AC2">
        <w:t xml:space="preserve">results </w:t>
      </w:r>
      <w:r w:rsidR="00425405">
        <w:fldChar w:fldCharType="begin"/>
      </w:r>
      <w:r w:rsidR="007B01F4">
        <w:instrText xml:space="preserve"> ADDIN ZOTERO_ITEM CSL_CITATION {"citationID":"3VPYdhfX","properties":{"formattedCitation":"(J. de Haan and van\\uc0\\u8217{}t Hag 1995)","plainCitation":"(J. de Haan and van’t Hag 1995)","noteIndex":0},"citationItems":[{"id":274,"uris":["http://zotero.org/users/5939705/items/2ZWNU7U8"],"uri":["http://zotero.org/users/5939705/items/2ZWNU7U8"],"itemData":{"id":274,"type":"article-journal","abstract":"In this paper seven hypotheses to explain variation in central bank independence across countries are tested. The predictions based upon the theory that delegation of authority by politicians to the central bank is used as a commitment device are not supported: central bank independence is not higher the larger the employment motivated inflationary bias, the higher political instability or the larger the government debt. Central bank independence is positively related to historical inflation experience and negatively with political instability. We do only find limited support for the view that countries with a universal banking system and countries whose central banks do not regulate financial institutions have more independent central banks.","container-title":"Public Choice","DOI":"10.1007/BF01048203","ISSN":"1573-7101","issue":"3","journalAbbreviation":"Public Choice","language":"en","page":"335-351","source":"Springer Link","title":"Variation in central bank independence across countries: Some provisional empirical evidence","title-short":"Variation in central bank independence across countries","volume":"85","author":[{"family":"Haan","given":"Jakob","non-dropping-particle":"de"},{"family":"Hag","given":"Gert Jan","non-dropping-particle":"van't"}],"issued":{"date-parts":[["1995",12,1]]}}}],"schema":"https://github.com/citation-style-language/schema/raw/master/csl-citation.json"} </w:instrText>
      </w:r>
      <w:r w:rsidR="00425405">
        <w:fldChar w:fldCharType="separate"/>
      </w:r>
      <w:r w:rsidR="00D80077" w:rsidRPr="00D80077">
        <w:rPr>
          <w:rFonts w:ascii="Calibri" w:hAnsi="Calibri" w:cs="Calibri"/>
          <w:szCs w:val="24"/>
        </w:rPr>
        <w:t>(J. de Haan and van’t Hag 1995)</w:t>
      </w:r>
      <w:r w:rsidR="00425405">
        <w:fldChar w:fldCharType="end"/>
      </w:r>
      <w:r w:rsidR="00E32AC2">
        <w:t>.</w:t>
      </w:r>
    </w:p>
    <w:p w14:paraId="5BB10D55" w14:textId="3DFBA932" w:rsidR="002930B1" w:rsidRDefault="00CD318F" w:rsidP="002930B1">
      <w:r>
        <w:lastRenderedPageBreak/>
        <w:t>Aside from th</w:t>
      </w:r>
      <w:r w:rsidR="00117E35">
        <w:t xml:space="preserve">ese </w:t>
      </w:r>
      <w:r w:rsidR="00AF082D">
        <w:t>somewhat valid</w:t>
      </w:r>
      <w:r w:rsidR="00117E35">
        <w:t xml:space="preserve"> concerns that instability affects independence</w:t>
      </w:r>
      <w:r w:rsidR="0026486A">
        <w:t xml:space="preserve">, there are </w:t>
      </w:r>
      <w:r w:rsidR="002E33D9">
        <w:t xml:space="preserve">many other channels through which independence and </w:t>
      </w:r>
      <w:r w:rsidR="00C3222D">
        <w:t>turnover may be related</w:t>
      </w:r>
      <w:r w:rsidR="009F21CF">
        <w:t xml:space="preserve">: competing mechanisms relative to </w:t>
      </w:r>
      <w:r w:rsidR="006D34FD">
        <w:t xml:space="preserve">political business cycle theory and </w:t>
      </w:r>
      <w:r w:rsidR="00AB7564">
        <w:t>economic voting</w:t>
      </w:r>
      <w:r w:rsidR="00C35C50">
        <w:t>.</w:t>
      </w:r>
      <w:r w:rsidR="00161B92">
        <w:t xml:space="preserve"> Here I cover </w:t>
      </w:r>
      <w:r w:rsidR="00ED2E62">
        <w:t>several</w:t>
      </w:r>
      <w:r w:rsidR="00161B92">
        <w:t xml:space="preserve"> such confounding </w:t>
      </w:r>
      <w:r w:rsidR="00A61E9A">
        <w:t xml:space="preserve">institutional </w:t>
      </w:r>
      <w:r w:rsidR="00161B92">
        <w:t>mechanisms: checks and balances</w:t>
      </w:r>
      <w:r w:rsidR="00ED2E62">
        <w:t xml:space="preserve"> (including</w:t>
      </w:r>
      <w:r w:rsidR="00E23DBF">
        <w:t xml:space="preserve"> </w:t>
      </w:r>
      <w:r w:rsidR="003772BD">
        <w:t>bicameralism</w:t>
      </w:r>
      <w:r w:rsidR="00EE16ED">
        <w:t xml:space="preserve">, </w:t>
      </w:r>
      <w:r w:rsidR="00E23DBF">
        <w:t>federalism</w:t>
      </w:r>
      <w:r w:rsidR="00EE16ED">
        <w:t>, and judicial review</w:t>
      </w:r>
      <w:r w:rsidR="00ED2E62">
        <w:t>)</w:t>
      </w:r>
      <w:r w:rsidR="00E23DBF">
        <w:t xml:space="preserve"> and corporatism.</w:t>
      </w:r>
    </w:p>
    <w:p w14:paraId="712925D9" w14:textId="776EF065" w:rsidR="00B23201" w:rsidRPr="00A9440B" w:rsidRDefault="005C013D" w:rsidP="000F637D">
      <w:r>
        <w:t>Various components of s</w:t>
      </w:r>
      <w:r w:rsidR="00061E7B">
        <w:t>ystem</w:t>
      </w:r>
      <w:r>
        <w:t>s</w:t>
      </w:r>
      <w:r w:rsidR="00061E7B">
        <w:t xml:space="preserve"> of checks and balances within government </w:t>
      </w:r>
      <w:r>
        <w:t>have</w:t>
      </w:r>
      <w:r w:rsidR="00D55D8F">
        <w:t xml:space="preserve"> been shown to </w:t>
      </w:r>
      <w:r w:rsidR="009D37BD">
        <w:t xml:space="preserve">be </w:t>
      </w:r>
      <w:r w:rsidR="00C711CC">
        <w:t xml:space="preserve">positively </w:t>
      </w:r>
      <w:r w:rsidR="009D37BD">
        <w:t>associated with</w:t>
      </w:r>
      <w:r w:rsidR="001E356E">
        <w:t xml:space="preserve"> central </w:t>
      </w:r>
      <w:r w:rsidR="0046189F">
        <w:t>bank independence</w:t>
      </w:r>
      <w:r w:rsidR="008155C1">
        <w:t>.</w:t>
      </w:r>
      <w:r w:rsidR="0015567E">
        <w:t xml:space="preserve"> </w:t>
      </w:r>
      <w:r w:rsidR="000A13DC">
        <w:t>De jure</w:t>
      </w:r>
      <w:r w:rsidR="00B23201">
        <w:t xml:space="preserve"> independence has been shown to </w:t>
      </w:r>
      <w:r w:rsidR="005D40E3">
        <w:t xml:space="preserve">be far higher in OECD nations with </w:t>
      </w:r>
      <w:r w:rsidR="007D5641">
        <w:t>two legislative decision making bodies</w:t>
      </w:r>
      <w:r w:rsidR="0015567E">
        <w:t xml:space="preserve"> and a veto system </w:t>
      </w:r>
      <w:r w:rsidR="0015567E" w:rsidRPr="0015567E">
        <w:rPr>
          <w:lang w:val="en-GB"/>
        </w:rPr>
        <w:fldChar w:fldCharType="begin"/>
      </w:r>
      <w:r w:rsidR="007B01F4">
        <w:rPr>
          <w:lang w:val="en-GB"/>
        </w:rPr>
        <w:instrText xml:space="preserve"> ADDIN ZOTERO_ITEM CSL_CITATION {"citationID":"iZreqDiw","properties":{"formattedCitation":"(Moser 1999)","plainCitation":"(Moser 1999)","noteIndex":0},"citationItems":[{"id":272,"uris":["http://zotero.org/users/5939705/items/4834JVMH"],"uri":["http://zotero.org/users/5939705/items/4834JVMH"],"itemData":{"id":272,"type":"article-journal","abstract":"The paper analyzes the institutional conditions under which policymakers can credibly commit to an independent central bank and thereby mitigate the well-known time consistency problem in monetary policy. It is shown theoretically that granting independence via a statute is only credible for legislative systems with at least two heterogeneous decision-making bodies which both have veto rights (for example bicameral systems). This thesis is supported by empirical evidence: The legal independence of central banks is significantly higher in those OECD countries whose legislative processes are characterized by extensive checks and balances. Furthermore, the negative relation between legal independence and inflation is larger in countries with checks and balances than in countries without checks and balances.","container-title":"European Economic Review","DOI":"10.1016/S0014-2921(98)00045-2","ISSN":"0014-2921","issue":"8","journalAbbreviation":"European Economic Review","language":"en","page":"1569-1593","source":"ScienceDirect","title":"Checks and balances, and the supply of central bank independence","volume":"43","author":[{"family":"Moser","given":"Peter"}],"issued":{"date-parts":[["1999",8,1]]}}}],"schema":"https://github.com/citation-style-language/schema/raw/master/csl-citation.json"} </w:instrText>
      </w:r>
      <w:r w:rsidR="0015567E" w:rsidRPr="0015567E">
        <w:rPr>
          <w:lang w:val="en-GB"/>
        </w:rPr>
        <w:fldChar w:fldCharType="separate"/>
      </w:r>
      <w:r w:rsidR="0015567E" w:rsidRPr="0015567E">
        <w:rPr>
          <w:rFonts w:ascii="Calibri" w:hAnsi="Calibri" w:cs="Calibri"/>
        </w:rPr>
        <w:t>(Moser 1999)</w:t>
      </w:r>
      <w:r w:rsidR="0015567E" w:rsidRPr="0015567E">
        <w:rPr>
          <w:lang w:val="en-GB"/>
        </w:rPr>
        <w:fldChar w:fldCharType="end"/>
      </w:r>
      <w:r w:rsidR="0015567E">
        <w:rPr>
          <w:lang w:val="en-GB"/>
        </w:rPr>
        <w:t>.</w:t>
      </w:r>
      <w:r w:rsidR="000A13DC">
        <w:rPr>
          <w:lang w:val="en-GB"/>
        </w:rPr>
        <w:t xml:space="preserve"> </w:t>
      </w:r>
      <w:r w:rsidR="0094230C">
        <w:rPr>
          <w:lang w:val="en-GB"/>
        </w:rPr>
        <w:t>D</w:t>
      </w:r>
      <w:r w:rsidR="000A13DC">
        <w:rPr>
          <w:lang w:val="en-GB"/>
        </w:rPr>
        <w:t>e facto independence</w:t>
      </w:r>
      <w:r w:rsidR="0094230C">
        <w:rPr>
          <w:lang w:val="en-GB"/>
        </w:rPr>
        <w:t xml:space="preserve"> in terms of the relationship between statutory independence and actual inflation outcomes has also been demonstrated to </w:t>
      </w:r>
      <w:r w:rsidR="003A676F">
        <w:rPr>
          <w:lang w:val="en-GB"/>
        </w:rPr>
        <w:t>be stronger in nations with such checks and balances.</w:t>
      </w:r>
    </w:p>
    <w:p w14:paraId="234655FA" w14:textId="70A9D7C2" w:rsidR="001C7644" w:rsidRPr="003A676F" w:rsidRDefault="004302D1" w:rsidP="000F637D">
      <w:r>
        <w:t>As another example, there is</w:t>
      </w:r>
      <w:r w:rsidR="001C7644">
        <w:t xml:space="preserve"> significant evidence suggesting a relationship between central bank independence and federalism </w:t>
      </w:r>
      <w:r w:rsidR="001C7644">
        <w:fldChar w:fldCharType="begin"/>
      </w:r>
      <w:r w:rsidR="007B01F4">
        <w:instrText xml:space="preserve"> ADDIN ZOTERO_ITEM CSL_CITATION {"citationID":"xTQOHyev","properties":{"formattedCitation":"(Lijphart 2012)","plainCitation":"(Lijphart 2012)","noteIndex":0},"citationItems":[{"id":273,"uris":["http://zotero.org/users/5939705/items/V9L6MIEE"],"uri":["http://zotero.org/users/5939705/items/V9L6MIEE"],"itemData":{"id":273,"type":"book","call-number":"JC421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1C7644">
        <w:fldChar w:fldCharType="separate"/>
      </w:r>
      <w:r w:rsidR="001C7644" w:rsidRPr="002930B1">
        <w:rPr>
          <w:rFonts w:ascii="Calibri" w:hAnsi="Calibri" w:cs="Calibri"/>
        </w:rPr>
        <w:t>(Lijphart 2012)</w:t>
      </w:r>
      <w:r w:rsidR="001C7644">
        <w:fldChar w:fldCharType="end"/>
      </w:r>
      <w:r w:rsidR="001C7644">
        <w:t>. A correlation of 0.60, significant at the 1% level was demonstrated, particularly strong in the period before the 1990s, when independent central banking was “internationalized.” Notable examples of the pairing included Germany, the US, and Canada.</w:t>
      </w:r>
      <w:r w:rsidR="00A9440B">
        <w:t xml:space="preserve"> Aside from</w:t>
      </w:r>
      <w:r w:rsidR="001C7644">
        <w:t xml:space="preserve"> </w:t>
      </w:r>
      <w:r w:rsidR="00A9440B">
        <w:t>the association between bicameralism and federalism, s</w:t>
      </w:r>
      <w:r w:rsidR="001C7644">
        <w:t>ubnational authorities may assert their own policy preferences</w:t>
      </w:r>
      <w:r w:rsidR="00A9440B">
        <w:t xml:space="preserve"> on economic issues, providing another </w:t>
      </w:r>
      <w:r w:rsidR="00791EC3">
        <w:t>check.</w:t>
      </w:r>
      <w:r w:rsidR="006D69BE">
        <w:t xml:space="preserve"> Overall</w:t>
      </w:r>
      <w:r w:rsidR="00E76916">
        <w:t>, Lipjhart also places the power of judicial review on the same “unitary-federal” dimension as central bank independence</w:t>
      </w:r>
      <w:r w:rsidR="00302965">
        <w:t>, also demonstrating its linkage</w:t>
      </w:r>
      <w:r w:rsidR="003A27C5">
        <w:t>.</w:t>
      </w:r>
      <w:r w:rsidR="00795316">
        <w:t xml:space="preserve"> </w:t>
      </w:r>
      <w:r w:rsidR="00EA3BBC">
        <w:t>Thus,</w:t>
      </w:r>
      <w:r w:rsidR="00795316">
        <w:t xml:space="preserve"> we have one final link between </w:t>
      </w:r>
      <w:r w:rsidR="00E03F00">
        <w:t>a check and central bank independence.</w:t>
      </w:r>
    </w:p>
    <w:p w14:paraId="2B134EFD" w14:textId="43873C91" w:rsidR="00B641E5" w:rsidRDefault="008155C1" w:rsidP="00EE38A1">
      <w:r>
        <w:t>It is also easy to see how checks and balances could be related to instability.</w:t>
      </w:r>
      <w:r w:rsidR="00AB27F0">
        <w:t xml:space="preserve"> </w:t>
      </w:r>
      <w:r w:rsidR="00123DD1">
        <w:t xml:space="preserve">One potential mechanism </w:t>
      </w:r>
      <w:r w:rsidR="00D37444">
        <w:t xml:space="preserve">for this can be constructed from </w:t>
      </w:r>
      <w:r w:rsidR="003008AA">
        <w:t>a model of retrospective voting</w:t>
      </w:r>
      <w:r w:rsidR="00460DBB">
        <w:t xml:space="preserve"> similar</w:t>
      </w:r>
      <w:r w:rsidR="00B1448B">
        <w:t xml:space="preserve"> </w:t>
      </w:r>
      <w:r w:rsidR="00460DBB">
        <w:t>to those considered earlier</w:t>
      </w:r>
      <w:r w:rsidR="006735F9">
        <w:t>.</w:t>
      </w:r>
      <w:r w:rsidR="009D34ED">
        <w:t xml:space="preserve"> Voters expect their elected officials to deliver on </w:t>
      </w:r>
      <w:r w:rsidR="00F81851">
        <w:t xml:space="preserve">general, and not just economic </w:t>
      </w:r>
      <w:r w:rsidR="0021314C">
        <w:t xml:space="preserve">policy </w:t>
      </w:r>
      <w:r w:rsidR="009D34ED">
        <w:t>promises</w:t>
      </w:r>
      <w:r w:rsidR="00521D95">
        <w:t xml:space="preserve">. When checks and balances </w:t>
      </w:r>
      <w:r w:rsidR="00916D06">
        <w:t xml:space="preserve">prevent </w:t>
      </w:r>
      <w:r w:rsidR="0021314C">
        <w:t>officials</w:t>
      </w:r>
      <w:r w:rsidR="00916D06">
        <w:t xml:space="preserve"> from doing so, they may </w:t>
      </w:r>
      <w:r w:rsidR="008358ED">
        <w:t>explicitly punish them at the polls</w:t>
      </w:r>
      <w:r w:rsidR="0021314C">
        <w:t xml:space="preserve"> or </w:t>
      </w:r>
      <w:r w:rsidR="00E11902">
        <w:t xml:space="preserve">more simply fail to </w:t>
      </w:r>
      <w:r w:rsidR="00770673">
        <w:t>turnout and participate.</w:t>
      </w:r>
      <w:r w:rsidR="000C7ECF">
        <w:t xml:space="preserve"> As this mechanism occurs across governments</w:t>
      </w:r>
      <w:r w:rsidR="00FA041D">
        <w:t>, instability increases.</w:t>
      </w:r>
      <w:r w:rsidR="006D4828">
        <w:t xml:space="preserve"> Hence</w:t>
      </w:r>
      <w:r w:rsidR="00B82C72">
        <w:t>, checks and balances increase central bank independence but also instability directly</w:t>
      </w:r>
      <w:r w:rsidR="005C3667">
        <w:t xml:space="preserve">, leading to a potential </w:t>
      </w:r>
      <w:r w:rsidR="002D43F2">
        <w:t>ove</w:t>
      </w:r>
      <w:r w:rsidR="005C3667">
        <w:t>restimate</w:t>
      </w:r>
      <w:r w:rsidR="002D43F2">
        <w:t xml:space="preserve"> of effects</w:t>
      </w:r>
      <w:r w:rsidR="00B82C72">
        <w:t>.</w:t>
      </w:r>
    </w:p>
    <w:p w14:paraId="29173257" w14:textId="1A824B3D" w:rsidR="006554D8" w:rsidRPr="004E3FB6" w:rsidRDefault="006554D8" w:rsidP="00EE38A1">
      <w:pPr>
        <w:rPr>
          <w:rFonts w:ascii="Calibri" w:hAnsi="Calibri" w:cs="Calibri"/>
        </w:rPr>
      </w:pPr>
      <w:r>
        <w:t>Coordinated and centralized wage bargaining, often referred to as corporatism</w:t>
      </w:r>
      <w:r w:rsidR="00486991">
        <w:t xml:space="preserve">, may increase </w:t>
      </w:r>
      <w:r w:rsidR="00B83B6C">
        <w:t>control of inflation</w:t>
      </w:r>
      <w:r w:rsidR="00CE6750">
        <w:t xml:space="preserve">. This can provide a helpful complement </w:t>
      </w:r>
      <w:r w:rsidR="00D02870">
        <w:t>motivating</w:t>
      </w:r>
      <w:r w:rsidR="00CE6750">
        <w:t xml:space="preserve"> central bank independence</w:t>
      </w:r>
      <w:r w:rsidR="00913CA8">
        <w:t>, as committed central bank reactions</w:t>
      </w:r>
      <w:r w:rsidR="002A7C1E">
        <w:t xml:space="preserve"> to </w:t>
      </w:r>
      <w:r w:rsidR="00860413">
        <w:t xml:space="preserve">negotiation developments improve </w:t>
      </w:r>
      <w:r w:rsidR="00245B28">
        <w:rPr>
          <w:rFonts w:ascii="Calibri" w:hAnsi="Calibri" w:cs="Calibri"/>
        </w:rPr>
        <w:t>outcomes</w:t>
      </w:r>
      <w:r w:rsidR="002D3B9C">
        <w:rPr>
          <w:rFonts w:ascii="Calibri" w:hAnsi="Calibri" w:cs="Calibri"/>
        </w:rPr>
        <w:t xml:space="preserve"> </w:t>
      </w:r>
      <w:r w:rsidR="00245B28">
        <w:rPr>
          <w:rFonts w:ascii="Calibri" w:hAnsi="Calibri" w:cs="Calibri"/>
        </w:rPr>
        <w:fldChar w:fldCharType="begin"/>
      </w:r>
      <w:r w:rsidR="007B01F4">
        <w:rPr>
          <w:rFonts w:ascii="Calibri" w:hAnsi="Calibri" w:cs="Calibri"/>
        </w:rPr>
        <w:instrText xml:space="preserve"> ADDIN ZOTERO_ITEM CSL_CITATION {"citationID":"PGzn4Exz","properties":{"formattedCitation":"(Hall and Franzese 1998)","plainCitation":"(Hall and Franzese 1998)","noteIndex":0},"citationItems":[{"id":265,"uris":["http://zotero.org/users/5939705/items/CNKBMC9X"],"uri":["http://zotero.org/users/5939705/items/CNKBMC9X"],"itemData":{"id":265,"type":"article-journal","abstract":"Plans for the European Monetary Union (EMU) are based on the conventional postulate that increasing the independence of the central bank can reduce inflation without any real economic effects. However, the theoretical and empirical bases for this claim rest on models of the economy that make unrealistic information assumptions and omit institutional variables other than the central bank. When signaling problems between the central bank and other actors in the political economy are considered, we find that the character of wage bargaining conditions the impact of central bank independence by rendering the signals between the bank and the bargainers more or less effective. Greater central bank independence can reduce inflation without major employment effects where bargaining is coordinated, but it can bring higher levels of unemployment where bargaining is less coordinated. Thus, currency unions like the EMU may require higher levels of unemployment to control inflation than their proponents envisage. They will have costs as well as benefits, and these will be unevenly distributed among and within the member nations, depending on the changes they induce in the status of the bank and of wage coordination.","archive":"JSTOR","container-title":"International Organization","ISSN":"0020-8183","issue":"3","page":"505-535","source":"JSTOR","title":"Mixed Signals: Central Bank Independence, Coordinated Wage Bargaining, and European Monetary Union","title-short":"Mixed Signals","volume":"52","author":[{"family":"Hall","given":"Peter A."},{"family":"Franzese","given":"Robert J."}],"issued":{"date-parts":[["1998"]]}}}],"schema":"https://github.com/citation-style-language/schema/raw/master/csl-citation.json"} </w:instrText>
      </w:r>
      <w:r w:rsidR="00245B28">
        <w:rPr>
          <w:rFonts w:ascii="Calibri" w:hAnsi="Calibri" w:cs="Calibri"/>
        </w:rPr>
        <w:fldChar w:fldCharType="separate"/>
      </w:r>
      <w:r w:rsidR="002D3B9C" w:rsidRPr="002D3B9C">
        <w:rPr>
          <w:rFonts w:ascii="Calibri" w:hAnsi="Calibri" w:cs="Calibri"/>
        </w:rPr>
        <w:t>(Hall and Franzese 1998)</w:t>
      </w:r>
      <w:r w:rsidR="00245B28">
        <w:rPr>
          <w:rFonts w:ascii="Calibri" w:hAnsi="Calibri" w:cs="Calibri"/>
        </w:rPr>
        <w:fldChar w:fldCharType="end"/>
      </w:r>
      <w:r w:rsidR="00245B28">
        <w:rPr>
          <w:rFonts w:ascii="Calibri" w:hAnsi="Calibri" w:cs="Calibri"/>
        </w:rPr>
        <w:t xml:space="preserve">. </w:t>
      </w:r>
      <w:r w:rsidR="00654529">
        <w:rPr>
          <w:rFonts w:ascii="Calibri" w:hAnsi="Calibri" w:cs="Calibri"/>
        </w:rPr>
        <w:t>Inflation expectat</w:t>
      </w:r>
      <w:r w:rsidR="008B7998">
        <w:rPr>
          <w:rFonts w:ascii="Calibri" w:hAnsi="Calibri" w:cs="Calibri"/>
        </w:rPr>
        <w:t xml:space="preserve">ions are </w:t>
      </w:r>
      <w:r w:rsidR="00C45EC4">
        <w:rPr>
          <w:rFonts w:ascii="Calibri" w:hAnsi="Calibri" w:cs="Calibri"/>
        </w:rPr>
        <w:t xml:space="preserve">also </w:t>
      </w:r>
      <w:r w:rsidR="008B7998">
        <w:rPr>
          <w:rFonts w:ascii="Calibri" w:hAnsi="Calibri" w:cs="Calibri"/>
        </w:rPr>
        <w:t>controlled</w:t>
      </w:r>
      <w:r w:rsidR="004E3FB6">
        <w:rPr>
          <w:rFonts w:ascii="Calibri" w:hAnsi="Calibri" w:cs="Calibri"/>
        </w:rPr>
        <w:t>, allowing for lower</w:t>
      </w:r>
      <w:r w:rsidR="00C06282" w:rsidRPr="00C06282">
        <w:rPr>
          <w:rFonts w:ascii="Calibri" w:hAnsi="Calibri" w:cs="Calibri"/>
        </w:rPr>
        <w:t xml:space="preserve"> unemployment</w:t>
      </w:r>
      <w:r w:rsidR="004E3FB6">
        <w:rPr>
          <w:rFonts w:ascii="Calibri" w:hAnsi="Calibri" w:cs="Calibri"/>
        </w:rPr>
        <w:t xml:space="preserve"> and inflation. </w:t>
      </w:r>
      <w:r w:rsidR="00D775C1">
        <w:t xml:space="preserve">A key example can be found in the remarkable success of the German Bundesbank before European integration. </w:t>
      </w:r>
      <w:r w:rsidR="006D43AE">
        <w:t xml:space="preserve">With this realization, one might expect these institutions </w:t>
      </w:r>
      <w:r w:rsidR="00551B33">
        <w:t xml:space="preserve">of corporatism and independence </w:t>
      </w:r>
      <w:r w:rsidR="006D43AE">
        <w:t>to go together</w:t>
      </w:r>
      <w:r w:rsidR="000B2C68">
        <w:t xml:space="preserve">, although the evidence is not </w:t>
      </w:r>
      <w:r w:rsidR="00C45EC4">
        <w:t xml:space="preserve">entirely </w:t>
      </w:r>
      <w:r w:rsidR="000B2C68">
        <w:t xml:space="preserve">clear on this account </w:t>
      </w:r>
      <w:r w:rsidR="000B2C68">
        <w:fldChar w:fldCharType="begin"/>
      </w:r>
      <w:r w:rsidR="007B01F4">
        <w:instrText xml:space="preserve"> ADDIN ZOTERO_ITEM CSL_CITATION {"citationID":"QhrUl1gQ","properties":{"formattedCitation":"(Lijphart 2012)","plainCitation":"(Lijphart 2012)","noteIndex":0},"citationItems":[{"id":273,"uris":["http://zotero.org/users/5939705/items/V9L6MIEE"],"uri":["http://zotero.org/users/5939705/items/V9L6MIEE"],"itemData":{"id":273,"type":"book","call-number":"JC421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0B2C68">
        <w:fldChar w:fldCharType="separate"/>
      </w:r>
      <w:r w:rsidR="004162EB" w:rsidRPr="004162EB">
        <w:rPr>
          <w:rFonts w:ascii="Calibri" w:hAnsi="Calibri" w:cs="Calibri"/>
        </w:rPr>
        <w:t>(Lijphart 2012)</w:t>
      </w:r>
      <w:r w:rsidR="000B2C68">
        <w:fldChar w:fldCharType="end"/>
      </w:r>
      <w:r w:rsidR="006D43AE">
        <w:t>.</w:t>
      </w:r>
    </w:p>
    <w:p w14:paraId="1872571C" w14:textId="7095D10C" w:rsidR="00BA5E53" w:rsidRDefault="00BA5E53" w:rsidP="002F28E1">
      <w:r>
        <w:t>Corporatist institutions may also be linked to</w:t>
      </w:r>
      <w:r w:rsidR="00E20346">
        <w:t xml:space="preserve"> lower</w:t>
      </w:r>
      <w:r>
        <w:t xml:space="preserve"> electoral or political instability.</w:t>
      </w:r>
      <w:r w:rsidR="00E20346">
        <w:t xml:space="preserve"> Centralizing demands </w:t>
      </w:r>
      <w:r w:rsidR="002166BF">
        <w:t xml:space="preserve">for negotiation </w:t>
      </w:r>
      <w:r w:rsidR="00E20346">
        <w:t xml:space="preserve">may lead to less need for </w:t>
      </w:r>
      <w:r w:rsidR="002166BF">
        <w:t>strike, open protest</w:t>
      </w:r>
      <w:r w:rsidR="00754F09">
        <w:t>, or other action.</w:t>
      </w:r>
      <w:r w:rsidR="00790482">
        <w:t xml:space="preserve"> Since corporatism </w:t>
      </w:r>
      <w:r w:rsidR="008258F7">
        <w:t xml:space="preserve">might be </w:t>
      </w:r>
      <w:r w:rsidR="00790482">
        <w:t>linked to central bank independence and decreased instability</w:t>
      </w:r>
      <w:r w:rsidR="006D562E">
        <w:t xml:space="preserve">, we may obtain an </w:t>
      </w:r>
      <w:r w:rsidR="004D0651">
        <w:t>underestimate of the effects of independence on turnover.</w:t>
      </w:r>
    </w:p>
    <w:p w14:paraId="14581072" w14:textId="248769A2" w:rsidR="00CB2F92" w:rsidRDefault="00427283" w:rsidP="00903AF9">
      <w:r>
        <w:t>Exchange rate</w:t>
      </w:r>
      <w:r w:rsidR="007534DB">
        <w:t xml:space="preserve"> regimes are also likely to face endogeneity problems.</w:t>
      </w:r>
      <w:r w:rsidR="00732BF0">
        <w:t xml:space="preserve"> </w:t>
      </w:r>
      <w:r w:rsidR="00C2432F">
        <w:t>As an example of a</w:t>
      </w:r>
      <w:r w:rsidR="004D3887">
        <w:t xml:space="preserve">n endogeneity </w:t>
      </w:r>
      <w:r w:rsidR="00C2432F">
        <w:t>problem, e</w:t>
      </w:r>
      <w:r w:rsidR="00A908A3">
        <w:t>lectoral instability is also likely to effect choices of rate regimes</w:t>
      </w:r>
      <w:r w:rsidR="001B525D">
        <w:t xml:space="preserve"> in democracies</w:t>
      </w:r>
      <w:r w:rsidR="00A908A3">
        <w:t>.</w:t>
      </w:r>
      <w:r w:rsidR="00CB2F92">
        <w:t xml:space="preserve"> </w:t>
      </w:r>
      <w:r w:rsidR="00903AF9">
        <w:t>One</w:t>
      </w:r>
      <w:r w:rsidR="00ED0999">
        <w:t xml:space="preserve"> mechanism functions through political economy </w:t>
      </w:r>
      <w:r w:rsidR="0064715A">
        <w:t xml:space="preserve">desires to balance </w:t>
      </w:r>
      <w:r w:rsidR="00740B03">
        <w:t>incumbent r</w:t>
      </w:r>
      <w:r w:rsidR="00D13A94">
        <w:t>ent extraction and reelec</w:t>
      </w:r>
      <w:r w:rsidR="00740B03">
        <w:t>tion.</w:t>
      </w:r>
      <w:r w:rsidR="006B09F7">
        <w:t xml:space="preserve"> </w:t>
      </w:r>
      <w:r w:rsidR="00EC23D5">
        <w:t xml:space="preserve">When there is no approaching election, the incumbent seeks to extract rents </w:t>
      </w:r>
      <w:r w:rsidR="004C4D8D">
        <w:t xml:space="preserve">from a strong tradeable goods sector </w:t>
      </w:r>
      <w:r w:rsidR="00A2130B">
        <w:t>helped by a competitive</w:t>
      </w:r>
      <w:r w:rsidR="00CC0A53">
        <w:t xml:space="preserve"> and flexible</w:t>
      </w:r>
      <w:r w:rsidR="00A2130B">
        <w:t xml:space="preserve"> exchange rate. </w:t>
      </w:r>
      <w:r w:rsidR="006B09F7">
        <w:t>Non-</w:t>
      </w:r>
      <w:r w:rsidR="006E5056">
        <w:t>tradeable</w:t>
      </w:r>
      <w:r w:rsidR="006B09F7">
        <w:t xml:space="preserve"> workers</w:t>
      </w:r>
      <w:r w:rsidR="001D6EF1">
        <w:t xml:space="preserve"> </w:t>
      </w:r>
      <w:r w:rsidR="001D6EF1">
        <w:lastRenderedPageBreak/>
        <w:t>prefer</w:t>
      </w:r>
      <w:r w:rsidR="003A4683">
        <w:t xml:space="preserve"> fixed rates which minimize inflation</w:t>
      </w:r>
      <w:r w:rsidR="006E5056">
        <w:t xml:space="preserve">, and </w:t>
      </w:r>
      <w:r w:rsidR="001D6EF1">
        <w:t xml:space="preserve">due to numerical superiority, </w:t>
      </w:r>
      <w:r w:rsidR="006E5056">
        <w:t>their preferences are</w:t>
      </w:r>
      <w:r w:rsidR="00812E1A">
        <w:t xml:space="preserve"> critical when an election approaches</w:t>
      </w:r>
      <w:r w:rsidR="001D6EF1">
        <w:t>.</w:t>
      </w:r>
      <w:r w:rsidR="001836BA">
        <w:t xml:space="preserve"> </w:t>
      </w:r>
      <w:r w:rsidR="004225BA">
        <w:t xml:space="preserve">Overall, frequent elections and </w:t>
      </w:r>
      <w:r w:rsidR="00285B65">
        <w:t xml:space="preserve">the associated higher levels of electoral instability </w:t>
      </w:r>
      <w:r w:rsidR="001836BA">
        <w:t xml:space="preserve">should support </w:t>
      </w:r>
      <w:r w:rsidR="00903AF9">
        <w:t>the maintenance of a fixed exchange rate.</w:t>
      </w:r>
    </w:p>
    <w:p w14:paraId="16BBDA68" w14:textId="460D1327" w:rsidR="00E26C21" w:rsidRDefault="00586B5C" w:rsidP="002F28E1">
      <w:r>
        <w:t xml:space="preserve">This argument </w:t>
      </w:r>
      <w:r w:rsidR="00E86E63">
        <w:t xml:space="preserve">found support </w:t>
      </w:r>
      <w:r w:rsidR="00903AF9">
        <w:t>with</w:t>
      </w:r>
      <w:r w:rsidR="00A77AEF">
        <w:t xml:space="preserve"> the usage of</w:t>
      </w:r>
      <w:r w:rsidR="00903AF9">
        <w:t xml:space="preserve"> hazard models to analyze the duration dependence of Latin American exchange rate arrangements from 1960 to 1999.</w:t>
      </w:r>
      <w:r>
        <w:t xml:space="preserve"> Results showed that i</w:t>
      </w:r>
      <w:r w:rsidR="00903AF9">
        <w:t>mpending election increases the conditional likelihood of staying on a peg by about 8 percent, while the aftershock of an election conversely increases the conditional probability of going off a peg by 4 percent</w:t>
      </w:r>
      <w:r>
        <w:t xml:space="preserve"> </w:t>
      </w:r>
      <w:r w:rsidR="00E26C21">
        <w:fldChar w:fldCharType="begin"/>
      </w:r>
      <w:r w:rsidR="007B01F4">
        <w:instrText xml:space="preserve"> ADDIN ZOTERO_ITEM CSL_CITATION {"citationID":"mWQIVxTo","properties":{"formattedCitation":"(Blomberg, Frieden, and Stein 2005)","plainCitation":"(Blomberg, Frieden, and Stein 2005)","noteIndex":0},"citationItems":[{"id":258,"uris":["http://zotero.org/users/5939705/items/QKMVGBMW"],"uri":["http://zotero.org/users/5939705/items/QKMVGBMW"],"itemData":{"id":258,"type":"article-journal","container-title":"Journal of Applied Economics","language":"en","page":"23","source":"Zotero","title":"Sustaining Fixed Rates: The Political Economy of Currency Pegs in Latin America","author":[{"family":"Blomberg","given":"S Brock"},{"family":"Frieden","given":"Jeffry"},{"family":"Stein","given":"Ernesto"}],"issued":{"date-parts":[["2005"]]}}}],"schema":"https://github.com/citation-style-language/schema/raw/master/csl-citation.json"} </w:instrText>
      </w:r>
      <w:r w:rsidR="00E26C21">
        <w:fldChar w:fldCharType="separate"/>
      </w:r>
      <w:r w:rsidR="007B01F4" w:rsidRPr="007B01F4">
        <w:rPr>
          <w:rFonts w:ascii="Calibri" w:hAnsi="Calibri" w:cs="Calibri"/>
        </w:rPr>
        <w:t>(Blomberg, Frieden, and Stein 2005)</w:t>
      </w:r>
      <w:r w:rsidR="00E26C21">
        <w:fldChar w:fldCharType="end"/>
      </w:r>
      <w:r>
        <w:t>.</w:t>
      </w:r>
    </w:p>
    <w:p w14:paraId="28CBC58E" w14:textId="54F276D8" w:rsidR="00437D58" w:rsidRDefault="00DB327F" w:rsidP="00866D90">
      <w:r>
        <w:t>Under certain conditions, the probability of a change in cabinet may also</w:t>
      </w:r>
      <w:r w:rsidR="00AA0088">
        <w:t xml:space="preserve"> fuel speculative attacks which </w:t>
      </w:r>
      <w:r w:rsidR="00693E5C">
        <w:t>precede changes in exchange rates</w:t>
      </w:r>
      <w:r w:rsidR="00561B91">
        <w:t xml:space="preserve"> </w:t>
      </w:r>
      <w:r w:rsidR="008F1479">
        <w:fldChar w:fldCharType="begin"/>
      </w:r>
      <w:r w:rsidR="007B01F4">
        <w:instrText xml:space="preserve"> ADDIN ZOTERO_ITEM CSL_CITATION {"citationID":"2P86734f","properties":{"formattedCitation":"(Leblang and Bernhard 2000)","plainCitation":"(Leblang and Bernhard 2000)","noteIndex":0},"citationItems":[{"id":238,"uris":["http://zotero.org/users/5939705/items/KC6JFWUL"],"uri":["http://zotero.org/users/5939705/items/KC6JFWUL"],"itemData":{"id":238,"type":"article-journal","abstract":"Recent models of speculative currency crises contend that market expectations of policy behavior can trigger a speculative attack. We argue that political processes and partisan objectives inform expectations about the government's commitment to the exchange rate. First, market actors anticipate periods when the partisan identity of a government may change through an election or a cabinet collapse. Second, party labels provide information to currency traders about the policy objectives of a potential government. Consequently, we contend that the probability of a speculative attack will be higher when markets expect the cabinet to end and when the cabinet dissolution is likely to produce a leftward shift in policy. A discrete time-survival model is used to estimate the probability that a cabinet will dissolve in any given month for sixteen parliamentary democracies from 1970 to 1995. The predicted values are then used as a proxy for market expectations in a model of speculative currency crises.","archive":"JSTOR","container-title":"International Organization","ISSN":"0020-8183","issue":"2","page":"291-324","source":"JSTOR","title":"The Politics of Speculative Attacks in Industrial Democracies","volume":"54","author":[{"family":"Leblang","given":"David"},{"family":"Bernhard","given":"William"}],"issued":{"date-parts":[["2000"]]}}}],"schema":"https://github.com/citation-style-language/schema/raw/master/csl-citation.json"} </w:instrText>
      </w:r>
      <w:r w:rsidR="008F1479">
        <w:fldChar w:fldCharType="separate"/>
      </w:r>
      <w:r w:rsidR="00561B91" w:rsidRPr="00561B91">
        <w:rPr>
          <w:rFonts w:ascii="Calibri" w:hAnsi="Calibri" w:cs="Calibri"/>
        </w:rPr>
        <w:t>(Leblang and Bernhard 2000)</w:t>
      </w:r>
      <w:r w:rsidR="008F1479">
        <w:fldChar w:fldCharType="end"/>
      </w:r>
      <w:r w:rsidR="00693E5C">
        <w:t>.</w:t>
      </w:r>
      <w:r w:rsidR="00346E2C">
        <w:t xml:space="preserve"> Market expectations about changes in government policy</w:t>
      </w:r>
      <w:r w:rsidR="00094E3B">
        <w:t xml:space="preserve"> here are critical.</w:t>
      </w:r>
      <w:r w:rsidR="00C707E2">
        <w:t xml:space="preserve"> Research seems to suggest that the link is causal</w:t>
      </w:r>
      <w:r w:rsidR="0039495D">
        <w:t xml:space="preserve">, although effects are small: two standard deviations of increase in political uncertainty </w:t>
      </w:r>
      <w:r w:rsidR="00A92F11">
        <w:t>increased the chance of speculative attack by only about</w:t>
      </w:r>
      <w:r w:rsidR="00D96A30">
        <w:t xml:space="preserve"> two percent</w:t>
      </w:r>
      <w:r w:rsidR="00C707E2">
        <w:t>.</w:t>
      </w:r>
    </w:p>
    <w:p w14:paraId="09A11947" w14:textId="4DB21B72" w:rsidR="00751606" w:rsidRPr="00A25197" w:rsidRDefault="00773591" w:rsidP="00866D90">
      <w:r w:rsidRPr="00A25197">
        <w:t>Several</w:t>
      </w:r>
      <w:r w:rsidR="0032661B" w:rsidRPr="00A25197">
        <w:t xml:space="preserve"> factors may also have an impact on exchange rate regimes and instability.</w:t>
      </w:r>
      <w:r w:rsidR="00E57CEC" w:rsidRPr="00A25197">
        <w:t xml:space="preserve"> For example, different groups in society are likely to have different </w:t>
      </w:r>
      <w:r w:rsidR="0040614A" w:rsidRPr="00A25197">
        <w:t>rate preferences.</w:t>
      </w:r>
      <w:r w:rsidR="004A1B19" w:rsidRPr="00A25197">
        <w:t xml:space="preserve"> </w:t>
      </w:r>
      <w:r w:rsidR="007C42ED" w:rsidRPr="00A25197">
        <w:t>Firms involved in cross-border trade and in</w:t>
      </w:r>
      <w:r w:rsidR="00B85B06" w:rsidRPr="00A25197">
        <w:t xml:space="preserve">vestment are likely </w:t>
      </w:r>
      <w:r w:rsidR="006330E1" w:rsidRPr="00A25197">
        <w:t xml:space="preserve">to support a </w:t>
      </w:r>
      <w:r w:rsidR="002C324F" w:rsidRPr="00A25197">
        <w:t xml:space="preserve">fixed exchange rate, especially if currency options markets are insufficiently developed </w:t>
      </w:r>
      <w:r w:rsidR="00751606" w:rsidRPr="00A25197">
        <w:fldChar w:fldCharType="begin"/>
      </w:r>
      <w:r w:rsidR="007B01F4">
        <w:instrText xml:space="preserve"> ADDIN ZOTERO_ITEM CSL_CITATION {"citationID":"KLlphqfg","properties":{"formattedCitation":"(Frieden 2015)","plainCitation":"(Frieden 2015)","noteIndex":0},"citationItems":[{"id":218,"uris":["http://zotero.org/users/5939705/items/CSQDG8E2"],"uri":["http://zotero.org/users/5939705/items/CSQDG8E2"],"itemData":{"id":218,"type":"chapter","abstract":"This study emphasizes the distributionally motivated currency policy preferences of economic actors—firms, industries, and groups. It argues that characteristics of an industry, including its exposure to exchange rate risk and the relative price effects of exchange rate movements, determine its exchange rate policy preferences. Because in an open economy the exchange rate affects all national economic actors, understanding the making of currency policy requires a more or less complete map of the national political economy.  There are two relevant dimensions of exchange rate policy choice: the regime (fixed or floating) and the level (appreciated or depreciated). With regard to","archive":"JSTOR","collection-title":"The Political Economy of Exchange Rate Policy","container-title":"Currency Politics","ISBN":"978-0-691-16415-1","page":"19-48","publisher":"Princeton University Press","source":"JSTOR","title":"A Theory of Currency Policy Preferences","URL":"https://www.jstor.org/stable/j.ctt9qh0gz.6","author":[{"family":"Frieden","given":"Jeffry A."}],"accessed":{"date-parts":[["2020",1,10]]},"issued":{"date-parts":[["2015"]]}}}],"schema":"https://github.com/citation-style-language/schema/raw/master/csl-citation.json"} </w:instrText>
      </w:r>
      <w:r w:rsidR="00751606" w:rsidRPr="00A25197">
        <w:fldChar w:fldCharType="separate"/>
      </w:r>
      <w:r w:rsidR="00892F18" w:rsidRPr="00A25197">
        <w:rPr>
          <w:rFonts w:ascii="Calibri" w:hAnsi="Calibri" w:cs="Calibri"/>
        </w:rPr>
        <w:t>(Frieden 2015)</w:t>
      </w:r>
      <w:r w:rsidR="00751606" w:rsidRPr="00A25197">
        <w:fldChar w:fldCharType="end"/>
      </w:r>
      <w:r w:rsidR="004A1B19" w:rsidRPr="00A25197">
        <w:t xml:space="preserve">. These are likely to include </w:t>
      </w:r>
      <w:r w:rsidR="005C018A" w:rsidRPr="00A25197">
        <w:t xml:space="preserve">specialized </w:t>
      </w:r>
      <w:r w:rsidR="004A1B19" w:rsidRPr="00A25197">
        <w:t>exporters, multinationals, and international banks.</w:t>
      </w:r>
      <w:r w:rsidR="00C3090F" w:rsidRPr="00A25197">
        <w:t xml:space="preserve"> On the other hand, standardized exporters and trad</w:t>
      </w:r>
      <w:r w:rsidR="004B5169" w:rsidRPr="00A25197">
        <w:t>e</w:t>
      </w:r>
      <w:r w:rsidR="00C3090F" w:rsidRPr="00A25197">
        <w:t>able producers</w:t>
      </w:r>
      <w:r w:rsidR="004B5169" w:rsidRPr="00A25197">
        <w:t xml:space="preserve"> are more likely to prefer flexible rates (often depreciated</w:t>
      </w:r>
      <w:r w:rsidR="00BC2E13" w:rsidRPr="00A25197">
        <w:t xml:space="preserve"> in reality</w:t>
      </w:r>
      <w:r w:rsidR="004B5169" w:rsidRPr="00A25197">
        <w:t>)</w:t>
      </w:r>
      <w:r w:rsidR="00BC2E13" w:rsidRPr="00A25197">
        <w:t>.</w:t>
      </w:r>
      <w:r w:rsidR="00083A19" w:rsidRPr="00A25197">
        <w:t xml:space="preserve"> For both kinds of exporters, </w:t>
      </w:r>
      <w:r w:rsidR="00C57565" w:rsidRPr="00A25197">
        <w:t xml:space="preserve">the </w:t>
      </w:r>
      <w:r w:rsidR="001D5139" w:rsidRPr="00A25197">
        <w:t>tradeoff between stability offered by fixed rates and gains</w:t>
      </w:r>
      <w:r w:rsidR="007D7772" w:rsidRPr="00A25197">
        <w:t xml:space="preserve"> from depreciation is</w:t>
      </w:r>
      <w:r w:rsidR="00C57565" w:rsidRPr="00A25197">
        <w:t xml:space="preserve"> critical.</w:t>
      </w:r>
    </w:p>
    <w:p w14:paraId="58AF2F9A" w14:textId="2FBBD937" w:rsidR="00CC5AAF" w:rsidRPr="00E45878" w:rsidRDefault="00C7494C" w:rsidP="00866D90">
      <w:r w:rsidRPr="00F7308B">
        <w:t xml:space="preserve">Institutional factors </w:t>
      </w:r>
      <w:r w:rsidR="00D26C88" w:rsidRPr="00F7308B">
        <w:t>provide the link between</w:t>
      </w:r>
      <w:r w:rsidRPr="00F7308B">
        <w:t xml:space="preserve"> groups with</w:t>
      </w:r>
      <w:r w:rsidR="00467D91" w:rsidRPr="00F7308B">
        <w:t xml:space="preserve"> the most power</w:t>
      </w:r>
      <w:r w:rsidR="00D26C88" w:rsidRPr="00F7308B">
        <w:t xml:space="preserve"> (and hence control over rate regimes)</w:t>
      </w:r>
      <w:r w:rsidR="00FD266A" w:rsidRPr="00F7308B">
        <w:t xml:space="preserve"> and political stability</w:t>
      </w:r>
      <w:r w:rsidR="001F3762" w:rsidRPr="00F7308B">
        <w:t>.</w:t>
      </w:r>
      <w:r w:rsidR="007C751B" w:rsidRPr="00F7308B">
        <w:t xml:space="preserve"> Federalism </w:t>
      </w:r>
      <w:r w:rsidR="00837E5B" w:rsidRPr="00F7308B">
        <w:t>and bicameralism again provide good examples.</w:t>
      </w:r>
      <w:r w:rsidR="00C302FA" w:rsidRPr="00F7308B">
        <w:t xml:space="preserve"> Populations of commodities producers such as farmers may be widely geographically dispersed, increasing their power </w:t>
      </w:r>
      <w:r w:rsidR="008D041D" w:rsidRPr="00F7308B">
        <w:t>in federal systems and in bicameral ones when an upper house is geographically districted.</w:t>
      </w:r>
      <w:r w:rsidR="00356462" w:rsidRPr="00F7308B">
        <w:t xml:space="preserve"> This increases the likelihood of a flexible rate.</w:t>
      </w:r>
      <w:r w:rsidR="008D6EDB" w:rsidRPr="00F7308B">
        <w:t xml:space="preserve"> For reasons similar to those above, these checks on power may also imply increased instability.</w:t>
      </w:r>
      <w:r w:rsidR="00A12A8F" w:rsidRPr="00F7308B">
        <w:t xml:space="preserve"> Hence</w:t>
      </w:r>
      <w:r w:rsidR="003E4D70" w:rsidRPr="00F7308B">
        <w:t xml:space="preserve"> the potential for fixed rates to </w:t>
      </w:r>
      <w:r w:rsidR="00D17B18">
        <w:t>decrease</w:t>
      </w:r>
      <w:r w:rsidR="003E4D70" w:rsidRPr="00F7308B">
        <w:t xml:space="preserve"> stability is </w:t>
      </w:r>
      <w:r w:rsidR="00F7308B" w:rsidRPr="00F7308B">
        <w:t xml:space="preserve">likely to be </w:t>
      </w:r>
      <w:r w:rsidR="00F7308B" w:rsidRPr="00E45878">
        <w:t>overstated.</w:t>
      </w:r>
    </w:p>
    <w:p w14:paraId="5C97283D" w14:textId="5F11368E" w:rsidR="005D222E" w:rsidRDefault="00A521CB" w:rsidP="00866D90">
      <w:r w:rsidRPr="00E45878">
        <w:t xml:space="preserve">Another example of potential </w:t>
      </w:r>
      <w:r w:rsidR="000D148F" w:rsidRPr="00E45878">
        <w:t>confounding factors</w:t>
      </w:r>
      <w:r w:rsidR="00FC6122" w:rsidRPr="00E45878">
        <w:t xml:space="preserve"> comes directly from the “original sin” argumen</w:t>
      </w:r>
      <w:r w:rsidR="00E45878" w:rsidRPr="00E45878">
        <w:t xml:space="preserve">t </w:t>
      </w:r>
      <w:r w:rsidR="00E45878" w:rsidRPr="00E45878">
        <w:rPr>
          <w:rFonts w:ascii="Calibri" w:hAnsi="Calibri" w:cs="Calibri"/>
        </w:rPr>
        <w:t>(</w:t>
      </w:r>
      <w:proofErr w:type="spellStart"/>
      <w:r w:rsidR="00E45878" w:rsidRPr="00E45878">
        <w:rPr>
          <w:rFonts w:ascii="Calibri" w:hAnsi="Calibri" w:cs="Calibri"/>
        </w:rPr>
        <w:t>Eichengreen</w:t>
      </w:r>
      <w:proofErr w:type="spellEnd"/>
      <w:r w:rsidR="00E45878" w:rsidRPr="00E45878">
        <w:rPr>
          <w:rFonts w:ascii="Calibri" w:hAnsi="Calibri" w:cs="Calibri"/>
        </w:rPr>
        <w:t xml:space="preserve"> and Hausmann 2005)</w:t>
      </w:r>
      <w:r w:rsidR="00FC6122" w:rsidRPr="00E45878">
        <w:t>.</w:t>
      </w:r>
      <w:r w:rsidR="00587F89">
        <w:t xml:space="preserve"> </w:t>
      </w:r>
      <w:r w:rsidR="005D0943" w:rsidRPr="00E45878">
        <w:t xml:space="preserve">Original sin nations </w:t>
      </w:r>
      <w:r w:rsidR="00FB094B" w:rsidRPr="00E45878">
        <w:t>(and firms and citizens in them) are likely to have large amounts of</w:t>
      </w:r>
      <w:r w:rsidR="005D222E" w:rsidRPr="00E45878">
        <w:t xml:space="preserve"> foreign currency debt</w:t>
      </w:r>
      <w:r w:rsidR="00FB094B" w:rsidRPr="00FB094B">
        <w:t>, providing incentives for the maintenance of a fixed rate</w:t>
      </w:r>
      <w:r w:rsidR="005D222E" w:rsidRPr="00FB094B">
        <w:t xml:space="preserve"> </w:t>
      </w:r>
      <w:r w:rsidR="00FB094B">
        <w:t xml:space="preserve">regime. </w:t>
      </w:r>
      <w:r w:rsidR="00F07B2A">
        <w:t>T</w:t>
      </w:r>
      <w:r w:rsidR="00FB094B">
        <w:t xml:space="preserve">hese nations may also be subject to </w:t>
      </w:r>
      <w:r w:rsidR="0097297D">
        <w:t xml:space="preserve">increased </w:t>
      </w:r>
      <w:r w:rsidR="0063401A">
        <w:t>economic instabilit</w:t>
      </w:r>
      <w:r w:rsidR="008E23B8">
        <w:t>y, justifying their original sin nature</w:t>
      </w:r>
      <w:r w:rsidR="0063401A">
        <w:t>.</w:t>
      </w:r>
      <w:r w:rsidR="00590632">
        <w:t xml:space="preserve"> This </w:t>
      </w:r>
      <w:r w:rsidR="00106820">
        <w:t>may</w:t>
      </w:r>
      <w:r w:rsidR="00590632">
        <w:t xml:space="preserve"> </w:t>
      </w:r>
      <w:r w:rsidR="008E23B8">
        <w:t>be tied or spill over</w:t>
      </w:r>
      <w:r w:rsidR="00590632">
        <w:t xml:space="preserve"> into </w:t>
      </w:r>
      <w:r w:rsidR="00B342AE">
        <w:t>political or electoral instability.</w:t>
      </w:r>
      <w:r w:rsidR="00EE2E6C">
        <w:t xml:space="preserve"> </w:t>
      </w:r>
      <w:r w:rsidR="007F5CB9">
        <w:t xml:space="preserve">Again, the potential for fixed rates to decrease </w:t>
      </w:r>
      <w:r w:rsidR="006C6CC8">
        <w:t>stability</w:t>
      </w:r>
      <w:r w:rsidR="007F5CB9">
        <w:t xml:space="preserve"> is likely overstated</w:t>
      </w:r>
      <w:r w:rsidR="006C6CC8">
        <w:t>.</w:t>
      </w:r>
    </w:p>
    <w:p w14:paraId="189A7A3B" w14:textId="4C71ACD8" w:rsidR="008C4A70" w:rsidRDefault="00AC1ECD" w:rsidP="00AC1ECD">
      <w:pPr>
        <w:pStyle w:val="Heading1"/>
      </w:pPr>
      <w:r>
        <w:t>Methodology</w:t>
      </w:r>
    </w:p>
    <w:p w14:paraId="210503A9" w14:textId="4122A90D" w:rsidR="004809BC" w:rsidRDefault="0072123F" w:rsidP="002F28E1">
      <w:r>
        <w:t xml:space="preserve">When using the reduced form </w:t>
      </w:r>
      <w:r w:rsidR="00B32B20">
        <w:t>approach, I implement several measures</w:t>
      </w:r>
      <w:r w:rsidR="00A046EA">
        <w:t xml:space="preserve"> to account for these sources of endogeneity</w:t>
      </w:r>
      <w:r w:rsidR="00323AAD">
        <w:t xml:space="preserve"> across both types of limiting regimes</w:t>
      </w:r>
      <w:r w:rsidR="00B32B20">
        <w:t>.</w:t>
      </w:r>
      <w:r w:rsidR="0039412D">
        <w:t xml:space="preserve"> </w:t>
      </w:r>
      <w:r w:rsidR="009C4BF1">
        <w:t>First</w:t>
      </w:r>
      <w:r w:rsidR="00E10AB5">
        <w:t>, I aim to use panel data</w:t>
      </w:r>
      <w:r w:rsidR="00E13612">
        <w:t xml:space="preserve"> from a broad range of countries over the period considered.</w:t>
      </w:r>
      <w:r w:rsidR="00A20F47">
        <w:t xml:space="preserve"> </w:t>
      </w:r>
      <w:r w:rsidR="004C024D">
        <w:t>The implementation of</w:t>
      </w:r>
      <w:r w:rsidR="003F61A9">
        <w:t xml:space="preserve"> fixed effects</w:t>
      </w:r>
      <w:r w:rsidR="004C024D">
        <w:t xml:space="preserve"> </w:t>
      </w:r>
      <w:r w:rsidR="002540A1">
        <w:t>with panel data may help</w:t>
      </w:r>
      <w:r w:rsidR="004C024D">
        <w:t xml:space="preserve"> </w:t>
      </w:r>
      <w:r w:rsidR="005B1ED8">
        <w:t xml:space="preserve">deal with some of the </w:t>
      </w:r>
      <w:r w:rsidR="002540A1">
        <w:t>confounders</w:t>
      </w:r>
      <w:r w:rsidR="005B1ED8">
        <w:t xml:space="preserve"> mentioned.</w:t>
      </w:r>
      <w:r w:rsidR="00682329">
        <w:t xml:space="preserve"> Institutions such as bicameralism </w:t>
      </w:r>
      <w:r w:rsidR="00E24B7E">
        <w:t xml:space="preserve">or other institutional variables </w:t>
      </w:r>
      <w:r w:rsidR="0042359F">
        <w:t xml:space="preserve">may be constant </w:t>
      </w:r>
      <w:r w:rsidR="00E24B7E">
        <w:t>for many nations over the period studied.</w:t>
      </w:r>
      <w:r w:rsidR="00B42786">
        <w:t xml:space="preserve"> In the same vein lie issues such as the “regular” length o</w:t>
      </w:r>
      <w:r w:rsidR="009A79F8">
        <w:t>r terms of office for leaders in a nation</w:t>
      </w:r>
      <w:r w:rsidR="00016612">
        <w:t xml:space="preserve"> noted in previous work</w:t>
      </w:r>
      <w:r w:rsidR="00715141">
        <w:t xml:space="preserve"> </w:t>
      </w:r>
      <w:r w:rsidR="00016612">
        <w:fldChar w:fldCharType="begin"/>
      </w:r>
      <w:r w:rsidR="007B01F4">
        <w:instrText xml:space="preserve"> ADDIN ZOTERO_ITEM CSL_CITATION {"citationID":"JfP7bQOC","properties":{"formattedCitation":"(Bernhard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016612">
        <w:fldChar w:fldCharType="separate"/>
      </w:r>
      <w:r w:rsidR="00715141" w:rsidRPr="00715141">
        <w:rPr>
          <w:rFonts w:ascii="Calibri" w:hAnsi="Calibri" w:cs="Calibri"/>
        </w:rPr>
        <w:t xml:space="preserve">(Bernhard and </w:t>
      </w:r>
      <w:r w:rsidR="00715141" w:rsidRPr="00715141">
        <w:rPr>
          <w:rFonts w:ascii="Calibri" w:hAnsi="Calibri" w:cs="Calibri"/>
        </w:rPr>
        <w:lastRenderedPageBreak/>
        <w:t>Leblang 2002)</w:t>
      </w:r>
      <w:r w:rsidR="00016612">
        <w:fldChar w:fldCharType="end"/>
      </w:r>
      <w:r w:rsidR="002A2289">
        <w:t>.</w:t>
      </w:r>
      <w:r w:rsidR="00447240">
        <w:t xml:space="preserve"> Panel data should also allow me to conduct my analysis using the appropriate number of lags to help deal with endogeneity.</w:t>
      </w:r>
    </w:p>
    <w:p w14:paraId="1755D434" w14:textId="3BA23A91" w:rsidR="005F21F2" w:rsidRDefault="005F21F2" w:rsidP="002F28E1">
      <w:r>
        <w:t xml:space="preserve">To deal with the potential endogeneity problem of political interference specifically, I </w:t>
      </w:r>
      <w:r w:rsidR="009825B3">
        <w:t>test</w:t>
      </w:r>
      <w:r>
        <w:t xml:space="preserve"> measures of de facto independence </w:t>
      </w:r>
      <w:r w:rsidR="004C01EF">
        <w:t xml:space="preserve">in terms of the </w:t>
      </w:r>
      <w:r w:rsidR="00063E12">
        <w:t xml:space="preserve">irregular </w:t>
      </w:r>
      <w:r w:rsidR="004C01EF">
        <w:t xml:space="preserve">turnover of central bank governors </w:t>
      </w:r>
      <w:r w:rsidR="00901CCB">
        <w:t>as an independent variable in regressions.</w:t>
      </w:r>
      <w:r w:rsidR="00801107">
        <w:t xml:space="preserve"> The</w:t>
      </w:r>
      <w:r w:rsidR="00E96F9F">
        <w:t>se</w:t>
      </w:r>
      <w:r w:rsidR="00801107">
        <w:t xml:space="preserve"> events represent </w:t>
      </w:r>
      <w:r w:rsidR="00466339">
        <w:t xml:space="preserve">times when a governor is forced out </w:t>
      </w:r>
      <w:r w:rsidR="00E96F9F">
        <w:t>on a time scale not consistent with the legally mandated or suggested schedule.</w:t>
      </w:r>
      <w:r w:rsidR="001A53B0">
        <w:t xml:space="preserve"> </w:t>
      </w:r>
      <w:r w:rsidR="00684B1B">
        <w:t>Due</w:t>
      </w:r>
      <w:r w:rsidR="001A53B0">
        <w:t xml:space="preserve"> to concerns of a </w:t>
      </w:r>
      <w:r w:rsidR="005C47E5">
        <w:t>“bad control” problem and the concern of introducing bias</w:t>
      </w:r>
      <w:r w:rsidR="00684B1B">
        <w:t>, given that de jure central bank independence is likely to affect de facto independence</w:t>
      </w:r>
      <w:r w:rsidR="00562449">
        <w:t>, I consider the cases of each variable separately.</w:t>
      </w:r>
    </w:p>
    <w:p w14:paraId="27CDAF66" w14:textId="05EA38E6" w:rsidR="00D3395B" w:rsidRDefault="000C1F9A" w:rsidP="002F28E1">
      <w:r>
        <w:t>As an additional measure and robustness check</w:t>
      </w:r>
      <w:r w:rsidR="00F41ADB">
        <w:t xml:space="preserve"> to deal with endogeneity, I also </w:t>
      </w:r>
      <w:r w:rsidR="00AD1C6A">
        <w:t>pursue an instrumental</w:t>
      </w:r>
      <w:r w:rsidR="009C4BF1">
        <w:t xml:space="preserve"> </w:t>
      </w:r>
      <w:r w:rsidR="00AD1C6A">
        <w:t xml:space="preserve">variables approach </w:t>
      </w:r>
      <w:r w:rsidR="00B57883">
        <w:t>for central bank independence.</w:t>
      </w:r>
      <w:r w:rsidR="00BC29AD">
        <w:t xml:space="preserve"> Past literature </w:t>
      </w:r>
      <w:r w:rsidR="004D6E5C">
        <w:t xml:space="preserve">has </w:t>
      </w:r>
      <w:r w:rsidR="005C07B3">
        <w:t xml:space="preserve">used instruments such as </w:t>
      </w:r>
      <w:r w:rsidR="0024610C">
        <w:t xml:space="preserve">governance </w:t>
      </w:r>
      <w:r w:rsidR="005C07B3">
        <w:t>indices</w:t>
      </w:r>
      <w:r w:rsidR="0024610C">
        <w:t xml:space="preserve"> from the World Bank’s</w:t>
      </w:r>
      <w:r w:rsidR="003E77B5">
        <w:t xml:space="preserve"> Aggregate Governance Indicators Dataset</w:t>
      </w:r>
      <w:r w:rsidR="002C04D9">
        <w:t xml:space="preserve"> on national measures such as “rule of law” and “voice and accountability”</w:t>
      </w:r>
      <w:r w:rsidR="00D80D47">
        <w:t xml:space="preserve"> </w:t>
      </w:r>
      <w:r w:rsidR="00323A5C">
        <w:fldChar w:fldCharType="begin"/>
      </w:r>
      <w:r w:rsidR="00D80D47">
        <w:instrText xml:space="preserve"> ADDIN ZOTERO_ITEM CSL_CITATION {"citationID":"nOzhZ8WF","properties":{"formattedCitation":"(Crowe and Meade 2008)","plainCitation":"(Crowe and Meade 2008)","noteIndex":0},"citationItems":[{"id":267,"uris":["http://zotero.org/users/5939705/items/2EHLXVKS"],"uri":["http://zotero.org/users/5939705/items/2EHLXVKS"],"itemData":{"id":267,"type":"article-journal","abstract":"This Working Paper should not be reported as representing the views of the IMF. The views expressed in this Working Paper are those of the author(s) and do not necessarily represent those of the IMF or IMF policy. Working Papers describe research in progress by the author(s) and are published to elicit comments and to further debate.","container-title":"IMF Working Paper","language":"en","page":"30","source":"Zotero","title":"Central Bank Independence and Transparency: Evolution and Effectiveness","author":[{"family":"Crowe","given":"Christopher"},{"family":"Meade","given":"Ellen E"}],"issued":{"date-parts":[["2008"]]}}}],"schema":"https://github.com/citation-style-language/schema/raw/master/csl-citation.json"} </w:instrText>
      </w:r>
      <w:r w:rsidR="00323A5C">
        <w:fldChar w:fldCharType="separate"/>
      </w:r>
      <w:r w:rsidR="00D80D47" w:rsidRPr="00D80D47">
        <w:rPr>
          <w:rFonts w:ascii="Calibri" w:hAnsi="Calibri" w:cs="Calibri"/>
        </w:rPr>
        <w:t>(Crowe and Meade 2008)</w:t>
      </w:r>
      <w:r w:rsidR="00323A5C">
        <w:fldChar w:fldCharType="end"/>
      </w:r>
      <w:r w:rsidR="002C04D9">
        <w:t>.</w:t>
      </w:r>
      <w:r w:rsidR="0035385A">
        <w:t xml:space="preserve"> These measures are clearly inadequate for the study </w:t>
      </w:r>
      <w:r w:rsidR="003410D3">
        <w:t xml:space="preserve">of </w:t>
      </w:r>
      <w:r w:rsidR="00EE66DD">
        <w:t>turnover and</w:t>
      </w:r>
      <w:r w:rsidR="003410D3">
        <w:t xml:space="preserve"> instability, </w:t>
      </w:r>
      <w:r w:rsidR="002D1657">
        <w:t xml:space="preserve">presenting poor exclusion restrictions </w:t>
      </w:r>
      <w:r w:rsidR="003410D3">
        <w:t xml:space="preserve">as they </w:t>
      </w:r>
      <w:r w:rsidR="002D1657">
        <w:t>could</w:t>
      </w:r>
      <w:r w:rsidR="00B54D3B">
        <w:t xml:space="preserve"> </w:t>
      </w:r>
      <w:r w:rsidR="005F78EB">
        <w:t>be</w:t>
      </w:r>
      <w:r w:rsidR="00411E2C">
        <w:t xml:space="preserve"> </w:t>
      </w:r>
      <w:r w:rsidR="009F1AE1">
        <w:t xml:space="preserve">obviously </w:t>
      </w:r>
      <w:r w:rsidR="00411E2C">
        <w:t>related to</w:t>
      </w:r>
      <w:r w:rsidR="004E2AC7">
        <w:t xml:space="preserve"> dependent variables.</w:t>
      </w:r>
      <w:r w:rsidR="00411E2C">
        <w:t xml:space="preserve"> </w:t>
      </w:r>
    </w:p>
    <w:p w14:paraId="0285C543" w14:textId="686BA098" w:rsidR="00B851CC" w:rsidRDefault="00AD1C6A" w:rsidP="002F28E1">
      <w:r>
        <w:t xml:space="preserve">Therefore, I </w:t>
      </w:r>
      <w:r w:rsidR="00F41ADB">
        <w:t xml:space="preserve">introduce a </w:t>
      </w:r>
      <w:r w:rsidR="008F4155">
        <w:t>novel instrument for central bank independence in the form</w:t>
      </w:r>
      <w:r w:rsidR="000E1BA9">
        <w:t xml:space="preserve"> of </w:t>
      </w:r>
      <w:r w:rsidR="00BF6EE9">
        <w:t>tertiary education enrollment rates.</w:t>
      </w:r>
      <w:r w:rsidR="00F04E2C">
        <w:rPr>
          <w:rStyle w:val="FootnoteReference"/>
        </w:rPr>
        <w:footnoteReference w:id="12"/>
      </w:r>
      <w:r w:rsidR="009B089B">
        <w:t xml:space="preserve"> </w:t>
      </w:r>
      <w:r w:rsidR="001662C9">
        <w:t xml:space="preserve">The theoretical justification for </w:t>
      </w:r>
      <w:r w:rsidR="00697968">
        <w:t xml:space="preserve">the first stage of </w:t>
      </w:r>
      <w:r w:rsidR="001662C9">
        <w:t>this instrument is as follows</w:t>
      </w:r>
      <w:r w:rsidR="007742B8">
        <w:t>: a requisite level of expertise</w:t>
      </w:r>
      <w:r w:rsidR="00A701E8">
        <w:t xml:space="preserve"> is needed for the </w:t>
      </w:r>
      <w:r w:rsidR="00B50F24">
        <w:t>controlled, technocratic administration of monetary policy.</w:t>
      </w:r>
      <w:r w:rsidR="009B089B">
        <w:t xml:space="preserve"> </w:t>
      </w:r>
      <w:r w:rsidR="00450AA1">
        <w:t>For example, this</w:t>
      </w:r>
      <w:r w:rsidR="009B089B">
        <w:t xml:space="preserve"> may involve </w:t>
      </w:r>
      <w:r w:rsidR="00A45E62">
        <w:t>the presence</w:t>
      </w:r>
      <w:r w:rsidR="006E6342">
        <w:t xml:space="preserve"> of PhD economics graduates</w:t>
      </w:r>
      <w:r w:rsidR="0064262F">
        <w:t>.</w:t>
      </w:r>
      <w:r w:rsidR="00585181">
        <w:t xml:space="preserve"> Higher levels of education</w:t>
      </w:r>
      <w:r w:rsidR="00106C5D">
        <w:t xml:space="preserve"> may proxy </w:t>
      </w:r>
      <w:r w:rsidR="00CA2E4D">
        <w:t xml:space="preserve">or at least signal </w:t>
      </w:r>
      <w:r w:rsidR="00106C5D">
        <w:t xml:space="preserve">for </w:t>
      </w:r>
      <w:r w:rsidR="00676BA9">
        <w:t>competence</w:t>
      </w:r>
      <w:r w:rsidR="005408AC">
        <w:t>; they at least indicate higher private labor market returns</w:t>
      </w:r>
      <w:r w:rsidR="00EF3734">
        <w:t xml:space="preserve"> </w:t>
      </w:r>
      <w:r w:rsidR="00EF3734">
        <w:fldChar w:fldCharType="begin"/>
      </w:r>
      <w:r w:rsidR="007B01F4">
        <w:instrText xml:space="preserve"> ADDIN ZOTERO_ITEM CSL_CITATION {"citationID":"Z094HIsf","properties":{"formattedCitation":"(Card 1999)","plainCitation":"(Card 1999)","noteIndex":0},"citationItems":[{"id":259,"uris":["http://zotero.org/users/5939705/items/5993KLF2"],"uri":["http://zotero.org/users/5939705/items/5993KLF2"],"itemData":{"id":259,"type":"chapter","abstract":"This paper surveys the recent literature on the causal relationship between education and earnings. I focus on four areas of work: theoretical and econometric advances in modelling the causal effect of education in the presence of heterogeneous returns to schooling; recent studies that use institutional aspects of the education system to form instrnmental variables estimates of the return to schooling; recent studies of the earnings and schooling of twins; and recent attempts to explicitly model sources of heterogeneity in the returns to education. Consistent with earlier surveys of the literature, I conclude that the average (or average marginal) return to education is not much below the estimate that emerges from a standard human capital earnings function fit by OLS. Evidence from the latest studies of identical twins suggests a small upward \"ability\" bias - on the order of 10%. A consistent finding among studies using instrnmental variables based on institutional changes in the education system is that the estimated returns to schooling are 20-40% above the corresponding OLS estimates. Part of the explanation for this finding may be that marginal returns to schooling for certain subgroups - particularly relatively disadvantaged groups with low education outcomes - are higher than the average marginal returns to education in the population as a whole. © 1999 Elsevier Science B.V. All rights reserved.","container-title":"Handbook of Labor Economics","ISBN":"978-0-444-50187-5","language":"en","note":"DOI: 10.1016/S1573-4463(99)03011-4","page":"1801-1863","publisher":"Elsevier","source":"DOI.org (Crossref)","title":"The Causal Effect of Education on Earnings","URL":"https://linkinghub.elsevier.com/retrieve/pii/S1573446399030114","volume":"3","author":[{"family":"Card","given":"David"}],"accessed":{"date-parts":[["2020",1,4]]},"issued":{"date-parts":[["1999"]]}}}],"schema":"https://github.com/citation-style-language/schema/raw/master/csl-citation.json"} </w:instrText>
      </w:r>
      <w:r w:rsidR="00EF3734">
        <w:fldChar w:fldCharType="separate"/>
      </w:r>
      <w:r w:rsidR="00A95AA3" w:rsidRPr="00A95AA3">
        <w:rPr>
          <w:rFonts w:ascii="Calibri" w:hAnsi="Calibri" w:cs="Calibri"/>
        </w:rPr>
        <w:t>(Card 1999)</w:t>
      </w:r>
      <w:r w:rsidR="00EF3734">
        <w:fldChar w:fldCharType="end"/>
      </w:r>
      <w:r w:rsidR="00C8223F">
        <w:t xml:space="preserve">. </w:t>
      </w:r>
      <w:r w:rsidR="00705383">
        <w:t>Outside of central bank operations, education</w:t>
      </w:r>
      <w:r w:rsidR="00B851CC">
        <w:t xml:space="preserve"> may </w:t>
      </w:r>
      <w:r w:rsidR="00C8223F">
        <w:t xml:space="preserve">be necessary </w:t>
      </w:r>
      <w:r w:rsidR="00D20FD7">
        <w:t xml:space="preserve">for </w:t>
      </w:r>
      <w:r w:rsidR="00C8223F">
        <w:t>the understanding of time inconsistency problems</w:t>
      </w:r>
      <w:r w:rsidR="00AB235E">
        <w:t xml:space="preserve"> at the core of arguments for inde</w:t>
      </w:r>
      <w:r w:rsidR="006811CF">
        <w:t>pend</w:t>
      </w:r>
      <w:r w:rsidR="00AB235E">
        <w:t>ence</w:t>
      </w:r>
      <w:r w:rsidR="00F472BC">
        <w:t>.</w:t>
      </w:r>
    </w:p>
    <w:p w14:paraId="6C13F0B8" w14:textId="6BEE6B7B" w:rsidR="00781C53" w:rsidRDefault="004E6192" w:rsidP="002F28E1">
      <w:r>
        <w:t>Of course, tertiary education enrollment may not be fully necessary or the only path to central bank independence</w:t>
      </w:r>
      <w:r w:rsidR="00574767">
        <w:t xml:space="preserve">. </w:t>
      </w:r>
      <w:r w:rsidR="0019422E">
        <w:t xml:space="preserve">Here </w:t>
      </w:r>
      <w:r w:rsidR="00A45E62">
        <w:t xml:space="preserve">I abstract from </w:t>
      </w:r>
      <w:r w:rsidR="00236BDC">
        <w:t>technical assistance programs provided by the IMF and other organizations that may</w:t>
      </w:r>
      <w:r w:rsidR="00570786">
        <w:t xml:space="preserve"> substitute for </w:t>
      </w:r>
      <w:r w:rsidR="00842237">
        <w:t>homegrown capacity</w:t>
      </w:r>
      <w:r w:rsidR="00E44E4F">
        <w:t xml:space="preserve"> achieved through education</w:t>
      </w:r>
      <w:r w:rsidR="00842237">
        <w:t>.</w:t>
      </w:r>
      <w:r w:rsidR="00BE0C6D">
        <w:t xml:space="preserve"> </w:t>
      </w:r>
      <w:r w:rsidR="00781C53">
        <w:t xml:space="preserve">Nevertheless, </w:t>
      </w:r>
      <w:r w:rsidR="00BE0C6D">
        <w:t>levels of education are</w:t>
      </w:r>
      <w:r w:rsidR="00781C53">
        <w:t xml:space="preserve"> likely to have an influence.</w:t>
      </w:r>
    </w:p>
    <w:p w14:paraId="46ED5B10" w14:textId="76E0F5F7" w:rsidR="00E77156" w:rsidRDefault="00697968" w:rsidP="002F28E1">
      <w:pPr>
        <w:rPr>
          <w:highlight w:val="yellow"/>
        </w:rPr>
      </w:pPr>
      <w:r>
        <w:t>In terms of an exclusion restriction</w:t>
      </w:r>
      <w:r w:rsidR="00582BEF">
        <w:t xml:space="preserve">, </w:t>
      </w:r>
      <w:r w:rsidR="00BE72AE">
        <w:t>past work</w:t>
      </w:r>
      <w:r w:rsidR="00582BEF">
        <w:t xml:space="preserve"> has exogenously tied</w:t>
      </w:r>
      <w:r w:rsidR="00166354">
        <w:t>, for example,</w:t>
      </w:r>
      <w:r w:rsidR="00582BEF">
        <w:t xml:space="preserve"> primary education to social-political instability </w:t>
      </w:r>
      <w:r w:rsidR="003744A9">
        <w:t>in simultaneous equations models</w:t>
      </w:r>
      <w:r w:rsidR="00166354">
        <w:t xml:space="preserve">; results </w:t>
      </w:r>
      <w:r w:rsidR="00A456A8">
        <w:t>may be similar for tertiary education</w:t>
      </w:r>
      <w:r w:rsidR="002E54F0">
        <w:t xml:space="preserve"> </w:t>
      </w:r>
      <w:r w:rsidR="00B45694">
        <w:fldChar w:fldCharType="begin"/>
      </w:r>
      <w:r w:rsidR="007B01F4">
        <w:instrText xml:space="preserve"> ADDIN ZOTERO_ITEM CSL_CITATION {"citationID":"EXfuhaP8","properties":{"formattedCitation":"(Alesina and Perotti 1993)","plainCitation":"(Alesina and Perotti 1993)","noteIndex":0},"citationItems":[{"id":260,"uris":["http://zotero.org/users/5939705/items/55UY5JGY"],"uri":["http://zotero.org/users/5939705/items/55UY5JGY"],"itemData":{"id":260,"type":"report","abstract":"This paper successfully tests on a sample of 70 countries for the period 1960-85 the following hypotheses. Income inequality, by fueling social discontent, increases socio-political instability. The latter, by creating uncertainty in the politico-economic environment, reduces investment. As a consequence, income inequality and investment are inversely related. Since investment is a primary engine of growth, this paper identifies a channel for an inverse relationship between income inequality and growth. We measure socio-political instability with indices which capture the occurrence of more or less violent phenomena of political unrest and we test our hypotheses by estimating a two-equation model in which the endogenous variables are investment and an index of socio-political instability. Our results are robust to sensitivity analysis on the specification of the model and the measure of political instability, and are unchanged when the model is estimated using robust regression techniques.","genre":"Working Paper","note":"DOI: 10.3386/w4486","number":"4486","publisher":"National Bureau of Economic Research","source":"National Bureau of Economic Research","title":"Income Distribution, Political Instability, and Investment","URL":"http://www.nber.org/papers/w4486","author":[{"family":"Alesina","given":"Alberto"},{"family":"Perotti","given":"Roberto"}],"accessed":{"date-parts":[["2020",1,4]]},"issued":{"date-parts":[["1993",10]]}}}],"schema":"https://github.com/citation-style-language/schema/raw/master/csl-citation.json"} </w:instrText>
      </w:r>
      <w:r w:rsidR="00B45694">
        <w:fldChar w:fldCharType="separate"/>
      </w:r>
      <w:r w:rsidR="002A12A2" w:rsidRPr="002A12A2">
        <w:rPr>
          <w:rFonts w:ascii="Calibri" w:hAnsi="Calibri" w:cs="Calibri"/>
        </w:rPr>
        <w:t>(Alesina and Perotti 1993)</w:t>
      </w:r>
      <w:r w:rsidR="00B45694">
        <w:fldChar w:fldCharType="end"/>
      </w:r>
      <w:r w:rsidR="00166354">
        <w:t>.</w:t>
      </w:r>
      <w:r w:rsidR="009D5117">
        <w:t xml:space="preserve"> </w:t>
      </w:r>
      <w:r w:rsidR="00E77156" w:rsidRPr="00E77156">
        <w:t>Theoretically, a connection</w:t>
      </w:r>
      <w:r w:rsidR="00E77156">
        <w:t xml:space="preserve"> can be explained </w:t>
      </w:r>
      <w:r w:rsidR="00450331">
        <w:t>by aspirations of modernization</w:t>
      </w:r>
      <w:r w:rsidR="002020A4">
        <w:t xml:space="preserve"> through education</w:t>
      </w:r>
      <w:r w:rsidR="00450331">
        <w:t xml:space="preserve"> </w:t>
      </w:r>
      <w:r w:rsidR="002020A4">
        <w:t>exceeding</w:t>
      </w:r>
      <w:r w:rsidR="00043875">
        <w:t xml:space="preserve"> the </w:t>
      </w:r>
      <w:r w:rsidR="001023D1">
        <w:t>reality</w:t>
      </w:r>
      <w:r w:rsidR="00043875">
        <w:t xml:space="preserve"> of economic development,</w:t>
      </w:r>
      <w:r w:rsidR="001023D1">
        <w:t xml:space="preserve"> </w:t>
      </w:r>
      <w:r w:rsidR="00043875">
        <w:t>causi</w:t>
      </w:r>
      <w:r w:rsidR="001023D1">
        <w:t xml:space="preserve">ng </w:t>
      </w:r>
      <w:r w:rsidR="00450331">
        <w:t xml:space="preserve">a peak of instability </w:t>
      </w:r>
      <w:r w:rsidR="0057354C">
        <w:t xml:space="preserve">when </w:t>
      </w:r>
      <w:r w:rsidR="00DC4BC7">
        <w:t xml:space="preserve">measures such as </w:t>
      </w:r>
      <w:r w:rsidR="0057354C">
        <w:t>literacy rates, for example, are at intermediate levels.</w:t>
      </w:r>
      <w:r w:rsidR="001B3A61">
        <w:t xml:space="preserve"> Educated and unemployed </w:t>
      </w:r>
      <w:r w:rsidR="001B3A61">
        <w:lastRenderedPageBreak/>
        <w:t>students can form a serious source of instability</w:t>
      </w:r>
      <w:r w:rsidR="00431C27">
        <w:t>, seen clearly in cases such as Korea in the 1960s</w:t>
      </w:r>
      <w:r w:rsidR="00067ABA">
        <w:t xml:space="preserve"> </w:t>
      </w:r>
      <w:r w:rsidR="00DC26D4">
        <w:fldChar w:fldCharType="begin"/>
      </w:r>
      <w:r w:rsidR="007B01F4">
        <w:instrText xml:space="preserve"> ADDIN ZOTERO_ITEM CSL_CITATION {"citationID":"1YKhYdyM","properties":{"formattedCitation":"(Huntington 1976)","plainCitation":"(Huntington 1976)","dontUpdate":true,"noteIndex":0},"citationItems":[{"id":254,"uris":["http://zotero.org/users/5939705/items/BZ7BGYMB"],"uri":["http://zotero.org/users/5939705/items/BZ7BGYMB"],"itemData":{"id":254,"type":"book","edition":"11. printing","event-place":"New Haven","ISBN":"978-0-300-00584-4","language":"en","note":"OCLC: 257351951","number-of-pages":"488","publisher":"Yale Univ. Press","publisher-place":"New Haven","source":"Gemeinsamer Bibliotheksverbund ISBN","title":"Political Order in changing societies","author":[{"family":"Huntington","given":"Samuel P."}],"issued":{"date-parts":[["1976"]]}}}],"schema":"https://github.com/citation-style-language/schema/raw/master/csl-citation.json"} </w:instrText>
      </w:r>
      <w:r w:rsidR="00DC26D4">
        <w:fldChar w:fldCharType="separate"/>
      </w:r>
      <w:r w:rsidR="00067ABA" w:rsidRPr="00067ABA">
        <w:rPr>
          <w:rFonts w:ascii="Calibri" w:hAnsi="Calibri" w:cs="Calibri"/>
        </w:rPr>
        <w:t>(Huntington 1976</w:t>
      </w:r>
      <w:r w:rsidR="00067ABA">
        <w:rPr>
          <w:rFonts w:ascii="Calibri" w:hAnsi="Calibri" w:cs="Calibri"/>
        </w:rPr>
        <w:t>, p.48</w:t>
      </w:r>
      <w:r w:rsidR="00067ABA" w:rsidRPr="00067ABA">
        <w:rPr>
          <w:rFonts w:ascii="Calibri" w:hAnsi="Calibri" w:cs="Calibri"/>
        </w:rPr>
        <w:t>)</w:t>
      </w:r>
      <w:r w:rsidR="00DC26D4">
        <w:fldChar w:fldCharType="end"/>
      </w:r>
      <w:r w:rsidR="001B3A61">
        <w:t>.</w:t>
      </w:r>
    </w:p>
    <w:p w14:paraId="6C95FC55" w14:textId="75F2DDD3" w:rsidR="00CE7AED" w:rsidRDefault="006C4B39" w:rsidP="002F28E1">
      <w:r>
        <w:t>I argue that</w:t>
      </w:r>
      <w:r w:rsidR="008323D0">
        <w:t xml:space="preserve"> such an ex</w:t>
      </w:r>
      <w:r w:rsidR="00C47F48">
        <w:t>c</w:t>
      </w:r>
      <w:r w:rsidR="008323D0">
        <w:t>lusion</w:t>
      </w:r>
      <w:r w:rsidR="00C47F48">
        <w:t xml:space="preserve"> restriction</w:t>
      </w:r>
      <w:r w:rsidR="005144E0">
        <w:t xml:space="preserve"> between tertiary education and </w:t>
      </w:r>
      <w:r w:rsidR="00AE1804">
        <w:t>instability</w:t>
      </w:r>
      <w:r w:rsidR="00C47F48">
        <w:t xml:space="preserve"> remains defensible, however.</w:t>
      </w:r>
      <w:r w:rsidR="00AE1804">
        <w:t xml:space="preserve"> First, s</w:t>
      </w:r>
      <w:r w:rsidR="00660CA5" w:rsidRPr="003E3CA9">
        <w:t>tatistical evidence for th</w:t>
      </w:r>
      <w:r w:rsidR="008323D0">
        <w:t>e</w:t>
      </w:r>
      <w:r w:rsidR="00660CA5" w:rsidRPr="003E3CA9">
        <w:t xml:space="preserve"> of connection</w:t>
      </w:r>
      <w:r w:rsidR="008323D0">
        <w:t xml:space="preserve"> of the education</w:t>
      </w:r>
      <w:r w:rsidR="00B71A25">
        <w:t xml:space="preserve">, </w:t>
      </w:r>
      <w:r w:rsidR="008323D0">
        <w:t>development gap</w:t>
      </w:r>
      <w:r w:rsidR="00B71A25">
        <w:t>s,</w:t>
      </w:r>
      <w:r w:rsidR="008323D0">
        <w:t xml:space="preserve"> and </w:t>
      </w:r>
      <w:r w:rsidR="00AE1804">
        <w:t xml:space="preserve">political </w:t>
      </w:r>
      <w:r w:rsidR="008323D0">
        <w:t>violence</w:t>
      </w:r>
      <w:r w:rsidR="00660CA5" w:rsidRPr="003E3CA9">
        <w:t xml:space="preserve"> appears to be somewhat weak</w:t>
      </w:r>
      <w:r w:rsidR="00265492" w:rsidRPr="003E3CA9">
        <w:t>, holding in some specific cases but not as broad cross-national model</w:t>
      </w:r>
      <w:r w:rsidR="003E3CA9" w:rsidRPr="003E3CA9">
        <w:t xml:space="preserve"> </w:t>
      </w:r>
      <w:r w:rsidR="00067ABA" w:rsidRPr="003E3CA9">
        <w:fldChar w:fldCharType="begin"/>
      </w:r>
      <w:r w:rsidR="007B01F4">
        <w:instrText xml:space="preserve"> ADDIN ZOTERO_ITEM CSL_CITATION {"citationID":"RlTgzi7l","properties":{"formattedCitation":"(Hibbs Jr 1973)","plainCitation":"(Hibbs Jr 1973)","noteIndex":0},"citationItems":[{"id":253,"uris":["http://zotero.org/users/5939705/items/X6SYRJNQ"],"uri":["http://zotero.org/users/5939705/items/X6SYRJNQ"],"itemData":{"id":253,"type":"book","ISBN":"978-0-471-38600-1","note":"DOI: 10.2307/2065938","source":"ResearchGate","title":"Mass Political Violence: A Cross-National Causal Analysis","title-short":"Mass Political Violence","volume":"7","author":[{"family":"Hibbs Jr","given":"Douglas"}],"issued":{"date-parts":[["1973",1,1]]}}}],"schema":"https://github.com/citation-style-language/schema/raw/master/csl-citation.json"} </w:instrText>
      </w:r>
      <w:r w:rsidR="00067ABA" w:rsidRPr="003E3CA9">
        <w:fldChar w:fldCharType="separate"/>
      </w:r>
      <w:r w:rsidR="003E3CA9" w:rsidRPr="003E3CA9">
        <w:rPr>
          <w:rFonts w:ascii="Calibri" w:hAnsi="Calibri" w:cs="Calibri"/>
        </w:rPr>
        <w:t>(Hibbs Jr 1973)</w:t>
      </w:r>
      <w:r w:rsidR="00067ABA" w:rsidRPr="003E3CA9">
        <w:fldChar w:fldCharType="end"/>
      </w:r>
      <w:r w:rsidR="003E3CA9" w:rsidRPr="003E3CA9">
        <w:t>.</w:t>
      </w:r>
      <w:r w:rsidR="007E3BA6">
        <w:t xml:space="preserve"> </w:t>
      </w:r>
      <w:r w:rsidR="00DB0D4E">
        <w:t>Next, the case applies to</w:t>
      </w:r>
      <w:r w:rsidR="00BE337A">
        <w:t xml:space="preserve"> imbalances, not levels</w:t>
      </w:r>
      <w:r w:rsidR="00DB0D4E">
        <w:t xml:space="preserve"> of education more</w:t>
      </w:r>
      <w:r w:rsidR="00BE337A">
        <w:t xml:space="preserve"> generally.</w:t>
      </w:r>
      <w:r w:rsidR="00F7023B">
        <w:t xml:space="preserve"> </w:t>
      </w:r>
      <w:r w:rsidR="009D192F">
        <w:t xml:space="preserve">We need not assume that </w:t>
      </w:r>
      <w:r w:rsidR="00500325">
        <w:t xml:space="preserve">on developmental </w:t>
      </w:r>
      <w:r w:rsidR="00A6651D">
        <w:t xml:space="preserve">paths </w:t>
      </w:r>
      <w:r w:rsidR="00417139">
        <w:t xml:space="preserve">towards higher education </w:t>
      </w:r>
      <w:r w:rsidR="00A6651D">
        <w:t xml:space="preserve">a gap between </w:t>
      </w:r>
      <w:r w:rsidR="000E7C56">
        <w:t xml:space="preserve">education and </w:t>
      </w:r>
      <w:r w:rsidR="00417139">
        <w:t>development always emerges</w:t>
      </w:r>
      <w:r w:rsidR="007E3BA6">
        <w:t xml:space="preserve"> at similar stages</w:t>
      </w:r>
      <w:r w:rsidR="00417139">
        <w:t>.</w:t>
      </w:r>
      <w:r w:rsidR="0070569E">
        <w:t xml:space="preserve"> </w:t>
      </w:r>
      <w:r w:rsidR="00CE7AED">
        <w:t xml:space="preserve">Finally, in this paper, I will seek to use </w:t>
      </w:r>
      <w:r w:rsidR="0076256F">
        <w:t xml:space="preserve">the instrument </w:t>
      </w:r>
      <w:r w:rsidR="00A45A03">
        <w:t>in the analysis</w:t>
      </w:r>
      <w:r w:rsidR="00907583">
        <w:t xml:space="preserve"> o</w:t>
      </w:r>
      <w:r w:rsidR="00A45A03">
        <w:t>f</w:t>
      </w:r>
      <w:r w:rsidR="00907583">
        <w:t xml:space="preserve"> electoral turnover rather than political instability.</w:t>
      </w:r>
      <w:r w:rsidR="0076538C">
        <w:t xml:space="preserve"> </w:t>
      </w:r>
      <w:r w:rsidR="00C242DE">
        <w:t>Above theories seem to apply more to revolutionary</w:t>
      </w:r>
      <w:r w:rsidR="00EC4605">
        <w:t xml:space="preserve"> activity</w:t>
      </w:r>
      <w:r w:rsidR="00566781">
        <w:t>.</w:t>
      </w:r>
    </w:p>
    <w:p w14:paraId="51E3FEAC" w14:textId="6EE16EB6" w:rsidR="00586C33" w:rsidRDefault="003E4FE7" w:rsidP="002F28E1">
      <w:r>
        <w:t xml:space="preserve">The strongest counter case in democracies might come from </w:t>
      </w:r>
      <w:r w:rsidR="000D3047">
        <w:t>an observation of events such as</w:t>
      </w:r>
      <w:r w:rsidR="00280BAC">
        <w:t xml:space="preserve"> the Vietnam </w:t>
      </w:r>
      <w:r w:rsidR="00B71A25">
        <w:t>W</w:t>
      </w:r>
      <w:r w:rsidR="00280BAC">
        <w:t>ar protests</w:t>
      </w:r>
      <w:r w:rsidR="00C459C6">
        <w:t xml:space="preserve"> in the United States</w:t>
      </w:r>
      <w:r w:rsidR="0019082E">
        <w:t xml:space="preserve"> or other movements of educated students with electoral implications.</w:t>
      </w:r>
      <w:r w:rsidR="00E963AB">
        <w:t xml:space="preserve"> While</w:t>
      </w:r>
      <w:r w:rsidR="000B59A3">
        <w:t xml:space="preserve"> an increase in education might </w:t>
      </w:r>
      <w:r w:rsidR="00242042">
        <w:t>cause animosity against certain policies</w:t>
      </w:r>
      <w:r w:rsidR="003510E8">
        <w:t xml:space="preserve"> or leaders particularly unpopular</w:t>
      </w:r>
      <w:r w:rsidR="003D7463">
        <w:t xml:space="preserve"> with key groups however, it is not clear that over the span of the full period this </w:t>
      </w:r>
      <w:r w:rsidR="00632018">
        <w:t>directly</w:t>
      </w:r>
      <w:r w:rsidR="003D7463">
        <w:t xml:space="preserve"> </w:t>
      </w:r>
      <w:r w:rsidR="007B15B9">
        <w:t xml:space="preserve">and generally </w:t>
      </w:r>
      <w:r w:rsidR="003D7463">
        <w:t xml:space="preserve">translates into </w:t>
      </w:r>
      <w:r w:rsidR="004D29DD">
        <w:t xml:space="preserve">more frequent </w:t>
      </w:r>
      <w:r w:rsidR="00632018">
        <w:t xml:space="preserve">electoral </w:t>
      </w:r>
      <w:r w:rsidR="00DD65A7">
        <w:t>turnover and alterations of power.</w:t>
      </w:r>
      <w:r w:rsidR="00973BBA">
        <w:t xml:space="preserve"> </w:t>
      </w:r>
      <w:r w:rsidR="005922A7">
        <w:t>Another notable</w:t>
      </w:r>
      <w:r w:rsidR="003C2FB4">
        <w:t xml:space="preserve"> counterpoint</w:t>
      </w:r>
      <w:r w:rsidR="005922A7">
        <w:t xml:space="preserve"> is that </w:t>
      </w:r>
      <w:r w:rsidR="00245804">
        <w:t>the youth share of the vote</w:t>
      </w:r>
      <w:r w:rsidR="005922A7">
        <w:t xml:space="preserve"> in national elections</w:t>
      </w:r>
      <w:r w:rsidR="00245804">
        <w:t>.</w:t>
      </w:r>
      <w:r w:rsidR="003A30CF">
        <w:t xml:space="preserve"> </w:t>
      </w:r>
      <w:r w:rsidR="00245804">
        <w:t>I</w:t>
      </w:r>
      <w:r w:rsidR="002F362C">
        <w:t>n Western democracies</w:t>
      </w:r>
      <w:r w:rsidR="00EF3C7D">
        <w:t>, youth turnout</w:t>
      </w:r>
      <w:r w:rsidR="00180CC4">
        <w:t xml:space="preserve"> </w:t>
      </w:r>
      <w:r w:rsidR="00502BBD">
        <w:t>is low</w:t>
      </w:r>
      <w:r w:rsidR="002F362C">
        <w:t xml:space="preserve"> compared to other groups</w:t>
      </w:r>
      <w:r w:rsidR="00F96004">
        <w:t>, a fact compounded by aging populations</w:t>
      </w:r>
      <w:r w:rsidR="00655DAE">
        <w:t xml:space="preserve"> </w:t>
      </w:r>
      <w:r w:rsidR="003E0F49">
        <w:t>and small shares of populations</w:t>
      </w:r>
      <w:r w:rsidR="00213FC4">
        <w:t xml:space="preserve"> (mean of about 20%)</w:t>
      </w:r>
      <w:r w:rsidR="003E0F49">
        <w:t xml:space="preserve"> </w:t>
      </w:r>
      <w:r w:rsidR="00655DAE">
        <w:fldChar w:fldCharType="begin"/>
      </w:r>
      <w:r w:rsidR="006F3F5C">
        <w:instrText xml:space="preserve"> ADDIN ZOTERO_ITEM CSL_CITATION {"citationID":"Klj221r7","properties":{"formattedCitation":"(Institute for Democracy and Electoral Assistance 1999)","plainCitation":"(Institute for Democracy and Electoral Assistance 1999)","noteIndex":0},"citationItems":[{"id":243,"uris":["http://zotero.org/users/5939705/items/S9Y5CARB"],"uri":["http://zotero.org/users/5939705/items/S9Y5CARB"],"itemData":{"id":243,"type":"webpage","container-title":"Institute for Democracy and Electoral Assistance","title":"Youth Voter Participation: Involving Today's Young in Tomorrow's Democracy | International IDEA","URL":"https://www.idea.int/publications/catalogue/youth-voter-participation-involving-todays-young-tomorrows-democracy","author":[{"family":"Institute for Democracy and Electoral Assistance","given":""}],"accessed":{"date-parts":[["2020",1,8]]},"issued":{"date-parts":[["1999",2,1]]}}}],"schema":"https://github.com/citation-style-language/schema/raw/master/csl-citation.json"} </w:instrText>
      </w:r>
      <w:r w:rsidR="00655DAE">
        <w:fldChar w:fldCharType="separate"/>
      </w:r>
      <w:r w:rsidR="006F3F5C" w:rsidRPr="006F3F5C">
        <w:rPr>
          <w:rFonts w:ascii="Calibri" w:hAnsi="Calibri" w:cs="Calibri"/>
        </w:rPr>
        <w:t>(Institute for Democracy and Electoral Assistance 1999)</w:t>
      </w:r>
      <w:r w:rsidR="00655DAE">
        <w:fldChar w:fldCharType="end"/>
      </w:r>
      <w:r w:rsidR="0038397F">
        <w:t>.</w:t>
      </w:r>
      <w:r w:rsidR="00973BBA">
        <w:t xml:space="preserve"> </w:t>
      </w:r>
      <w:r w:rsidR="00624208" w:rsidRPr="00A04C8C">
        <w:t>Overall</w:t>
      </w:r>
      <w:r w:rsidR="0054097C" w:rsidRPr="00A04C8C">
        <w:t>, for the period studied, the percentage of college graduates</w:t>
      </w:r>
      <w:r w:rsidR="00E823D6" w:rsidRPr="00A04C8C">
        <w:t xml:space="preserve"> in national vote totals</w:t>
      </w:r>
      <w:r w:rsidR="00A04C8C">
        <w:t xml:space="preserve"> is likely to be small</w:t>
      </w:r>
      <w:r w:rsidR="00180CC4">
        <w:t>.</w:t>
      </w:r>
    </w:p>
    <w:p w14:paraId="0BF54F48" w14:textId="7C19F3AC" w:rsidR="00D3136F" w:rsidRDefault="004C5E72" w:rsidP="002F28E1">
      <w:r>
        <w:t>I</w:t>
      </w:r>
      <w:r w:rsidR="00137457">
        <w:t xml:space="preserve">n the case that the restriction remains unconvincing, I </w:t>
      </w:r>
      <w:r w:rsidR="00A6289B">
        <w:t>also make use of a</w:t>
      </w:r>
      <w:r w:rsidR="009D05B7">
        <w:t>n alternative instrument more specific than tertiary education.</w:t>
      </w:r>
      <w:r w:rsidR="00697E17">
        <w:t xml:space="preserve"> </w:t>
      </w:r>
      <w:r w:rsidR="001406BA">
        <w:t>My original ideal instrument in the vein of technical expertise was the number</w:t>
      </w:r>
      <w:r w:rsidR="0065287A">
        <w:t xml:space="preserve"> or amount</w:t>
      </w:r>
      <w:r w:rsidR="001406BA">
        <w:t xml:space="preserve"> of </w:t>
      </w:r>
      <w:r w:rsidR="0065287A">
        <w:t>Economic</w:t>
      </w:r>
      <w:r w:rsidR="00C423D2">
        <w:t>s graduates (or PhD graduates) in a country.</w:t>
      </w:r>
      <w:r w:rsidR="00FD70FA">
        <w:t xml:space="preserve"> </w:t>
      </w:r>
      <w:r w:rsidR="00646EDC">
        <w:t>Unfortunately,</w:t>
      </w:r>
      <w:r w:rsidR="00B62A52">
        <w:t xml:space="preserve"> data</w:t>
      </w:r>
      <w:r w:rsidR="00373CBD">
        <w:t xml:space="preserve"> on this subject </w:t>
      </w:r>
      <w:r w:rsidR="00914322">
        <w:t xml:space="preserve">specifically </w:t>
      </w:r>
      <w:r w:rsidR="00373CBD">
        <w:t>was lacking</w:t>
      </w:r>
      <w:r w:rsidR="00FD70FA">
        <w:t>.</w:t>
      </w:r>
      <w:r w:rsidR="00AB3EDD">
        <w:t xml:space="preserve"> </w:t>
      </w:r>
      <w:r w:rsidR="00F40C85">
        <w:t xml:space="preserve">Nevertheless, the OECD does have some data from 2005 on for the </w:t>
      </w:r>
      <w:r w:rsidR="00F44703">
        <w:t xml:space="preserve">percentage of </w:t>
      </w:r>
      <w:r w:rsidR="00C92E28">
        <w:t xml:space="preserve">all </w:t>
      </w:r>
      <w:r w:rsidR="00F44703">
        <w:t>graduates in the more general fields of b</w:t>
      </w:r>
      <w:r w:rsidR="00FD70FA">
        <w:t>usiness and social sciences</w:t>
      </w:r>
      <w:r w:rsidR="00F061E0">
        <w:t xml:space="preserve"> </w:t>
      </w:r>
      <w:r w:rsidR="00F061E0">
        <w:fldChar w:fldCharType="begin"/>
      </w:r>
      <w:r w:rsidR="006F3F5C">
        <w:instrText xml:space="preserve"> ADDIN ZOTERO_ITEM CSL_CITATION {"citationID":"lw7vPi2p","properties":{"formattedCitation":"(OECD 2020)","plainCitation":"(OECD 2020)","noteIndex":0},"citationItems":[{"id":249,"uris":["http://zotero.org/users/5939705/items/QFZ8NTTQ"],"uri":["http://zotero.org/users/5939705/items/QFZ8NTTQ"],"itemData":{"id":249,"type":"webpage","abstract":"Find, compare and share OECD data by indicator.","container-title":"The OECD","language":"en","title":"Students - Tertiary graduates by field - OECD Data","URL":"http://data.oecd.org/students/tertiary-graduates-by-field.htm","author":[{"family":"OECD","given":""}],"accessed":{"date-parts":[["2020",1,6]]},"issued":{"date-parts":[["2020"]]}}}],"schema":"https://github.com/citation-style-language/schema/raw/master/csl-citation.json"} </w:instrText>
      </w:r>
      <w:r w:rsidR="00F061E0">
        <w:fldChar w:fldCharType="separate"/>
      </w:r>
      <w:r w:rsidR="006F3F5C" w:rsidRPr="006F3F5C">
        <w:rPr>
          <w:rFonts w:ascii="Calibri" w:hAnsi="Calibri" w:cs="Calibri"/>
        </w:rPr>
        <w:t>(OECD 2020)</w:t>
      </w:r>
      <w:r w:rsidR="00F061E0">
        <w:fldChar w:fldCharType="end"/>
      </w:r>
      <w:r w:rsidR="00F44703">
        <w:t xml:space="preserve">. </w:t>
      </w:r>
      <w:r w:rsidR="00C24878">
        <w:t>I m</w:t>
      </w:r>
      <w:r w:rsidR="00F10A12">
        <w:t xml:space="preserve">ultiply </w:t>
      </w:r>
      <w:r w:rsidR="00C24878">
        <w:t xml:space="preserve">these values by total population </w:t>
      </w:r>
      <w:r w:rsidR="00F10A12">
        <w:t>graduation rate</w:t>
      </w:r>
      <w:r w:rsidR="00C24878">
        <w:t>s</w:t>
      </w:r>
      <w:r w:rsidR="00F10A12">
        <w:t xml:space="preserve"> to get </w:t>
      </w:r>
      <w:r w:rsidR="00C24878">
        <w:t>a sense of the total availability of experts in these fields</w:t>
      </w:r>
      <w:r w:rsidR="00B71A25">
        <w:t xml:space="preserve"> as a share of population</w:t>
      </w:r>
      <w:r w:rsidR="00C24878">
        <w:t>.</w:t>
      </w:r>
      <w:r w:rsidR="00DA5B44">
        <w:t xml:space="preserve"> </w:t>
      </w:r>
      <w:r w:rsidR="00F44703">
        <w:t xml:space="preserve">I believe that while the technical expertise first stage mechanism remains in place, the argument for an exclusion restriction between the amount of graduates in these fields and </w:t>
      </w:r>
      <w:r w:rsidR="005B12FD">
        <w:t>electoral instability is</w:t>
      </w:r>
      <w:r w:rsidR="00D01A50">
        <w:t xml:space="preserve"> stronger.</w:t>
      </w:r>
      <w:r w:rsidR="00D02B73">
        <w:t xml:space="preserve"> </w:t>
      </w:r>
    </w:p>
    <w:p w14:paraId="35590790" w14:textId="7D940CAA" w:rsidR="00A47B1F" w:rsidRPr="00A47B1F" w:rsidRDefault="001904BA" w:rsidP="002F28E1">
      <w:r>
        <w:t xml:space="preserve">The adaptation of an instrument for fixed exchange rates is somewhat more challenging. One good predictor of </w:t>
      </w:r>
      <w:r w:rsidRPr="00A47B1F">
        <w:t xml:space="preserve">exchange rate regimes is inflation </w:t>
      </w:r>
      <w:r w:rsidRPr="00A47B1F">
        <w:fldChar w:fldCharType="begin"/>
      </w:r>
      <w:r w:rsidR="007B01F4">
        <w:instrText xml:space="preserve"> ADDIN ZOTERO_ITEM CSL_CITATION {"citationID":"xVcjPcHF","properties":{"formattedCitation":"(Mauro and Juhn 2002)","plainCitation":"(Mauro and Juhn 2002)","noteIndex":0},"citationItems":[{"id":196,"uris":["http://zotero.org/users/5939705/items/SRPYPY6P"],"uri":["http://zotero.org/users/5939705/items/SRPYPY6P"],"itemData":{"id":196,"type":"webpage","abstract":"\"Long-Run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rsidRPr="00A47B1F">
        <w:fldChar w:fldCharType="separate"/>
      </w:r>
      <w:r w:rsidRPr="00A47B1F">
        <w:rPr>
          <w:rFonts w:ascii="Calibri" w:hAnsi="Calibri" w:cs="Calibri"/>
        </w:rPr>
        <w:t>(Mauro and Juhn 2002)</w:t>
      </w:r>
      <w:r w:rsidRPr="00A47B1F">
        <w:fldChar w:fldCharType="end"/>
      </w:r>
      <w:r w:rsidRPr="00A47B1F">
        <w:t>, but here we run into a clear problem</w:t>
      </w:r>
      <w:r w:rsidR="009B0AD6" w:rsidRPr="00A47B1F">
        <w:t xml:space="preserve">, as inflation is already a potential mechanism in the link between </w:t>
      </w:r>
      <w:r w:rsidR="00A47B1F" w:rsidRPr="00A47B1F">
        <w:t xml:space="preserve">fixed rates and instability that we seek to consider. Other </w:t>
      </w:r>
      <w:r w:rsidR="00E93825" w:rsidRPr="00A47B1F">
        <w:t xml:space="preserve">candidates may be </w:t>
      </w:r>
      <w:r w:rsidR="003B0DE4" w:rsidRPr="00A47B1F">
        <w:t>a nation’s level of development, trading share with primary partners, terms of trade volatility, and various capital mobility indicators</w:t>
      </w:r>
      <w:r w:rsidR="00F41F7E" w:rsidRPr="00A47B1F">
        <w:t xml:space="preserve">, but relationships </w:t>
      </w:r>
      <w:r w:rsidR="00836562">
        <w:t xml:space="preserve">with fixed rates </w:t>
      </w:r>
      <w:r w:rsidR="00F41F7E" w:rsidRPr="00A47B1F">
        <w:t xml:space="preserve">appear to be unclear and disputed </w:t>
      </w:r>
      <w:r w:rsidR="004443A2" w:rsidRPr="00A47B1F">
        <w:t>in the data.</w:t>
      </w:r>
      <w:r w:rsidR="00DD6CED" w:rsidRPr="00A47B1F">
        <w:t xml:space="preserve"> </w:t>
      </w:r>
    </w:p>
    <w:p w14:paraId="4E31E12C" w14:textId="2B3CE208" w:rsidR="002527DB" w:rsidRDefault="000746FF" w:rsidP="002F28E1">
      <w:r>
        <w:t xml:space="preserve">As a solution, </w:t>
      </w:r>
      <w:r w:rsidR="008F63EC">
        <w:t xml:space="preserve">I adopt </w:t>
      </w:r>
      <w:r w:rsidR="008C08F8">
        <w:t xml:space="preserve">one of the </w:t>
      </w:r>
      <w:r w:rsidR="00FD3CFF">
        <w:t>best predictors found in the literature: absolute size of the national economy in terms of GDP</w:t>
      </w:r>
      <w:r w:rsidR="00A42D42">
        <w:t xml:space="preserve"> or GNI.</w:t>
      </w:r>
      <w:r w:rsidR="0050759A">
        <w:t xml:space="preserve"> Large economies are associated with floating rate regimes in nearly all studies</w:t>
      </w:r>
      <w:r w:rsidR="00FE6AAB">
        <w:t xml:space="preserve"> </w:t>
      </w:r>
      <w:r w:rsidR="00FE6AAB">
        <w:fldChar w:fldCharType="begin"/>
      </w:r>
      <w:r w:rsidR="007B01F4">
        <w:instrText xml:space="preserve"> ADDIN ZOTERO_ITEM CSL_CITATION {"citationID":"jbdPJzOi","properties":{"formattedCitation":"(Mauro and Juhn 2002)","plainCitation":"(Mauro and Juhn 2002)","noteIndex":0},"citationItems":[{"id":196,"uris":["http://zotero.org/users/5939705/items/SRPYPY6P"],"uri":["http://zotero.org/users/5939705/items/SRPYPY6P"],"itemData":{"id":196,"type":"webpage","abstract":"\"Long-Run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rsidR="00FE6AAB">
        <w:fldChar w:fldCharType="separate"/>
      </w:r>
      <w:r w:rsidR="00FE6AAB" w:rsidRPr="00237658">
        <w:rPr>
          <w:rFonts w:ascii="Calibri" w:hAnsi="Calibri" w:cs="Calibri"/>
        </w:rPr>
        <w:t>(Mauro and Juhn 2002)</w:t>
      </w:r>
      <w:r w:rsidR="00FE6AAB">
        <w:fldChar w:fldCharType="end"/>
      </w:r>
      <w:r w:rsidR="00BF565B">
        <w:t>.</w:t>
      </w:r>
      <w:r w:rsidR="0065745D">
        <w:t xml:space="preserve"> The explanation comes from optimum currency area literature.</w:t>
      </w:r>
      <w:r w:rsidR="003702C4">
        <w:t xml:space="preserve"> For these nations, the importance of a stable currency for trade </w:t>
      </w:r>
      <w:r w:rsidR="00F82458">
        <w:t>is less important relative to the ability to control their own</w:t>
      </w:r>
      <w:r w:rsidR="00FE6AAB">
        <w:t xml:space="preserve"> large</w:t>
      </w:r>
      <w:r w:rsidR="00F82458">
        <w:t xml:space="preserve"> </w:t>
      </w:r>
      <w:r w:rsidR="00FE6AAB">
        <w:t xml:space="preserve">domestic </w:t>
      </w:r>
      <w:r w:rsidR="002D22D1">
        <w:t>economy through monetary policy</w:t>
      </w:r>
      <w:r w:rsidR="004610EF">
        <w:t>- reliance on external nations is minimal.</w:t>
      </w:r>
      <w:r w:rsidR="00FE6AAB">
        <w:t xml:space="preserve"> </w:t>
      </w:r>
      <w:r w:rsidR="00BF565B">
        <w:t>The exclusion restriction for large economies is certainly not perfect</w:t>
      </w:r>
      <w:r w:rsidR="00641904">
        <w:t>, but</w:t>
      </w:r>
      <w:r w:rsidR="00FE6AAB">
        <w:t xml:space="preserve"> it should at least be </w:t>
      </w:r>
      <w:r w:rsidR="00FE6AAB">
        <w:lastRenderedPageBreak/>
        <w:t>noted that econom</w:t>
      </w:r>
      <w:r w:rsidR="00751847">
        <w:t xml:space="preserve">ic size </w:t>
      </w:r>
      <w:r w:rsidR="00AC7713">
        <w:t>escapes any explanations for instability or turnover based purely on levels of economic development</w:t>
      </w:r>
      <w:r w:rsidR="002D0AD3">
        <w:t xml:space="preserve">; here </w:t>
      </w:r>
      <w:r w:rsidR="000D05A5">
        <w:t>I</w:t>
      </w:r>
      <w:r w:rsidR="002D0AD3">
        <w:t xml:space="preserve"> do not use per capita values</w:t>
      </w:r>
      <w:r w:rsidR="00AC7713">
        <w:t>.</w:t>
      </w:r>
    </w:p>
    <w:p w14:paraId="4783C89D" w14:textId="034C39EE" w:rsidR="00B85767" w:rsidRDefault="00B21C9D" w:rsidP="00AC1ECD">
      <w:pPr>
        <w:pStyle w:val="Heading1"/>
      </w:pPr>
      <w:r>
        <w:t>Data</w:t>
      </w:r>
    </w:p>
    <w:p w14:paraId="026C498E" w14:textId="63ADFAB0" w:rsidR="007C2AC5" w:rsidRDefault="00855A88" w:rsidP="00E02CE5">
      <w:pPr>
        <w:pStyle w:val="Heading2"/>
      </w:pPr>
      <w:r>
        <w:t>Dependent Variables</w:t>
      </w:r>
    </w:p>
    <w:p w14:paraId="6A1CAAAA" w14:textId="01611953" w:rsidR="00C24DC6" w:rsidRDefault="00C41D65" w:rsidP="00855A88">
      <w:r>
        <w:t xml:space="preserve">I obtain data on most of my </w:t>
      </w:r>
      <w:r w:rsidR="00D26D7C">
        <w:t>dependent</w:t>
      </w:r>
      <w:r>
        <w:t xml:space="preserve"> variables from the compiled Varieties of Democracy Dataset </w:t>
      </w:r>
      <w:r>
        <w:fldChar w:fldCharType="begin"/>
      </w:r>
      <w:r w:rsidR="007B01F4">
        <w:instrText xml:space="preserve"> ADDIN ZOTERO_ITEM CSL_CITATION {"citationID":"N9lG2JFX","properties":{"formattedCitation":"(Michael Coppedge et al. 2020)","plainCitation":"(Michael Coppedge et al. 2020)","noteIndex":0},"citationItems":[{"id":81,"uris":["http://zotero.org/users/5939705/items/GZ2TDTHT"],"uri":["http://zotero.org/users/5939705/items/GZ2TDTHT"],"itemData":{"id":81,"type":"webpage","container-title":"Varieties of Democracy","title":"V-Dem Version 10","URL":"https://www.v-dem.net/en/","author":[{"literal":"Michael Coppedge"},{"literal":"John Gerring"},{"literal":"Carl Knutsen"},{"literal":"Staffan Lindberg"}],"accessed":{"date-parts":[["2020",3,31]]},"issued":{"date-parts":[["2020"]]}}}],"schema":"https://github.com/citation-style-language/schema/raw/master/csl-citation.json"} </w:instrText>
      </w:r>
      <w:r>
        <w:fldChar w:fldCharType="separate"/>
      </w:r>
      <w:r w:rsidRPr="003A76B4">
        <w:rPr>
          <w:rFonts w:ascii="Calibri" w:hAnsi="Calibri" w:cs="Calibri"/>
        </w:rPr>
        <w:t>(Michael Coppedge et al. 2020)</w:t>
      </w:r>
      <w:r>
        <w:fldChar w:fldCharType="end"/>
      </w:r>
      <w:r>
        <w:t xml:space="preserve">. V-Dem contains hundreds of variables, including </w:t>
      </w:r>
      <w:r w:rsidR="00B35C7B">
        <w:t xml:space="preserve">numerous ones useful for </w:t>
      </w:r>
      <w:r w:rsidR="001F2794">
        <w:t xml:space="preserve">noting electoral and political </w:t>
      </w:r>
      <w:r w:rsidR="002F04E6">
        <w:t>instability</w:t>
      </w:r>
      <w:r w:rsidR="001F2794">
        <w:t xml:space="preserve"> </w:t>
      </w:r>
      <w:r w:rsidR="002F04E6">
        <w:t>of various degree</w:t>
      </w:r>
      <w:r w:rsidR="00B5631F">
        <w:t>s and the tracking of institutional characteristics.</w:t>
      </w:r>
      <w:r w:rsidR="003F7FB2">
        <w:t xml:space="preserve"> The V-Dem project is a collaboration of dozens of experts and researchers from around the world </w:t>
      </w:r>
      <w:r w:rsidR="00E02CE5">
        <w:t xml:space="preserve">which produces reliable data with a consistent methodology, and in this </w:t>
      </w:r>
      <w:r w:rsidR="00AE3AB2">
        <w:t>case,</w:t>
      </w:r>
      <w:r w:rsidR="00E02CE5">
        <w:t xml:space="preserve"> I mostly </w:t>
      </w:r>
      <w:r w:rsidR="00AE3AB2">
        <w:t xml:space="preserve">rely on </w:t>
      </w:r>
      <w:r w:rsidR="00E02CE5">
        <w:t>factual data about events.</w:t>
      </w:r>
    </w:p>
    <w:p w14:paraId="491EFAA0" w14:textId="146409E7" w:rsidR="00553804" w:rsidRDefault="003146E7" w:rsidP="00855A88">
      <w:r>
        <w:t xml:space="preserve">The most important </w:t>
      </w:r>
      <w:r w:rsidR="00ED532F">
        <w:t xml:space="preserve">dependent variables I make use of are V-Dem’s </w:t>
      </w:r>
      <w:r w:rsidR="0062732D">
        <w:t xml:space="preserve">event variables for </w:t>
      </w:r>
      <w:r w:rsidR="007C047E">
        <w:t>electoral</w:t>
      </w:r>
      <w:r w:rsidR="0024186E">
        <w:t xml:space="preserve">ly-induced </w:t>
      </w:r>
      <w:r w:rsidR="0062732D">
        <w:t xml:space="preserve">changes in the </w:t>
      </w:r>
      <w:r w:rsidR="00984EBB">
        <w:t xml:space="preserve">head of </w:t>
      </w:r>
      <w:r w:rsidR="00EE147D">
        <w:t>government</w:t>
      </w:r>
      <w:r w:rsidR="00984EBB">
        <w:t xml:space="preserve">, head of </w:t>
      </w:r>
      <w:r w:rsidR="00EE147D">
        <w:t>state</w:t>
      </w:r>
      <w:r w:rsidR="00984EBB">
        <w:t xml:space="preserve">, and control of the lower chamber of the legislature for a country </w:t>
      </w:r>
      <w:r w:rsidR="00D97FA3">
        <w:t>in each election year</w:t>
      </w:r>
      <w:r w:rsidR="00984EBB">
        <w:t>.</w:t>
      </w:r>
      <w:r w:rsidR="00A31B1B">
        <w:t xml:space="preserve"> </w:t>
      </w:r>
      <w:r w:rsidR="00984EBB">
        <w:t>This allows</w:t>
      </w:r>
      <w:r w:rsidR="00AE1507">
        <w:t xml:space="preserve"> for an event-based analysis of turnover</w:t>
      </w:r>
      <w:r w:rsidR="006E21D6">
        <w:t xml:space="preserve"> </w:t>
      </w:r>
      <w:r w:rsidR="001E28F6">
        <w:t>with varying levels of central bank independence and fixe</w:t>
      </w:r>
      <w:r w:rsidR="001A771F">
        <w:t>d rates</w:t>
      </w:r>
      <w:r w:rsidR="00AE1507">
        <w:t>.</w:t>
      </w:r>
      <w:r w:rsidR="00EE147D">
        <w:t xml:space="preserve"> For the head of government and head of state</w:t>
      </w:r>
      <w:r w:rsidR="00850233">
        <w:t xml:space="preserve"> variables, </w:t>
      </w:r>
      <w:r w:rsidR="00035004">
        <w:t>a</w:t>
      </w:r>
      <w:r w:rsidR="00BF440A">
        <w:t xml:space="preserve">n election year </w:t>
      </w:r>
      <w:r w:rsidR="00035004">
        <w:t xml:space="preserve">coding of 0 indicates the same individual, </w:t>
      </w:r>
      <w:r w:rsidR="001871B8">
        <w:t>a coding of 1 represents a different individual but of the same party</w:t>
      </w:r>
      <w:r w:rsidR="00DE2000">
        <w:t xml:space="preserve">, and </w:t>
      </w:r>
      <w:r w:rsidR="004465A2">
        <w:t>a coding of 2 indicates a change of individual and party.</w:t>
      </w:r>
      <w:r w:rsidR="00ED5933">
        <w:t xml:space="preserve"> In parliamentary systems, changes </w:t>
      </w:r>
      <w:r w:rsidR="00B66CA1">
        <w:t>with</w:t>
      </w:r>
      <w:r w:rsidR="00ED5933">
        <w:t xml:space="preserve">in coalitions </w:t>
      </w:r>
      <w:r w:rsidR="00B66CA1">
        <w:t>are coded as 1</w:t>
      </w:r>
      <w:r w:rsidR="00EA4FEC">
        <w:t xml:space="preserve">, and new party rule is </w:t>
      </w:r>
      <w:r w:rsidR="00822198">
        <w:t>coded as a 2.</w:t>
      </w:r>
      <w:r w:rsidR="00E1316D">
        <w:t xml:space="preserve"> For the lower chamber variable</w:t>
      </w:r>
      <w:r w:rsidR="00D1059A">
        <w:t xml:space="preserve">, a coding of 0 indicates a majority comprised of the same parties, a coding of 1 </w:t>
      </w:r>
      <w:r w:rsidR="008334B8">
        <w:t xml:space="preserve">indicates the assumption of </w:t>
      </w:r>
      <w:r w:rsidR="004810C7">
        <w:t xml:space="preserve">a minority party or change of leadership in the same coalition or in a coalition with some </w:t>
      </w:r>
      <w:r w:rsidR="0097515C">
        <w:t xml:space="preserve">new and old parties, </w:t>
      </w:r>
      <w:r w:rsidR="00CC0976">
        <w:t>and a coding of 2 indicates a loss of a majority or plurality dominant position.</w:t>
      </w:r>
    </w:p>
    <w:p w14:paraId="3B23E634" w14:textId="0AA19389" w:rsidR="007F7C37" w:rsidRDefault="007F7C37" w:rsidP="00855A88">
      <w:r>
        <w:t xml:space="preserve">Regarding V-Dem turnover data, it is important to note that </w:t>
      </w:r>
      <w:r w:rsidR="00166DA6">
        <w:t xml:space="preserve">for these three variables, a coding of </w:t>
      </w:r>
      <w:r w:rsidR="003C74CC">
        <w:t>0</w:t>
      </w:r>
      <w:r w:rsidR="00166DA6">
        <w:t xml:space="preserve"> is </w:t>
      </w:r>
      <w:r w:rsidR="008B561B">
        <w:t xml:space="preserve">also </w:t>
      </w:r>
      <w:r w:rsidR="00166DA6">
        <w:t xml:space="preserve">used in any year in which there </w:t>
      </w:r>
      <w:r w:rsidR="00CA22E0">
        <w:t xml:space="preserve">is an election of some sort for the head of government or head of state, but these positions are not </w:t>
      </w:r>
      <w:r w:rsidR="0044317F">
        <w:t xml:space="preserve">affected by the elections. In the United Kingdom, where the head of state (monarch) is never affected by an election, there remains a head of state </w:t>
      </w:r>
      <w:r w:rsidR="00DA339C">
        <w:t xml:space="preserve">coding of </w:t>
      </w:r>
      <w:r w:rsidR="003C74CC">
        <w:t>0</w:t>
      </w:r>
      <w:r w:rsidR="00DA339C">
        <w:t xml:space="preserve"> on head of state turnover for every parliamentary election date. This is a potential source of bias</w:t>
      </w:r>
      <w:r w:rsidR="00CF1895">
        <w:t xml:space="preserve"> and inaccuracy, particularly if monarchy</w:t>
      </w:r>
      <w:r w:rsidR="00F25039">
        <w:t xml:space="preserve"> or </w:t>
      </w:r>
      <w:r w:rsidR="00611BCE">
        <w:t xml:space="preserve">asynchronous elections for the head of state and government (as in Germany) are related to </w:t>
      </w:r>
      <w:r w:rsidR="00115BFB">
        <w:t>instability of any kind.</w:t>
      </w:r>
      <w:r w:rsidR="005A6367">
        <w:t xml:space="preserve"> However, in this case, the usage of country fixed effects and instrumental variables should resolve </w:t>
      </w:r>
      <w:r w:rsidR="00BF724B">
        <w:t>the problem, since electoral scheduling and impacts on offices should be constant institutional variables for the time studied</w:t>
      </w:r>
      <w:r w:rsidR="001F5EC9">
        <w:t>, and since it is difficult to see any relation with GDP or education.</w:t>
      </w:r>
      <w:r w:rsidR="0041210D">
        <w:rPr>
          <w:rStyle w:val="FootnoteReference"/>
        </w:rPr>
        <w:footnoteReference w:id="13"/>
      </w:r>
    </w:p>
    <w:p w14:paraId="7E723E44" w14:textId="69B9E586" w:rsidR="00551377" w:rsidRDefault="00855A88" w:rsidP="00855A88">
      <w:r>
        <w:t>For more profound political instability</w:t>
      </w:r>
      <w:r w:rsidR="00F003F6">
        <w:t xml:space="preserve">, I make use of </w:t>
      </w:r>
      <w:r w:rsidR="00551377">
        <w:t>V-</w:t>
      </w:r>
      <w:r w:rsidR="003844B3">
        <w:t>D</w:t>
      </w:r>
      <w:r w:rsidR="00551377">
        <w:t>em</w:t>
      </w:r>
      <w:r w:rsidR="00F003F6">
        <w:t>’s event variables for</w:t>
      </w:r>
      <w:r w:rsidR="00551377">
        <w:t xml:space="preserve"> </w:t>
      </w:r>
      <w:r w:rsidR="00E4700F">
        <w:t xml:space="preserve">attempted </w:t>
      </w:r>
      <w:r w:rsidR="00551377">
        <w:t>coups, civil war</w:t>
      </w:r>
      <w:r w:rsidR="00F003F6">
        <w:t>s</w:t>
      </w:r>
      <w:r w:rsidR="00551377">
        <w:t xml:space="preserve">, </w:t>
      </w:r>
      <w:r w:rsidR="00F003F6">
        <w:t xml:space="preserve">and </w:t>
      </w:r>
      <w:r w:rsidR="00551377">
        <w:t>internal conflict</w:t>
      </w:r>
      <w:r w:rsidR="00F003F6">
        <w:t>.</w:t>
      </w:r>
      <w:r w:rsidR="00A50275">
        <w:t xml:space="preserve"> For the simplification of regressions, I combine these variables into a single binary </w:t>
      </w:r>
      <w:r w:rsidR="00E67058">
        <w:t xml:space="preserve">variable </w:t>
      </w:r>
      <w:r w:rsidR="00A50275">
        <w:t xml:space="preserve">representing </w:t>
      </w:r>
      <w:r w:rsidR="008842C0">
        <w:t>the fact that one of these events happened in a year</w:t>
      </w:r>
      <w:r w:rsidR="00253633">
        <w:t xml:space="preserve"> (a coding of 1 versus 0)</w:t>
      </w:r>
      <w:r w:rsidR="008842C0">
        <w:t>.</w:t>
      </w:r>
      <w:r w:rsidR="00E20630">
        <w:t xml:space="preserve"> Like most of the V-Dem variables, </w:t>
      </w:r>
      <w:r w:rsidR="00A00ED5">
        <w:t>the source variables</w:t>
      </w:r>
      <w:r w:rsidR="00E20630">
        <w:t xml:space="preserve"> are available for a wide variety of countries and years, representing thousands of individual observations.</w:t>
      </w:r>
    </w:p>
    <w:p w14:paraId="2D587288" w14:textId="5ED6FA63" w:rsidR="00855A88" w:rsidRDefault="00855A88" w:rsidP="00855A88">
      <w:r w:rsidRPr="00A76B58">
        <w:lastRenderedPageBreak/>
        <w:t>Finally,</w:t>
      </w:r>
      <w:r w:rsidR="00E97369" w:rsidRPr="00A76B58">
        <w:t xml:space="preserve"> for an idea of the overall perception of political instability and violence</w:t>
      </w:r>
      <w:r w:rsidR="00A76B58" w:rsidRPr="00A76B58">
        <w:t xml:space="preserve"> without a breakdown into components</w:t>
      </w:r>
      <w:r w:rsidR="0070480F">
        <w:t xml:space="preserve"> over a more continuous scale</w:t>
      </w:r>
      <w:r w:rsidR="00E97369" w:rsidRPr="00A76B58">
        <w:t>,</w:t>
      </w:r>
      <w:r w:rsidRPr="00A76B58">
        <w:t xml:space="preserve"> </w:t>
      </w:r>
      <w:r w:rsidR="00994FA9" w:rsidRPr="00A76B58">
        <w:t xml:space="preserve">I </w:t>
      </w:r>
      <w:r w:rsidRPr="00A76B58">
        <w:t xml:space="preserve">also make use of the World Bank Governance Indicators on Political Stability and Absence of Violence, a constructed index for 1996-2018 in over 200 countries </w:t>
      </w:r>
      <w:r w:rsidR="00C20E9B">
        <w:fldChar w:fldCharType="begin"/>
      </w:r>
      <w:r w:rsidR="00EA5D6E">
        <w:instrText xml:space="preserve"> ADDIN ZOTERO_ITEM CSL_CITATION {"citationID":"eFwHAvNa","properties":{"formattedCitation":"(World Bank 2020c)","plainCitation":"(World Bank 2020c)","noteIndex":0},"citationItems":[{"id":244,"uris":["http://zotero.org/users/5939705/items/EA336RNM"],"uri":["http://zotero.org/users/5939705/items/EA336RNM"],"itemData":{"id":244,"type":"webpage","container-title":"World Governance Indicators","title":"World Governance Indicators Interactive Data Access","URL":"https://info.worldbank.org/governance/wgi/","author":[{"family":"World Bank","given":""}],"accessed":{"date-parts":[["2020",1,7]]},"issued":{"date-parts":[["2020"]]}}}],"schema":"https://github.com/citation-style-language/schema/raw/master/csl-citation.json"} </w:instrText>
      </w:r>
      <w:r w:rsidR="00C20E9B">
        <w:fldChar w:fldCharType="separate"/>
      </w:r>
      <w:r w:rsidR="00EA5D6E" w:rsidRPr="00EA5D6E">
        <w:rPr>
          <w:rFonts w:ascii="Calibri" w:hAnsi="Calibri" w:cs="Calibri"/>
        </w:rPr>
        <w:t>(World Bank 2020c)</w:t>
      </w:r>
      <w:r w:rsidR="00C20E9B">
        <w:fldChar w:fldCharType="end"/>
      </w:r>
      <w:r w:rsidRPr="00A76B58">
        <w:t>.</w:t>
      </w:r>
      <w:r w:rsidR="00E97369" w:rsidRPr="00A76B58">
        <w:t xml:space="preserve"> The variable </w:t>
      </w:r>
      <w:r w:rsidR="00EB6777" w:rsidRPr="00A76B58">
        <w:t>PV.EST follows a standard normal distribution.</w:t>
      </w:r>
      <w:r w:rsidR="001D18A1">
        <w:t xml:space="preserve"> Lower values represent lower </w:t>
      </w:r>
      <w:r w:rsidR="003F4580">
        <w:t xml:space="preserve">values for good governance variables- in this case, </w:t>
      </w:r>
      <w:r w:rsidR="008C1D41">
        <w:t xml:space="preserve">a lower value means more political instability. </w:t>
      </w:r>
      <w:r w:rsidR="001D18A1">
        <w:t>The index ranges from about -2.5 to 2.5.</w:t>
      </w:r>
      <w:r w:rsidR="00F530E1">
        <w:t xml:space="preserve"> The index is compiled from country expert ratings which </w:t>
      </w:r>
      <w:r w:rsidR="00F12B7A">
        <w:t>provide some measure or reliability: as will become clear i</w:t>
      </w:r>
      <w:r w:rsidR="00D01A81">
        <w:t>t</w:t>
      </w:r>
      <w:r w:rsidR="00F12B7A">
        <w:t xml:space="preserve"> generally produces results in line with V-Dem</w:t>
      </w:r>
      <w:r w:rsidR="00884F35">
        <w:t>’s factual event reporting.</w:t>
      </w:r>
    </w:p>
    <w:p w14:paraId="7A40AED3" w14:textId="5DC48395" w:rsidR="00930DBE" w:rsidRDefault="005268EB" w:rsidP="003B09DC">
      <w:pPr>
        <w:pStyle w:val="Heading2"/>
      </w:pPr>
      <w:r>
        <w:t>Independent Variables</w:t>
      </w:r>
      <w:r w:rsidR="00884F35">
        <w:t>.</w:t>
      </w:r>
    </w:p>
    <w:p w14:paraId="18CA7602" w14:textId="6C620BAB" w:rsidR="00D24E08" w:rsidRDefault="00D24E08" w:rsidP="002F28E1">
      <w:r>
        <w:t>To measure Central Bank Independence</w:t>
      </w:r>
      <w:r w:rsidR="008C46EA">
        <w:t xml:space="preserve"> I use the components of the Cukierman</w:t>
      </w:r>
      <w:r w:rsidR="0011635B">
        <w:t xml:space="preserve">, Webb, and </w:t>
      </w:r>
      <w:proofErr w:type="spellStart"/>
      <w:r w:rsidR="0011635B">
        <w:t>N</w:t>
      </w:r>
      <w:r w:rsidR="006611B8">
        <w:t>eyapt</w:t>
      </w:r>
      <w:r w:rsidR="007F139D">
        <w:t>i</w:t>
      </w:r>
      <w:proofErr w:type="spellEnd"/>
      <w:r w:rsidR="006611B8">
        <w:t xml:space="preserve"> </w:t>
      </w:r>
      <w:r w:rsidR="0014482B">
        <w:fldChar w:fldCharType="begin"/>
      </w:r>
      <w:r w:rsidR="007B01F4">
        <w:instrText xml:space="preserve"> ADDIN ZOTERO_ITEM CSL_CITATION {"citationID":"0xc2x3eX","properties":{"formattedCitation":"(Cukierman, Webb, and Neyapti 1992)","plainCitation":"(Cukierman, Webb, and Neyapti 1992)","noteIndex":0},"citationItems":[{"id":281,"uris":["http://zotero.org/users/5939705/items/8E25K9J9"],"uri":["http://zotero.org/users/5939705/items/8E25K9J9"],"itemData":{"id":281,"type":"article-journal","abstract":"Making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482B">
        <w:fldChar w:fldCharType="separate"/>
      </w:r>
      <w:r w:rsidR="00974744" w:rsidRPr="00974744">
        <w:rPr>
          <w:rFonts w:ascii="Calibri" w:hAnsi="Calibri" w:cs="Calibri"/>
        </w:rPr>
        <w:t>(Cukierman, Webb, and Neyapti 1992)</w:t>
      </w:r>
      <w:r w:rsidR="0014482B">
        <w:fldChar w:fldCharType="end"/>
      </w:r>
      <w:r w:rsidR="00974744">
        <w:t xml:space="preserve"> </w:t>
      </w:r>
      <w:r w:rsidR="006611B8">
        <w:t xml:space="preserve">index </w:t>
      </w:r>
      <w:r w:rsidR="00A81881">
        <w:t xml:space="preserve">as compiled by </w:t>
      </w:r>
      <w:proofErr w:type="spellStart"/>
      <w:r w:rsidR="00A81881">
        <w:t>Garriga</w:t>
      </w:r>
      <w:proofErr w:type="spellEnd"/>
      <w:r w:rsidR="00A81881">
        <w:t xml:space="preserve"> </w:t>
      </w:r>
      <w:r w:rsidR="00A81881" w:rsidRPr="00A81881">
        <w:rPr>
          <w:rStyle w:val="Hyperlink"/>
          <w:color w:val="auto"/>
          <w:u w:val="none"/>
        </w:rPr>
        <w:fldChar w:fldCharType="begin"/>
      </w:r>
      <w:r w:rsidR="007B01F4">
        <w:rPr>
          <w:rStyle w:val="Hyperlink"/>
          <w:color w:val="auto"/>
          <w:u w:val="none"/>
        </w:rPr>
        <w:instrText xml:space="preserve"> ADDIN ZOTERO_ITEM CSL_CITATION {"citationID":"xETl2lhE","properties":{"formattedCitation":"(Garriga 2016)","plainCitation":"(Garriga 2016)","noteIndex":0},"citationItems":[{"id":255,"uris":["http://zotero.org/users/5939705/items/7DK89CLX"],"uri":["http://zotero.org/users/5939705/items/7DK89CLX"],"itemData":{"id":255,"type":"article-journal","abstract":"This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A81881" w:rsidRPr="00A81881">
        <w:rPr>
          <w:rStyle w:val="Hyperlink"/>
          <w:color w:val="auto"/>
          <w:u w:val="none"/>
        </w:rPr>
        <w:fldChar w:fldCharType="separate"/>
      </w:r>
      <w:r w:rsidR="00A81881" w:rsidRPr="00A81881">
        <w:rPr>
          <w:rFonts w:ascii="Calibri" w:hAnsi="Calibri" w:cs="Calibri"/>
        </w:rPr>
        <w:t>(</w:t>
      </w:r>
      <w:proofErr w:type="spellStart"/>
      <w:r w:rsidR="00A81881" w:rsidRPr="00A81881">
        <w:rPr>
          <w:rFonts w:ascii="Calibri" w:hAnsi="Calibri" w:cs="Calibri"/>
        </w:rPr>
        <w:t>Garriga</w:t>
      </w:r>
      <w:proofErr w:type="spellEnd"/>
      <w:r w:rsidR="00A81881" w:rsidRPr="00A81881">
        <w:rPr>
          <w:rFonts w:ascii="Calibri" w:hAnsi="Calibri" w:cs="Calibri"/>
        </w:rPr>
        <w:t xml:space="preserve"> 2016)</w:t>
      </w:r>
      <w:r w:rsidR="00A81881" w:rsidRPr="00A81881">
        <w:rPr>
          <w:rStyle w:val="Hyperlink"/>
          <w:color w:val="auto"/>
          <w:u w:val="none"/>
        </w:rPr>
        <w:fldChar w:fldCharType="end"/>
      </w:r>
      <w:r w:rsidR="00A81881">
        <w:rPr>
          <w:rStyle w:val="Hyperlink"/>
          <w:color w:val="auto"/>
          <w:u w:val="none"/>
        </w:rPr>
        <w:t>.</w:t>
      </w:r>
      <w:r w:rsidR="00884F35">
        <w:rPr>
          <w:rStyle w:val="Hyperlink"/>
          <w:color w:val="auto"/>
          <w:u w:val="none"/>
        </w:rPr>
        <w:t xml:space="preserve"> The CWN index is a standard largely trusted in </w:t>
      </w:r>
      <w:r w:rsidR="00F70DE6">
        <w:rPr>
          <w:rStyle w:val="Hyperlink"/>
          <w:color w:val="auto"/>
          <w:u w:val="none"/>
        </w:rPr>
        <w:t xml:space="preserve">literature on Central Bank Independence. </w:t>
      </w:r>
      <w:r w:rsidR="00884F35">
        <w:t>It</w:t>
      </w:r>
      <w:r w:rsidR="005C026F">
        <w:t xml:space="preserve"> gives a good sense of the statutory or de jure central bank independence p</w:t>
      </w:r>
      <w:r w:rsidR="00C74E8E">
        <w:t>articularly relevant in democracies</w:t>
      </w:r>
      <w:r w:rsidR="002E32EF">
        <w:t xml:space="preserve"> and is based on legal characteristics </w:t>
      </w:r>
      <w:r w:rsidR="003636F5">
        <w:t>concerning terms of office of governors, resolution of conflict, objectives</w:t>
      </w:r>
      <w:r w:rsidR="00C75843">
        <w:t>, and limitations on lending to the public sector</w:t>
      </w:r>
      <w:r w:rsidR="00C74E8E">
        <w:t>.</w:t>
      </w:r>
      <w:r w:rsidR="009E47FC">
        <w:t xml:space="preserve"> </w:t>
      </w:r>
      <w:proofErr w:type="spellStart"/>
      <w:r w:rsidR="00BE41B4">
        <w:t>Garriga</w:t>
      </w:r>
      <w:proofErr w:type="spellEnd"/>
      <w:r w:rsidR="009E47FC">
        <w:t xml:space="preserve"> provides data from 1970-2012 for 187 countries.</w:t>
      </w:r>
    </w:p>
    <w:p w14:paraId="6E61A779" w14:textId="2ABBAD7E" w:rsidR="00DA13FC" w:rsidRPr="00D975A1" w:rsidRDefault="007F66B6" w:rsidP="00C8108F">
      <w:r>
        <w:t xml:space="preserve">For </w:t>
      </w:r>
      <w:r w:rsidR="00F378AC" w:rsidRPr="00751F4D">
        <w:t>de facto</w:t>
      </w:r>
      <w:r>
        <w:t xml:space="preserve"> central bank independence, I use </w:t>
      </w:r>
      <w:r w:rsidR="005520D1">
        <w:t xml:space="preserve">information about </w:t>
      </w:r>
      <w:r w:rsidR="005520D1" w:rsidRPr="00751F4D">
        <w:t>turnover rates for central bank governors</w:t>
      </w:r>
      <w:r w:rsidR="005520D1">
        <w:t>.</w:t>
      </w:r>
      <w:r w:rsidR="00F378AC" w:rsidRPr="00751F4D">
        <w:t xml:space="preserve"> </w:t>
      </w:r>
      <w:r w:rsidR="005520D1">
        <w:t>Past literature has found governor turnover to be</w:t>
      </w:r>
      <w:r w:rsidR="00F378AC" w:rsidRPr="00751F4D">
        <w:t xml:space="preserve"> </w:t>
      </w:r>
      <w:r w:rsidR="005520D1">
        <w:t>related to at least</w:t>
      </w:r>
      <w:r w:rsidR="00F378AC" w:rsidRPr="00751F4D">
        <w:t xml:space="preserve"> inflation</w:t>
      </w:r>
      <w:r w:rsidR="00466F44">
        <w:t>, particularly</w:t>
      </w:r>
      <w:r w:rsidR="00F378AC" w:rsidRPr="00751F4D">
        <w:t xml:space="preserve"> in developing countries </w:t>
      </w:r>
      <w:r w:rsidR="007A3E12" w:rsidRPr="00751F4D">
        <w:fldChar w:fldCharType="begin"/>
      </w:r>
      <w:r w:rsidR="007B01F4">
        <w:instrText xml:space="preserve"> ADDIN ZOTERO_ITEM CSL_CITATION {"citationID":"HwEhE2lH","properties":{"formattedCitation":"(Cukierman, Webb, and Neyapti 1992)","plainCitation":"(Cukierman, Webb, and Neyapti 1992)","noteIndex":0},"citationItems":[{"id":281,"uris":["http://zotero.org/users/5939705/items/8E25K9J9"],"uri":["http://zotero.org/users/5939705/items/8E25K9J9"],"itemData":{"id":281,"type":"article-journal","abstract":"Making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7A3E12" w:rsidRPr="00751F4D">
        <w:fldChar w:fldCharType="separate"/>
      </w:r>
      <w:r w:rsidR="00B72354" w:rsidRPr="00751F4D">
        <w:rPr>
          <w:rFonts w:ascii="Calibri" w:hAnsi="Calibri" w:cs="Calibri"/>
        </w:rPr>
        <w:t>(Cukierman, Webb, and Neyapti 1992)</w:t>
      </w:r>
      <w:r w:rsidR="007A3E12" w:rsidRPr="00751F4D">
        <w:fldChar w:fldCharType="end"/>
      </w:r>
      <w:r w:rsidR="00E313B5">
        <w:t>.</w:t>
      </w:r>
      <w:r w:rsidR="00D975A1">
        <w:t xml:space="preserve"> Dreher et al. compile information</w:t>
      </w:r>
      <w:r w:rsidR="001555FB">
        <w:t xml:space="preserve"> on changes in central bank governors</w:t>
      </w:r>
      <w:r w:rsidR="00D975A1">
        <w:t xml:space="preserve"> for a</w:t>
      </w:r>
      <w:r w:rsidR="00AD6C30">
        <w:t>lmost all countries in the world from 1970</w:t>
      </w:r>
      <w:r w:rsidR="00D975A1">
        <w:t xml:space="preserve"> </w:t>
      </w:r>
      <w:r w:rsidR="00DA13FC">
        <w:rPr>
          <w:rFonts w:ascii="Calibri" w:hAnsi="Calibri" w:cs="Calibri"/>
        </w:rPr>
        <w:fldChar w:fldCharType="begin"/>
      </w:r>
      <w:r w:rsidR="007B01F4">
        <w:rPr>
          <w:rFonts w:ascii="Calibri" w:hAnsi="Calibri" w:cs="Calibri"/>
        </w:rPr>
        <w:instrText xml:space="preserve"> ADDIN ZOTERO_ITEM CSL_CITATION {"citationID":"ZVj6Ak3A","properties":{"formattedCitation":"(Dreher, Sturm, and Haan 2010)","plainCitation":"(Dreher, Sturm, and Haan 2010)","noteIndex":0},"citationItems":[{"id":82,"uris":["http://zotero.org/users/5939705/items/N75GJEZH"],"uri":["http://zotero.org/users/5939705/items/N75GJEZH"],"itemData":{"id":82,"type":"article-journal","abstract":"Using new data on the term in office of central bank governors for a large set of countries for 1970–2005, we estimate a model for the probability that a central bank governor is replaced before the end of his legal term in office. We formulate hypotheses based on the literature on the determinants of central bank independence that are tested using conditional logit models and the robustness approach of Sala-i-Martin (1997). We conclude that, apart from the share of the legal term in office that has elapsed, political and regime instability, the occurrence of elections, and the ratio of private credit to GDP increase the probability of a turnover.","container-title":"Journal of Macroeconomics","DOI":"10.1016/j.jmacro.2010.04.001","ISSN":"0164-0704","issue":"3","journalAbbreviation":"Journal of Macroeconomics","language":"en","page":"766-781","source":"ScienceDirect","title":"When is a central bank governor replaced? Evidence based on a new data set","title-short":"When is a central bank governor replaced?","volume":"32","author":[{"family":"Dreher","given":"Axel"},{"family":"Sturm","given":"Jan-Egbert"},{"family":"Haan","given":"Jakob","dropping-particle":"de"}],"issued":{"date-parts":[["2010",9,1]]}}}],"schema":"https://github.com/citation-style-language/schema/raw/master/csl-citation.json"} </w:instrText>
      </w:r>
      <w:r w:rsidR="00DA13FC">
        <w:rPr>
          <w:rFonts w:ascii="Calibri" w:hAnsi="Calibri" w:cs="Calibri"/>
        </w:rPr>
        <w:fldChar w:fldCharType="separate"/>
      </w:r>
      <w:r w:rsidR="00C21615" w:rsidRPr="00C21615">
        <w:rPr>
          <w:rFonts w:ascii="Calibri" w:hAnsi="Calibri" w:cs="Calibri"/>
        </w:rPr>
        <w:t>(Dreher, Sturm, and Haan 2010)</w:t>
      </w:r>
      <w:r w:rsidR="00DA13FC">
        <w:rPr>
          <w:rFonts w:ascii="Calibri" w:hAnsi="Calibri" w:cs="Calibri"/>
        </w:rPr>
        <w:fldChar w:fldCharType="end"/>
      </w:r>
      <w:r w:rsidR="00D975A1">
        <w:rPr>
          <w:rFonts w:ascii="Calibri" w:hAnsi="Calibri" w:cs="Calibri"/>
        </w:rPr>
        <w:t>.</w:t>
      </w:r>
      <w:r w:rsidR="00B84C07">
        <w:rPr>
          <w:rFonts w:ascii="Calibri" w:hAnsi="Calibri" w:cs="Calibri"/>
        </w:rPr>
        <w:t xml:space="preserve"> Of </w:t>
      </w:r>
      <w:r w:rsidR="00893212">
        <w:rPr>
          <w:rFonts w:ascii="Calibri" w:hAnsi="Calibri" w:cs="Calibri"/>
        </w:rPr>
        <w:t>interest</w:t>
      </w:r>
      <w:r w:rsidR="00B84C07">
        <w:rPr>
          <w:rFonts w:ascii="Calibri" w:hAnsi="Calibri" w:cs="Calibri"/>
        </w:rPr>
        <w:t xml:space="preserve"> is the </w:t>
      </w:r>
      <w:r w:rsidR="00893212">
        <w:rPr>
          <w:rFonts w:ascii="Calibri" w:hAnsi="Calibri" w:cs="Calibri"/>
        </w:rPr>
        <w:t>indicator</w:t>
      </w:r>
      <w:r w:rsidR="00B84C07">
        <w:rPr>
          <w:rFonts w:ascii="Calibri" w:hAnsi="Calibri" w:cs="Calibri"/>
        </w:rPr>
        <w:t xml:space="preserve"> for </w:t>
      </w:r>
      <w:r w:rsidR="00893212">
        <w:rPr>
          <w:rFonts w:ascii="Calibri" w:hAnsi="Calibri" w:cs="Calibri"/>
        </w:rPr>
        <w:t>irregular central bank governor turnover, which fires when a governor departs before the end of their expected legal term. In other cases, use is made of the time</w:t>
      </w:r>
      <w:r w:rsidR="00D417FC">
        <w:rPr>
          <w:rFonts w:ascii="Calibri" w:hAnsi="Calibri" w:cs="Calibri"/>
        </w:rPr>
        <w:t xml:space="preserve"> in office variable, which counts number of years the current governor has served in each year.</w:t>
      </w:r>
    </w:p>
    <w:p w14:paraId="1E77D20C" w14:textId="37C16615" w:rsidR="00437D58" w:rsidRPr="00570AC2" w:rsidRDefault="005E2E1A" w:rsidP="00C8108F">
      <w:r>
        <w:t>For data on</w:t>
      </w:r>
      <w:r w:rsidR="00F82C61">
        <w:t xml:space="preserve"> </w:t>
      </w:r>
      <w:r>
        <w:t xml:space="preserve">exchange rate regimes, I use </w:t>
      </w:r>
      <w:r w:rsidR="00C8108F">
        <w:t xml:space="preserve">annual </w:t>
      </w:r>
      <w:r>
        <w:t xml:space="preserve">classifications developed by </w:t>
      </w:r>
      <w:proofErr w:type="spellStart"/>
      <w:r w:rsidR="00DE794B" w:rsidRPr="00DE794B">
        <w:t>Ilzetzki</w:t>
      </w:r>
      <w:proofErr w:type="spellEnd"/>
      <w:r w:rsidR="00DE794B" w:rsidRPr="00DE794B">
        <w:t>, Reinhart, and Rogoff</w:t>
      </w:r>
      <w:r w:rsidR="00C8108F">
        <w:t xml:space="preserve"> which cover 1946-2016 </w:t>
      </w:r>
      <w:r w:rsidR="00536521">
        <w:t xml:space="preserve">for 194 countries </w:t>
      </w:r>
      <w:r w:rsidR="00B84A9E">
        <w:fldChar w:fldCharType="begin"/>
      </w:r>
      <w:r w:rsidR="006F3F5C">
        <w:instrText xml:space="preserve"> ADDIN ZOTERO_ITEM CSL_CITATION {"citationID":"xJ1fUPYj","properties":{"formattedCitation":"(Ilzetzki 2019)","plainCitation":"(Ilzetzki 2019)","noteIndex":0},"citationItems":[{"id":264,"uris":["http://zotero.org/users/5939705/items/DIT93F47"],"uri":["http://zotero.org/users/5939705/items/DIT93F47"],"itemData":{"id":264,"type":"webpage","language":"en","title":"IRR Data","URL":"https://www.ilzetzki.com/irr-data","author":[{"family":"Ilzetzki","given":"Ethan"}],"accessed":{"date-parts":[["2020",1,4]]},"issued":{"date-parts":[["2019",2]]}}}],"schema":"https://github.com/citation-style-language/schema/raw/master/csl-citation.json"} </w:instrText>
      </w:r>
      <w:r w:rsidR="00B84A9E">
        <w:fldChar w:fldCharType="separate"/>
      </w:r>
      <w:r w:rsidR="006F3F5C" w:rsidRPr="006F3F5C">
        <w:rPr>
          <w:rFonts w:ascii="Calibri" w:hAnsi="Calibri" w:cs="Calibri"/>
        </w:rPr>
        <w:t>(Ilzetzki 2019)</w:t>
      </w:r>
      <w:r w:rsidR="00B84A9E">
        <w:fldChar w:fldCharType="end"/>
      </w:r>
      <w:r w:rsidR="00C8108F">
        <w:t>.</w:t>
      </w:r>
      <w:r w:rsidR="00EA767B">
        <w:t xml:space="preserve"> </w:t>
      </w:r>
      <w:r w:rsidR="00FC4562">
        <w:t>These are de facto values</w:t>
      </w:r>
      <w:r w:rsidR="00B00E48">
        <w:t xml:space="preserve"> compiled by experts in the field</w:t>
      </w:r>
      <w:r w:rsidR="00FC4562">
        <w:t xml:space="preserve">. </w:t>
      </w:r>
      <w:r w:rsidR="00AC0794">
        <w:t xml:space="preserve">Here the distinction between de jure and de facto arrangements does not appear to be </w:t>
      </w:r>
      <w:r w:rsidR="00397E24">
        <w:t xml:space="preserve">necessary: rate regimes </w:t>
      </w:r>
      <w:r w:rsidR="00F511ED">
        <w:t>do not have the same kind of</w:t>
      </w:r>
      <w:r w:rsidR="007F2925">
        <w:t xml:space="preserve"> </w:t>
      </w:r>
      <w:r w:rsidR="00C14208">
        <w:t xml:space="preserve">rule of </w:t>
      </w:r>
      <w:r w:rsidR="00C14208" w:rsidRPr="002C242E">
        <w:t xml:space="preserve">law or governance basis, so the de facto </w:t>
      </w:r>
      <w:r w:rsidR="009F767E" w:rsidRPr="002C242E">
        <w:t xml:space="preserve">values </w:t>
      </w:r>
      <w:r w:rsidR="00FC4562" w:rsidRPr="002C242E">
        <w:t>are likely</w:t>
      </w:r>
      <w:r w:rsidR="009F767E" w:rsidRPr="002C242E">
        <w:t xml:space="preserve"> </w:t>
      </w:r>
      <w:r w:rsidR="00251657" w:rsidRPr="002C242E">
        <w:t>enough</w:t>
      </w:r>
      <w:r w:rsidR="009F767E" w:rsidRPr="002C242E">
        <w:t xml:space="preserve">. </w:t>
      </w:r>
      <w:r w:rsidR="00253C16" w:rsidRPr="002C242E">
        <w:t xml:space="preserve">I use their </w:t>
      </w:r>
      <w:r w:rsidR="00DF5675" w:rsidRPr="002C242E">
        <w:t>fine</w:t>
      </w:r>
      <w:r w:rsidR="00253C16" w:rsidRPr="002C242E">
        <w:t xml:space="preserve"> classification cod</w:t>
      </w:r>
      <w:r w:rsidR="007A638E" w:rsidRPr="002C242E">
        <w:t>ing</w:t>
      </w:r>
      <w:r w:rsidR="002D41B1">
        <w:t xml:space="preserve">, which allows for nuanced </w:t>
      </w:r>
      <w:r w:rsidR="00EE0D6A">
        <w:t>analysis with 16 different categories</w:t>
      </w:r>
      <w:r w:rsidR="004C1E22">
        <w:t xml:space="preserve"> or rate regimes. </w:t>
      </w:r>
      <w:r w:rsidR="00B74441">
        <w:t>In binary cases, v</w:t>
      </w:r>
      <w:r w:rsidR="00DF5675" w:rsidRPr="002C242E">
        <w:t>alues of</w:t>
      </w:r>
      <w:r w:rsidR="004342DE" w:rsidRPr="002C242E">
        <w:t xml:space="preserve"> 1-8 are treated as fixed and 9-14 as floating. </w:t>
      </w:r>
      <w:r w:rsidR="00057FA3" w:rsidRPr="002C242E">
        <w:t xml:space="preserve">I also </w:t>
      </w:r>
      <w:r w:rsidR="003A04FB" w:rsidRPr="002C242E">
        <w:t>check usage of</w:t>
      </w:r>
      <w:r w:rsidR="00434FAF" w:rsidRPr="002C242E">
        <w:t xml:space="preserve"> numeric values on</w:t>
      </w:r>
      <w:r w:rsidR="003A04FB" w:rsidRPr="002C242E">
        <w:t xml:space="preserve"> the</w:t>
      </w:r>
      <w:r w:rsidR="00057FA3" w:rsidRPr="002C242E">
        <w:t xml:space="preserve"> </w:t>
      </w:r>
      <w:r w:rsidR="00FB21D4" w:rsidRPr="002C242E">
        <w:t>entire scale</w:t>
      </w:r>
      <w:r w:rsidR="00434FAF" w:rsidRPr="002C242E">
        <w:t>.</w:t>
      </w:r>
    </w:p>
    <w:p w14:paraId="713B63DB" w14:textId="5EEF5EC2" w:rsidR="00C538C6" w:rsidRDefault="00F41732" w:rsidP="00BF3A2C">
      <w:r w:rsidRPr="00E250BC">
        <w:t xml:space="preserve">For the gross tertiary </w:t>
      </w:r>
      <w:r w:rsidR="00460624" w:rsidRPr="00E250BC">
        <w:t xml:space="preserve">education </w:t>
      </w:r>
      <w:r w:rsidRPr="00E250BC">
        <w:t xml:space="preserve">enrollment </w:t>
      </w:r>
      <w:r w:rsidR="00022D00" w:rsidRPr="00E250BC">
        <w:t>instrumental variable,</w:t>
      </w:r>
      <w:r w:rsidRPr="00E250BC">
        <w:t xml:space="preserve"> </w:t>
      </w:r>
      <w:r w:rsidR="003E600C" w:rsidRPr="00E250BC">
        <w:t>I use global indicators data published by the World Bank</w:t>
      </w:r>
      <w:r w:rsidR="00A71332" w:rsidRPr="00E250BC">
        <w:t xml:space="preserve"> (in turn collected from the </w:t>
      </w:r>
      <w:r w:rsidR="00C432DA" w:rsidRPr="00E250BC">
        <w:t>UNESCO Institute for Statistics)</w:t>
      </w:r>
      <w:r w:rsidR="00016E15" w:rsidRPr="00E250BC">
        <w:t xml:space="preserve"> </w:t>
      </w:r>
      <w:r w:rsidR="004E4F2F" w:rsidRPr="00E250BC">
        <w:fldChar w:fldCharType="begin"/>
      </w:r>
      <w:r w:rsidR="00EA5D6E">
        <w:instrText xml:space="preserve"> ADDIN ZOTERO_ITEM CSL_CITATION {"citationID":"yshgEsio","properties":{"formattedCitation":"(World Bank 2020b)","plainCitation":"(World Bank 2020b)","noteIndex":0},"citationItems":[{"id":266,"uris":["http://zotero.org/users/5939705/items/LEAXJJLI"],"uri":["http://zotero.org/users/5939705/items/LEAXJJLI"],"itemData":{"id":266,"type":"webpage","container-title":"World Bank Data","title":"School enrollment, tertiary (% gross) | Data","URL":"https://data.worldbank.org/indicator/SE.TER.ENRR","author":[{"family":"World Bank","given":""}],"accessed":{"date-parts":[["2020",1,4]]},"issued":{"date-parts":[["2020"]]}}}],"schema":"https://github.com/citation-style-language/schema/raw/master/csl-citation.json"} </w:instrText>
      </w:r>
      <w:r w:rsidR="004E4F2F" w:rsidRPr="00E250BC">
        <w:fldChar w:fldCharType="separate"/>
      </w:r>
      <w:r w:rsidR="00EA5D6E" w:rsidRPr="00EA5D6E">
        <w:rPr>
          <w:rFonts w:ascii="Calibri" w:hAnsi="Calibri" w:cs="Calibri"/>
        </w:rPr>
        <w:t>(World Bank 2020b)</w:t>
      </w:r>
      <w:r w:rsidR="004E4F2F" w:rsidRPr="00E250BC">
        <w:fldChar w:fldCharType="end"/>
      </w:r>
      <w:r w:rsidRPr="00E250BC">
        <w:t>.</w:t>
      </w:r>
      <w:r w:rsidR="00653E2A" w:rsidRPr="00E250BC">
        <w:t xml:space="preserve"> </w:t>
      </w:r>
      <w:r w:rsidR="00EC3D63">
        <w:t>As mentioned above, for the secondary instrument of social sciences and business graduates</w:t>
      </w:r>
      <w:r w:rsidR="004775E3">
        <w:t xml:space="preserve"> I make use of OECD data</w:t>
      </w:r>
      <w:r w:rsidR="00BA3231">
        <w:t xml:space="preserve"> on shares of graduates for particular fields</w:t>
      </w:r>
      <w:r w:rsidR="004775E3">
        <w:t xml:space="preserve"> provided from 2005-2017</w:t>
      </w:r>
      <w:r w:rsidR="009D75C7">
        <w:t xml:space="preserve"> </w:t>
      </w:r>
      <w:r w:rsidR="00C538C6">
        <w:fldChar w:fldCharType="begin"/>
      </w:r>
      <w:r w:rsidR="006F3F5C">
        <w:instrText xml:space="preserve"> ADDIN ZOTERO_ITEM CSL_CITATION {"citationID":"Tu7arM8T","properties":{"formattedCitation":"(OECD 2020)","plainCitation":"(OECD 2020)","noteIndex":0},"citationItems":[{"id":249,"uris":["http://zotero.org/users/5939705/items/QFZ8NTTQ"],"uri":["http://zotero.org/users/5939705/items/QFZ8NTTQ"],"itemData":{"id":249,"type":"webpage","abstract":"Find, compare and share OECD data by indicator.","container-title":"The OECD","language":"en","title":"Students - Tertiary graduates by field - OECD Data","URL":"http://data.oecd.org/students/tertiary-graduates-by-field.htm","author":[{"family":"OECD","given":""}],"accessed":{"date-parts":[["2020",1,6]]},"issued":{"date-parts":[["2020"]]}}}],"schema":"https://github.com/citation-style-language/schema/raw/master/csl-citation.json"} </w:instrText>
      </w:r>
      <w:r w:rsidR="00C538C6">
        <w:fldChar w:fldCharType="separate"/>
      </w:r>
      <w:r w:rsidR="006F3F5C" w:rsidRPr="006F3F5C">
        <w:rPr>
          <w:rFonts w:ascii="Calibri" w:hAnsi="Calibri" w:cs="Calibri"/>
        </w:rPr>
        <w:t>(OECD 2020)</w:t>
      </w:r>
      <w:r w:rsidR="00C538C6">
        <w:fldChar w:fldCharType="end"/>
      </w:r>
      <w:r w:rsidR="009337DE">
        <w:t>.</w:t>
      </w:r>
      <w:r w:rsidR="00A4788E">
        <w:t xml:space="preserve"> The restriction to OECD nations is not a major problem, as these make up a good representative share of worldwide democracies, but the short time horizon leaves some reason for concern</w:t>
      </w:r>
      <w:r w:rsidR="00A94444">
        <w:t xml:space="preserve">, particularly given the emergence of the Eurozone </w:t>
      </w:r>
      <w:r w:rsidR="001A13EC">
        <w:t xml:space="preserve">and relevant </w:t>
      </w:r>
      <w:r w:rsidR="001050D6">
        <w:t>monetary uniformity</w:t>
      </w:r>
      <w:r w:rsidR="00A4788E">
        <w:t>.</w:t>
      </w:r>
    </w:p>
    <w:p w14:paraId="4944F3BD" w14:textId="32DB04A3" w:rsidR="00222733" w:rsidRDefault="006F3978" w:rsidP="00BF3A2C">
      <w:r>
        <w:t xml:space="preserve">As </w:t>
      </w:r>
      <w:r w:rsidR="006C446B">
        <w:t>my</w:t>
      </w:r>
      <w:r>
        <w:t xml:space="preserve"> imperfect instrument for exchange rate regime, I use</w:t>
      </w:r>
      <w:r w:rsidR="0027662C">
        <w:t xml:space="preserve"> an estimation of aggregate GDP from </w:t>
      </w:r>
      <w:r w:rsidR="009E03BC">
        <w:t>V-dem</w:t>
      </w:r>
      <w:r w:rsidR="0027662C">
        <w:t xml:space="preserve">, obtained by multiplying GDP per capita </w:t>
      </w:r>
      <w:r w:rsidR="00211F56">
        <w:t xml:space="preserve">(Maddison’s estimate) </w:t>
      </w:r>
      <w:r w:rsidR="0027662C">
        <w:t xml:space="preserve">in current US dollars by </w:t>
      </w:r>
      <w:r w:rsidR="001A405F">
        <w:t xml:space="preserve">the level of population </w:t>
      </w:r>
      <w:r w:rsidR="007F3168">
        <w:fldChar w:fldCharType="begin"/>
      </w:r>
      <w:r w:rsidR="007B01F4">
        <w:instrText xml:space="preserve"> ADDIN ZOTERO_ITEM CSL_CITATION {"citationID":"vHeAudqR","properties":{"formattedCitation":"(Michael Coppedge et al. 2020)","plainCitation":"(Michael Coppedge et al. 2020)","noteIndex":0},"citationItems":[{"id":81,"uris":["http://zotero.org/users/5939705/items/GZ2TDTHT"],"uri":["http://zotero.org/users/5939705/items/GZ2TDTHT"],"itemData":{"id":81,"type":"webpage","container-title":"Varieties of Democracy","title":"V-Dem Version 10","URL":"https://www.v-dem.net/en/","author":[{"literal":"Michael Coppedge"},{"literal":"John Gerring"},{"literal":"Carl Knutsen"},{"literal":"Staffan Lindberg"}],"accessed":{"date-parts":[["2020",3,31]]},"issued":{"date-parts":[["2020"]]}}}],"schema":"https://github.com/citation-style-language/schema/raw/master/csl-citation.json"} </w:instrText>
      </w:r>
      <w:r w:rsidR="007F3168">
        <w:fldChar w:fldCharType="separate"/>
      </w:r>
      <w:r w:rsidR="00534F04" w:rsidRPr="00534F04">
        <w:rPr>
          <w:rFonts w:ascii="Calibri" w:hAnsi="Calibri" w:cs="Calibri"/>
        </w:rPr>
        <w:t>(Michael Coppedge et al. 2020)</w:t>
      </w:r>
      <w:r w:rsidR="007F3168">
        <w:fldChar w:fldCharType="end"/>
      </w:r>
      <w:r w:rsidR="001A405F">
        <w:t>.</w:t>
      </w:r>
      <w:r w:rsidR="00211F56">
        <w:t xml:space="preserve"> </w:t>
      </w:r>
      <w:r w:rsidR="00566042">
        <w:t>As a robustness check, I also use 2011 PPP adjusted GDP figures directly from the World Bank</w:t>
      </w:r>
      <w:r w:rsidR="00F37E26">
        <w:t xml:space="preserve"> in some regressions </w:t>
      </w:r>
      <w:r w:rsidR="00EA5D6E">
        <w:fldChar w:fldCharType="begin"/>
      </w:r>
      <w:r w:rsidR="0092634B">
        <w:instrText xml:space="preserve"> ADDIN ZOTERO_ITEM CSL_CITATION {"citationID":"EAygUQnH","properties":{"formattedCitation":"(World Bank 2020a)","plainCitation":"(World Bank 2020a)","dontUpdate":true,"noteIndex":0},"citationItems":[{"id":120,"uris":["http://zotero.org/users/5939705/items/GDMZVL8H"],"uri":["http://zotero.org/users/5939705/items/GDMZVL8H"],"itemData":{"id":120,"type":"webpage","title":"GDP, PPP (constant 2011 international $) | Data","URL":"https://data.worldbank.org/indicator/NY.GDP.MKTP.PP.KD","author":[{"family":"World Bank","given":""}],"accessed":{"date-parts":[["2020",2,17]]},"issued":{"date-parts":[["2020"]]}}}],"schema":"https://github.com/citation-style-language/schema/raw/master/csl-citation.json"} </w:instrText>
      </w:r>
      <w:r w:rsidR="00EA5D6E">
        <w:fldChar w:fldCharType="separate"/>
      </w:r>
      <w:r w:rsidR="00EA5D6E" w:rsidRPr="00EA5D6E">
        <w:rPr>
          <w:rFonts w:ascii="Calibri" w:hAnsi="Calibri" w:cs="Calibri"/>
        </w:rPr>
        <w:t>(World Bank 2020)</w:t>
      </w:r>
      <w:r w:rsidR="00EA5D6E">
        <w:fldChar w:fldCharType="end"/>
      </w:r>
      <w:r w:rsidR="00AB4B95">
        <w:t>.</w:t>
      </w:r>
    </w:p>
    <w:p w14:paraId="51D137A0" w14:textId="38B13D0D" w:rsidR="00E31CF0" w:rsidRDefault="00C41D65" w:rsidP="00BF3A2C">
      <w:r>
        <w:lastRenderedPageBreak/>
        <w:t xml:space="preserve">Finally, for most of my </w:t>
      </w:r>
      <w:r w:rsidR="003E7A80">
        <w:t>institutional controls</w:t>
      </w:r>
      <w:r>
        <w:t xml:space="preserve"> I </w:t>
      </w:r>
      <w:r w:rsidR="007D72D2">
        <w:t>check</w:t>
      </w:r>
      <w:r>
        <w:t xml:space="preserve"> variables built </w:t>
      </w:r>
      <w:r w:rsidR="00676B75">
        <w:t>into</w:t>
      </w:r>
      <w:r>
        <w:t xml:space="preserve"> the Varieties of Democracy Dataset</w:t>
      </w:r>
      <w:r w:rsidR="003E7A80">
        <w:t xml:space="preserve">. </w:t>
      </w:r>
      <w:r w:rsidR="007D72D2">
        <w:t xml:space="preserve">These are indices constructed based on expert opinion. </w:t>
      </w:r>
      <w:r w:rsidR="003E7A80">
        <w:t xml:space="preserve">Although many institutional characteristics are likely absorbed as </w:t>
      </w:r>
      <w:r w:rsidR="009A5FF3">
        <w:t xml:space="preserve">country </w:t>
      </w:r>
      <w:r w:rsidR="003E7A80">
        <w:t xml:space="preserve">fixed effects for the period studied, I still seek to </w:t>
      </w:r>
      <w:r w:rsidR="007C3095">
        <w:t xml:space="preserve">test significance making use </w:t>
      </w:r>
      <w:r w:rsidR="003E7A80">
        <w:t>of available data tracking changes over time where possible.</w:t>
      </w:r>
      <w:r w:rsidR="006A5B75">
        <w:t xml:space="preserve"> </w:t>
      </w:r>
      <w:r w:rsidR="00473D19">
        <w:t>On</w:t>
      </w:r>
      <w:r w:rsidR="000F43B9">
        <w:t>e</w:t>
      </w:r>
      <w:r w:rsidR="00473D19">
        <w:t xml:space="preserve"> such included variable is</w:t>
      </w:r>
      <w:r w:rsidR="001068E4">
        <w:t xml:space="preserve"> </w:t>
      </w:r>
      <w:r w:rsidR="006A5B75">
        <w:t>the Inter-American Development Bank’s</w:t>
      </w:r>
      <w:r w:rsidR="003B09DC">
        <w:t xml:space="preserve"> constructed</w:t>
      </w:r>
      <w:r w:rsidR="00473D19">
        <w:t xml:space="preserve"> index on</w:t>
      </w:r>
      <w:r w:rsidR="00982E20">
        <w:t xml:space="preserve"> c</w:t>
      </w:r>
      <w:r w:rsidR="00222733">
        <w:t xml:space="preserve">hecks and </w:t>
      </w:r>
      <w:r w:rsidR="00982E20">
        <w:t>b</w:t>
      </w:r>
      <w:r w:rsidR="00222733">
        <w:t>alances</w:t>
      </w:r>
      <w:r w:rsidR="001D3913">
        <w:t xml:space="preserve"> and other governmental stability measures for over 180 countries from 1975-</w:t>
      </w:r>
      <w:r w:rsidR="00F0282E">
        <w:t xml:space="preserve">2017 </w:t>
      </w:r>
      <w:r w:rsidR="00416620">
        <w:fldChar w:fldCharType="begin"/>
      </w:r>
      <w:r w:rsidR="007B01F4">
        <w:instrText xml:space="preserve"> ADDIN ZOTERO_ITEM CSL_CITATION {"citationID":"n0t63h38","properties":{"formattedCitation":"(Scartascini, Cruz, and Keefer 2018)","plainCitation":"(Scartascini, Cruz, and Keefer 2018)","noteIndex":0},"citationItems":[{"id":116,"uris":["http://zotero.org/users/5939705/items/JQ3FBR3A"],"uri":["http://zotero.org/users/5939705/items/JQ3FBR3A"],"itemData":{"id":116,"type":"report","note":"DOI: 10.18235/0001027","publisher":"Inter-American Development Bank","source":"DOI.org (Crossref)","title":"The Database of Political Institutions 2017 (DPI2017)","URL":"http://publications.iadb.org/11319/8806","author":[{"family":"Scartascini","given":"Carlos"},{"family":"Cruz","given":"Cesi"},{"family":"Keefer","given":"Philip"}],"accessed":{"date-parts":[["2020",2,17]]},"issued":{"date-parts":[["2018",3,16]]}}}],"schema":"https://github.com/citation-style-language/schema/raw/master/csl-citation.json"} </w:instrText>
      </w:r>
      <w:r w:rsidR="00416620">
        <w:fldChar w:fldCharType="separate"/>
      </w:r>
      <w:r w:rsidR="004876D4" w:rsidRPr="004876D4">
        <w:rPr>
          <w:rFonts w:ascii="Calibri" w:hAnsi="Calibri" w:cs="Calibri"/>
        </w:rPr>
        <w:t>(Scartascini, Cruz, and Keefer 2018)</w:t>
      </w:r>
      <w:r w:rsidR="00416620">
        <w:fldChar w:fldCharType="end"/>
      </w:r>
      <w:r w:rsidR="00F0282E">
        <w:t>.</w:t>
      </w:r>
      <w:r w:rsidR="00557D2B">
        <w:t xml:space="preserve"> </w:t>
      </w:r>
      <w:r w:rsidR="00222733">
        <w:t>F</w:t>
      </w:r>
      <w:r w:rsidR="00FE4A52">
        <w:t xml:space="preserve">or the evaluation of </w:t>
      </w:r>
      <w:r w:rsidR="00557D2B">
        <w:t>federalism, I use built-in V-Dem data on whether regional governments exist and their degrees of relative power.</w:t>
      </w:r>
      <w:r w:rsidR="00580C12">
        <w:t xml:space="preserve"> For </w:t>
      </w:r>
      <w:r w:rsidR="000D70F5">
        <w:t xml:space="preserve">a measure of </w:t>
      </w:r>
      <w:r w:rsidR="00580C12">
        <w:t xml:space="preserve">corporatism </w:t>
      </w:r>
      <w:r w:rsidR="0057386A">
        <w:t>there is no variable in V-Dem,</w:t>
      </w:r>
      <w:r w:rsidR="000D70F5">
        <w:t xml:space="preserve"> but here I use </w:t>
      </w:r>
      <w:r w:rsidR="00604EEE">
        <w:t xml:space="preserve">Visser’s index compiled with methodology </w:t>
      </w:r>
      <w:r w:rsidR="0057386A">
        <w:t xml:space="preserve">which seems to be in line with the literature </w:t>
      </w:r>
      <w:r w:rsidR="00670769">
        <w:fldChar w:fldCharType="begin"/>
      </w:r>
      <w:r w:rsidR="007B01F4">
        <w:instrText xml:space="preserve"> ADDIN ZOTERO_ITEM CSL_CITATION {"citationID":"4hYIjR0a","properties":{"formattedCitation":"(Kenworthy 2003; Visser 2019)","plainCitation":"(Kenworthy 2003; Visser 2019)","noteIndex":0},"citationItems":[{"id":115,"uris":["http://zotero.org/users/5939705/items/W3JS3WIU"],"uri":["http://zotero.org/users/5939705/items/W3JS3WIU"],"itemData":{"id":115,"type":"webpage","abstract":"Amsterdams Instituut voor ArbeidsStudies","container-title":"Amsterdam Institute for Advanced Labour Studies (AIAS), University of Amsterdam","title":"ICTWSS Database. version 6.1","URL":"http://uva-aias.net/en/ictwss","author":[{"family":"Visser","given":"Jelle"}],"accessed":{"date-parts":[["2020",2,17]]},"issued":{"date-parts":[["2019",11]]}}},{"id":114,"uris":["http://zotero.org/users/5939705/items/9ITRE3M7"],"uri":["http://zotero.org/users/5939705/items/9ITRE3M7"],"itemData":{"id":114,"type":"article-journal","abstract":"In this article, it is assumed that corporatism consists of various types of institutional arrangements whereby importantpolitical-economic decisions are reached via negotiation between, or in consultation with, peaklevel representatives of employees and employers (or other interest groups and the state). The article offers an overview of the forty-two prominent or useful indicators of corporatism suggested in the literature. All these indicators are compared,and the correlations among them are examined.The resultsproduced by the various measures in a set of otherwise identical regression analyses of the relationship between corporatism and unemployment show the sensitivity of empiricaljndings in this j e l d Students of corporatism have not always paid sufJicient attention to the impact of indicator choice on empirical results.","container-title":"International Journal of Sociology","DOI":"10.1080/15579336.2003.11770269","ISSN":"0020-7659, 1557-9336","issue":"3","journalAbbreviation":"International Journal of Sociology","language":"en","page":"10-44","source":"DOI.org (Crossref)","title":"Quantitative Indicators of Corporatism","volume":"33","author":[{"family":"Kenworthy","given":"Lane"}],"issued":{"date-parts":[["2003",9]]}}}],"schema":"https://github.com/citation-style-language/schema/raw/master/csl-citation.json"} </w:instrText>
      </w:r>
      <w:r w:rsidR="00670769">
        <w:fldChar w:fldCharType="separate"/>
      </w:r>
      <w:r w:rsidR="007B01F4" w:rsidRPr="007B01F4">
        <w:rPr>
          <w:rFonts w:ascii="Calibri" w:hAnsi="Calibri" w:cs="Calibri"/>
        </w:rPr>
        <w:t>(Kenworthy 2003; Visser 2019)</w:t>
      </w:r>
      <w:r w:rsidR="00670769">
        <w:fldChar w:fldCharType="end"/>
      </w:r>
      <w:r w:rsidR="00967D07">
        <w:t>.</w:t>
      </w:r>
    </w:p>
    <w:p w14:paraId="47F3EB49" w14:textId="5B2ED7D9" w:rsidR="00E62A08" w:rsidRDefault="00E62A08" w:rsidP="00BF3A2C">
      <w:r>
        <w:t>A table of summary statistics for all variables is available in the appendix (</w:t>
      </w:r>
      <w:r w:rsidR="009E3DED">
        <w:t>Table A1).</w:t>
      </w:r>
    </w:p>
    <w:p w14:paraId="6380341F" w14:textId="45640D13" w:rsidR="00004AD1" w:rsidRDefault="00004AD1" w:rsidP="002930AA">
      <w:pPr>
        <w:pStyle w:val="Heading1"/>
      </w:pPr>
      <w:r>
        <w:t>Results</w:t>
      </w:r>
    </w:p>
    <w:p w14:paraId="275FF993" w14:textId="5BE64F3A" w:rsidR="000A14E7" w:rsidRPr="00051192" w:rsidRDefault="00316640" w:rsidP="00D64175">
      <w:r>
        <w:t>All</w:t>
      </w:r>
      <w:r w:rsidR="00EE2557">
        <w:t xml:space="preserve"> the following regressions were performed with </w:t>
      </w:r>
      <w:r w:rsidR="003D2A95">
        <w:t>robust</w:t>
      </w:r>
      <w:r w:rsidR="00EE2557">
        <w:t xml:space="preserve"> </w:t>
      </w:r>
      <w:r w:rsidR="008063D5">
        <w:t>and clustered standard errors</w:t>
      </w:r>
      <w:r w:rsidR="00C5318A">
        <w:t xml:space="preserve">, with the former proving useful for OLS models, and the latter </w:t>
      </w:r>
      <w:r w:rsidR="00EC2941">
        <w:t>for fixed effects panel regressions at the country level</w:t>
      </w:r>
      <w:r w:rsidR="008063D5">
        <w:t xml:space="preserve">. </w:t>
      </w:r>
      <w:r w:rsidR="00D11B95">
        <w:t>Levels</w:t>
      </w:r>
      <w:r w:rsidR="008063D5">
        <w:t xml:space="preserve"> of variation in stability or </w:t>
      </w:r>
      <w:r w:rsidR="001956FC">
        <w:t xml:space="preserve">number of </w:t>
      </w:r>
      <w:r w:rsidR="008063D5">
        <w:t xml:space="preserve">turnover events </w:t>
      </w:r>
      <w:r w:rsidR="00D11B95">
        <w:t>are likely to</w:t>
      </w:r>
      <w:r w:rsidR="008063D5">
        <w:t xml:space="preserve"> vary considerably</w:t>
      </w:r>
      <w:r w:rsidR="001956FC">
        <w:t xml:space="preserve"> across</w:t>
      </w:r>
      <w:r w:rsidR="005A44C0">
        <w:t xml:space="preserve"> the sample</w:t>
      </w:r>
      <w:r w:rsidR="00027A1A">
        <w:t xml:space="preserve"> </w:t>
      </w:r>
      <w:r w:rsidR="005A44C0">
        <w:fldChar w:fldCharType="begin"/>
      </w:r>
      <w:r w:rsidR="007B01F4">
        <w:instrText xml:space="preserve"> ADDIN ZOTERO_ITEM CSL_CITATION {"citationID":"Ckipb4XH","properties":{"formattedCitation":"(Bernhard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5A44C0">
        <w:fldChar w:fldCharType="separate"/>
      </w:r>
      <w:r w:rsidR="00027A1A" w:rsidRPr="00027A1A">
        <w:rPr>
          <w:rFonts w:ascii="Calibri" w:hAnsi="Calibri" w:cs="Calibri"/>
        </w:rPr>
        <w:t>(Bernhard and Leblang 2002)</w:t>
      </w:r>
      <w:r w:rsidR="005A44C0">
        <w:fldChar w:fldCharType="end"/>
      </w:r>
      <w:r w:rsidR="00027A1A">
        <w:t>.</w:t>
      </w:r>
      <w:r w:rsidR="00D74DBE">
        <w:t xml:space="preserve"> In general, I note insignificant or preliminary results in the main text but defer tables to the Appendix.</w:t>
      </w:r>
    </w:p>
    <w:p w14:paraId="575A8031" w14:textId="53185392" w:rsidR="000A14E7" w:rsidRPr="006D299B" w:rsidRDefault="000A14E7" w:rsidP="000A14E7">
      <w:r w:rsidRPr="006D299B">
        <w:t>Selected results for the full sample tests are shown in the first group of tables. In OLS regression</w:t>
      </w:r>
      <w:r w:rsidR="00297B6E" w:rsidRPr="006D299B">
        <w:t xml:space="preserve"> (Table 1)</w:t>
      </w:r>
      <w:r w:rsidR="000447C4" w:rsidRPr="006D299B">
        <w:t>,</w:t>
      </w:r>
      <w:r w:rsidRPr="006D299B">
        <w:t xml:space="preserve"> de jure Central Bank Independence i</w:t>
      </w:r>
      <w:r w:rsidR="007F3B21" w:rsidRPr="006D299B">
        <w:t>s associated with</w:t>
      </w:r>
      <w:r w:rsidRPr="006D299B">
        <w:t xml:space="preserve"> </w:t>
      </w:r>
      <w:r w:rsidR="00245C6A" w:rsidRPr="006D299B">
        <w:t xml:space="preserve">increased </w:t>
      </w:r>
      <w:r w:rsidRPr="006D299B">
        <w:t>turnover o</w:t>
      </w:r>
      <w:r w:rsidR="007F3B21" w:rsidRPr="006D299B">
        <w:t>f</w:t>
      </w:r>
      <w:r w:rsidRPr="006D299B">
        <w:t xml:space="preserve"> the Head of Government by 0.</w:t>
      </w:r>
      <w:r w:rsidR="00DD3C5D" w:rsidRPr="006D299B">
        <w:t>321</w:t>
      </w:r>
      <w:r w:rsidRPr="006D299B">
        <w:t xml:space="preserve"> points on V Dem’s two point turnover scale- indicating, for example, a roughly 30% percent higher chance that either a new individual or new party occupies the Head of Government position when Central Bank Independence moves from its sample minimum to sample maximum (Cukierman index value 0 to 1). Importantly, in a country and year fixed effects regression</w:t>
      </w:r>
      <w:r w:rsidR="009A5E5B" w:rsidRPr="006D299B">
        <w:t xml:space="preserve"> (Table 2)</w:t>
      </w:r>
      <w:r w:rsidRPr="006D299B">
        <w:t>, this relationship loses significance.</w:t>
      </w:r>
    </w:p>
    <w:p w14:paraId="2EF00A5D" w14:textId="7824EDC9" w:rsidR="000A14E7" w:rsidRPr="00977E29" w:rsidRDefault="009A3005" w:rsidP="00D64175">
      <w:pPr>
        <w:rPr>
          <w:highlight w:val="yellow"/>
        </w:rPr>
      </w:pPr>
      <w:r w:rsidRPr="003B6F68">
        <w:t xml:space="preserve">Although </w:t>
      </w:r>
      <w:r w:rsidR="003B6F68" w:rsidRPr="003B6F68">
        <w:t>a result does hold in the OLS case</w:t>
      </w:r>
      <w:r w:rsidR="006D4546" w:rsidRPr="003B6F68">
        <w:t xml:space="preserve">, </w:t>
      </w:r>
      <w:r w:rsidR="004F24F4" w:rsidRPr="003B6F68">
        <w:t xml:space="preserve">a lack </w:t>
      </w:r>
      <w:r w:rsidR="004F24F4" w:rsidRPr="00D26361">
        <w:t xml:space="preserve">of </w:t>
      </w:r>
      <w:r w:rsidR="006D4546" w:rsidRPr="00D26361">
        <w:t xml:space="preserve">irregular turnover </w:t>
      </w:r>
      <w:r w:rsidR="004F24F4" w:rsidRPr="00D26361">
        <w:t xml:space="preserve">(representing high de facto CBI) </w:t>
      </w:r>
      <w:r w:rsidR="006D4546" w:rsidRPr="00D26361">
        <w:t xml:space="preserve">does not significantly relate to </w:t>
      </w:r>
      <w:r w:rsidR="00837A96" w:rsidRPr="00D26361">
        <w:t xml:space="preserve">electoral change in the head of government in </w:t>
      </w:r>
      <w:r w:rsidR="002C0630" w:rsidRPr="00D26361">
        <w:t>fixed effect regressions</w:t>
      </w:r>
      <w:r w:rsidR="003B6F68" w:rsidRPr="00D26361">
        <w:t xml:space="preserve"> (t-values are somewhat borderline)</w:t>
      </w:r>
      <w:r w:rsidR="002C0630" w:rsidRPr="00D26361">
        <w:t xml:space="preserve">. In regressions with just this variable and no other </w:t>
      </w:r>
      <w:r w:rsidR="00E85EE3" w:rsidRPr="00D26361">
        <w:t xml:space="preserve">independent variables, however, (see </w:t>
      </w:r>
      <w:r w:rsidR="00AD2053" w:rsidRPr="00D26361">
        <w:t>A</w:t>
      </w:r>
      <w:r w:rsidR="00E85EE3" w:rsidRPr="00D26361">
        <w:t>ppendix</w:t>
      </w:r>
      <w:r w:rsidR="00BE20C3" w:rsidRPr="00D26361">
        <w:t xml:space="preserve"> </w:t>
      </w:r>
      <w:r w:rsidR="00AD2053" w:rsidRPr="00D26361">
        <w:t xml:space="preserve">Table </w:t>
      </w:r>
      <w:r w:rsidR="000D6626" w:rsidRPr="00D26361">
        <w:t>A</w:t>
      </w:r>
      <w:r w:rsidR="00EE26BA" w:rsidRPr="00D26361">
        <w:t xml:space="preserve">2) </w:t>
      </w:r>
      <w:r w:rsidR="00AD2053" w:rsidRPr="00D26361">
        <w:t>de facto independence</w:t>
      </w:r>
      <w:r w:rsidR="00E85EE3" w:rsidRPr="00D26361">
        <w:t xml:space="preserve"> is </w:t>
      </w:r>
      <w:r w:rsidR="000B03A5" w:rsidRPr="00D26361">
        <w:t>negatively</w:t>
      </w:r>
      <w:r w:rsidR="00E85EE3" w:rsidRPr="00D26361">
        <w:t xml:space="preserve"> related to change in the head of government with a coefficient of about </w:t>
      </w:r>
      <w:r w:rsidR="007404BE" w:rsidRPr="00D26361">
        <w:t>22</w:t>
      </w:r>
      <w:r w:rsidR="004E5ECD" w:rsidRPr="00D26361">
        <w:t xml:space="preserve">%. Supporting this result is </w:t>
      </w:r>
      <w:r w:rsidR="004E5ECD" w:rsidRPr="00C17708">
        <w:t>evidence that</w:t>
      </w:r>
      <w:r w:rsidR="00BE20C3" w:rsidRPr="00C17708">
        <w:t xml:space="preserve"> </w:t>
      </w:r>
      <w:r w:rsidR="003711A4" w:rsidRPr="00C17708">
        <w:t xml:space="preserve">long </w:t>
      </w:r>
      <w:r w:rsidR="00BE20C3" w:rsidRPr="00C17708">
        <w:t>time in office for central bank governors is negatively r</w:t>
      </w:r>
      <w:r w:rsidR="00E568F0" w:rsidRPr="00C17708">
        <w:t>el</w:t>
      </w:r>
      <w:r w:rsidR="00BE20C3" w:rsidRPr="00C17708">
        <w:t xml:space="preserve">ated </w:t>
      </w:r>
      <w:r w:rsidR="00E568F0" w:rsidRPr="00C17708">
        <w:t>to</w:t>
      </w:r>
      <w:r w:rsidR="00BE20C3" w:rsidRPr="00C17708">
        <w:t xml:space="preserve"> election turnover</w:t>
      </w:r>
      <w:r w:rsidR="0077759A" w:rsidRPr="00C17708">
        <w:t xml:space="preserve"> (</w:t>
      </w:r>
      <w:r w:rsidR="003711A4" w:rsidRPr="00C17708">
        <w:t>Appendix Table A</w:t>
      </w:r>
      <w:r w:rsidR="00F5039F" w:rsidRPr="00C17708">
        <w:t>3</w:t>
      </w:r>
      <w:r w:rsidR="0077759A" w:rsidRPr="00C17708">
        <w:t>)</w:t>
      </w:r>
      <w:r w:rsidR="00BE20C3" w:rsidRPr="00C17708">
        <w:t>.</w:t>
      </w:r>
      <w:r w:rsidR="000D163F" w:rsidRPr="00C17708">
        <w:t xml:space="preserve"> </w:t>
      </w:r>
      <w:r w:rsidR="000F1001" w:rsidRPr="00C17708">
        <w:t>In OLS regressions</w:t>
      </w:r>
      <w:r w:rsidR="006654B8" w:rsidRPr="00C17708">
        <w:t xml:space="preserve"> (Table 1)</w:t>
      </w:r>
      <w:r w:rsidR="000F1001" w:rsidRPr="00C17708">
        <w:t xml:space="preserve">, </w:t>
      </w:r>
      <w:r w:rsidR="00716081" w:rsidRPr="00C17708">
        <w:t xml:space="preserve">a </w:t>
      </w:r>
      <w:r w:rsidR="000F1001" w:rsidRPr="00C17708">
        <w:t>Reinhart</w:t>
      </w:r>
      <w:r w:rsidR="00716081" w:rsidRPr="00C17708">
        <w:t>-Rogoff</w:t>
      </w:r>
      <w:r w:rsidR="000F1001" w:rsidRPr="00C17708">
        <w:t xml:space="preserve"> exchange rate regime classification </w:t>
      </w:r>
      <w:r w:rsidR="00716081" w:rsidRPr="00C17708">
        <w:t xml:space="preserve">closer to a fixed rate </w:t>
      </w:r>
      <w:r w:rsidR="000F1001" w:rsidRPr="00C17708">
        <w:t xml:space="preserve">seems to be associated with </w:t>
      </w:r>
      <w:r w:rsidR="0000293D" w:rsidRPr="00C17708">
        <w:t>less</w:t>
      </w:r>
      <w:r w:rsidR="000F1001" w:rsidRPr="00C17708">
        <w:t xml:space="preserve"> change in the head of government, but </w:t>
      </w:r>
      <w:r w:rsidR="00A069A2" w:rsidRPr="00C17708">
        <w:t xml:space="preserve">again </w:t>
      </w:r>
      <w:r w:rsidR="000F1001" w:rsidRPr="00C17708">
        <w:t>the result does not hold with fixed effects</w:t>
      </w:r>
      <w:r w:rsidR="003C5681" w:rsidRPr="00C17708">
        <w:t xml:space="preserve"> or when </w:t>
      </w:r>
      <w:r w:rsidR="001E4A71" w:rsidRPr="00C17708">
        <w:t>included in the same regression as de facto central bank independence</w:t>
      </w:r>
      <w:r w:rsidR="000F1001" w:rsidRPr="00C17708">
        <w:t>.</w:t>
      </w:r>
    </w:p>
    <w:p w14:paraId="2F8DA391" w14:textId="24973463" w:rsidR="00733E99" w:rsidRPr="002C3192" w:rsidRDefault="00A069A2" w:rsidP="00D64175">
      <w:r w:rsidRPr="000A08E7">
        <w:t>Stronger</w:t>
      </w:r>
      <w:r w:rsidR="00611437" w:rsidRPr="000A08E7">
        <w:t xml:space="preserve"> results, however, emerge with the positive relationship between turnover of the head of state, rather than the head of government and the de jure CBI index</w:t>
      </w:r>
      <w:r w:rsidR="003732DC" w:rsidRPr="000A08E7">
        <w:t xml:space="preserve"> and </w:t>
      </w:r>
      <w:r w:rsidR="007D167E" w:rsidRPr="000A08E7">
        <w:t xml:space="preserve">a negative relationship between HOS turnover and fixed </w:t>
      </w:r>
      <w:r w:rsidR="003732DC" w:rsidRPr="00FF151C">
        <w:t>exchange rates</w:t>
      </w:r>
      <w:r w:rsidR="00611437" w:rsidRPr="00FF151C">
        <w:t>. This relationship holds even in fixed effects models. But in this case, de facto central bank independence has a far weaker relationship.</w:t>
      </w:r>
      <w:r w:rsidR="00E74686" w:rsidRPr="00FF151C">
        <w:t xml:space="preserve"> </w:t>
      </w:r>
      <w:r w:rsidR="00733E99" w:rsidRPr="00FF151C">
        <w:t xml:space="preserve">Finally, turning away from the executive branch and towards the </w:t>
      </w:r>
      <w:r w:rsidR="00733E99" w:rsidRPr="002C3192">
        <w:t xml:space="preserve">legislative branch </w:t>
      </w:r>
      <w:r w:rsidR="002A7601" w:rsidRPr="002C3192">
        <w:t>by examining changes in</w:t>
      </w:r>
      <w:r w:rsidR="00733E99" w:rsidRPr="002C3192">
        <w:t xml:space="preserve"> the </w:t>
      </w:r>
      <w:r w:rsidR="002A7601" w:rsidRPr="002C3192">
        <w:t>lower house</w:t>
      </w:r>
      <w:r w:rsidR="00733E99" w:rsidRPr="002C3192">
        <w:t xml:space="preserve"> </w:t>
      </w:r>
      <w:r w:rsidR="00CD00AC" w:rsidRPr="002C3192">
        <w:t>also</w:t>
      </w:r>
      <w:r w:rsidR="00733E99" w:rsidRPr="002C3192">
        <w:t xml:space="preserve"> reveals strong results for a positive relationship between de jure independence and electoral changes, and a negative relationship between de facto independence and changes. Exchange rate regimes are insignificant.</w:t>
      </w:r>
    </w:p>
    <w:p w14:paraId="12F8A92D" w14:textId="7970B313" w:rsidR="001952F4" w:rsidRPr="00977E29" w:rsidRDefault="00CC7970" w:rsidP="00D64175">
      <w:pPr>
        <w:rPr>
          <w:highlight w:val="yellow"/>
        </w:rPr>
      </w:pPr>
      <w:r w:rsidRPr="002C3192">
        <w:lastRenderedPageBreak/>
        <w:t xml:space="preserve">For the full sample it is also instructive to test the relationship between independence and measures of more profound political instability. The World Bank Governance Indicator for Political Violence is positively related to de jure central bank independence in OLS regression (meaning it is associated with less instability), but the coefficient becomes negative with the inclusion of country and year fixed effects (meaning independence is associated with more instability). </w:t>
      </w:r>
      <w:r w:rsidR="00EA0403" w:rsidRPr="002C3192">
        <w:t>Such a result suggest</w:t>
      </w:r>
      <w:r w:rsidR="005C5BFF" w:rsidRPr="002C3192">
        <w:t xml:space="preserve">s the importance of accounting for </w:t>
      </w:r>
      <w:r w:rsidR="00EA0403" w:rsidRPr="002C3192">
        <w:t>possible confounders</w:t>
      </w:r>
      <w:r w:rsidR="005B77B1" w:rsidRPr="002C3192">
        <w:t xml:space="preserve"> in literature on this topic</w:t>
      </w:r>
      <w:r w:rsidR="00595BB5" w:rsidRPr="002C3192">
        <w:t xml:space="preserve">, and it is </w:t>
      </w:r>
      <w:r w:rsidR="00595BB5" w:rsidRPr="00AC396E">
        <w:t xml:space="preserve">particularly insightful given that it </w:t>
      </w:r>
      <w:r w:rsidRPr="00AC396E">
        <w:t xml:space="preserve">holds even on the restricted timescale for which World </w:t>
      </w:r>
      <w:r w:rsidRPr="00B476C9">
        <w:t xml:space="preserve">Bank data is available. </w:t>
      </w:r>
      <w:r w:rsidR="00662A99" w:rsidRPr="00B476C9">
        <w:t>De</w:t>
      </w:r>
      <w:r w:rsidRPr="00B476C9">
        <w:t xml:space="preserve"> facto independence </w:t>
      </w:r>
      <w:r w:rsidR="004B5050" w:rsidRPr="00B476C9">
        <w:t>and a more fixed</w:t>
      </w:r>
      <w:r w:rsidRPr="00B476C9">
        <w:t xml:space="preserve"> exchange rate </w:t>
      </w:r>
      <w:r w:rsidR="005C5BFF" w:rsidRPr="00B476C9">
        <w:t>are</w:t>
      </w:r>
      <w:r w:rsidR="004B5050" w:rsidRPr="00B476C9">
        <w:t xml:space="preserve"> associated with stability </w:t>
      </w:r>
      <w:r w:rsidR="00A50341" w:rsidRPr="00B476C9">
        <w:t xml:space="preserve">only </w:t>
      </w:r>
      <w:r w:rsidRPr="00B476C9">
        <w:t xml:space="preserve">in OLS regressions </w:t>
      </w:r>
      <w:r w:rsidR="00895A14" w:rsidRPr="00B476C9">
        <w:t>when all variables</w:t>
      </w:r>
      <w:r w:rsidR="00A50341" w:rsidRPr="00B476C9">
        <w:t xml:space="preserve"> are considered</w:t>
      </w:r>
      <w:r w:rsidR="000E1C46" w:rsidRPr="00B476C9">
        <w:t xml:space="preserve"> (or when de facto independence and exchange rates are considered)</w:t>
      </w:r>
      <w:r w:rsidRPr="00B476C9">
        <w:t>.</w:t>
      </w:r>
      <w:r w:rsidR="00676CED" w:rsidRPr="00B476C9">
        <w:t xml:space="preserve"> However</w:t>
      </w:r>
      <w:r w:rsidR="00895A14" w:rsidRPr="00B476C9">
        <w:t>, a fixed rate</w:t>
      </w:r>
      <w:r w:rsidR="00AC396E" w:rsidRPr="00B476C9">
        <w:t xml:space="preserve"> also</w:t>
      </w:r>
      <w:r w:rsidR="00895A14" w:rsidRPr="00B476C9">
        <w:t xml:space="preserve"> increases </w:t>
      </w:r>
      <w:r w:rsidR="00C242F9" w:rsidRPr="00B476C9">
        <w:t xml:space="preserve">political </w:t>
      </w:r>
      <w:r w:rsidR="00895A14" w:rsidRPr="00B476C9">
        <w:t>stability</w:t>
      </w:r>
      <w:r w:rsidR="00C242F9" w:rsidRPr="00B476C9">
        <w:t xml:space="preserve"> even in a fixed effects regression when considered individually</w:t>
      </w:r>
      <w:r w:rsidR="004F79A6" w:rsidRPr="00B476C9">
        <w:t xml:space="preserve"> (Appendix </w:t>
      </w:r>
      <w:r w:rsidR="00EA1C39" w:rsidRPr="00B476C9">
        <w:t>Table</w:t>
      </w:r>
      <w:r w:rsidR="004F79A6" w:rsidRPr="00B476C9">
        <w:t xml:space="preserve"> </w:t>
      </w:r>
      <w:r w:rsidR="00EA1C39" w:rsidRPr="00B476C9">
        <w:t>A</w:t>
      </w:r>
      <w:r w:rsidR="00612AEA" w:rsidRPr="00B476C9">
        <w:t>4</w:t>
      </w:r>
      <w:r w:rsidR="00EA1C39" w:rsidRPr="00B476C9">
        <w:t>).</w:t>
      </w:r>
      <w:r w:rsidR="00C242F9" w:rsidRPr="00B476C9">
        <w:t xml:space="preserve"> </w:t>
      </w:r>
      <w:r w:rsidRPr="00B476C9">
        <w:t>Destabilizing events such as civil wars, coups, and internal conflict are positively related to de jure independence</w:t>
      </w:r>
      <w:r w:rsidR="004B5050" w:rsidRPr="00B476C9">
        <w:t xml:space="preserve"> in both</w:t>
      </w:r>
      <w:r w:rsidR="00676CED" w:rsidRPr="00B476C9">
        <w:t xml:space="preserve"> OLS</w:t>
      </w:r>
      <w:r w:rsidR="004B5050" w:rsidRPr="00B476C9">
        <w:t xml:space="preserve"> </w:t>
      </w:r>
      <w:r w:rsidR="00676CED" w:rsidRPr="00B476C9">
        <w:t xml:space="preserve">and Fixed Effects </w:t>
      </w:r>
      <w:r w:rsidR="004B5050" w:rsidRPr="00B476C9">
        <w:t>regressions</w:t>
      </w:r>
      <w:r w:rsidRPr="00B476C9">
        <w:t>.</w:t>
      </w:r>
      <w:r w:rsidR="002C5FDB" w:rsidRPr="00B476C9">
        <w:t xml:space="preserve"> </w:t>
      </w:r>
      <w:r w:rsidR="00FB2A02" w:rsidRPr="00B476C9">
        <w:t xml:space="preserve">When considered individually, fixed exchange rates tend to increase the probability of </w:t>
      </w:r>
      <w:r w:rsidR="00CE1633" w:rsidRPr="00B476C9">
        <w:t>instability events in a fixed effects regression (</w:t>
      </w:r>
      <w:r w:rsidR="00EA1C39" w:rsidRPr="00B476C9">
        <w:t xml:space="preserve">Appendix </w:t>
      </w:r>
      <w:r w:rsidR="005502E5" w:rsidRPr="00B476C9">
        <w:t>Table A</w:t>
      </w:r>
      <w:r w:rsidR="008513DA" w:rsidRPr="00B476C9">
        <w:t>5</w:t>
      </w:r>
      <w:r w:rsidR="005502E5" w:rsidRPr="00B476C9">
        <w:t xml:space="preserve">), </w:t>
      </w:r>
      <w:r w:rsidR="001B4222" w:rsidRPr="00B476C9">
        <w:t>somewhat contradicting results for the Wo</w:t>
      </w:r>
      <w:r w:rsidR="001B4222" w:rsidRPr="00874BEA">
        <w:t>rld Bank index.</w:t>
      </w:r>
    </w:p>
    <w:p w14:paraId="754C05EB" w14:textId="276E374F" w:rsidR="00931437" w:rsidRPr="00977E29" w:rsidRDefault="00931437" w:rsidP="00D64175">
      <w:pPr>
        <w:rPr>
          <w:highlight w:val="yellow"/>
        </w:rPr>
      </w:pPr>
    </w:p>
    <w:p w14:paraId="7F8CAC0A" w14:textId="7746689E" w:rsidR="009005F9" w:rsidRPr="0014724F" w:rsidRDefault="00051192" w:rsidP="00D64175">
      <w:r w:rsidRPr="0014724F">
        <w:t>Table 1: Ordinary Least Squares (OLS)</w:t>
      </w:r>
      <w:r w:rsidR="005E7A36" w:rsidRPr="0014724F">
        <w:t>, Robust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14724F" w14:paraId="085A0C5C" w14:textId="77777777" w:rsidTr="00F16287">
        <w:tc>
          <w:tcPr>
            <w:tcW w:w="2136" w:type="dxa"/>
            <w:tcBorders>
              <w:top w:val="single" w:sz="4" w:space="0" w:color="auto"/>
              <w:left w:val="nil"/>
              <w:bottom w:val="nil"/>
              <w:right w:val="nil"/>
            </w:tcBorders>
          </w:tcPr>
          <w:p w14:paraId="15C012AC" w14:textId="77777777" w:rsidR="0014724F" w:rsidRDefault="0014724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049915B9"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7FE30763"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439F4F1C"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51AABF9C"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1E85A6BB"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14724F" w14:paraId="29C2B3F8" w14:textId="77777777" w:rsidTr="00F16287">
        <w:tc>
          <w:tcPr>
            <w:tcW w:w="2136" w:type="dxa"/>
            <w:tcBorders>
              <w:top w:val="nil"/>
              <w:left w:val="nil"/>
              <w:bottom w:val="nil"/>
              <w:right w:val="nil"/>
            </w:tcBorders>
          </w:tcPr>
          <w:p w14:paraId="0198D049" w14:textId="77777777" w:rsidR="0014724F" w:rsidRDefault="0014724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E7B3019"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36F11609"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59E72C3D"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1498F941"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4B9EE4F7"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14724F" w14:paraId="68AA69EB" w14:textId="77777777" w:rsidTr="00F16287">
        <w:tc>
          <w:tcPr>
            <w:tcW w:w="2136" w:type="dxa"/>
            <w:tcBorders>
              <w:top w:val="single" w:sz="4" w:space="0" w:color="auto"/>
              <w:left w:val="nil"/>
              <w:bottom w:val="nil"/>
              <w:right w:val="nil"/>
            </w:tcBorders>
          </w:tcPr>
          <w:p w14:paraId="2D7EFB93" w14:textId="77777777" w:rsidR="0014724F" w:rsidRPr="0014724F" w:rsidRDefault="0014724F" w:rsidP="00F16287">
            <w:pPr>
              <w:widowControl w:val="0"/>
              <w:autoSpaceDE w:val="0"/>
              <w:autoSpaceDN w:val="0"/>
              <w:adjustRightInd w:val="0"/>
              <w:spacing w:after="0" w:line="240" w:lineRule="auto"/>
              <w:rPr>
                <w:rFonts w:ascii="Times New Roman" w:hAnsi="Times New Roman" w:cs="Times New Roman"/>
                <w:sz w:val="24"/>
                <w:szCs w:val="24"/>
                <w:lang w:val="fr-BE"/>
              </w:rPr>
            </w:pPr>
            <w:r w:rsidRPr="0014724F">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7B85FF01"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0.321</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5E94C9F0"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0.648</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0D13F0B4"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0.587</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5105EE2D"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0.308</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6B8F0472"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0.488</w:t>
            </w:r>
            <w:r>
              <w:rPr>
                <w:rFonts w:ascii="Times New Roman" w:hAnsi="Times New Roman" w:cs="Times New Roman"/>
                <w:sz w:val="24"/>
                <w:szCs w:val="24"/>
                <w:vertAlign w:val="superscript"/>
              </w:rPr>
              <w:t>***</w:t>
            </w:r>
          </w:p>
        </w:tc>
      </w:tr>
      <w:tr w:rsidR="0014724F" w14:paraId="2552E7BA" w14:textId="77777777" w:rsidTr="00F16287">
        <w:tc>
          <w:tcPr>
            <w:tcW w:w="2136" w:type="dxa"/>
            <w:tcBorders>
              <w:top w:val="nil"/>
              <w:left w:val="nil"/>
              <w:bottom w:val="nil"/>
              <w:right w:val="nil"/>
            </w:tcBorders>
          </w:tcPr>
          <w:p w14:paraId="6CAE5AC6" w14:textId="77777777" w:rsidR="0014724F" w:rsidRDefault="0014724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7DD482D"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656" w:type="dxa"/>
            <w:tcBorders>
              <w:top w:val="nil"/>
              <w:left w:val="nil"/>
              <w:bottom w:val="nil"/>
              <w:right w:val="nil"/>
            </w:tcBorders>
          </w:tcPr>
          <w:p w14:paraId="7F26D610"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(5.96)</w:t>
            </w:r>
          </w:p>
        </w:tc>
        <w:tc>
          <w:tcPr>
            <w:tcW w:w="1656" w:type="dxa"/>
            <w:tcBorders>
              <w:top w:val="nil"/>
              <w:left w:val="nil"/>
              <w:bottom w:val="nil"/>
              <w:right w:val="nil"/>
            </w:tcBorders>
          </w:tcPr>
          <w:p w14:paraId="0FEF1D6D"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656" w:type="dxa"/>
            <w:tcBorders>
              <w:top w:val="nil"/>
              <w:left w:val="nil"/>
              <w:bottom w:val="nil"/>
              <w:right w:val="nil"/>
            </w:tcBorders>
          </w:tcPr>
          <w:p w14:paraId="63488A94"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(2.80)</w:t>
            </w:r>
          </w:p>
        </w:tc>
        <w:tc>
          <w:tcPr>
            <w:tcW w:w="1656" w:type="dxa"/>
            <w:tcBorders>
              <w:top w:val="nil"/>
              <w:left w:val="nil"/>
              <w:bottom w:val="nil"/>
              <w:right w:val="nil"/>
            </w:tcBorders>
          </w:tcPr>
          <w:p w14:paraId="70F94181"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(11.69)</w:t>
            </w:r>
          </w:p>
        </w:tc>
      </w:tr>
      <w:tr w:rsidR="0014724F" w14:paraId="4892D091" w14:textId="77777777" w:rsidTr="00F16287">
        <w:tc>
          <w:tcPr>
            <w:tcW w:w="2136" w:type="dxa"/>
            <w:tcBorders>
              <w:top w:val="nil"/>
              <w:left w:val="nil"/>
              <w:bottom w:val="nil"/>
              <w:right w:val="nil"/>
            </w:tcBorders>
          </w:tcPr>
          <w:p w14:paraId="789099C4" w14:textId="77777777" w:rsidR="0014724F" w:rsidRDefault="0014724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E67F42E" w14:textId="77777777" w:rsidR="0014724F" w:rsidRDefault="0014724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50F6BD7" w14:textId="77777777" w:rsidR="0014724F" w:rsidRDefault="0014724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BA8FCDC" w14:textId="77777777" w:rsidR="0014724F" w:rsidRDefault="0014724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CF95106" w14:textId="77777777" w:rsidR="0014724F" w:rsidRDefault="0014724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3A6297F" w14:textId="77777777" w:rsidR="0014724F" w:rsidRDefault="0014724F" w:rsidP="00F16287">
            <w:pPr>
              <w:widowControl w:val="0"/>
              <w:autoSpaceDE w:val="0"/>
              <w:autoSpaceDN w:val="0"/>
              <w:adjustRightInd w:val="0"/>
              <w:spacing w:after="0" w:line="240" w:lineRule="auto"/>
              <w:rPr>
                <w:rFonts w:ascii="Times New Roman" w:hAnsi="Times New Roman" w:cs="Times New Roman"/>
                <w:sz w:val="24"/>
                <w:szCs w:val="24"/>
              </w:rPr>
            </w:pPr>
          </w:p>
        </w:tc>
      </w:tr>
      <w:tr w:rsidR="0014724F" w14:paraId="234CDC3A" w14:textId="77777777" w:rsidTr="00F16287">
        <w:tc>
          <w:tcPr>
            <w:tcW w:w="2136" w:type="dxa"/>
            <w:tcBorders>
              <w:top w:val="nil"/>
              <w:left w:val="nil"/>
              <w:bottom w:val="nil"/>
              <w:right w:val="nil"/>
            </w:tcBorders>
          </w:tcPr>
          <w:p w14:paraId="43582603" w14:textId="77777777" w:rsidR="0014724F" w:rsidRDefault="0014724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27B72B0A"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8FAF254"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E2F563D"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-0.00280</w:t>
            </w:r>
          </w:p>
        </w:tc>
        <w:tc>
          <w:tcPr>
            <w:tcW w:w="1656" w:type="dxa"/>
            <w:tcBorders>
              <w:top w:val="nil"/>
              <w:left w:val="nil"/>
              <w:bottom w:val="nil"/>
              <w:right w:val="nil"/>
            </w:tcBorders>
          </w:tcPr>
          <w:p w14:paraId="490C0DD8"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E7BED56"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-0.00292</w:t>
            </w:r>
          </w:p>
        </w:tc>
      </w:tr>
      <w:tr w:rsidR="0014724F" w14:paraId="3F752FC2" w14:textId="77777777" w:rsidTr="00F16287">
        <w:tc>
          <w:tcPr>
            <w:tcW w:w="2136" w:type="dxa"/>
            <w:tcBorders>
              <w:top w:val="nil"/>
              <w:left w:val="nil"/>
              <w:bottom w:val="nil"/>
              <w:right w:val="nil"/>
            </w:tcBorders>
          </w:tcPr>
          <w:p w14:paraId="56A96AC5" w14:textId="77777777" w:rsidR="0014724F" w:rsidRDefault="0014724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C71EF45"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(-2.61)</w:t>
            </w:r>
          </w:p>
        </w:tc>
        <w:tc>
          <w:tcPr>
            <w:tcW w:w="1656" w:type="dxa"/>
            <w:tcBorders>
              <w:top w:val="nil"/>
              <w:left w:val="nil"/>
              <w:bottom w:val="nil"/>
              <w:right w:val="nil"/>
            </w:tcBorders>
          </w:tcPr>
          <w:p w14:paraId="79F4EC86"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(-2.61)</w:t>
            </w:r>
          </w:p>
        </w:tc>
        <w:tc>
          <w:tcPr>
            <w:tcW w:w="1656" w:type="dxa"/>
            <w:tcBorders>
              <w:top w:val="nil"/>
              <w:left w:val="nil"/>
              <w:bottom w:val="nil"/>
              <w:right w:val="nil"/>
            </w:tcBorders>
          </w:tcPr>
          <w:p w14:paraId="4422D54E"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656" w:type="dxa"/>
            <w:tcBorders>
              <w:top w:val="nil"/>
              <w:left w:val="nil"/>
              <w:bottom w:val="nil"/>
              <w:right w:val="nil"/>
            </w:tcBorders>
          </w:tcPr>
          <w:p w14:paraId="075DD84C"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(6.45)</w:t>
            </w:r>
          </w:p>
        </w:tc>
        <w:tc>
          <w:tcPr>
            <w:tcW w:w="1656" w:type="dxa"/>
            <w:tcBorders>
              <w:top w:val="nil"/>
              <w:left w:val="nil"/>
              <w:bottom w:val="nil"/>
              <w:right w:val="nil"/>
            </w:tcBorders>
          </w:tcPr>
          <w:p w14:paraId="363F8F9C"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(-1.74)</w:t>
            </w:r>
          </w:p>
        </w:tc>
      </w:tr>
      <w:tr w:rsidR="0014724F" w14:paraId="3FEE99D8" w14:textId="77777777" w:rsidTr="00F16287">
        <w:tc>
          <w:tcPr>
            <w:tcW w:w="2136" w:type="dxa"/>
            <w:tcBorders>
              <w:top w:val="nil"/>
              <w:left w:val="nil"/>
              <w:bottom w:val="nil"/>
              <w:right w:val="nil"/>
            </w:tcBorders>
          </w:tcPr>
          <w:p w14:paraId="0DB60863" w14:textId="77777777" w:rsidR="0014724F" w:rsidRDefault="0014724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B6C6874" w14:textId="77777777" w:rsidR="0014724F" w:rsidRDefault="0014724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8EFDD3E" w14:textId="77777777" w:rsidR="0014724F" w:rsidRDefault="0014724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50768B8" w14:textId="77777777" w:rsidR="0014724F" w:rsidRDefault="0014724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8492279" w14:textId="77777777" w:rsidR="0014724F" w:rsidRDefault="0014724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8BC6EAD" w14:textId="77777777" w:rsidR="0014724F" w:rsidRDefault="0014724F" w:rsidP="00F16287">
            <w:pPr>
              <w:widowControl w:val="0"/>
              <w:autoSpaceDE w:val="0"/>
              <w:autoSpaceDN w:val="0"/>
              <w:adjustRightInd w:val="0"/>
              <w:spacing w:after="0" w:line="240" w:lineRule="auto"/>
              <w:rPr>
                <w:rFonts w:ascii="Times New Roman" w:hAnsi="Times New Roman" w:cs="Times New Roman"/>
                <w:sz w:val="24"/>
                <w:szCs w:val="24"/>
              </w:rPr>
            </w:pPr>
          </w:p>
        </w:tc>
      </w:tr>
      <w:tr w:rsidR="0014724F" w14:paraId="7546DE99" w14:textId="77777777" w:rsidTr="00F16287">
        <w:tc>
          <w:tcPr>
            <w:tcW w:w="2136" w:type="dxa"/>
            <w:tcBorders>
              <w:top w:val="nil"/>
              <w:left w:val="nil"/>
              <w:bottom w:val="nil"/>
              <w:right w:val="nil"/>
            </w:tcBorders>
          </w:tcPr>
          <w:p w14:paraId="3F90D9BF" w14:textId="77777777" w:rsidR="0014724F" w:rsidRDefault="0014724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32FE4BE7"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0B2BCC0"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3FFF7CD"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DD25C72"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-0.598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A316D9D"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0.193</w:t>
            </w:r>
            <w:r>
              <w:rPr>
                <w:rFonts w:ascii="Times New Roman" w:hAnsi="Times New Roman" w:cs="Times New Roman"/>
                <w:sz w:val="24"/>
                <w:szCs w:val="24"/>
                <w:vertAlign w:val="superscript"/>
              </w:rPr>
              <w:t>***</w:t>
            </w:r>
          </w:p>
        </w:tc>
      </w:tr>
      <w:tr w:rsidR="0014724F" w14:paraId="06617297" w14:textId="77777777" w:rsidTr="00F16287">
        <w:tc>
          <w:tcPr>
            <w:tcW w:w="2136" w:type="dxa"/>
            <w:tcBorders>
              <w:top w:val="nil"/>
              <w:left w:val="nil"/>
              <w:bottom w:val="single" w:sz="4" w:space="0" w:color="auto"/>
              <w:right w:val="nil"/>
            </w:tcBorders>
          </w:tcPr>
          <w:p w14:paraId="3AD6871F" w14:textId="77777777" w:rsidR="0014724F" w:rsidRDefault="0014724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530A8DB2"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(8.50)</w:t>
            </w:r>
          </w:p>
        </w:tc>
        <w:tc>
          <w:tcPr>
            <w:tcW w:w="1656" w:type="dxa"/>
            <w:tcBorders>
              <w:top w:val="nil"/>
              <w:left w:val="nil"/>
              <w:bottom w:val="single" w:sz="4" w:space="0" w:color="auto"/>
              <w:right w:val="nil"/>
            </w:tcBorders>
          </w:tcPr>
          <w:p w14:paraId="56EAD2E9"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(2.70)</w:t>
            </w:r>
          </w:p>
        </w:tc>
        <w:tc>
          <w:tcPr>
            <w:tcW w:w="1656" w:type="dxa"/>
            <w:tcBorders>
              <w:top w:val="nil"/>
              <w:left w:val="nil"/>
              <w:bottom w:val="single" w:sz="4" w:space="0" w:color="auto"/>
              <w:right w:val="nil"/>
            </w:tcBorders>
          </w:tcPr>
          <w:p w14:paraId="09AA080B"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(6.19)</w:t>
            </w:r>
          </w:p>
        </w:tc>
        <w:tc>
          <w:tcPr>
            <w:tcW w:w="1656" w:type="dxa"/>
            <w:tcBorders>
              <w:top w:val="nil"/>
              <w:left w:val="nil"/>
              <w:bottom w:val="single" w:sz="4" w:space="0" w:color="auto"/>
              <w:right w:val="nil"/>
            </w:tcBorders>
          </w:tcPr>
          <w:p w14:paraId="5B0347D7"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(-7.54)</w:t>
            </w:r>
          </w:p>
        </w:tc>
        <w:tc>
          <w:tcPr>
            <w:tcW w:w="1656" w:type="dxa"/>
            <w:tcBorders>
              <w:top w:val="nil"/>
              <w:left w:val="nil"/>
              <w:bottom w:val="single" w:sz="4" w:space="0" w:color="auto"/>
              <w:right w:val="nil"/>
            </w:tcBorders>
          </w:tcPr>
          <w:p w14:paraId="27E7E5A3"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(8.73)</w:t>
            </w:r>
          </w:p>
        </w:tc>
      </w:tr>
      <w:tr w:rsidR="0014724F" w14:paraId="5183202C" w14:textId="77777777" w:rsidTr="00F16287">
        <w:tc>
          <w:tcPr>
            <w:tcW w:w="2136" w:type="dxa"/>
            <w:tcBorders>
              <w:top w:val="nil"/>
              <w:left w:val="nil"/>
              <w:bottom w:val="single" w:sz="4" w:space="0" w:color="auto"/>
              <w:right w:val="nil"/>
            </w:tcBorders>
          </w:tcPr>
          <w:p w14:paraId="6375AC32" w14:textId="77777777" w:rsidR="0014724F" w:rsidRDefault="0014724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345BF3D9"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1399</w:t>
            </w:r>
          </w:p>
        </w:tc>
        <w:tc>
          <w:tcPr>
            <w:tcW w:w="1656" w:type="dxa"/>
            <w:tcBorders>
              <w:top w:val="nil"/>
              <w:left w:val="nil"/>
              <w:bottom w:val="single" w:sz="4" w:space="0" w:color="auto"/>
              <w:right w:val="nil"/>
            </w:tcBorders>
          </w:tcPr>
          <w:p w14:paraId="46A6A512"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1399</w:t>
            </w:r>
          </w:p>
        </w:tc>
        <w:tc>
          <w:tcPr>
            <w:tcW w:w="1656" w:type="dxa"/>
            <w:tcBorders>
              <w:top w:val="nil"/>
              <w:left w:val="nil"/>
              <w:bottom w:val="single" w:sz="4" w:space="0" w:color="auto"/>
              <w:right w:val="nil"/>
            </w:tcBorders>
          </w:tcPr>
          <w:p w14:paraId="02178A32"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1141</w:t>
            </w:r>
          </w:p>
        </w:tc>
        <w:tc>
          <w:tcPr>
            <w:tcW w:w="1656" w:type="dxa"/>
            <w:tcBorders>
              <w:top w:val="nil"/>
              <w:left w:val="nil"/>
              <w:bottom w:val="single" w:sz="4" w:space="0" w:color="auto"/>
              <w:right w:val="nil"/>
            </w:tcBorders>
          </w:tcPr>
          <w:p w14:paraId="5C1D4DCB"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2141</w:t>
            </w:r>
          </w:p>
        </w:tc>
        <w:tc>
          <w:tcPr>
            <w:tcW w:w="1656" w:type="dxa"/>
            <w:tcBorders>
              <w:top w:val="nil"/>
              <w:left w:val="nil"/>
              <w:bottom w:val="single" w:sz="4" w:space="0" w:color="auto"/>
              <w:right w:val="nil"/>
            </w:tcBorders>
          </w:tcPr>
          <w:p w14:paraId="6B3E5656" w14:textId="77777777" w:rsidR="0014724F" w:rsidRDefault="0014724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4207</w:t>
            </w:r>
          </w:p>
        </w:tc>
      </w:tr>
    </w:tbl>
    <w:p w14:paraId="2E760670" w14:textId="77777777" w:rsidR="0014724F" w:rsidRDefault="0014724F" w:rsidP="0014724F">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00E1B0FC" w14:textId="77777777" w:rsidR="0014724F" w:rsidRDefault="0014724F" w:rsidP="0014724F">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131D029D" w14:textId="3D492216" w:rsidR="000135B6" w:rsidRPr="00977E29" w:rsidRDefault="000135B6" w:rsidP="000135B6">
      <w:pPr>
        <w:widowControl w:val="0"/>
        <w:autoSpaceDE w:val="0"/>
        <w:autoSpaceDN w:val="0"/>
        <w:adjustRightInd w:val="0"/>
        <w:spacing w:after="0" w:line="240" w:lineRule="auto"/>
        <w:rPr>
          <w:rFonts w:ascii="Times New Roman" w:hAnsi="Times New Roman" w:cs="Times New Roman"/>
          <w:sz w:val="20"/>
          <w:szCs w:val="20"/>
          <w:highlight w:val="yellow"/>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065EC4" w14:paraId="4DC5D46A" w14:textId="77777777" w:rsidTr="00F16287">
        <w:tc>
          <w:tcPr>
            <w:tcW w:w="2136" w:type="dxa"/>
            <w:tcBorders>
              <w:top w:val="single" w:sz="4" w:space="0" w:color="auto"/>
              <w:left w:val="nil"/>
              <w:bottom w:val="nil"/>
              <w:right w:val="nil"/>
            </w:tcBorders>
          </w:tcPr>
          <w:p w14:paraId="51752FE2"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17BAE073"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77414C1A"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1F1187B8"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7E90647F"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046C675C"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065EC4" w14:paraId="5AD08D44" w14:textId="77777777" w:rsidTr="00F16287">
        <w:tc>
          <w:tcPr>
            <w:tcW w:w="2136" w:type="dxa"/>
            <w:tcBorders>
              <w:top w:val="nil"/>
              <w:left w:val="nil"/>
              <w:bottom w:val="nil"/>
              <w:right w:val="nil"/>
            </w:tcBorders>
          </w:tcPr>
          <w:p w14:paraId="3972D5DA"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582E2E4"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0946FE60"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03996F89"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30589943"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51FC658C"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065EC4" w14:paraId="47FC9B79" w14:textId="77777777" w:rsidTr="00F16287">
        <w:tc>
          <w:tcPr>
            <w:tcW w:w="2136" w:type="dxa"/>
            <w:tcBorders>
              <w:top w:val="single" w:sz="4" w:space="0" w:color="auto"/>
              <w:left w:val="nil"/>
              <w:bottom w:val="nil"/>
              <w:right w:val="nil"/>
            </w:tcBorders>
          </w:tcPr>
          <w:p w14:paraId="0DC848A4"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(Lack of) Irregular CB Governor </w:t>
            </w:r>
            <w:r>
              <w:rPr>
                <w:rFonts w:ascii="Times New Roman" w:hAnsi="Times New Roman" w:cs="Times New Roman"/>
                <w:sz w:val="24"/>
                <w:szCs w:val="24"/>
              </w:rPr>
              <w:lastRenderedPageBreak/>
              <w:t>Turnover (higher = more de facto CBI)</w:t>
            </w:r>
          </w:p>
        </w:tc>
        <w:tc>
          <w:tcPr>
            <w:tcW w:w="1656" w:type="dxa"/>
            <w:tcBorders>
              <w:top w:val="single" w:sz="4" w:space="0" w:color="auto"/>
              <w:left w:val="nil"/>
              <w:bottom w:val="nil"/>
              <w:right w:val="nil"/>
            </w:tcBorders>
          </w:tcPr>
          <w:p w14:paraId="5797745F"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-0.200</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68585493"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-0.206</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1FB1731B"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-0.227</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75999544"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0.145</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20005654"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0.0397</w:t>
            </w:r>
          </w:p>
        </w:tc>
      </w:tr>
      <w:tr w:rsidR="00065EC4" w14:paraId="188A5740" w14:textId="77777777" w:rsidTr="00F16287">
        <w:tc>
          <w:tcPr>
            <w:tcW w:w="2136" w:type="dxa"/>
            <w:tcBorders>
              <w:top w:val="nil"/>
              <w:left w:val="nil"/>
              <w:bottom w:val="nil"/>
              <w:right w:val="nil"/>
            </w:tcBorders>
          </w:tcPr>
          <w:p w14:paraId="40E54B52"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78764E0"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(-2.99)</w:t>
            </w:r>
          </w:p>
        </w:tc>
        <w:tc>
          <w:tcPr>
            <w:tcW w:w="1656" w:type="dxa"/>
            <w:tcBorders>
              <w:top w:val="nil"/>
              <w:left w:val="nil"/>
              <w:bottom w:val="nil"/>
              <w:right w:val="nil"/>
            </w:tcBorders>
          </w:tcPr>
          <w:p w14:paraId="6035C847"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(-3.43)</w:t>
            </w:r>
          </w:p>
        </w:tc>
        <w:tc>
          <w:tcPr>
            <w:tcW w:w="1656" w:type="dxa"/>
            <w:tcBorders>
              <w:top w:val="nil"/>
              <w:left w:val="nil"/>
              <w:bottom w:val="nil"/>
              <w:right w:val="nil"/>
            </w:tcBorders>
          </w:tcPr>
          <w:p w14:paraId="0A514302"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(-3.33)</w:t>
            </w:r>
          </w:p>
        </w:tc>
        <w:tc>
          <w:tcPr>
            <w:tcW w:w="1656" w:type="dxa"/>
            <w:tcBorders>
              <w:top w:val="nil"/>
              <w:left w:val="nil"/>
              <w:bottom w:val="nil"/>
              <w:right w:val="nil"/>
            </w:tcBorders>
          </w:tcPr>
          <w:p w14:paraId="6A8456D3"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656" w:type="dxa"/>
            <w:tcBorders>
              <w:top w:val="nil"/>
              <w:left w:val="nil"/>
              <w:bottom w:val="nil"/>
              <w:right w:val="nil"/>
            </w:tcBorders>
          </w:tcPr>
          <w:p w14:paraId="7203D835"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(1.87)</w:t>
            </w:r>
          </w:p>
        </w:tc>
      </w:tr>
      <w:tr w:rsidR="00065EC4" w14:paraId="4B77AA8F" w14:textId="77777777" w:rsidTr="00F16287">
        <w:tc>
          <w:tcPr>
            <w:tcW w:w="2136" w:type="dxa"/>
            <w:tcBorders>
              <w:top w:val="nil"/>
              <w:left w:val="nil"/>
              <w:bottom w:val="nil"/>
              <w:right w:val="nil"/>
            </w:tcBorders>
          </w:tcPr>
          <w:p w14:paraId="0E41FE9B"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4D1374F"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943919D"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0360B8C"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466000E"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81CFF37"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p>
        </w:tc>
      </w:tr>
      <w:tr w:rsidR="00065EC4" w14:paraId="6B6C0A85" w14:textId="77777777" w:rsidTr="00F16287">
        <w:tc>
          <w:tcPr>
            <w:tcW w:w="2136" w:type="dxa"/>
            <w:tcBorders>
              <w:top w:val="nil"/>
              <w:left w:val="nil"/>
              <w:bottom w:val="nil"/>
              <w:right w:val="nil"/>
            </w:tcBorders>
          </w:tcPr>
          <w:p w14:paraId="48D71806"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7EC1837B"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-0.00757</w:t>
            </w:r>
          </w:p>
        </w:tc>
        <w:tc>
          <w:tcPr>
            <w:tcW w:w="1656" w:type="dxa"/>
            <w:tcBorders>
              <w:top w:val="nil"/>
              <w:left w:val="nil"/>
              <w:bottom w:val="nil"/>
              <w:right w:val="nil"/>
            </w:tcBorders>
          </w:tcPr>
          <w:p w14:paraId="60DDF5B3"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-0.00722</w:t>
            </w:r>
          </w:p>
        </w:tc>
        <w:tc>
          <w:tcPr>
            <w:tcW w:w="1656" w:type="dxa"/>
            <w:tcBorders>
              <w:top w:val="nil"/>
              <w:left w:val="nil"/>
              <w:bottom w:val="nil"/>
              <w:right w:val="nil"/>
            </w:tcBorders>
          </w:tcPr>
          <w:p w14:paraId="3E27C325"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0.00980</w:t>
            </w:r>
          </w:p>
        </w:tc>
        <w:tc>
          <w:tcPr>
            <w:tcW w:w="1656" w:type="dxa"/>
            <w:tcBorders>
              <w:top w:val="nil"/>
              <w:left w:val="nil"/>
              <w:bottom w:val="nil"/>
              <w:right w:val="nil"/>
            </w:tcBorders>
          </w:tcPr>
          <w:p w14:paraId="16764A98"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3186F20"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0.00354</w:t>
            </w:r>
            <w:r>
              <w:rPr>
                <w:rFonts w:ascii="Times New Roman" w:hAnsi="Times New Roman" w:cs="Times New Roman"/>
                <w:sz w:val="24"/>
                <w:szCs w:val="24"/>
                <w:vertAlign w:val="superscript"/>
              </w:rPr>
              <w:t>*</w:t>
            </w:r>
          </w:p>
        </w:tc>
      </w:tr>
      <w:tr w:rsidR="00065EC4" w14:paraId="3820558B" w14:textId="77777777" w:rsidTr="00F16287">
        <w:tc>
          <w:tcPr>
            <w:tcW w:w="2136" w:type="dxa"/>
            <w:tcBorders>
              <w:top w:val="nil"/>
              <w:left w:val="nil"/>
              <w:bottom w:val="nil"/>
              <w:right w:val="nil"/>
            </w:tcBorders>
          </w:tcPr>
          <w:p w14:paraId="2ADC7FBD"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81D2D08"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(-1.47)</w:t>
            </w:r>
          </w:p>
        </w:tc>
        <w:tc>
          <w:tcPr>
            <w:tcW w:w="1656" w:type="dxa"/>
            <w:tcBorders>
              <w:top w:val="nil"/>
              <w:left w:val="nil"/>
              <w:bottom w:val="nil"/>
              <w:right w:val="nil"/>
            </w:tcBorders>
          </w:tcPr>
          <w:p w14:paraId="42556EA9"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(-1.62)</w:t>
            </w:r>
          </w:p>
        </w:tc>
        <w:tc>
          <w:tcPr>
            <w:tcW w:w="1656" w:type="dxa"/>
            <w:tcBorders>
              <w:top w:val="nil"/>
              <w:left w:val="nil"/>
              <w:bottom w:val="nil"/>
              <w:right w:val="nil"/>
            </w:tcBorders>
          </w:tcPr>
          <w:p w14:paraId="628332AB"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(1.84)</w:t>
            </w:r>
          </w:p>
        </w:tc>
        <w:tc>
          <w:tcPr>
            <w:tcW w:w="1656" w:type="dxa"/>
            <w:tcBorders>
              <w:top w:val="nil"/>
              <w:left w:val="nil"/>
              <w:bottom w:val="nil"/>
              <w:right w:val="nil"/>
            </w:tcBorders>
          </w:tcPr>
          <w:p w14:paraId="5E3BABD3"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(6.49)</w:t>
            </w:r>
          </w:p>
        </w:tc>
        <w:tc>
          <w:tcPr>
            <w:tcW w:w="1656" w:type="dxa"/>
            <w:tcBorders>
              <w:top w:val="nil"/>
              <w:left w:val="nil"/>
              <w:bottom w:val="nil"/>
              <w:right w:val="nil"/>
            </w:tcBorders>
          </w:tcPr>
          <w:p w14:paraId="323BB876"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(2.10)</w:t>
            </w:r>
          </w:p>
        </w:tc>
      </w:tr>
      <w:tr w:rsidR="00065EC4" w14:paraId="1BF7DCE9" w14:textId="77777777" w:rsidTr="00F16287">
        <w:tc>
          <w:tcPr>
            <w:tcW w:w="2136" w:type="dxa"/>
            <w:tcBorders>
              <w:top w:val="nil"/>
              <w:left w:val="nil"/>
              <w:bottom w:val="nil"/>
              <w:right w:val="nil"/>
            </w:tcBorders>
          </w:tcPr>
          <w:p w14:paraId="4B7E84B2"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FB57A47"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020D8ED"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72EBB7E"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6DB7784"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C84C149"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p>
        </w:tc>
      </w:tr>
      <w:tr w:rsidR="00065EC4" w14:paraId="2B16712E" w14:textId="77777777" w:rsidTr="00F16287">
        <w:tc>
          <w:tcPr>
            <w:tcW w:w="2136" w:type="dxa"/>
            <w:tcBorders>
              <w:top w:val="nil"/>
              <w:left w:val="nil"/>
              <w:bottom w:val="nil"/>
              <w:right w:val="nil"/>
            </w:tcBorders>
          </w:tcPr>
          <w:p w14:paraId="0EE2881A"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238BFC6D"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0.893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C5FB72A"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F02B0BC"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542D40A"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FCD893B"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0.320</w:t>
            </w:r>
            <w:r>
              <w:rPr>
                <w:rFonts w:ascii="Times New Roman" w:hAnsi="Times New Roman" w:cs="Times New Roman"/>
                <w:sz w:val="24"/>
                <w:szCs w:val="24"/>
                <w:vertAlign w:val="superscript"/>
              </w:rPr>
              <w:t>***</w:t>
            </w:r>
          </w:p>
        </w:tc>
      </w:tr>
      <w:tr w:rsidR="00065EC4" w14:paraId="3A1D8C61" w14:textId="77777777" w:rsidTr="00F16287">
        <w:tc>
          <w:tcPr>
            <w:tcW w:w="2136" w:type="dxa"/>
            <w:tcBorders>
              <w:top w:val="nil"/>
              <w:left w:val="nil"/>
              <w:bottom w:val="single" w:sz="4" w:space="0" w:color="auto"/>
              <w:right w:val="nil"/>
            </w:tcBorders>
          </w:tcPr>
          <w:p w14:paraId="1700B5E6"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114EF746"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(12.23)</w:t>
            </w:r>
          </w:p>
        </w:tc>
        <w:tc>
          <w:tcPr>
            <w:tcW w:w="1656" w:type="dxa"/>
            <w:tcBorders>
              <w:top w:val="nil"/>
              <w:left w:val="nil"/>
              <w:bottom w:val="single" w:sz="4" w:space="0" w:color="auto"/>
              <w:right w:val="nil"/>
            </w:tcBorders>
          </w:tcPr>
          <w:p w14:paraId="1D70ED2F"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(9.17)</w:t>
            </w:r>
          </w:p>
        </w:tc>
        <w:tc>
          <w:tcPr>
            <w:tcW w:w="1656" w:type="dxa"/>
            <w:tcBorders>
              <w:top w:val="nil"/>
              <w:left w:val="nil"/>
              <w:bottom w:val="single" w:sz="4" w:space="0" w:color="auto"/>
              <w:right w:val="nil"/>
            </w:tcBorders>
          </w:tcPr>
          <w:p w14:paraId="1047D2C2"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(11.44)</w:t>
            </w:r>
          </w:p>
        </w:tc>
        <w:tc>
          <w:tcPr>
            <w:tcW w:w="1656" w:type="dxa"/>
            <w:tcBorders>
              <w:top w:val="nil"/>
              <w:left w:val="nil"/>
              <w:bottom w:val="single" w:sz="4" w:space="0" w:color="auto"/>
              <w:right w:val="nil"/>
            </w:tcBorders>
          </w:tcPr>
          <w:p w14:paraId="2E6D162C"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(-6.78)</w:t>
            </w:r>
          </w:p>
        </w:tc>
        <w:tc>
          <w:tcPr>
            <w:tcW w:w="1656" w:type="dxa"/>
            <w:tcBorders>
              <w:top w:val="nil"/>
              <w:left w:val="nil"/>
              <w:bottom w:val="single" w:sz="4" w:space="0" w:color="auto"/>
              <w:right w:val="nil"/>
            </w:tcBorders>
          </w:tcPr>
          <w:p w14:paraId="29F86A95"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(14.40)</w:t>
            </w:r>
          </w:p>
        </w:tc>
      </w:tr>
      <w:tr w:rsidR="00065EC4" w14:paraId="359A2A26" w14:textId="77777777" w:rsidTr="00F16287">
        <w:tc>
          <w:tcPr>
            <w:tcW w:w="2136" w:type="dxa"/>
            <w:tcBorders>
              <w:top w:val="nil"/>
              <w:left w:val="nil"/>
              <w:bottom w:val="single" w:sz="4" w:space="0" w:color="auto"/>
              <w:right w:val="nil"/>
            </w:tcBorders>
          </w:tcPr>
          <w:p w14:paraId="1A9F2C33" w14:textId="77777777" w:rsidR="00065EC4" w:rsidRDefault="00065EC4"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676F5487"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1651</w:t>
            </w:r>
          </w:p>
        </w:tc>
        <w:tc>
          <w:tcPr>
            <w:tcW w:w="1656" w:type="dxa"/>
            <w:tcBorders>
              <w:top w:val="nil"/>
              <w:left w:val="nil"/>
              <w:bottom w:val="single" w:sz="4" w:space="0" w:color="auto"/>
              <w:right w:val="nil"/>
            </w:tcBorders>
          </w:tcPr>
          <w:p w14:paraId="350A9B21"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1651</w:t>
            </w:r>
          </w:p>
        </w:tc>
        <w:tc>
          <w:tcPr>
            <w:tcW w:w="1656" w:type="dxa"/>
            <w:tcBorders>
              <w:top w:val="nil"/>
              <w:left w:val="nil"/>
              <w:bottom w:val="single" w:sz="4" w:space="0" w:color="auto"/>
              <w:right w:val="nil"/>
            </w:tcBorders>
          </w:tcPr>
          <w:p w14:paraId="72EE23E4"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1334</w:t>
            </w:r>
          </w:p>
        </w:tc>
        <w:tc>
          <w:tcPr>
            <w:tcW w:w="1656" w:type="dxa"/>
            <w:tcBorders>
              <w:top w:val="nil"/>
              <w:left w:val="nil"/>
              <w:bottom w:val="single" w:sz="4" w:space="0" w:color="auto"/>
              <w:right w:val="nil"/>
            </w:tcBorders>
          </w:tcPr>
          <w:p w14:paraId="34E3D90A"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2669</w:t>
            </w:r>
          </w:p>
        </w:tc>
        <w:tc>
          <w:tcPr>
            <w:tcW w:w="1656" w:type="dxa"/>
            <w:tcBorders>
              <w:top w:val="nil"/>
              <w:left w:val="nil"/>
              <w:bottom w:val="single" w:sz="4" w:space="0" w:color="auto"/>
              <w:right w:val="nil"/>
            </w:tcBorders>
          </w:tcPr>
          <w:p w14:paraId="240A2E2D" w14:textId="77777777" w:rsidR="00065EC4" w:rsidRDefault="00065EC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4491</w:t>
            </w:r>
          </w:p>
        </w:tc>
      </w:tr>
    </w:tbl>
    <w:p w14:paraId="764FB750" w14:textId="77777777" w:rsidR="00065EC4" w:rsidRDefault="00065EC4" w:rsidP="00065EC4">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39AD8933" w14:textId="0ED8396D" w:rsidR="00065EC4" w:rsidRPr="00065EC4" w:rsidRDefault="00065EC4" w:rsidP="000135B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8AE2808" w14:textId="77777777" w:rsidR="0014724F" w:rsidRPr="00977E29" w:rsidRDefault="0014724F" w:rsidP="000135B6">
      <w:pPr>
        <w:widowControl w:val="0"/>
        <w:autoSpaceDE w:val="0"/>
        <w:autoSpaceDN w:val="0"/>
        <w:adjustRightInd w:val="0"/>
        <w:spacing w:after="0" w:line="240" w:lineRule="auto"/>
        <w:rPr>
          <w:rFonts w:ascii="Times New Roman" w:hAnsi="Times New Roman" w:cs="Times New Roman"/>
          <w:sz w:val="20"/>
          <w:szCs w:val="20"/>
          <w:highlight w:val="yellow"/>
        </w:rPr>
      </w:pPr>
    </w:p>
    <w:p w14:paraId="75469453" w14:textId="0C1A0207" w:rsidR="00017D8D" w:rsidRDefault="00051192" w:rsidP="004248EF">
      <w:pPr>
        <w:widowControl w:val="0"/>
        <w:autoSpaceDE w:val="0"/>
        <w:autoSpaceDN w:val="0"/>
        <w:adjustRightInd w:val="0"/>
        <w:spacing w:after="0" w:line="240" w:lineRule="auto"/>
        <w:rPr>
          <w:rFonts w:ascii="Times New Roman" w:hAnsi="Times New Roman" w:cs="Times New Roman"/>
          <w:sz w:val="24"/>
          <w:szCs w:val="24"/>
        </w:rPr>
      </w:pPr>
      <w:r w:rsidRPr="00065EC4">
        <w:rPr>
          <w:lang w:val="en-GB"/>
        </w:rPr>
        <w:t xml:space="preserve">Table 2: </w:t>
      </w:r>
      <w:r w:rsidR="00EF79FF" w:rsidRPr="00065EC4">
        <w:rPr>
          <w:lang w:val="en-GB"/>
        </w:rPr>
        <w:t>Fixed Effects Panel Regression, Clustered Standard Errors</w:t>
      </w:r>
    </w:p>
    <w:p w14:paraId="5CCC7CB7" w14:textId="77777777" w:rsidR="004248EF" w:rsidRPr="004248EF" w:rsidRDefault="004248EF" w:rsidP="004248EF">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4248EF" w14:paraId="7281D321" w14:textId="77777777" w:rsidTr="00F16287">
        <w:tc>
          <w:tcPr>
            <w:tcW w:w="2136" w:type="dxa"/>
            <w:tcBorders>
              <w:top w:val="single" w:sz="4" w:space="0" w:color="auto"/>
              <w:left w:val="nil"/>
              <w:bottom w:val="nil"/>
              <w:right w:val="nil"/>
            </w:tcBorders>
          </w:tcPr>
          <w:p w14:paraId="003C5713" w14:textId="77777777" w:rsidR="004248EF" w:rsidRDefault="004248E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25E5170C"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60B1E21A"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233BF742"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4E896376"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07B98076"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4248EF" w14:paraId="6109E182" w14:textId="77777777" w:rsidTr="00F16287">
        <w:tc>
          <w:tcPr>
            <w:tcW w:w="2136" w:type="dxa"/>
            <w:tcBorders>
              <w:top w:val="nil"/>
              <w:left w:val="nil"/>
              <w:bottom w:val="nil"/>
              <w:right w:val="nil"/>
            </w:tcBorders>
          </w:tcPr>
          <w:p w14:paraId="798D95E4" w14:textId="77777777" w:rsidR="004248EF" w:rsidRDefault="004248E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7BC443D"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1C92AE1B"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422E0266"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7A1ECC8E"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0A9A6B0F"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4248EF" w14:paraId="3FC308DA" w14:textId="77777777" w:rsidTr="00F16287">
        <w:tc>
          <w:tcPr>
            <w:tcW w:w="2136" w:type="dxa"/>
            <w:tcBorders>
              <w:top w:val="single" w:sz="4" w:space="0" w:color="auto"/>
              <w:left w:val="nil"/>
              <w:bottom w:val="nil"/>
              <w:right w:val="nil"/>
            </w:tcBorders>
          </w:tcPr>
          <w:p w14:paraId="531D27DE" w14:textId="77777777" w:rsidR="004248EF" w:rsidRPr="004248EF" w:rsidRDefault="004248EF" w:rsidP="00F16287">
            <w:pPr>
              <w:widowControl w:val="0"/>
              <w:autoSpaceDE w:val="0"/>
              <w:autoSpaceDN w:val="0"/>
              <w:adjustRightInd w:val="0"/>
              <w:spacing w:after="0" w:line="240" w:lineRule="auto"/>
              <w:rPr>
                <w:rFonts w:ascii="Times New Roman" w:hAnsi="Times New Roman" w:cs="Times New Roman"/>
                <w:sz w:val="24"/>
                <w:szCs w:val="24"/>
                <w:lang w:val="fr-BE"/>
              </w:rPr>
            </w:pPr>
            <w:r w:rsidRPr="004248EF">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208F6237"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0.276</w:t>
            </w:r>
          </w:p>
        </w:tc>
        <w:tc>
          <w:tcPr>
            <w:tcW w:w="1656" w:type="dxa"/>
            <w:tcBorders>
              <w:top w:val="single" w:sz="4" w:space="0" w:color="auto"/>
              <w:left w:val="nil"/>
              <w:bottom w:val="nil"/>
              <w:right w:val="nil"/>
            </w:tcBorders>
          </w:tcPr>
          <w:p w14:paraId="37B7A768"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0.303</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1B9E08F1"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0.389</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18C9B5F5"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-0.417</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0D563885"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1.000</w:t>
            </w:r>
            <w:r>
              <w:rPr>
                <w:rFonts w:ascii="Times New Roman" w:hAnsi="Times New Roman" w:cs="Times New Roman"/>
                <w:sz w:val="24"/>
                <w:szCs w:val="24"/>
                <w:vertAlign w:val="superscript"/>
              </w:rPr>
              <w:t>***</w:t>
            </w:r>
          </w:p>
        </w:tc>
      </w:tr>
      <w:tr w:rsidR="004248EF" w14:paraId="17D5F57A" w14:textId="77777777" w:rsidTr="00F16287">
        <w:tc>
          <w:tcPr>
            <w:tcW w:w="2136" w:type="dxa"/>
            <w:tcBorders>
              <w:top w:val="nil"/>
              <w:left w:val="nil"/>
              <w:bottom w:val="nil"/>
              <w:right w:val="nil"/>
            </w:tcBorders>
          </w:tcPr>
          <w:p w14:paraId="3837786D" w14:textId="77777777" w:rsidR="004248EF" w:rsidRDefault="004248E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313B049"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(1.44)</w:t>
            </w:r>
          </w:p>
        </w:tc>
        <w:tc>
          <w:tcPr>
            <w:tcW w:w="1656" w:type="dxa"/>
            <w:tcBorders>
              <w:top w:val="nil"/>
              <w:left w:val="nil"/>
              <w:bottom w:val="nil"/>
              <w:right w:val="nil"/>
            </w:tcBorders>
          </w:tcPr>
          <w:p w14:paraId="655EAD52"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w:t>
            </w:r>
          </w:p>
        </w:tc>
        <w:tc>
          <w:tcPr>
            <w:tcW w:w="1656" w:type="dxa"/>
            <w:tcBorders>
              <w:top w:val="nil"/>
              <w:left w:val="nil"/>
              <w:bottom w:val="nil"/>
              <w:right w:val="nil"/>
            </w:tcBorders>
          </w:tcPr>
          <w:p w14:paraId="7C2C0398"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(1.99)</w:t>
            </w:r>
          </w:p>
        </w:tc>
        <w:tc>
          <w:tcPr>
            <w:tcW w:w="1656" w:type="dxa"/>
            <w:tcBorders>
              <w:top w:val="nil"/>
              <w:left w:val="nil"/>
              <w:bottom w:val="nil"/>
              <w:right w:val="nil"/>
            </w:tcBorders>
          </w:tcPr>
          <w:p w14:paraId="3F92D222"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(-2.75)</w:t>
            </w:r>
          </w:p>
        </w:tc>
        <w:tc>
          <w:tcPr>
            <w:tcW w:w="1656" w:type="dxa"/>
            <w:tcBorders>
              <w:top w:val="nil"/>
              <w:left w:val="nil"/>
              <w:bottom w:val="nil"/>
              <w:right w:val="nil"/>
            </w:tcBorders>
          </w:tcPr>
          <w:p w14:paraId="7E943C30"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(11.15)</w:t>
            </w:r>
          </w:p>
        </w:tc>
      </w:tr>
      <w:tr w:rsidR="004248EF" w14:paraId="6E40778C" w14:textId="77777777" w:rsidTr="00F16287">
        <w:tc>
          <w:tcPr>
            <w:tcW w:w="2136" w:type="dxa"/>
            <w:tcBorders>
              <w:top w:val="nil"/>
              <w:left w:val="nil"/>
              <w:bottom w:val="nil"/>
              <w:right w:val="nil"/>
            </w:tcBorders>
          </w:tcPr>
          <w:p w14:paraId="0636FC80" w14:textId="77777777" w:rsidR="004248EF" w:rsidRDefault="004248E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681704D" w14:textId="77777777" w:rsidR="004248EF" w:rsidRDefault="004248E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EBDFD7C" w14:textId="77777777" w:rsidR="004248EF" w:rsidRDefault="004248E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9B24AC6" w14:textId="77777777" w:rsidR="004248EF" w:rsidRDefault="004248E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7EB67C4" w14:textId="77777777" w:rsidR="004248EF" w:rsidRDefault="004248E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CF8C23C" w14:textId="77777777" w:rsidR="004248EF" w:rsidRDefault="004248EF" w:rsidP="00F16287">
            <w:pPr>
              <w:widowControl w:val="0"/>
              <w:autoSpaceDE w:val="0"/>
              <w:autoSpaceDN w:val="0"/>
              <w:adjustRightInd w:val="0"/>
              <w:spacing w:after="0" w:line="240" w:lineRule="auto"/>
              <w:rPr>
                <w:rFonts w:ascii="Times New Roman" w:hAnsi="Times New Roman" w:cs="Times New Roman"/>
                <w:sz w:val="24"/>
                <w:szCs w:val="24"/>
              </w:rPr>
            </w:pPr>
          </w:p>
        </w:tc>
      </w:tr>
      <w:tr w:rsidR="004248EF" w14:paraId="4B5EFAEE" w14:textId="77777777" w:rsidTr="00F16287">
        <w:tc>
          <w:tcPr>
            <w:tcW w:w="2136" w:type="dxa"/>
            <w:tcBorders>
              <w:top w:val="nil"/>
              <w:left w:val="nil"/>
              <w:bottom w:val="nil"/>
              <w:right w:val="nil"/>
            </w:tcBorders>
          </w:tcPr>
          <w:p w14:paraId="3A372A86" w14:textId="77777777" w:rsidR="004248EF" w:rsidRDefault="004248E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71672979"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-0.0120</w:t>
            </w:r>
          </w:p>
        </w:tc>
        <w:tc>
          <w:tcPr>
            <w:tcW w:w="1656" w:type="dxa"/>
            <w:tcBorders>
              <w:top w:val="nil"/>
              <w:left w:val="nil"/>
              <w:bottom w:val="nil"/>
              <w:right w:val="nil"/>
            </w:tcBorders>
          </w:tcPr>
          <w:p w14:paraId="1DAEFC26"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D0BF493"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-0.00615</w:t>
            </w:r>
          </w:p>
        </w:tc>
        <w:tc>
          <w:tcPr>
            <w:tcW w:w="1656" w:type="dxa"/>
            <w:tcBorders>
              <w:top w:val="nil"/>
              <w:left w:val="nil"/>
              <w:bottom w:val="nil"/>
              <w:right w:val="nil"/>
            </w:tcBorders>
          </w:tcPr>
          <w:p w14:paraId="2EB2A324"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0.0106</w:t>
            </w:r>
          </w:p>
        </w:tc>
        <w:tc>
          <w:tcPr>
            <w:tcW w:w="1656" w:type="dxa"/>
            <w:tcBorders>
              <w:top w:val="nil"/>
              <w:left w:val="nil"/>
              <w:bottom w:val="nil"/>
              <w:right w:val="nil"/>
            </w:tcBorders>
          </w:tcPr>
          <w:p w14:paraId="16295999"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0.00690</w:t>
            </w:r>
          </w:p>
        </w:tc>
      </w:tr>
      <w:tr w:rsidR="004248EF" w14:paraId="577035D7" w14:textId="77777777" w:rsidTr="00F16287">
        <w:tc>
          <w:tcPr>
            <w:tcW w:w="2136" w:type="dxa"/>
            <w:tcBorders>
              <w:top w:val="nil"/>
              <w:left w:val="nil"/>
              <w:bottom w:val="nil"/>
              <w:right w:val="nil"/>
            </w:tcBorders>
          </w:tcPr>
          <w:p w14:paraId="15CD46B8" w14:textId="77777777" w:rsidR="004248EF" w:rsidRDefault="004248E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F1EB48A"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(-1.61)</w:t>
            </w:r>
          </w:p>
        </w:tc>
        <w:tc>
          <w:tcPr>
            <w:tcW w:w="1656" w:type="dxa"/>
            <w:tcBorders>
              <w:top w:val="nil"/>
              <w:left w:val="nil"/>
              <w:bottom w:val="nil"/>
              <w:right w:val="nil"/>
            </w:tcBorders>
          </w:tcPr>
          <w:p w14:paraId="58011F12"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(-3.45)</w:t>
            </w:r>
          </w:p>
        </w:tc>
        <w:tc>
          <w:tcPr>
            <w:tcW w:w="1656" w:type="dxa"/>
            <w:tcBorders>
              <w:top w:val="nil"/>
              <w:left w:val="nil"/>
              <w:bottom w:val="nil"/>
              <w:right w:val="nil"/>
            </w:tcBorders>
          </w:tcPr>
          <w:p w14:paraId="3E11E901"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w:t>
            </w:r>
          </w:p>
        </w:tc>
        <w:tc>
          <w:tcPr>
            <w:tcW w:w="1656" w:type="dxa"/>
            <w:tcBorders>
              <w:top w:val="nil"/>
              <w:left w:val="nil"/>
              <w:bottom w:val="nil"/>
              <w:right w:val="nil"/>
            </w:tcBorders>
          </w:tcPr>
          <w:p w14:paraId="5024A1AE"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(1.69)</w:t>
            </w:r>
          </w:p>
        </w:tc>
        <w:tc>
          <w:tcPr>
            <w:tcW w:w="1656" w:type="dxa"/>
            <w:tcBorders>
              <w:top w:val="nil"/>
              <w:left w:val="nil"/>
              <w:bottom w:val="nil"/>
              <w:right w:val="nil"/>
            </w:tcBorders>
          </w:tcPr>
          <w:p w14:paraId="285B73A4"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w:t>
            </w:r>
          </w:p>
        </w:tc>
      </w:tr>
      <w:tr w:rsidR="004248EF" w14:paraId="10FE3499" w14:textId="77777777" w:rsidTr="00F16287">
        <w:tc>
          <w:tcPr>
            <w:tcW w:w="2136" w:type="dxa"/>
            <w:tcBorders>
              <w:top w:val="nil"/>
              <w:left w:val="nil"/>
              <w:bottom w:val="nil"/>
              <w:right w:val="nil"/>
            </w:tcBorders>
          </w:tcPr>
          <w:p w14:paraId="06CE5C17" w14:textId="77777777" w:rsidR="004248EF" w:rsidRDefault="004248E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5AF8FCF" w14:textId="77777777" w:rsidR="004248EF" w:rsidRDefault="004248E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B2CCD8B" w14:textId="77777777" w:rsidR="004248EF" w:rsidRDefault="004248E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0D62310" w14:textId="77777777" w:rsidR="004248EF" w:rsidRDefault="004248E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20C0749" w14:textId="77777777" w:rsidR="004248EF" w:rsidRDefault="004248E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28059B5" w14:textId="77777777" w:rsidR="004248EF" w:rsidRDefault="004248EF" w:rsidP="00F16287">
            <w:pPr>
              <w:widowControl w:val="0"/>
              <w:autoSpaceDE w:val="0"/>
              <w:autoSpaceDN w:val="0"/>
              <w:adjustRightInd w:val="0"/>
              <w:spacing w:after="0" w:line="240" w:lineRule="auto"/>
              <w:rPr>
                <w:rFonts w:ascii="Times New Roman" w:hAnsi="Times New Roman" w:cs="Times New Roman"/>
                <w:sz w:val="24"/>
                <w:szCs w:val="24"/>
              </w:rPr>
            </w:pPr>
          </w:p>
        </w:tc>
      </w:tr>
      <w:tr w:rsidR="004248EF" w14:paraId="65F76DF4" w14:textId="77777777" w:rsidTr="00F16287">
        <w:tc>
          <w:tcPr>
            <w:tcW w:w="2136" w:type="dxa"/>
            <w:tcBorders>
              <w:top w:val="nil"/>
              <w:left w:val="nil"/>
              <w:bottom w:val="nil"/>
              <w:right w:val="nil"/>
            </w:tcBorders>
          </w:tcPr>
          <w:p w14:paraId="03347BC6" w14:textId="77777777" w:rsidR="004248EF" w:rsidRDefault="004248E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0F7D092A"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AD54682"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2FEC72F"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32C4DBC"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0.0283</w:t>
            </w:r>
          </w:p>
        </w:tc>
        <w:tc>
          <w:tcPr>
            <w:tcW w:w="1656" w:type="dxa"/>
            <w:tcBorders>
              <w:top w:val="nil"/>
              <w:left w:val="nil"/>
              <w:bottom w:val="nil"/>
              <w:right w:val="nil"/>
            </w:tcBorders>
          </w:tcPr>
          <w:p w14:paraId="45AF0248"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-0.113</w:t>
            </w:r>
            <w:r>
              <w:rPr>
                <w:rFonts w:ascii="Times New Roman" w:hAnsi="Times New Roman" w:cs="Times New Roman"/>
                <w:sz w:val="24"/>
                <w:szCs w:val="24"/>
                <w:vertAlign w:val="superscript"/>
              </w:rPr>
              <w:t>*</w:t>
            </w:r>
          </w:p>
        </w:tc>
      </w:tr>
      <w:tr w:rsidR="004248EF" w14:paraId="57C774F2" w14:textId="77777777" w:rsidTr="00F16287">
        <w:tc>
          <w:tcPr>
            <w:tcW w:w="2136" w:type="dxa"/>
            <w:tcBorders>
              <w:top w:val="nil"/>
              <w:left w:val="nil"/>
              <w:bottom w:val="single" w:sz="4" w:space="0" w:color="auto"/>
              <w:right w:val="nil"/>
            </w:tcBorders>
          </w:tcPr>
          <w:p w14:paraId="604215C3" w14:textId="77777777" w:rsidR="004248EF" w:rsidRDefault="004248E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6249B7CC"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1656" w:type="dxa"/>
            <w:tcBorders>
              <w:top w:val="nil"/>
              <w:left w:val="nil"/>
              <w:bottom w:val="single" w:sz="4" w:space="0" w:color="auto"/>
              <w:right w:val="nil"/>
            </w:tcBorders>
          </w:tcPr>
          <w:p w14:paraId="411D04C5"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(5.43)</w:t>
            </w:r>
          </w:p>
        </w:tc>
        <w:tc>
          <w:tcPr>
            <w:tcW w:w="1656" w:type="dxa"/>
            <w:tcBorders>
              <w:top w:val="nil"/>
              <w:left w:val="nil"/>
              <w:bottom w:val="single" w:sz="4" w:space="0" w:color="auto"/>
              <w:right w:val="nil"/>
            </w:tcBorders>
          </w:tcPr>
          <w:p w14:paraId="114CD67B"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(4.99)</w:t>
            </w:r>
          </w:p>
        </w:tc>
        <w:tc>
          <w:tcPr>
            <w:tcW w:w="1656" w:type="dxa"/>
            <w:tcBorders>
              <w:top w:val="nil"/>
              <w:left w:val="nil"/>
              <w:bottom w:val="single" w:sz="4" w:space="0" w:color="auto"/>
              <w:right w:val="nil"/>
            </w:tcBorders>
          </w:tcPr>
          <w:p w14:paraId="4BCCE926"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656" w:type="dxa"/>
            <w:tcBorders>
              <w:top w:val="nil"/>
              <w:left w:val="nil"/>
              <w:bottom w:val="single" w:sz="4" w:space="0" w:color="auto"/>
              <w:right w:val="nil"/>
            </w:tcBorders>
          </w:tcPr>
          <w:p w14:paraId="0F19470D"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(-2.20)</w:t>
            </w:r>
          </w:p>
        </w:tc>
      </w:tr>
      <w:tr w:rsidR="004248EF" w14:paraId="0D639A27" w14:textId="77777777" w:rsidTr="00F16287">
        <w:tc>
          <w:tcPr>
            <w:tcW w:w="2136" w:type="dxa"/>
            <w:tcBorders>
              <w:top w:val="nil"/>
              <w:left w:val="nil"/>
              <w:bottom w:val="single" w:sz="4" w:space="0" w:color="auto"/>
              <w:right w:val="nil"/>
            </w:tcBorders>
          </w:tcPr>
          <w:p w14:paraId="19DE3CBC" w14:textId="77777777" w:rsidR="004248EF" w:rsidRDefault="004248E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7DCCC372"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1399</w:t>
            </w:r>
          </w:p>
        </w:tc>
        <w:tc>
          <w:tcPr>
            <w:tcW w:w="1656" w:type="dxa"/>
            <w:tcBorders>
              <w:top w:val="nil"/>
              <w:left w:val="nil"/>
              <w:bottom w:val="single" w:sz="4" w:space="0" w:color="auto"/>
              <w:right w:val="nil"/>
            </w:tcBorders>
          </w:tcPr>
          <w:p w14:paraId="3372F3BC"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1399</w:t>
            </w:r>
          </w:p>
        </w:tc>
        <w:tc>
          <w:tcPr>
            <w:tcW w:w="1656" w:type="dxa"/>
            <w:tcBorders>
              <w:top w:val="nil"/>
              <w:left w:val="nil"/>
              <w:bottom w:val="single" w:sz="4" w:space="0" w:color="auto"/>
              <w:right w:val="nil"/>
            </w:tcBorders>
          </w:tcPr>
          <w:p w14:paraId="5BFD4EEF"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1141</w:t>
            </w:r>
          </w:p>
        </w:tc>
        <w:tc>
          <w:tcPr>
            <w:tcW w:w="1656" w:type="dxa"/>
            <w:tcBorders>
              <w:top w:val="nil"/>
              <w:left w:val="nil"/>
              <w:bottom w:val="single" w:sz="4" w:space="0" w:color="auto"/>
              <w:right w:val="nil"/>
            </w:tcBorders>
          </w:tcPr>
          <w:p w14:paraId="1FCA0649"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2141</w:t>
            </w:r>
          </w:p>
        </w:tc>
        <w:tc>
          <w:tcPr>
            <w:tcW w:w="1656" w:type="dxa"/>
            <w:tcBorders>
              <w:top w:val="nil"/>
              <w:left w:val="nil"/>
              <w:bottom w:val="single" w:sz="4" w:space="0" w:color="auto"/>
              <w:right w:val="nil"/>
            </w:tcBorders>
          </w:tcPr>
          <w:p w14:paraId="245FE1BB" w14:textId="77777777" w:rsidR="004248EF" w:rsidRDefault="004248E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4207</w:t>
            </w:r>
          </w:p>
        </w:tc>
      </w:tr>
    </w:tbl>
    <w:p w14:paraId="411D8E21" w14:textId="77777777" w:rsidR="004248EF" w:rsidRDefault="004248EF" w:rsidP="004248EF">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5E2582A" w14:textId="77777777" w:rsidR="004248EF" w:rsidRDefault="004248EF" w:rsidP="004248EF">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59825C0" w14:textId="1FDA3EBE" w:rsidR="000E66FA" w:rsidRDefault="000E66FA" w:rsidP="00E33EEF">
      <w:pPr>
        <w:rPr>
          <w:rFonts w:ascii="Times New Roman" w:hAnsi="Times New Roman" w:cs="Times New Roman"/>
          <w:sz w:val="24"/>
          <w:szCs w:val="24"/>
          <w:highlight w:val="yellow"/>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985EC3" w14:paraId="2BE6E72A" w14:textId="77777777" w:rsidTr="00F16287">
        <w:tc>
          <w:tcPr>
            <w:tcW w:w="2136" w:type="dxa"/>
            <w:tcBorders>
              <w:top w:val="single" w:sz="4" w:space="0" w:color="auto"/>
              <w:left w:val="nil"/>
              <w:bottom w:val="nil"/>
              <w:right w:val="nil"/>
            </w:tcBorders>
          </w:tcPr>
          <w:p w14:paraId="62399B7E"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570F2CF7"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7C3CEF5F"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48B80214"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563488C3"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386F9654"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85EC3" w14:paraId="520EF741" w14:textId="77777777" w:rsidTr="00F16287">
        <w:tc>
          <w:tcPr>
            <w:tcW w:w="2136" w:type="dxa"/>
            <w:tcBorders>
              <w:top w:val="nil"/>
              <w:left w:val="nil"/>
              <w:bottom w:val="nil"/>
              <w:right w:val="nil"/>
            </w:tcBorders>
          </w:tcPr>
          <w:p w14:paraId="543EF725"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E9C2BD3"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1849E7EA"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6652C091"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0FB25C3C"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4889304E"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985EC3" w14:paraId="107B3E19" w14:textId="77777777" w:rsidTr="00F16287">
        <w:tc>
          <w:tcPr>
            <w:tcW w:w="2136" w:type="dxa"/>
            <w:tcBorders>
              <w:top w:val="single" w:sz="4" w:space="0" w:color="auto"/>
              <w:left w:val="nil"/>
              <w:bottom w:val="nil"/>
              <w:right w:val="nil"/>
            </w:tcBorders>
          </w:tcPr>
          <w:p w14:paraId="23304711"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(Lack of) Irregular CB Governor </w:t>
            </w:r>
            <w:r>
              <w:rPr>
                <w:rFonts w:ascii="Times New Roman" w:hAnsi="Times New Roman" w:cs="Times New Roman"/>
                <w:sz w:val="24"/>
                <w:szCs w:val="24"/>
              </w:rPr>
              <w:lastRenderedPageBreak/>
              <w:t>Turnover (higher = more de facto CBI)</w:t>
            </w:r>
          </w:p>
        </w:tc>
        <w:tc>
          <w:tcPr>
            <w:tcW w:w="1656" w:type="dxa"/>
            <w:tcBorders>
              <w:top w:val="single" w:sz="4" w:space="0" w:color="auto"/>
              <w:left w:val="nil"/>
              <w:bottom w:val="nil"/>
              <w:right w:val="nil"/>
            </w:tcBorders>
          </w:tcPr>
          <w:p w14:paraId="0E231179"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-0.117</w:t>
            </w:r>
          </w:p>
        </w:tc>
        <w:tc>
          <w:tcPr>
            <w:tcW w:w="1656" w:type="dxa"/>
            <w:tcBorders>
              <w:top w:val="single" w:sz="4" w:space="0" w:color="auto"/>
              <w:left w:val="nil"/>
              <w:bottom w:val="nil"/>
              <w:right w:val="nil"/>
            </w:tcBorders>
          </w:tcPr>
          <w:p w14:paraId="72620E92"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-0.0512</w:t>
            </w:r>
          </w:p>
        </w:tc>
        <w:tc>
          <w:tcPr>
            <w:tcW w:w="1656" w:type="dxa"/>
            <w:tcBorders>
              <w:top w:val="single" w:sz="4" w:space="0" w:color="auto"/>
              <w:left w:val="nil"/>
              <w:bottom w:val="nil"/>
              <w:right w:val="nil"/>
            </w:tcBorders>
          </w:tcPr>
          <w:p w14:paraId="36D5D90C"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-0.211</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44F46B50"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0.00955</w:t>
            </w:r>
          </w:p>
        </w:tc>
        <w:tc>
          <w:tcPr>
            <w:tcW w:w="1656" w:type="dxa"/>
            <w:tcBorders>
              <w:top w:val="single" w:sz="4" w:space="0" w:color="auto"/>
              <w:left w:val="nil"/>
              <w:bottom w:val="nil"/>
              <w:right w:val="nil"/>
            </w:tcBorders>
          </w:tcPr>
          <w:p w14:paraId="6FC5C09D"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0.0244</w:t>
            </w:r>
          </w:p>
        </w:tc>
      </w:tr>
      <w:tr w:rsidR="00985EC3" w14:paraId="58252FF2" w14:textId="77777777" w:rsidTr="00F16287">
        <w:tc>
          <w:tcPr>
            <w:tcW w:w="2136" w:type="dxa"/>
            <w:tcBorders>
              <w:top w:val="nil"/>
              <w:left w:val="nil"/>
              <w:bottom w:val="nil"/>
              <w:right w:val="nil"/>
            </w:tcBorders>
          </w:tcPr>
          <w:p w14:paraId="630A10AF"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42EEDFB"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(-1.68)</w:t>
            </w:r>
          </w:p>
        </w:tc>
        <w:tc>
          <w:tcPr>
            <w:tcW w:w="1656" w:type="dxa"/>
            <w:tcBorders>
              <w:top w:val="nil"/>
              <w:left w:val="nil"/>
              <w:bottom w:val="nil"/>
              <w:right w:val="nil"/>
            </w:tcBorders>
          </w:tcPr>
          <w:p w14:paraId="676C78F1"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(-0.81)</w:t>
            </w:r>
          </w:p>
        </w:tc>
        <w:tc>
          <w:tcPr>
            <w:tcW w:w="1656" w:type="dxa"/>
            <w:tcBorders>
              <w:top w:val="nil"/>
              <w:left w:val="nil"/>
              <w:bottom w:val="nil"/>
              <w:right w:val="nil"/>
            </w:tcBorders>
          </w:tcPr>
          <w:p w14:paraId="4768AFAF"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(-2.81)</w:t>
            </w:r>
          </w:p>
        </w:tc>
        <w:tc>
          <w:tcPr>
            <w:tcW w:w="1656" w:type="dxa"/>
            <w:tcBorders>
              <w:top w:val="nil"/>
              <w:left w:val="nil"/>
              <w:bottom w:val="nil"/>
              <w:right w:val="nil"/>
            </w:tcBorders>
          </w:tcPr>
          <w:p w14:paraId="1628A943"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656" w:type="dxa"/>
            <w:tcBorders>
              <w:top w:val="nil"/>
              <w:left w:val="nil"/>
              <w:bottom w:val="nil"/>
              <w:right w:val="nil"/>
            </w:tcBorders>
          </w:tcPr>
          <w:p w14:paraId="30F23D44"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w:t>
            </w:r>
          </w:p>
        </w:tc>
      </w:tr>
      <w:tr w:rsidR="00985EC3" w14:paraId="213AE66C" w14:textId="77777777" w:rsidTr="00F16287">
        <w:tc>
          <w:tcPr>
            <w:tcW w:w="2136" w:type="dxa"/>
            <w:tcBorders>
              <w:top w:val="nil"/>
              <w:left w:val="nil"/>
              <w:bottom w:val="nil"/>
              <w:right w:val="nil"/>
            </w:tcBorders>
          </w:tcPr>
          <w:p w14:paraId="25AD3361"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098C943"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06DCB96"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F27EE79"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9F440AF"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A621E8C"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p>
        </w:tc>
      </w:tr>
      <w:tr w:rsidR="00985EC3" w14:paraId="4A04D028" w14:textId="77777777" w:rsidTr="00F16287">
        <w:tc>
          <w:tcPr>
            <w:tcW w:w="2136" w:type="dxa"/>
            <w:tcBorders>
              <w:top w:val="nil"/>
              <w:left w:val="nil"/>
              <w:bottom w:val="nil"/>
              <w:right w:val="nil"/>
            </w:tcBorders>
          </w:tcPr>
          <w:p w14:paraId="6BA67B59"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6CD6F56C"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-0.00548</w:t>
            </w:r>
          </w:p>
        </w:tc>
        <w:tc>
          <w:tcPr>
            <w:tcW w:w="1656" w:type="dxa"/>
            <w:tcBorders>
              <w:top w:val="nil"/>
              <w:left w:val="nil"/>
              <w:bottom w:val="nil"/>
              <w:right w:val="nil"/>
            </w:tcBorders>
          </w:tcPr>
          <w:p w14:paraId="0D922640"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AD21C06"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0.00444</w:t>
            </w:r>
          </w:p>
        </w:tc>
        <w:tc>
          <w:tcPr>
            <w:tcW w:w="1656" w:type="dxa"/>
            <w:tcBorders>
              <w:top w:val="nil"/>
              <w:left w:val="nil"/>
              <w:bottom w:val="nil"/>
              <w:right w:val="nil"/>
            </w:tcBorders>
          </w:tcPr>
          <w:p w14:paraId="2989E38E"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9EB7C1B"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0.0128</w:t>
            </w:r>
            <w:r>
              <w:rPr>
                <w:rFonts w:ascii="Times New Roman" w:hAnsi="Times New Roman" w:cs="Times New Roman"/>
                <w:sz w:val="24"/>
                <w:szCs w:val="24"/>
                <w:vertAlign w:val="superscript"/>
              </w:rPr>
              <w:t>**</w:t>
            </w:r>
          </w:p>
        </w:tc>
      </w:tr>
      <w:tr w:rsidR="00985EC3" w14:paraId="4B8B498C" w14:textId="77777777" w:rsidTr="00F16287">
        <w:tc>
          <w:tcPr>
            <w:tcW w:w="2136" w:type="dxa"/>
            <w:tcBorders>
              <w:top w:val="nil"/>
              <w:left w:val="nil"/>
              <w:bottom w:val="nil"/>
              <w:right w:val="nil"/>
            </w:tcBorders>
          </w:tcPr>
          <w:p w14:paraId="35B258C9"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04F116"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w:t>
            </w:r>
          </w:p>
        </w:tc>
        <w:tc>
          <w:tcPr>
            <w:tcW w:w="1656" w:type="dxa"/>
            <w:tcBorders>
              <w:top w:val="nil"/>
              <w:left w:val="nil"/>
              <w:bottom w:val="nil"/>
              <w:right w:val="nil"/>
            </w:tcBorders>
          </w:tcPr>
          <w:p w14:paraId="56A19934"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(-2.06)</w:t>
            </w:r>
          </w:p>
        </w:tc>
        <w:tc>
          <w:tcPr>
            <w:tcW w:w="1656" w:type="dxa"/>
            <w:tcBorders>
              <w:top w:val="nil"/>
              <w:left w:val="nil"/>
              <w:bottom w:val="nil"/>
              <w:right w:val="nil"/>
            </w:tcBorders>
          </w:tcPr>
          <w:p w14:paraId="107F5349"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w:t>
            </w:r>
          </w:p>
        </w:tc>
        <w:tc>
          <w:tcPr>
            <w:tcW w:w="1656" w:type="dxa"/>
            <w:tcBorders>
              <w:top w:val="nil"/>
              <w:left w:val="nil"/>
              <w:bottom w:val="nil"/>
              <w:right w:val="nil"/>
            </w:tcBorders>
          </w:tcPr>
          <w:p w14:paraId="7FAAC080"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(2.08)</w:t>
            </w:r>
          </w:p>
        </w:tc>
        <w:tc>
          <w:tcPr>
            <w:tcW w:w="1656" w:type="dxa"/>
            <w:tcBorders>
              <w:top w:val="nil"/>
              <w:left w:val="nil"/>
              <w:bottom w:val="nil"/>
              <w:right w:val="nil"/>
            </w:tcBorders>
          </w:tcPr>
          <w:p w14:paraId="54A7FC6A"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985EC3" w14:paraId="262B627A" w14:textId="77777777" w:rsidTr="00F16287">
        <w:tc>
          <w:tcPr>
            <w:tcW w:w="2136" w:type="dxa"/>
            <w:tcBorders>
              <w:top w:val="nil"/>
              <w:left w:val="nil"/>
              <w:bottom w:val="nil"/>
              <w:right w:val="nil"/>
            </w:tcBorders>
          </w:tcPr>
          <w:p w14:paraId="39914DEF"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67AE02"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28B3096"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0D3A443"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25179E7"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ABE6B68"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p>
        </w:tc>
      </w:tr>
      <w:tr w:rsidR="00985EC3" w14:paraId="527AB212" w14:textId="77777777" w:rsidTr="00F16287">
        <w:tc>
          <w:tcPr>
            <w:tcW w:w="2136" w:type="dxa"/>
            <w:tcBorders>
              <w:top w:val="nil"/>
              <w:left w:val="nil"/>
              <w:bottom w:val="nil"/>
              <w:right w:val="nil"/>
            </w:tcBorders>
          </w:tcPr>
          <w:p w14:paraId="696DB929"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316547BE"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57E0271"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E30684B"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21DC469"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B04CEB5"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0.261</w:t>
            </w:r>
            <w:r>
              <w:rPr>
                <w:rFonts w:ascii="Times New Roman" w:hAnsi="Times New Roman" w:cs="Times New Roman"/>
                <w:sz w:val="24"/>
                <w:szCs w:val="24"/>
                <w:vertAlign w:val="superscript"/>
              </w:rPr>
              <w:t>***</w:t>
            </w:r>
          </w:p>
        </w:tc>
      </w:tr>
      <w:tr w:rsidR="00985EC3" w14:paraId="21F2F92D" w14:textId="77777777" w:rsidTr="00F16287">
        <w:tc>
          <w:tcPr>
            <w:tcW w:w="2136" w:type="dxa"/>
            <w:tcBorders>
              <w:top w:val="nil"/>
              <w:left w:val="nil"/>
              <w:bottom w:val="single" w:sz="4" w:space="0" w:color="auto"/>
              <w:right w:val="nil"/>
            </w:tcBorders>
          </w:tcPr>
          <w:p w14:paraId="480E3ED8"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658DCA4B"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(9.91)</w:t>
            </w:r>
          </w:p>
        </w:tc>
        <w:tc>
          <w:tcPr>
            <w:tcW w:w="1656" w:type="dxa"/>
            <w:tcBorders>
              <w:top w:val="nil"/>
              <w:left w:val="nil"/>
              <w:bottom w:val="single" w:sz="4" w:space="0" w:color="auto"/>
              <w:right w:val="nil"/>
            </w:tcBorders>
          </w:tcPr>
          <w:p w14:paraId="0B9699AF"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(7.75)</w:t>
            </w:r>
          </w:p>
        </w:tc>
        <w:tc>
          <w:tcPr>
            <w:tcW w:w="1656" w:type="dxa"/>
            <w:tcBorders>
              <w:top w:val="nil"/>
              <w:left w:val="nil"/>
              <w:bottom w:val="single" w:sz="4" w:space="0" w:color="auto"/>
              <w:right w:val="nil"/>
            </w:tcBorders>
          </w:tcPr>
          <w:p w14:paraId="2B927A69"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(9.43)</w:t>
            </w:r>
          </w:p>
        </w:tc>
        <w:tc>
          <w:tcPr>
            <w:tcW w:w="1656" w:type="dxa"/>
            <w:tcBorders>
              <w:top w:val="nil"/>
              <w:left w:val="nil"/>
              <w:bottom w:val="single" w:sz="4" w:space="0" w:color="auto"/>
              <w:right w:val="nil"/>
            </w:tcBorders>
          </w:tcPr>
          <w:p w14:paraId="2D6ECB96"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656" w:type="dxa"/>
            <w:tcBorders>
              <w:top w:val="nil"/>
              <w:left w:val="nil"/>
              <w:bottom w:val="single" w:sz="4" w:space="0" w:color="auto"/>
              <w:right w:val="nil"/>
            </w:tcBorders>
          </w:tcPr>
          <w:p w14:paraId="0E85113D"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(6.77)</w:t>
            </w:r>
          </w:p>
        </w:tc>
      </w:tr>
      <w:tr w:rsidR="00985EC3" w14:paraId="348E64B9" w14:textId="77777777" w:rsidTr="00F16287">
        <w:tc>
          <w:tcPr>
            <w:tcW w:w="2136" w:type="dxa"/>
            <w:tcBorders>
              <w:top w:val="nil"/>
              <w:left w:val="nil"/>
              <w:bottom w:val="single" w:sz="4" w:space="0" w:color="auto"/>
              <w:right w:val="nil"/>
            </w:tcBorders>
          </w:tcPr>
          <w:p w14:paraId="014DE6AD" w14:textId="77777777" w:rsidR="00985EC3" w:rsidRDefault="00985EC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24973E96"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1651</w:t>
            </w:r>
          </w:p>
        </w:tc>
        <w:tc>
          <w:tcPr>
            <w:tcW w:w="1656" w:type="dxa"/>
            <w:tcBorders>
              <w:top w:val="nil"/>
              <w:left w:val="nil"/>
              <w:bottom w:val="single" w:sz="4" w:space="0" w:color="auto"/>
              <w:right w:val="nil"/>
            </w:tcBorders>
          </w:tcPr>
          <w:p w14:paraId="5948BBC3"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1651</w:t>
            </w:r>
          </w:p>
        </w:tc>
        <w:tc>
          <w:tcPr>
            <w:tcW w:w="1656" w:type="dxa"/>
            <w:tcBorders>
              <w:top w:val="nil"/>
              <w:left w:val="nil"/>
              <w:bottom w:val="single" w:sz="4" w:space="0" w:color="auto"/>
              <w:right w:val="nil"/>
            </w:tcBorders>
          </w:tcPr>
          <w:p w14:paraId="565800D1"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1334</w:t>
            </w:r>
          </w:p>
        </w:tc>
        <w:tc>
          <w:tcPr>
            <w:tcW w:w="1656" w:type="dxa"/>
            <w:tcBorders>
              <w:top w:val="nil"/>
              <w:left w:val="nil"/>
              <w:bottom w:val="single" w:sz="4" w:space="0" w:color="auto"/>
              <w:right w:val="nil"/>
            </w:tcBorders>
          </w:tcPr>
          <w:p w14:paraId="09243356"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2669</w:t>
            </w:r>
          </w:p>
        </w:tc>
        <w:tc>
          <w:tcPr>
            <w:tcW w:w="1656" w:type="dxa"/>
            <w:tcBorders>
              <w:top w:val="nil"/>
              <w:left w:val="nil"/>
              <w:bottom w:val="single" w:sz="4" w:space="0" w:color="auto"/>
              <w:right w:val="nil"/>
            </w:tcBorders>
          </w:tcPr>
          <w:p w14:paraId="4CD222D0" w14:textId="77777777" w:rsidR="00985EC3" w:rsidRDefault="00985EC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4491</w:t>
            </w:r>
          </w:p>
        </w:tc>
      </w:tr>
    </w:tbl>
    <w:p w14:paraId="55BADAE8" w14:textId="77777777" w:rsidR="00985EC3" w:rsidRDefault="00985EC3" w:rsidP="00985EC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7C6CDDFB" w14:textId="77777777" w:rsidR="00985EC3" w:rsidRDefault="00985EC3" w:rsidP="00985EC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12A5BCD8" w14:textId="77777777" w:rsidR="004248EF" w:rsidRPr="00977E29" w:rsidRDefault="004248EF" w:rsidP="00E33EEF">
      <w:pPr>
        <w:rPr>
          <w:highlight w:val="yellow"/>
          <w:lang w:val="en-GB"/>
        </w:rPr>
      </w:pPr>
    </w:p>
    <w:p w14:paraId="20CD904D" w14:textId="6310A937" w:rsidR="00E33EEF" w:rsidRPr="00977E29" w:rsidRDefault="00E33EEF" w:rsidP="00D64175">
      <w:pPr>
        <w:rPr>
          <w:highlight w:val="yellow"/>
        </w:rPr>
      </w:pPr>
      <w:r w:rsidRPr="002F234E">
        <w:t xml:space="preserve">Overall, the full sample results lend credence to a political business cycle type model for de jure central bank independence, holding </w:t>
      </w:r>
      <w:r w:rsidR="000E66FA" w:rsidRPr="002F234E">
        <w:t xml:space="preserve">most strongly </w:t>
      </w:r>
      <w:r w:rsidRPr="002F234E">
        <w:t>for results on the turnover of heads of state and in the lower chamber. Higher de jure independence is also clearly related to more political instability.</w:t>
      </w:r>
      <w:r w:rsidR="00CF6E14" w:rsidRPr="002F234E">
        <w:t xml:space="preserve"> </w:t>
      </w:r>
      <w:r w:rsidRPr="002F234E">
        <w:t xml:space="preserve">The picture for de facto central bank independence through </w:t>
      </w:r>
      <w:r w:rsidR="00DF3E5C" w:rsidRPr="002F234E">
        <w:t xml:space="preserve">a lack of irregular </w:t>
      </w:r>
      <w:r w:rsidRPr="002F234E">
        <w:t xml:space="preserve">governor turnover, </w:t>
      </w:r>
      <w:r w:rsidR="00DF3E5C" w:rsidRPr="002F234E">
        <w:t>and for fixed exchange rates</w:t>
      </w:r>
      <w:r w:rsidRPr="002F234E">
        <w:t xml:space="preserve">, however, appears to be different. </w:t>
      </w:r>
      <w:r w:rsidR="007E42DC" w:rsidRPr="002F234E">
        <w:t>These institutions seem</w:t>
      </w:r>
      <w:r w:rsidRPr="002F234E">
        <w:t xml:space="preserve"> to </w:t>
      </w:r>
      <w:r w:rsidR="00FC0F69" w:rsidRPr="002F234E">
        <w:t>be</w:t>
      </w:r>
      <w:r w:rsidRPr="002F234E">
        <w:t xml:space="preserve"> related to lower electoral </w:t>
      </w:r>
      <w:r w:rsidR="007E42DC" w:rsidRPr="002F234E">
        <w:t>turnover</w:t>
      </w:r>
      <w:r w:rsidR="00E07711" w:rsidRPr="002F234E">
        <w:t xml:space="preserve">, although signs on </w:t>
      </w:r>
      <w:r w:rsidRPr="002F234E">
        <w:t xml:space="preserve">political instability </w:t>
      </w:r>
      <w:r w:rsidR="008E396A" w:rsidRPr="002F234E">
        <w:t>are unclear.</w:t>
      </w:r>
      <w:r w:rsidR="001B290B" w:rsidRPr="002F234E">
        <w:t xml:space="preserve"> Although the significant results are somewhat sparse</w:t>
      </w:r>
      <w:r w:rsidR="002F234E">
        <w:t xml:space="preserve"> (particularly for de facto independence)</w:t>
      </w:r>
      <w:r w:rsidR="001B290B" w:rsidRPr="002F234E">
        <w:t xml:space="preserve">, we can say that fixed exchange rates and de facto central bank independence may </w:t>
      </w:r>
      <w:r w:rsidR="00057307" w:rsidRPr="002F234E">
        <w:t>be governed by welfare effects, rather than political business cycle considerations.</w:t>
      </w:r>
    </w:p>
    <w:p w14:paraId="35899CEE" w14:textId="3FB20D35" w:rsidR="000D476A" w:rsidRPr="00977E29" w:rsidRDefault="00BD5EF3" w:rsidP="004B3238">
      <w:pPr>
        <w:rPr>
          <w:highlight w:val="yellow"/>
        </w:rPr>
      </w:pPr>
      <w:r w:rsidRPr="00347B85">
        <w:t xml:space="preserve">Although such results do hint at the significance and sign of relevant variables, </w:t>
      </w:r>
      <w:r w:rsidR="00880D7B" w:rsidRPr="00347B85">
        <w:t>effect sizes</w:t>
      </w:r>
      <w:r w:rsidRPr="00347B85">
        <w:t xml:space="preserve"> are difficult to interpret.</w:t>
      </w:r>
      <w:r w:rsidR="009C4A90" w:rsidRPr="00347B85">
        <w:t xml:space="preserve"> </w:t>
      </w:r>
      <w:r w:rsidR="00EF2F15" w:rsidRPr="00347B85">
        <w:t>Electoral turnover</w:t>
      </w:r>
      <w:r w:rsidR="009C4A90" w:rsidRPr="00347B85">
        <w:t xml:space="preserve"> </w:t>
      </w:r>
      <w:r w:rsidR="00EF2F15" w:rsidRPr="00347B85">
        <w:t>may also</w:t>
      </w:r>
      <w:r w:rsidR="009C4A90" w:rsidRPr="00347B85">
        <w:t xml:space="preserve"> be treated as an ordinal outcome, rather than continuous and linear variable</w:t>
      </w:r>
      <w:r w:rsidR="00911285" w:rsidRPr="00347B85">
        <w:t>.</w:t>
      </w:r>
      <w:r w:rsidR="00EF2F15" w:rsidRPr="00347B85">
        <w:t xml:space="preserve"> Table 3 displays the </w:t>
      </w:r>
      <w:r w:rsidR="00F37BC1" w:rsidRPr="00347B85">
        <w:t xml:space="preserve">mean </w:t>
      </w:r>
      <w:r w:rsidR="006071DE" w:rsidRPr="00347B85">
        <w:t xml:space="preserve">marginal effects </w:t>
      </w:r>
      <w:r w:rsidR="00EF2F15" w:rsidRPr="00347B85">
        <w:t>results</w:t>
      </w:r>
      <w:r w:rsidR="00666F8E" w:rsidRPr="00347B85">
        <w:t xml:space="preserve"> (without constants)</w:t>
      </w:r>
      <w:r w:rsidR="00EF2F15" w:rsidRPr="00347B85">
        <w:t xml:space="preserve"> for an ordinal </w:t>
      </w:r>
      <w:r w:rsidR="00C76D1A" w:rsidRPr="00347B85">
        <w:t xml:space="preserve">panel logit with clustered standard errors but random </w:t>
      </w:r>
      <w:r w:rsidR="00C76D1A" w:rsidRPr="008E169A">
        <w:t>effects (fixed effects are unavailable due to current limitations)</w:t>
      </w:r>
      <w:r w:rsidR="006071DE" w:rsidRPr="008E169A">
        <w:t>; for coefficients, see Appendix Table A</w:t>
      </w:r>
      <w:r w:rsidR="00986FFE" w:rsidRPr="008E169A">
        <w:t>6</w:t>
      </w:r>
      <w:r w:rsidR="00C76D1A" w:rsidRPr="008E169A">
        <w:t>.</w:t>
      </w:r>
      <w:r w:rsidR="00DA10F9" w:rsidRPr="008E169A">
        <w:t xml:space="preserve"> Significance results </w:t>
      </w:r>
      <w:r w:rsidR="00B03194" w:rsidRPr="008E169A">
        <w:t>are</w:t>
      </w:r>
      <w:r w:rsidR="00FE7210" w:rsidRPr="008E169A">
        <w:t xml:space="preserve"> generally</w:t>
      </w:r>
      <w:r w:rsidR="00DA10F9" w:rsidRPr="008E169A">
        <w:t xml:space="preserve"> unchanged, </w:t>
      </w:r>
      <w:r w:rsidR="005F7BBE" w:rsidRPr="008E169A">
        <w:t>ex</w:t>
      </w:r>
      <w:r w:rsidR="005F7BBE" w:rsidRPr="00860412">
        <w:t>cept for</w:t>
      </w:r>
      <w:r w:rsidR="00DA10F9" w:rsidRPr="00860412">
        <w:t xml:space="preserve"> exchange</w:t>
      </w:r>
      <w:r w:rsidR="000D476A" w:rsidRPr="00860412">
        <w:t xml:space="preserve"> rate regime which is now just barely significant for turnover in the head of government.</w:t>
      </w:r>
      <w:r w:rsidR="008D06E1" w:rsidRPr="00860412">
        <w:t xml:space="preserve"> </w:t>
      </w:r>
      <w:r w:rsidR="000C5C7F" w:rsidRPr="00860412">
        <w:t>For both kinds of CBI, impacts are substantial</w:t>
      </w:r>
      <w:r w:rsidR="00317723" w:rsidRPr="00860412">
        <w:t xml:space="preserve">, with a change from sample minimum to maximum levels being associated with </w:t>
      </w:r>
      <w:r w:rsidR="008E169A" w:rsidRPr="00860412">
        <w:t>large</w:t>
      </w:r>
      <w:r w:rsidR="00050C0F" w:rsidRPr="00860412">
        <w:t xml:space="preserve"> </w:t>
      </w:r>
      <w:r w:rsidR="00860412">
        <w:t xml:space="preserve">(up to </w:t>
      </w:r>
      <w:r w:rsidR="00050C0F">
        <w:t>double digit</w:t>
      </w:r>
      <w:r w:rsidR="00860412">
        <w:t>)</w:t>
      </w:r>
      <w:r w:rsidR="00050C0F" w:rsidRPr="00860412">
        <w:t xml:space="preserve"> swings</w:t>
      </w:r>
      <w:r w:rsidR="00050C0F">
        <w:t xml:space="preserve"> </w:t>
      </w:r>
      <w:r w:rsidR="00050C0F" w:rsidRPr="00860412">
        <w:t>in probability.</w:t>
      </w:r>
      <w:r w:rsidR="00BB438A" w:rsidRPr="00860412">
        <w:t xml:space="preserve"> Considering the granularity of exchange rate classifications, ranging from 1 to 16 on Reinhart and Rogoff’s Index, these effects are of a </w:t>
      </w:r>
      <w:r w:rsidR="00BB438A">
        <w:t>similar</w:t>
      </w:r>
      <w:r w:rsidR="00C25B37" w:rsidRPr="00860412">
        <w:t xml:space="preserve"> scale.</w:t>
      </w:r>
    </w:p>
    <w:p w14:paraId="5E4483CB" w14:textId="77777777" w:rsidR="00BA1177" w:rsidRPr="00977E29" w:rsidRDefault="00BA1177">
      <w:pPr>
        <w:rPr>
          <w:highlight w:val="yellow"/>
        </w:rPr>
      </w:pPr>
      <w:r w:rsidRPr="00977E29">
        <w:rPr>
          <w:highlight w:val="yellow"/>
        </w:rPr>
        <w:br w:type="page"/>
      </w:r>
    </w:p>
    <w:p w14:paraId="6ED17207" w14:textId="557DC114" w:rsidR="005E7A36" w:rsidRPr="00DD2DDA" w:rsidRDefault="005E7A36" w:rsidP="004B3238">
      <w:r w:rsidRPr="00DD2DDA">
        <w:lastRenderedPageBreak/>
        <w:t xml:space="preserve">Table 3: </w:t>
      </w:r>
      <w:r w:rsidR="00DD2DDA" w:rsidRPr="00DD2DDA">
        <w:t xml:space="preserve">Mean Marginal Effects, </w:t>
      </w:r>
      <w:r w:rsidRPr="00DD2DDA">
        <w:t>Ordered Logit Panel Regression, Random Effects, Clustered Standard Errors</w:t>
      </w:r>
    </w:p>
    <w:p w14:paraId="058BBD3B" w14:textId="6D250522" w:rsidR="003B48E8" w:rsidRPr="00977E29" w:rsidRDefault="003B48E8" w:rsidP="005D6EB0">
      <w:pPr>
        <w:widowControl w:val="0"/>
        <w:autoSpaceDE w:val="0"/>
        <w:autoSpaceDN w:val="0"/>
        <w:adjustRightInd w:val="0"/>
        <w:spacing w:after="0" w:line="240" w:lineRule="auto"/>
        <w:rPr>
          <w:rFonts w:ascii="Times New Roman" w:hAnsi="Times New Roman" w:cs="Times New Roman"/>
          <w:strike/>
          <w:sz w:val="20"/>
          <w:szCs w:val="20"/>
          <w:highlight w:val="yellow"/>
        </w:rPr>
      </w:pPr>
    </w:p>
    <w:tbl>
      <w:tblPr>
        <w:tblW w:w="0" w:type="auto"/>
        <w:tblLayout w:type="fixed"/>
        <w:tblLook w:val="0000" w:firstRow="0" w:lastRow="0" w:firstColumn="0" w:lastColumn="0" w:noHBand="0" w:noVBand="0"/>
      </w:tblPr>
      <w:tblGrid>
        <w:gridCol w:w="2136"/>
        <w:gridCol w:w="1656"/>
        <w:gridCol w:w="1656"/>
        <w:gridCol w:w="1656"/>
      </w:tblGrid>
      <w:tr w:rsidR="006422D5" w14:paraId="7C756E40" w14:textId="77777777" w:rsidTr="00F16287">
        <w:tc>
          <w:tcPr>
            <w:tcW w:w="2136" w:type="dxa"/>
            <w:tcBorders>
              <w:top w:val="single" w:sz="4" w:space="0" w:color="auto"/>
              <w:left w:val="nil"/>
              <w:bottom w:val="nil"/>
              <w:right w:val="nil"/>
            </w:tcBorders>
          </w:tcPr>
          <w:p w14:paraId="3FEFF0AD"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72F0F722"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2145CED6"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0E1CA869"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6422D5" w14:paraId="0B99CAB5" w14:textId="77777777" w:rsidTr="00F16287">
        <w:tc>
          <w:tcPr>
            <w:tcW w:w="2136" w:type="dxa"/>
            <w:tcBorders>
              <w:top w:val="nil"/>
              <w:left w:val="nil"/>
              <w:bottom w:val="nil"/>
              <w:right w:val="nil"/>
            </w:tcBorders>
          </w:tcPr>
          <w:p w14:paraId="4013909A"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99F2775"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HOG Turnover</w:t>
            </w:r>
          </w:p>
        </w:tc>
        <w:tc>
          <w:tcPr>
            <w:tcW w:w="1656" w:type="dxa"/>
            <w:tcBorders>
              <w:top w:val="nil"/>
              <w:left w:val="nil"/>
              <w:bottom w:val="nil"/>
              <w:right w:val="nil"/>
            </w:tcBorders>
          </w:tcPr>
          <w:p w14:paraId="79B9803A"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HOS</w:t>
            </w:r>
          </w:p>
          <w:p w14:paraId="5C793145"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Turnover</w:t>
            </w:r>
          </w:p>
        </w:tc>
        <w:tc>
          <w:tcPr>
            <w:tcW w:w="1656" w:type="dxa"/>
            <w:tcBorders>
              <w:top w:val="nil"/>
              <w:left w:val="nil"/>
              <w:bottom w:val="nil"/>
              <w:right w:val="nil"/>
            </w:tcBorders>
          </w:tcPr>
          <w:p w14:paraId="30641C2D"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Chamber Turnover</w:t>
            </w:r>
          </w:p>
        </w:tc>
      </w:tr>
      <w:tr w:rsidR="006422D5" w:rsidRPr="005C2F54" w14:paraId="2A2A924E" w14:textId="77777777" w:rsidTr="00F16287">
        <w:tc>
          <w:tcPr>
            <w:tcW w:w="2136" w:type="dxa"/>
            <w:tcBorders>
              <w:top w:val="single" w:sz="4" w:space="0" w:color="auto"/>
              <w:left w:val="nil"/>
              <w:bottom w:val="nil"/>
              <w:right w:val="nil"/>
            </w:tcBorders>
          </w:tcPr>
          <w:p w14:paraId="26024BDC" w14:textId="77777777" w:rsidR="006422D5" w:rsidRPr="00AF138D" w:rsidRDefault="006422D5" w:rsidP="00F16287">
            <w:pPr>
              <w:widowControl w:val="0"/>
              <w:autoSpaceDE w:val="0"/>
              <w:autoSpaceDN w:val="0"/>
              <w:adjustRightInd w:val="0"/>
              <w:spacing w:after="0" w:line="240" w:lineRule="auto"/>
              <w:rPr>
                <w:rFonts w:ascii="Times New Roman" w:hAnsi="Times New Roman" w:cs="Times New Roman"/>
                <w:sz w:val="24"/>
                <w:szCs w:val="24"/>
                <w:lang w:val="fr-BE"/>
              </w:rPr>
            </w:pPr>
            <w:r w:rsidRPr="00AF138D">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4125030D" w14:textId="77777777" w:rsidR="006422D5" w:rsidRPr="00AF138D" w:rsidRDefault="006422D5" w:rsidP="00F16287">
            <w:pPr>
              <w:widowControl w:val="0"/>
              <w:autoSpaceDE w:val="0"/>
              <w:autoSpaceDN w:val="0"/>
              <w:adjustRightInd w:val="0"/>
              <w:spacing w:after="0" w:line="240" w:lineRule="auto"/>
              <w:jc w:val="center"/>
              <w:rPr>
                <w:rFonts w:ascii="Times New Roman" w:hAnsi="Times New Roman" w:cs="Times New Roman"/>
                <w:sz w:val="24"/>
                <w:szCs w:val="24"/>
                <w:lang w:val="fr-BE"/>
              </w:rPr>
            </w:pPr>
          </w:p>
        </w:tc>
        <w:tc>
          <w:tcPr>
            <w:tcW w:w="1656" w:type="dxa"/>
            <w:tcBorders>
              <w:top w:val="single" w:sz="4" w:space="0" w:color="auto"/>
              <w:left w:val="nil"/>
              <w:bottom w:val="nil"/>
              <w:right w:val="nil"/>
            </w:tcBorders>
          </w:tcPr>
          <w:p w14:paraId="43F2D22E" w14:textId="77777777" w:rsidR="006422D5" w:rsidRPr="00AF138D" w:rsidRDefault="006422D5" w:rsidP="00F16287">
            <w:pPr>
              <w:widowControl w:val="0"/>
              <w:autoSpaceDE w:val="0"/>
              <w:autoSpaceDN w:val="0"/>
              <w:adjustRightInd w:val="0"/>
              <w:spacing w:after="0" w:line="240" w:lineRule="auto"/>
              <w:jc w:val="center"/>
              <w:rPr>
                <w:rFonts w:ascii="Times New Roman" w:hAnsi="Times New Roman" w:cs="Times New Roman"/>
                <w:sz w:val="24"/>
                <w:szCs w:val="24"/>
                <w:lang w:val="fr-BE"/>
              </w:rPr>
            </w:pPr>
          </w:p>
        </w:tc>
        <w:tc>
          <w:tcPr>
            <w:tcW w:w="1656" w:type="dxa"/>
            <w:tcBorders>
              <w:top w:val="single" w:sz="4" w:space="0" w:color="auto"/>
              <w:left w:val="nil"/>
              <w:bottom w:val="nil"/>
              <w:right w:val="nil"/>
            </w:tcBorders>
          </w:tcPr>
          <w:p w14:paraId="5575FAFD" w14:textId="77777777" w:rsidR="006422D5" w:rsidRPr="00AF138D" w:rsidRDefault="006422D5" w:rsidP="00F16287">
            <w:pPr>
              <w:widowControl w:val="0"/>
              <w:autoSpaceDE w:val="0"/>
              <w:autoSpaceDN w:val="0"/>
              <w:adjustRightInd w:val="0"/>
              <w:spacing w:after="0" w:line="240" w:lineRule="auto"/>
              <w:jc w:val="center"/>
              <w:rPr>
                <w:rFonts w:ascii="Times New Roman" w:hAnsi="Times New Roman" w:cs="Times New Roman"/>
                <w:sz w:val="24"/>
                <w:szCs w:val="24"/>
                <w:lang w:val="fr-BE"/>
              </w:rPr>
            </w:pPr>
          </w:p>
        </w:tc>
      </w:tr>
      <w:tr w:rsidR="006422D5" w14:paraId="32E1920F" w14:textId="77777777" w:rsidTr="00F16287">
        <w:tc>
          <w:tcPr>
            <w:tcW w:w="2136" w:type="dxa"/>
            <w:tcBorders>
              <w:top w:val="nil"/>
              <w:left w:val="nil"/>
              <w:bottom w:val="nil"/>
              <w:right w:val="nil"/>
            </w:tcBorders>
          </w:tcPr>
          <w:p w14:paraId="3E3B7E5F"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 Turnover</w:t>
            </w:r>
          </w:p>
        </w:tc>
        <w:tc>
          <w:tcPr>
            <w:tcW w:w="1656" w:type="dxa"/>
            <w:tcBorders>
              <w:top w:val="nil"/>
              <w:left w:val="nil"/>
              <w:bottom w:val="nil"/>
              <w:right w:val="nil"/>
            </w:tcBorders>
          </w:tcPr>
          <w:p w14:paraId="0B6BD9A8"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-0.146</w:t>
            </w:r>
          </w:p>
        </w:tc>
        <w:tc>
          <w:tcPr>
            <w:tcW w:w="1656" w:type="dxa"/>
            <w:tcBorders>
              <w:top w:val="nil"/>
              <w:left w:val="nil"/>
              <w:bottom w:val="nil"/>
              <w:right w:val="nil"/>
            </w:tcBorders>
          </w:tcPr>
          <w:p w14:paraId="4389BF06"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6721D7A"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-0.316</w:t>
            </w:r>
            <w:r>
              <w:rPr>
                <w:rFonts w:ascii="Times New Roman" w:hAnsi="Times New Roman" w:cs="Times New Roman"/>
                <w:sz w:val="24"/>
                <w:szCs w:val="24"/>
                <w:vertAlign w:val="superscript"/>
              </w:rPr>
              <w:t>***</w:t>
            </w:r>
          </w:p>
        </w:tc>
      </w:tr>
      <w:tr w:rsidR="006422D5" w14:paraId="3305F84E" w14:textId="77777777" w:rsidTr="00F16287">
        <w:tc>
          <w:tcPr>
            <w:tcW w:w="2136" w:type="dxa"/>
            <w:tcBorders>
              <w:top w:val="nil"/>
              <w:left w:val="nil"/>
              <w:bottom w:val="nil"/>
              <w:right w:val="nil"/>
            </w:tcBorders>
          </w:tcPr>
          <w:p w14:paraId="12AD20E5"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D3A3B2"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(-1.93)</w:t>
            </w:r>
          </w:p>
        </w:tc>
        <w:tc>
          <w:tcPr>
            <w:tcW w:w="1656" w:type="dxa"/>
            <w:tcBorders>
              <w:top w:val="nil"/>
              <w:left w:val="nil"/>
              <w:bottom w:val="nil"/>
              <w:right w:val="nil"/>
            </w:tcBorders>
          </w:tcPr>
          <w:p w14:paraId="503BA779"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656" w:type="dxa"/>
            <w:tcBorders>
              <w:top w:val="nil"/>
              <w:left w:val="nil"/>
              <w:bottom w:val="nil"/>
              <w:right w:val="nil"/>
            </w:tcBorders>
          </w:tcPr>
          <w:p w14:paraId="1B94B58F"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(-3.65)</w:t>
            </w:r>
          </w:p>
        </w:tc>
      </w:tr>
      <w:tr w:rsidR="006422D5" w14:paraId="13D0F0AC" w14:textId="77777777" w:rsidTr="00F16287">
        <w:tc>
          <w:tcPr>
            <w:tcW w:w="2136" w:type="dxa"/>
            <w:tcBorders>
              <w:top w:val="nil"/>
              <w:left w:val="nil"/>
              <w:bottom w:val="nil"/>
              <w:right w:val="nil"/>
            </w:tcBorders>
          </w:tcPr>
          <w:p w14:paraId="07139B83"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419588"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D124AEF"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1D1AC6E"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r>
      <w:tr w:rsidR="006422D5" w14:paraId="414B409D" w14:textId="77777777" w:rsidTr="00F16287">
        <w:tc>
          <w:tcPr>
            <w:tcW w:w="2136" w:type="dxa"/>
            <w:tcBorders>
              <w:top w:val="nil"/>
              <w:left w:val="nil"/>
              <w:bottom w:val="nil"/>
              <w:right w:val="nil"/>
            </w:tcBorders>
          </w:tcPr>
          <w:p w14:paraId="51ADC1F0"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Half Turnover</w:t>
            </w:r>
          </w:p>
        </w:tc>
        <w:tc>
          <w:tcPr>
            <w:tcW w:w="1656" w:type="dxa"/>
            <w:tcBorders>
              <w:top w:val="nil"/>
              <w:left w:val="nil"/>
              <w:bottom w:val="nil"/>
              <w:right w:val="nil"/>
            </w:tcBorders>
          </w:tcPr>
          <w:p w14:paraId="11F5EAA8"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0.0152</w:t>
            </w:r>
          </w:p>
        </w:tc>
        <w:tc>
          <w:tcPr>
            <w:tcW w:w="1656" w:type="dxa"/>
            <w:tcBorders>
              <w:top w:val="nil"/>
              <w:left w:val="nil"/>
              <w:bottom w:val="nil"/>
              <w:right w:val="nil"/>
            </w:tcBorders>
          </w:tcPr>
          <w:p w14:paraId="2237FA09"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0.0390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87FFE4A"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0.0980</w:t>
            </w:r>
            <w:r>
              <w:rPr>
                <w:rFonts w:ascii="Times New Roman" w:hAnsi="Times New Roman" w:cs="Times New Roman"/>
                <w:sz w:val="24"/>
                <w:szCs w:val="24"/>
                <w:vertAlign w:val="superscript"/>
              </w:rPr>
              <w:t>**</w:t>
            </w:r>
          </w:p>
        </w:tc>
      </w:tr>
      <w:tr w:rsidR="006422D5" w14:paraId="79EF43AF" w14:textId="77777777" w:rsidTr="00F16287">
        <w:tc>
          <w:tcPr>
            <w:tcW w:w="2136" w:type="dxa"/>
            <w:tcBorders>
              <w:top w:val="nil"/>
              <w:left w:val="nil"/>
              <w:bottom w:val="nil"/>
              <w:right w:val="nil"/>
            </w:tcBorders>
          </w:tcPr>
          <w:p w14:paraId="7EFA97CE"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E9EB2B1"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(1.80)</w:t>
            </w:r>
          </w:p>
        </w:tc>
        <w:tc>
          <w:tcPr>
            <w:tcW w:w="1656" w:type="dxa"/>
            <w:tcBorders>
              <w:top w:val="nil"/>
              <w:left w:val="nil"/>
              <w:bottom w:val="nil"/>
              <w:right w:val="nil"/>
            </w:tcBorders>
          </w:tcPr>
          <w:p w14:paraId="593A300D"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(3.32)</w:t>
            </w:r>
          </w:p>
        </w:tc>
        <w:tc>
          <w:tcPr>
            <w:tcW w:w="1656" w:type="dxa"/>
            <w:tcBorders>
              <w:top w:val="nil"/>
              <w:left w:val="nil"/>
              <w:bottom w:val="nil"/>
              <w:right w:val="nil"/>
            </w:tcBorders>
          </w:tcPr>
          <w:p w14:paraId="28525763"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(3.21)</w:t>
            </w:r>
          </w:p>
        </w:tc>
      </w:tr>
      <w:tr w:rsidR="006422D5" w14:paraId="347763B3" w14:textId="77777777" w:rsidTr="00F16287">
        <w:tc>
          <w:tcPr>
            <w:tcW w:w="2136" w:type="dxa"/>
            <w:tcBorders>
              <w:top w:val="nil"/>
              <w:left w:val="nil"/>
              <w:bottom w:val="nil"/>
              <w:right w:val="nil"/>
            </w:tcBorders>
          </w:tcPr>
          <w:p w14:paraId="6B047ECB"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6811314"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0C5BE4F"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D22A095"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r>
      <w:tr w:rsidR="006422D5" w14:paraId="0E19E5D7" w14:textId="77777777" w:rsidTr="00F16287">
        <w:tc>
          <w:tcPr>
            <w:tcW w:w="2136" w:type="dxa"/>
            <w:tcBorders>
              <w:top w:val="nil"/>
              <w:left w:val="nil"/>
              <w:bottom w:val="nil"/>
              <w:right w:val="nil"/>
            </w:tcBorders>
          </w:tcPr>
          <w:p w14:paraId="63388F56"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Full Turnover</w:t>
            </w:r>
          </w:p>
        </w:tc>
        <w:tc>
          <w:tcPr>
            <w:tcW w:w="1656" w:type="dxa"/>
            <w:tcBorders>
              <w:top w:val="nil"/>
              <w:left w:val="nil"/>
              <w:bottom w:val="nil"/>
              <w:right w:val="nil"/>
            </w:tcBorders>
          </w:tcPr>
          <w:p w14:paraId="0BDFB0C2"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0.131</w:t>
            </w:r>
          </w:p>
        </w:tc>
        <w:tc>
          <w:tcPr>
            <w:tcW w:w="1656" w:type="dxa"/>
            <w:tcBorders>
              <w:top w:val="nil"/>
              <w:left w:val="nil"/>
              <w:bottom w:val="nil"/>
              <w:right w:val="nil"/>
            </w:tcBorders>
          </w:tcPr>
          <w:p w14:paraId="1F8CC624"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69A0760"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0.218</w:t>
            </w:r>
            <w:r>
              <w:rPr>
                <w:rFonts w:ascii="Times New Roman" w:hAnsi="Times New Roman" w:cs="Times New Roman"/>
                <w:sz w:val="24"/>
                <w:szCs w:val="24"/>
                <w:vertAlign w:val="superscript"/>
              </w:rPr>
              <w:t>***</w:t>
            </w:r>
          </w:p>
        </w:tc>
      </w:tr>
      <w:tr w:rsidR="006422D5" w14:paraId="467C252E" w14:textId="77777777" w:rsidTr="00F16287">
        <w:tc>
          <w:tcPr>
            <w:tcW w:w="2136" w:type="dxa"/>
            <w:tcBorders>
              <w:top w:val="nil"/>
              <w:left w:val="nil"/>
              <w:bottom w:val="nil"/>
              <w:right w:val="nil"/>
            </w:tcBorders>
          </w:tcPr>
          <w:p w14:paraId="1293153E"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FA29E7A"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(1.93)</w:t>
            </w:r>
          </w:p>
        </w:tc>
        <w:tc>
          <w:tcPr>
            <w:tcW w:w="1656" w:type="dxa"/>
            <w:tcBorders>
              <w:top w:val="nil"/>
              <w:left w:val="nil"/>
              <w:bottom w:val="nil"/>
              <w:right w:val="nil"/>
            </w:tcBorders>
          </w:tcPr>
          <w:p w14:paraId="0CA67595"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(3.47)</w:t>
            </w:r>
          </w:p>
        </w:tc>
        <w:tc>
          <w:tcPr>
            <w:tcW w:w="1656" w:type="dxa"/>
            <w:tcBorders>
              <w:top w:val="nil"/>
              <w:left w:val="nil"/>
              <w:bottom w:val="nil"/>
              <w:right w:val="nil"/>
            </w:tcBorders>
          </w:tcPr>
          <w:p w14:paraId="68F97EA3"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(3.68)</w:t>
            </w:r>
          </w:p>
        </w:tc>
      </w:tr>
      <w:tr w:rsidR="006422D5" w14:paraId="35F43A95" w14:textId="77777777" w:rsidTr="00F16287">
        <w:tc>
          <w:tcPr>
            <w:tcW w:w="2136" w:type="dxa"/>
            <w:tcBorders>
              <w:top w:val="single" w:sz="4" w:space="0" w:color="auto"/>
              <w:left w:val="nil"/>
              <w:bottom w:val="nil"/>
              <w:right w:val="nil"/>
            </w:tcBorders>
          </w:tcPr>
          <w:p w14:paraId="23AB3A1E"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single" w:sz="4" w:space="0" w:color="auto"/>
              <w:left w:val="nil"/>
              <w:bottom w:val="nil"/>
              <w:right w:val="nil"/>
            </w:tcBorders>
          </w:tcPr>
          <w:p w14:paraId="7AE153A8"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31534E2A"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63EA7E18"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p>
        </w:tc>
      </w:tr>
      <w:tr w:rsidR="006422D5" w14:paraId="0CF863DE" w14:textId="77777777" w:rsidTr="00F16287">
        <w:tc>
          <w:tcPr>
            <w:tcW w:w="2136" w:type="dxa"/>
            <w:tcBorders>
              <w:top w:val="nil"/>
              <w:left w:val="nil"/>
              <w:bottom w:val="nil"/>
              <w:right w:val="nil"/>
            </w:tcBorders>
          </w:tcPr>
          <w:p w14:paraId="75783420"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 Turnover</w:t>
            </w:r>
          </w:p>
        </w:tc>
        <w:tc>
          <w:tcPr>
            <w:tcW w:w="1656" w:type="dxa"/>
            <w:tcBorders>
              <w:top w:val="nil"/>
              <w:left w:val="nil"/>
              <w:bottom w:val="nil"/>
              <w:right w:val="nil"/>
            </w:tcBorders>
          </w:tcPr>
          <w:p w14:paraId="1F74B334"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0.00792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B0B83DE"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0.00896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3CEBB68"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0.00392</w:t>
            </w:r>
          </w:p>
        </w:tc>
      </w:tr>
      <w:tr w:rsidR="006422D5" w14:paraId="3FD09DBB" w14:textId="77777777" w:rsidTr="00F16287">
        <w:tc>
          <w:tcPr>
            <w:tcW w:w="2136" w:type="dxa"/>
            <w:tcBorders>
              <w:top w:val="nil"/>
              <w:left w:val="nil"/>
              <w:bottom w:val="nil"/>
              <w:right w:val="nil"/>
            </w:tcBorders>
          </w:tcPr>
          <w:p w14:paraId="301C0262"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D942F10"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(2.45)</w:t>
            </w:r>
          </w:p>
        </w:tc>
        <w:tc>
          <w:tcPr>
            <w:tcW w:w="1656" w:type="dxa"/>
            <w:tcBorders>
              <w:top w:val="nil"/>
              <w:left w:val="nil"/>
              <w:bottom w:val="nil"/>
              <w:right w:val="nil"/>
            </w:tcBorders>
          </w:tcPr>
          <w:p w14:paraId="78DE3AE5"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(3.21)</w:t>
            </w:r>
          </w:p>
        </w:tc>
        <w:tc>
          <w:tcPr>
            <w:tcW w:w="1656" w:type="dxa"/>
            <w:tcBorders>
              <w:top w:val="nil"/>
              <w:left w:val="nil"/>
              <w:bottom w:val="nil"/>
              <w:right w:val="nil"/>
            </w:tcBorders>
          </w:tcPr>
          <w:p w14:paraId="00866B57"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w:t>
            </w:r>
          </w:p>
        </w:tc>
      </w:tr>
      <w:tr w:rsidR="006422D5" w14:paraId="40C78F90" w14:textId="77777777" w:rsidTr="00F16287">
        <w:tc>
          <w:tcPr>
            <w:tcW w:w="2136" w:type="dxa"/>
            <w:tcBorders>
              <w:top w:val="nil"/>
              <w:left w:val="nil"/>
              <w:bottom w:val="nil"/>
              <w:right w:val="nil"/>
            </w:tcBorders>
          </w:tcPr>
          <w:p w14:paraId="413FE075"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A92BF6C"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AC660AE"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777FA3C"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r>
      <w:tr w:rsidR="006422D5" w14:paraId="3B8EC177" w14:textId="77777777" w:rsidTr="00F16287">
        <w:tc>
          <w:tcPr>
            <w:tcW w:w="2136" w:type="dxa"/>
            <w:tcBorders>
              <w:top w:val="nil"/>
              <w:left w:val="nil"/>
              <w:bottom w:val="nil"/>
              <w:right w:val="nil"/>
            </w:tcBorders>
          </w:tcPr>
          <w:p w14:paraId="42DB50E4"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Half Turnover</w:t>
            </w:r>
          </w:p>
        </w:tc>
        <w:tc>
          <w:tcPr>
            <w:tcW w:w="1656" w:type="dxa"/>
            <w:tcBorders>
              <w:top w:val="nil"/>
              <w:left w:val="nil"/>
              <w:bottom w:val="nil"/>
              <w:right w:val="nil"/>
            </w:tcBorders>
          </w:tcPr>
          <w:p w14:paraId="72BB22E7"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-0.000826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036DD39"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-0.00168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3D19D5D"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-0.00122</w:t>
            </w:r>
          </w:p>
        </w:tc>
      </w:tr>
      <w:tr w:rsidR="006422D5" w14:paraId="6888998D" w14:textId="77777777" w:rsidTr="00F16287">
        <w:tc>
          <w:tcPr>
            <w:tcW w:w="2136" w:type="dxa"/>
            <w:tcBorders>
              <w:top w:val="nil"/>
              <w:left w:val="nil"/>
              <w:bottom w:val="nil"/>
              <w:right w:val="nil"/>
            </w:tcBorders>
          </w:tcPr>
          <w:p w14:paraId="6EA0D369"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ADB538A"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(-2.22)</w:t>
            </w:r>
          </w:p>
        </w:tc>
        <w:tc>
          <w:tcPr>
            <w:tcW w:w="1656" w:type="dxa"/>
            <w:tcBorders>
              <w:top w:val="nil"/>
              <w:left w:val="nil"/>
              <w:bottom w:val="nil"/>
              <w:right w:val="nil"/>
            </w:tcBorders>
          </w:tcPr>
          <w:p w14:paraId="3B209A4B"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1656" w:type="dxa"/>
            <w:tcBorders>
              <w:top w:val="nil"/>
              <w:left w:val="nil"/>
              <w:bottom w:val="nil"/>
              <w:right w:val="nil"/>
            </w:tcBorders>
          </w:tcPr>
          <w:p w14:paraId="6CCBFBD2"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w:t>
            </w:r>
          </w:p>
        </w:tc>
      </w:tr>
      <w:tr w:rsidR="006422D5" w14:paraId="40D7C76D" w14:textId="77777777" w:rsidTr="00F16287">
        <w:tc>
          <w:tcPr>
            <w:tcW w:w="2136" w:type="dxa"/>
            <w:tcBorders>
              <w:top w:val="nil"/>
              <w:left w:val="nil"/>
              <w:bottom w:val="nil"/>
              <w:right w:val="nil"/>
            </w:tcBorders>
          </w:tcPr>
          <w:p w14:paraId="5B77B693"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AA40503"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161153D"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4789423"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r>
      <w:tr w:rsidR="006422D5" w14:paraId="210F7898" w14:textId="77777777" w:rsidTr="00F16287">
        <w:tc>
          <w:tcPr>
            <w:tcW w:w="2136" w:type="dxa"/>
            <w:tcBorders>
              <w:top w:val="nil"/>
              <w:left w:val="nil"/>
              <w:bottom w:val="nil"/>
              <w:right w:val="nil"/>
            </w:tcBorders>
          </w:tcPr>
          <w:p w14:paraId="310A69BB"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Full Turnover</w:t>
            </w:r>
          </w:p>
        </w:tc>
        <w:tc>
          <w:tcPr>
            <w:tcW w:w="1656" w:type="dxa"/>
            <w:tcBorders>
              <w:top w:val="nil"/>
              <w:left w:val="nil"/>
              <w:bottom w:val="nil"/>
              <w:right w:val="nil"/>
            </w:tcBorders>
          </w:tcPr>
          <w:p w14:paraId="7786E932"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-0.00710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DAD2132"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-0.00728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5DF42B8"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-0.00271</w:t>
            </w:r>
          </w:p>
        </w:tc>
      </w:tr>
      <w:tr w:rsidR="006422D5" w14:paraId="1970FFCF" w14:textId="77777777" w:rsidTr="00F16287">
        <w:tc>
          <w:tcPr>
            <w:tcW w:w="2136" w:type="dxa"/>
            <w:tcBorders>
              <w:top w:val="nil"/>
              <w:left w:val="nil"/>
              <w:bottom w:val="single" w:sz="4" w:space="0" w:color="auto"/>
              <w:right w:val="nil"/>
            </w:tcBorders>
          </w:tcPr>
          <w:p w14:paraId="69921A56"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25093B26"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(-2.46)</w:t>
            </w:r>
          </w:p>
        </w:tc>
        <w:tc>
          <w:tcPr>
            <w:tcW w:w="1656" w:type="dxa"/>
            <w:tcBorders>
              <w:top w:val="nil"/>
              <w:left w:val="nil"/>
              <w:bottom w:val="single" w:sz="4" w:space="0" w:color="auto"/>
              <w:right w:val="nil"/>
            </w:tcBorders>
          </w:tcPr>
          <w:p w14:paraId="6E2ED57A"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(-3.18)</w:t>
            </w:r>
          </w:p>
        </w:tc>
        <w:tc>
          <w:tcPr>
            <w:tcW w:w="1656" w:type="dxa"/>
            <w:tcBorders>
              <w:top w:val="nil"/>
              <w:left w:val="nil"/>
              <w:bottom w:val="single" w:sz="4" w:space="0" w:color="auto"/>
              <w:right w:val="nil"/>
            </w:tcBorders>
          </w:tcPr>
          <w:p w14:paraId="15C09DC3"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w:t>
            </w:r>
          </w:p>
        </w:tc>
      </w:tr>
      <w:tr w:rsidR="006422D5" w14:paraId="451123E5" w14:textId="77777777" w:rsidTr="00F16287">
        <w:tc>
          <w:tcPr>
            <w:tcW w:w="2136" w:type="dxa"/>
            <w:tcBorders>
              <w:top w:val="nil"/>
              <w:left w:val="nil"/>
              <w:bottom w:val="single" w:sz="4" w:space="0" w:color="auto"/>
              <w:right w:val="nil"/>
            </w:tcBorders>
          </w:tcPr>
          <w:p w14:paraId="1F1263FF" w14:textId="77777777" w:rsidR="006422D5" w:rsidRDefault="006422D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1F92DF2B"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1399</w:t>
            </w:r>
          </w:p>
        </w:tc>
        <w:tc>
          <w:tcPr>
            <w:tcW w:w="1656" w:type="dxa"/>
            <w:tcBorders>
              <w:top w:val="nil"/>
              <w:left w:val="nil"/>
              <w:bottom w:val="single" w:sz="4" w:space="0" w:color="auto"/>
              <w:right w:val="nil"/>
            </w:tcBorders>
          </w:tcPr>
          <w:p w14:paraId="60882A91"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1399</w:t>
            </w:r>
          </w:p>
        </w:tc>
        <w:tc>
          <w:tcPr>
            <w:tcW w:w="1656" w:type="dxa"/>
            <w:tcBorders>
              <w:top w:val="nil"/>
              <w:left w:val="nil"/>
              <w:bottom w:val="single" w:sz="4" w:space="0" w:color="auto"/>
              <w:right w:val="nil"/>
            </w:tcBorders>
          </w:tcPr>
          <w:p w14:paraId="62D5F47C" w14:textId="77777777" w:rsidR="006422D5" w:rsidRDefault="006422D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1141</w:t>
            </w:r>
          </w:p>
        </w:tc>
      </w:tr>
    </w:tbl>
    <w:p w14:paraId="3D9AE2C8" w14:textId="77777777" w:rsidR="005D6EB0" w:rsidRDefault="005D6EB0" w:rsidP="005D6EB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 xml:space="preserve"> statistics in parentheses</w:t>
      </w:r>
    </w:p>
    <w:p w14:paraId="79FADD48" w14:textId="77777777" w:rsidR="00686650" w:rsidRDefault="005D6EB0" w:rsidP="002A0DB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0.001</w:t>
      </w:r>
    </w:p>
    <w:p w14:paraId="35483B07" w14:textId="4742813C" w:rsidR="002A0DB8" w:rsidRPr="00977E29" w:rsidRDefault="002A0DB8" w:rsidP="002A0DB8">
      <w:pPr>
        <w:widowControl w:val="0"/>
        <w:autoSpaceDE w:val="0"/>
        <w:autoSpaceDN w:val="0"/>
        <w:adjustRightInd w:val="0"/>
        <w:spacing w:after="0" w:line="240" w:lineRule="auto"/>
        <w:rPr>
          <w:rFonts w:ascii="Times New Roman" w:hAnsi="Times New Roman" w:cs="Times New Roman"/>
          <w:sz w:val="20"/>
          <w:szCs w:val="20"/>
          <w:highlight w:val="yellow"/>
        </w:rPr>
      </w:pPr>
    </w:p>
    <w:tbl>
      <w:tblPr>
        <w:tblW w:w="0" w:type="auto"/>
        <w:tblLayout w:type="fixed"/>
        <w:tblLook w:val="0000" w:firstRow="0" w:lastRow="0" w:firstColumn="0" w:lastColumn="0" w:noHBand="0" w:noVBand="0"/>
      </w:tblPr>
      <w:tblGrid>
        <w:gridCol w:w="2136"/>
        <w:gridCol w:w="1656"/>
        <w:gridCol w:w="1656"/>
        <w:gridCol w:w="1656"/>
      </w:tblGrid>
      <w:tr w:rsidR="00BD1C3A" w14:paraId="1B3900C2" w14:textId="77777777" w:rsidTr="00F16287">
        <w:tc>
          <w:tcPr>
            <w:tcW w:w="2136" w:type="dxa"/>
            <w:tcBorders>
              <w:top w:val="single" w:sz="4" w:space="0" w:color="auto"/>
              <w:left w:val="nil"/>
              <w:bottom w:val="nil"/>
              <w:right w:val="nil"/>
            </w:tcBorders>
          </w:tcPr>
          <w:p w14:paraId="7BEE3D53"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7DB38126"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6A6E9380"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2F1D89B7"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BD1C3A" w14:paraId="1CC3ED7A" w14:textId="77777777" w:rsidTr="00F16287">
        <w:tc>
          <w:tcPr>
            <w:tcW w:w="2136" w:type="dxa"/>
            <w:tcBorders>
              <w:top w:val="nil"/>
              <w:left w:val="nil"/>
              <w:bottom w:val="nil"/>
              <w:right w:val="nil"/>
            </w:tcBorders>
          </w:tcPr>
          <w:p w14:paraId="74DECCB1"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25FA7AD"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HOG Turnover</w:t>
            </w:r>
          </w:p>
        </w:tc>
        <w:tc>
          <w:tcPr>
            <w:tcW w:w="1656" w:type="dxa"/>
            <w:tcBorders>
              <w:top w:val="nil"/>
              <w:left w:val="nil"/>
              <w:bottom w:val="nil"/>
              <w:right w:val="nil"/>
            </w:tcBorders>
          </w:tcPr>
          <w:p w14:paraId="4AB0579C"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HOS </w:t>
            </w:r>
          </w:p>
          <w:p w14:paraId="6A1DEB9D"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Turnover</w:t>
            </w:r>
          </w:p>
        </w:tc>
        <w:tc>
          <w:tcPr>
            <w:tcW w:w="1656" w:type="dxa"/>
            <w:tcBorders>
              <w:top w:val="nil"/>
              <w:left w:val="nil"/>
              <w:bottom w:val="nil"/>
              <w:right w:val="nil"/>
            </w:tcBorders>
          </w:tcPr>
          <w:p w14:paraId="18E4CE1D"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Chamber Turnover</w:t>
            </w:r>
          </w:p>
        </w:tc>
      </w:tr>
      <w:tr w:rsidR="00BD1C3A" w14:paraId="7ED66277" w14:textId="77777777" w:rsidTr="00F16287">
        <w:tc>
          <w:tcPr>
            <w:tcW w:w="2136" w:type="dxa"/>
            <w:tcBorders>
              <w:top w:val="single" w:sz="4" w:space="0" w:color="auto"/>
              <w:left w:val="nil"/>
              <w:bottom w:val="nil"/>
              <w:right w:val="nil"/>
            </w:tcBorders>
          </w:tcPr>
          <w:p w14:paraId="237A2AFA"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20CF8181"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53A7ECAE"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6C2FBF9A"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p>
        </w:tc>
      </w:tr>
      <w:tr w:rsidR="00BD1C3A" w14:paraId="68A255C2" w14:textId="77777777" w:rsidTr="00F16287">
        <w:tc>
          <w:tcPr>
            <w:tcW w:w="2136" w:type="dxa"/>
            <w:tcBorders>
              <w:top w:val="nil"/>
              <w:left w:val="nil"/>
              <w:bottom w:val="nil"/>
              <w:right w:val="nil"/>
            </w:tcBorders>
          </w:tcPr>
          <w:p w14:paraId="018C6240"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 Turnover</w:t>
            </w:r>
          </w:p>
        </w:tc>
        <w:tc>
          <w:tcPr>
            <w:tcW w:w="1656" w:type="dxa"/>
            <w:tcBorders>
              <w:top w:val="nil"/>
              <w:left w:val="nil"/>
              <w:bottom w:val="nil"/>
              <w:right w:val="nil"/>
            </w:tcBorders>
          </w:tcPr>
          <w:p w14:paraId="01A1DDD6"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0.0734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9C81124"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0.0356</w:t>
            </w:r>
          </w:p>
        </w:tc>
        <w:tc>
          <w:tcPr>
            <w:tcW w:w="1656" w:type="dxa"/>
            <w:tcBorders>
              <w:top w:val="nil"/>
              <w:left w:val="nil"/>
              <w:bottom w:val="nil"/>
              <w:right w:val="nil"/>
            </w:tcBorders>
          </w:tcPr>
          <w:p w14:paraId="4B467278"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0.119</w:t>
            </w:r>
            <w:r>
              <w:rPr>
                <w:rFonts w:ascii="Times New Roman" w:hAnsi="Times New Roman" w:cs="Times New Roman"/>
                <w:sz w:val="24"/>
                <w:szCs w:val="24"/>
                <w:vertAlign w:val="superscript"/>
              </w:rPr>
              <w:t>**</w:t>
            </w:r>
          </w:p>
        </w:tc>
      </w:tr>
      <w:tr w:rsidR="00BD1C3A" w14:paraId="75A214F5" w14:textId="77777777" w:rsidTr="00F16287">
        <w:tc>
          <w:tcPr>
            <w:tcW w:w="2136" w:type="dxa"/>
            <w:tcBorders>
              <w:top w:val="nil"/>
              <w:left w:val="nil"/>
              <w:bottom w:val="nil"/>
              <w:right w:val="nil"/>
            </w:tcBorders>
          </w:tcPr>
          <w:p w14:paraId="36C0F075"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2D59172"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w:t>
            </w:r>
          </w:p>
        </w:tc>
        <w:tc>
          <w:tcPr>
            <w:tcW w:w="1656" w:type="dxa"/>
            <w:tcBorders>
              <w:top w:val="nil"/>
              <w:left w:val="nil"/>
              <w:bottom w:val="nil"/>
              <w:right w:val="nil"/>
            </w:tcBorders>
          </w:tcPr>
          <w:p w14:paraId="76398D31"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(1.30)</w:t>
            </w:r>
          </w:p>
        </w:tc>
        <w:tc>
          <w:tcPr>
            <w:tcW w:w="1656" w:type="dxa"/>
            <w:tcBorders>
              <w:top w:val="nil"/>
              <w:left w:val="nil"/>
              <w:bottom w:val="nil"/>
              <w:right w:val="nil"/>
            </w:tcBorders>
          </w:tcPr>
          <w:p w14:paraId="18EA7548"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(3.19)</w:t>
            </w:r>
          </w:p>
        </w:tc>
      </w:tr>
      <w:tr w:rsidR="00BD1C3A" w14:paraId="36798B2D" w14:textId="77777777" w:rsidTr="00F16287">
        <w:tc>
          <w:tcPr>
            <w:tcW w:w="2136" w:type="dxa"/>
            <w:tcBorders>
              <w:top w:val="nil"/>
              <w:left w:val="nil"/>
              <w:bottom w:val="nil"/>
              <w:right w:val="nil"/>
            </w:tcBorders>
          </w:tcPr>
          <w:p w14:paraId="660AF7FB"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DD8577C"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FA1212F"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38312EA"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r>
      <w:tr w:rsidR="00BD1C3A" w14:paraId="376AC9E9" w14:textId="77777777" w:rsidTr="00F16287">
        <w:tc>
          <w:tcPr>
            <w:tcW w:w="2136" w:type="dxa"/>
            <w:tcBorders>
              <w:top w:val="nil"/>
              <w:left w:val="nil"/>
              <w:bottom w:val="nil"/>
              <w:right w:val="nil"/>
            </w:tcBorders>
          </w:tcPr>
          <w:p w14:paraId="6FDD13F6"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Half Turnover</w:t>
            </w:r>
          </w:p>
        </w:tc>
        <w:tc>
          <w:tcPr>
            <w:tcW w:w="1656" w:type="dxa"/>
            <w:tcBorders>
              <w:top w:val="nil"/>
              <w:left w:val="nil"/>
              <w:bottom w:val="nil"/>
              <w:right w:val="nil"/>
            </w:tcBorders>
          </w:tcPr>
          <w:p w14:paraId="0F53C3AC"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-0.00756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B866857"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-0.00655</w:t>
            </w:r>
          </w:p>
        </w:tc>
        <w:tc>
          <w:tcPr>
            <w:tcW w:w="1656" w:type="dxa"/>
            <w:tcBorders>
              <w:top w:val="nil"/>
              <w:left w:val="nil"/>
              <w:bottom w:val="nil"/>
              <w:right w:val="nil"/>
            </w:tcBorders>
          </w:tcPr>
          <w:p w14:paraId="0E5D96B1"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-0.0296</w:t>
            </w:r>
            <w:r>
              <w:rPr>
                <w:rFonts w:ascii="Times New Roman" w:hAnsi="Times New Roman" w:cs="Times New Roman"/>
                <w:sz w:val="24"/>
                <w:szCs w:val="24"/>
                <w:vertAlign w:val="superscript"/>
              </w:rPr>
              <w:t>**</w:t>
            </w:r>
          </w:p>
        </w:tc>
      </w:tr>
      <w:tr w:rsidR="00BD1C3A" w14:paraId="6B0B7B97" w14:textId="77777777" w:rsidTr="00F16287">
        <w:tc>
          <w:tcPr>
            <w:tcW w:w="2136" w:type="dxa"/>
            <w:tcBorders>
              <w:top w:val="nil"/>
              <w:left w:val="nil"/>
              <w:bottom w:val="nil"/>
              <w:right w:val="nil"/>
            </w:tcBorders>
          </w:tcPr>
          <w:p w14:paraId="16D0BFAC"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155DCA9"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656" w:type="dxa"/>
            <w:tcBorders>
              <w:top w:val="nil"/>
              <w:left w:val="nil"/>
              <w:bottom w:val="nil"/>
              <w:right w:val="nil"/>
            </w:tcBorders>
          </w:tcPr>
          <w:p w14:paraId="35FF1B8F"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1656" w:type="dxa"/>
            <w:tcBorders>
              <w:top w:val="nil"/>
              <w:left w:val="nil"/>
              <w:bottom w:val="nil"/>
              <w:right w:val="nil"/>
            </w:tcBorders>
          </w:tcPr>
          <w:p w14:paraId="16D10076"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(-3.05)</w:t>
            </w:r>
          </w:p>
        </w:tc>
      </w:tr>
      <w:tr w:rsidR="00BD1C3A" w14:paraId="54D90425" w14:textId="77777777" w:rsidTr="00F16287">
        <w:tc>
          <w:tcPr>
            <w:tcW w:w="2136" w:type="dxa"/>
            <w:tcBorders>
              <w:top w:val="nil"/>
              <w:left w:val="nil"/>
              <w:bottom w:val="nil"/>
              <w:right w:val="nil"/>
            </w:tcBorders>
          </w:tcPr>
          <w:p w14:paraId="3291500F"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BB92133"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83B5B85"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832EDC8"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r>
      <w:tr w:rsidR="00BD1C3A" w14:paraId="11DD4544" w14:textId="77777777" w:rsidTr="00F16287">
        <w:tc>
          <w:tcPr>
            <w:tcW w:w="2136" w:type="dxa"/>
            <w:tcBorders>
              <w:top w:val="nil"/>
              <w:left w:val="nil"/>
              <w:bottom w:val="nil"/>
              <w:right w:val="nil"/>
            </w:tcBorders>
          </w:tcPr>
          <w:p w14:paraId="2480EE43"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Full Turnover</w:t>
            </w:r>
          </w:p>
        </w:tc>
        <w:tc>
          <w:tcPr>
            <w:tcW w:w="1656" w:type="dxa"/>
            <w:tcBorders>
              <w:top w:val="nil"/>
              <w:left w:val="nil"/>
              <w:bottom w:val="nil"/>
              <w:right w:val="nil"/>
            </w:tcBorders>
          </w:tcPr>
          <w:p w14:paraId="01414C9F"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-0.0658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1251FCA"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-0.0290</w:t>
            </w:r>
          </w:p>
        </w:tc>
        <w:tc>
          <w:tcPr>
            <w:tcW w:w="1656" w:type="dxa"/>
            <w:tcBorders>
              <w:top w:val="nil"/>
              <w:left w:val="nil"/>
              <w:bottom w:val="nil"/>
              <w:right w:val="nil"/>
            </w:tcBorders>
          </w:tcPr>
          <w:p w14:paraId="484172C8"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-0.0890</w:t>
            </w:r>
            <w:r>
              <w:rPr>
                <w:rFonts w:ascii="Times New Roman" w:hAnsi="Times New Roman" w:cs="Times New Roman"/>
                <w:sz w:val="24"/>
                <w:szCs w:val="24"/>
                <w:vertAlign w:val="superscript"/>
              </w:rPr>
              <w:t>**</w:t>
            </w:r>
          </w:p>
        </w:tc>
      </w:tr>
      <w:tr w:rsidR="00BD1C3A" w14:paraId="3035A26A" w14:textId="77777777" w:rsidTr="00F16287">
        <w:tc>
          <w:tcPr>
            <w:tcW w:w="2136" w:type="dxa"/>
            <w:tcBorders>
              <w:top w:val="nil"/>
              <w:left w:val="nil"/>
              <w:bottom w:val="nil"/>
              <w:right w:val="nil"/>
            </w:tcBorders>
          </w:tcPr>
          <w:p w14:paraId="70B6F6AD"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62234CC"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w:t>
            </w:r>
          </w:p>
        </w:tc>
        <w:tc>
          <w:tcPr>
            <w:tcW w:w="1656" w:type="dxa"/>
            <w:tcBorders>
              <w:top w:val="nil"/>
              <w:left w:val="nil"/>
              <w:bottom w:val="nil"/>
              <w:right w:val="nil"/>
            </w:tcBorders>
          </w:tcPr>
          <w:p w14:paraId="595049F4"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(-1.31)</w:t>
            </w:r>
          </w:p>
        </w:tc>
        <w:tc>
          <w:tcPr>
            <w:tcW w:w="1656" w:type="dxa"/>
            <w:tcBorders>
              <w:top w:val="nil"/>
              <w:left w:val="nil"/>
              <w:bottom w:val="nil"/>
              <w:right w:val="nil"/>
            </w:tcBorders>
          </w:tcPr>
          <w:p w14:paraId="7831F94B"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(-3.14)</w:t>
            </w:r>
          </w:p>
        </w:tc>
      </w:tr>
      <w:tr w:rsidR="00BD1C3A" w14:paraId="6C6D86DC" w14:textId="77777777" w:rsidTr="00F16287">
        <w:tc>
          <w:tcPr>
            <w:tcW w:w="2136" w:type="dxa"/>
            <w:tcBorders>
              <w:top w:val="single" w:sz="4" w:space="0" w:color="auto"/>
              <w:left w:val="nil"/>
              <w:bottom w:val="nil"/>
              <w:right w:val="nil"/>
            </w:tcBorders>
          </w:tcPr>
          <w:p w14:paraId="14A49334"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single" w:sz="4" w:space="0" w:color="auto"/>
              <w:left w:val="nil"/>
              <w:bottom w:val="nil"/>
              <w:right w:val="nil"/>
            </w:tcBorders>
          </w:tcPr>
          <w:p w14:paraId="08AFEB70"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5FE7EE58"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5FAF8AD2"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p>
        </w:tc>
      </w:tr>
      <w:tr w:rsidR="00BD1C3A" w14:paraId="23440A3E" w14:textId="77777777" w:rsidTr="00F16287">
        <w:tc>
          <w:tcPr>
            <w:tcW w:w="2136" w:type="dxa"/>
            <w:tcBorders>
              <w:top w:val="nil"/>
              <w:left w:val="nil"/>
              <w:bottom w:val="nil"/>
              <w:right w:val="nil"/>
            </w:tcBorders>
          </w:tcPr>
          <w:p w14:paraId="40DB8754"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 Turnover</w:t>
            </w:r>
          </w:p>
        </w:tc>
        <w:tc>
          <w:tcPr>
            <w:tcW w:w="1656" w:type="dxa"/>
            <w:tcBorders>
              <w:top w:val="nil"/>
              <w:left w:val="nil"/>
              <w:bottom w:val="nil"/>
              <w:right w:val="nil"/>
            </w:tcBorders>
          </w:tcPr>
          <w:p w14:paraId="40E38073"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0.00384</w:t>
            </w:r>
          </w:p>
        </w:tc>
        <w:tc>
          <w:tcPr>
            <w:tcW w:w="1656" w:type="dxa"/>
            <w:tcBorders>
              <w:top w:val="nil"/>
              <w:left w:val="nil"/>
              <w:bottom w:val="nil"/>
              <w:right w:val="nil"/>
            </w:tcBorders>
          </w:tcPr>
          <w:p w14:paraId="72C39AEF"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0.00473</w:t>
            </w:r>
          </w:p>
        </w:tc>
        <w:tc>
          <w:tcPr>
            <w:tcW w:w="1656" w:type="dxa"/>
            <w:tcBorders>
              <w:top w:val="nil"/>
              <w:left w:val="nil"/>
              <w:bottom w:val="nil"/>
              <w:right w:val="nil"/>
            </w:tcBorders>
          </w:tcPr>
          <w:p w14:paraId="551BB6E3"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-0.00440</w:t>
            </w:r>
          </w:p>
        </w:tc>
      </w:tr>
      <w:tr w:rsidR="00BD1C3A" w14:paraId="55E66DD0" w14:textId="77777777" w:rsidTr="00F16287">
        <w:tc>
          <w:tcPr>
            <w:tcW w:w="2136" w:type="dxa"/>
            <w:tcBorders>
              <w:top w:val="nil"/>
              <w:left w:val="nil"/>
              <w:bottom w:val="nil"/>
              <w:right w:val="nil"/>
            </w:tcBorders>
          </w:tcPr>
          <w:p w14:paraId="0449B5F5"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AD62BC8"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(1.32)</w:t>
            </w:r>
          </w:p>
        </w:tc>
        <w:tc>
          <w:tcPr>
            <w:tcW w:w="1656" w:type="dxa"/>
            <w:tcBorders>
              <w:top w:val="nil"/>
              <w:left w:val="nil"/>
              <w:bottom w:val="nil"/>
              <w:right w:val="nil"/>
            </w:tcBorders>
          </w:tcPr>
          <w:p w14:paraId="255A5ED7"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(1.93)</w:t>
            </w:r>
          </w:p>
        </w:tc>
        <w:tc>
          <w:tcPr>
            <w:tcW w:w="1656" w:type="dxa"/>
            <w:tcBorders>
              <w:top w:val="nil"/>
              <w:left w:val="nil"/>
              <w:bottom w:val="nil"/>
              <w:right w:val="nil"/>
            </w:tcBorders>
          </w:tcPr>
          <w:p w14:paraId="16F52703"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w:t>
            </w:r>
          </w:p>
        </w:tc>
      </w:tr>
      <w:tr w:rsidR="00BD1C3A" w14:paraId="67A27BF8" w14:textId="77777777" w:rsidTr="00F16287">
        <w:tc>
          <w:tcPr>
            <w:tcW w:w="2136" w:type="dxa"/>
            <w:tcBorders>
              <w:top w:val="nil"/>
              <w:left w:val="nil"/>
              <w:bottom w:val="nil"/>
              <w:right w:val="nil"/>
            </w:tcBorders>
          </w:tcPr>
          <w:p w14:paraId="040FA899"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7C39580"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54B37E0"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1AB6730"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r>
      <w:tr w:rsidR="00BD1C3A" w14:paraId="073D75A1" w14:textId="77777777" w:rsidTr="00F16287">
        <w:tc>
          <w:tcPr>
            <w:tcW w:w="2136" w:type="dxa"/>
            <w:tcBorders>
              <w:top w:val="nil"/>
              <w:left w:val="nil"/>
              <w:bottom w:val="nil"/>
              <w:right w:val="nil"/>
            </w:tcBorders>
          </w:tcPr>
          <w:p w14:paraId="5F7AC9A2"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Half Turnover</w:t>
            </w:r>
          </w:p>
        </w:tc>
        <w:tc>
          <w:tcPr>
            <w:tcW w:w="1656" w:type="dxa"/>
            <w:tcBorders>
              <w:top w:val="nil"/>
              <w:left w:val="nil"/>
              <w:bottom w:val="nil"/>
              <w:right w:val="nil"/>
            </w:tcBorders>
          </w:tcPr>
          <w:p w14:paraId="04964550"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-0.000396</w:t>
            </w:r>
          </w:p>
        </w:tc>
        <w:tc>
          <w:tcPr>
            <w:tcW w:w="1656" w:type="dxa"/>
            <w:tcBorders>
              <w:top w:val="nil"/>
              <w:left w:val="nil"/>
              <w:bottom w:val="nil"/>
              <w:right w:val="nil"/>
            </w:tcBorders>
          </w:tcPr>
          <w:p w14:paraId="13EDD266"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-0.000870</w:t>
            </w:r>
          </w:p>
        </w:tc>
        <w:tc>
          <w:tcPr>
            <w:tcW w:w="1656" w:type="dxa"/>
            <w:tcBorders>
              <w:top w:val="nil"/>
              <w:left w:val="nil"/>
              <w:bottom w:val="nil"/>
              <w:right w:val="nil"/>
            </w:tcBorders>
          </w:tcPr>
          <w:p w14:paraId="25AD5FB5"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0.00110</w:t>
            </w:r>
          </w:p>
        </w:tc>
      </w:tr>
      <w:tr w:rsidR="00BD1C3A" w14:paraId="32F19F6D" w14:textId="77777777" w:rsidTr="00F16287">
        <w:tc>
          <w:tcPr>
            <w:tcW w:w="2136" w:type="dxa"/>
            <w:tcBorders>
              <w:top w:val="nil"/>
              <w:left w:val="nil"/>
              <w:bottom w:val="nil"/>
              <w:right w:val="nil"/>
            </w:tcBorders>
          </w:tcPr>
          <w:p w14:paraId="5BD650EB"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7EB2063"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w:t>
            </w:r>
          </w:p>
        </w:tc>
        <w:tc>
          <w:tcPr>
            <w:tcW w:w="1656" w:type="dxa"/>
            <w:tcBorders>
              <w:top w:val="nil"/>
              <w:left w:val="nil"/>
              <w:bottom w:val="nil"/>
              <w:right w:val="nil"/>
            </w:tcBorders>
          </w:tcPr>
          <w:p w14:paraId="224647B7"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1656" w:type="dxa"/>
            <w:tcBorders>
              <w:top w:val="nil"/>
              <w:left w:val="nil"/>
              <w:bottom w:val="nil"/>
              <w:right w:val="nil"/>
            </w:tcBorders>
          </w:tcPr>
          <w:p w14:paraId="7D39F179"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w:t>
            </w:r>
          </w:p>
        </w:tc>
      </w:tr>
      <w:tr w:rsidR="00BD1C3A" w14:paraId="1D592EFB" w14:textId="77777777" w:rsidTr="00F16287">
        <w:tc>
          <w:tcPr>
            <w:tcW w:w="2136" w:type="dxa"/>
            <w:tcBorders>
              <w:top w:val="nil"/>
              <w:left w:val="nil"/>
              <w:bottom w:val="nil"/>
              <w:right w:val="nil"/>
            </w:tcBorders>
          </w:tcPr>
          <w:p w14:paraId="7A7DE4CC"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ABF5BE5"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A354EB6"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A1972E2"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r>
      <w:tr w:rsidR="00BD1C3A" w14:paraId="77D612FC" w14:textId="77777777" w:rsidTr="00F16287">
        <w:tc>
          <w:tcPr>
            <w:tcW w:w="2136" w:type="dxa"/>
            <w:tcBorders>
              <w:top w:val="nil"/>
              <w:left w:val="nil"/>
              <w:bottom w:val="nil"/>
              <w:right w:val="nil"/>
            </w:tcBorders>
          </w:tcPr>
          <w:p w14:paraId="016C15B9"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Full Turnover</w:t>
            </w:r>
          </w:p>
        </w:tc>
        <w:tc>
          <w:tcPr>
            <w:tcW w:w="1656" w:type="dxa"/>
            <w:tcBorders>
              <w:top w:val="nil"/>
              <w:left w:val="nil"/>
              <w:bottom w:val="nil"/>
              <w:right w:val="nil"/>
            </w:tcBorders>
          </w:tcPr>
          <w:p w14:paraId="2A8A1913"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-0.00345</w:t>
            </w:r>
          </w:p>
        </w:tc>
        <w:tc>
          <w:tcPr>
            <w:tcW w:w="1656" w:type="dxa"/>
            <w:tcBorders>
              <w:top w:val="nil"/>
              <w:left w:val="nil"/>
              <w:bottom w:val="nil"/>
              <w:right w:val="nil"/>
            </w:tcBorders>
          </w:tcPr>
          <w:p w14:paraId="0EF0B098"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-0.00386</w:t>
            </w:r>
          </w:p>
        </w:tc>
        <w:tc>
          <w:tcPr>
            <w:tcW w:w="1656" w:type="dxa"/>
            <w:tcBorders>
              <w:top w:val="nil"/>
              <w:left w:val="nil"/>
              <w:bottom w:val="nil"/>
              <w:right w:val="nil"/>
            </w:tcBorders>
          </w:tcPr>
          <w:p w14:paraId="42B36929"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0.00331</w:t>
            </w:r>
          </w:p>
        </w:tc>
      </w:tr>
      <w:tr w:rsidR="00BD1C3A" w14:paraId="5E0944C7" w14:textId="77777777" w:rsidTr="00F16287">
        <w:tc>
          <w:tcPr>
            <w:tcW w:w="2136" w:type="dxa"/>
            <w:tcBorders>
              <w:top w:val="nil"/>
              <w:left w:val="nil"/>
              <w:bottom w:val="single" w:sz="4" w:space="0" w:color="auto"/>
              <w:right w:val="nil"/>
            </w:tcBorders>
          </w:tcPr>
          <w:p w14:paraId="6AA341D5"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142184FD"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(-1.32)</w:t>
            </w:r>
          </w:p>
        </w:tc>
        <w:tc>
          <w:tcPr>
            <w:tcW w:w="1656" w:type="dxa"/>
            <w:tcBorders>
              <w:top w:val="nil"/>
              <w:left w:val="nil"/>
              <w:bottom w:val="single" w:sz="4" w:space="0" w:color="auto"/>
              <w:right w:val="nil"/>
            </w:tcBorders>
          </w:tcPr>
          <w:p w14:paraId="64F79402"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(-1.92)</w:t>
            </w:r>
          </w:p>
        </w:tc>
        <w:tc>
          <w:tcPr>
            <w:tcW w:w="1656" w:type="dxa"/>
            <w:tcBorders>
              <w:top w:val="nil"/>
              <w:left w:val="nil"/>
              <w:bottom w:val="single" w:sz="4" w:space="0" w:color="auto"/>
              <w:right w:val="nil"/>
            </w:tcBorders>
          </w:tcPr>
          <w:p w14:paraId="08F5F01D"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w:t>
            </w:r>
          </w:p>
        </w:tc>
      </w:tr>
      <w:tr w:rsidR="00BD1C3A" w14:paraId="57C14BD6" w14:textId="77777777" w:rsidTr="00F16287">
        <w:tc>
          <w:tcPr>
            <w:tcW w:w="2136" w:type="dxa"/>
            <w:tcBorders>
              <w:top w:val="nil"/>
              <w:left w:val="nil"/>
              <w:bottom w:val="single" w:sz="4" w:space="0" w:color="auto"/>
              <w:right w:val="nil"/>
            </w:tcBorders>
          </w:tcPr>
          <w:p w14:paraId="24A061A2" w14:textId="77777777" w:rsidR="00BD1C3A" w:rsidRDefault="00BD1C3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37CE4770"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1651</w:t>
            </w:r>
          </w:p>
        </w:tc>
        <w:tc>
          <w:tcPr>
            <w:tcW w:w="1656" w:type="dxa"/>
            <w:tcBorders>
              <w:top w:val="nil"/>
              <w:left w:val="nil"/>
              <w:bottom w:val="single" w:sz="4" w:space="0" w:color="auto"/>
              <w:right w:val="nil"/>
            </w:tcBorders>
          </w:tcPr>
          <w:p w14:paraId="7F976761"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1651</w:t>
            </w:r>
          </w:p>
        </w:tc>
        <w:tc>
          <w:tcPr>
            <w:tcW w:w="1656" w:type="dxa"/>
            <w:tcBorders>
              <w:top w:val="nil"/>
              <w:left w:val="nil"/>
              <w:bottom w:val="single" w:sz="4" w:space="0" w:color="auto"/>
              <w:right w:val="nil"/>
            </w:tcBorders>
          </w:tcPr>
          <w:p w14:paraId="6E65F051" w14:textId="77777777" w:rsidR="00BD1C3A" w:rsidRDefault="00BD1C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1334</w:t>
            </w:r>
          </w:p>
        </w:tc>
      </w:tr>
    </w:tbl>
    <w:p w14:paraId="2D8726B0" w14:textId="77777777" w:rsidR="00BD1C3A" w:rsidRDefault="00BD1C3A" w:rsidP="00BD1C3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D64B7DB" w14:textId="4BD138C4" w:rsidR="00BD1C3A" w:rsidRPr="00BD1C3A" w:rsidRDefault="00BD1C3A" w:rsidP="002A0DB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6087728D" w14:textId="77777777" w:rsidR="00BD1C3A" w:rsidRPr="00A277A4" w:rsidRDefault="00BD1C3A" w:rsidP="002A0DB8">
      <w:pPr>
        <w:widowControl w:val="0"/>
        <w:autoSpaceDE w:val="0"/>
        <w:autoSpaceDN w:val="0"/>
        <w:adjustRightInd w:val="0"/>
        <w:spacing w:after="0" w:line="240" w:lineRule="auto"/>
        <w:rPr>
          <w:rFonts w:ascii="Times New Roman" w:hAnsi="Times New Roman" w:cs="Times New Roman"/>
          <w:sz w:val="20"/>
          <w:szCs w:val="20"/>
        </w:rPr>
      </w:pPr>
    </w:p>
    <w:p w14:paraId="0786B493" w14:textId="63C90595" w:rsidR="00B57184" w:rsidRPr="00A277A4" w:rsidRDefault="00BA1177" w:rsidP="00D64175">
      <w:r w:rsidRPr="00A277A4">
        <w:t xml:space="preserve">In a similar vein, it is also appropriate to </w:t>
      </w:r>
      <w:r w:rsidR="00465C95" w:rsidRPr="00A277A4">
        <w:t>treat the political instability variable event as binary</w:t>
      </w:r>
      <w:r w:rsidR="00236CCD" w:rsidRPr="00A277A4">
        <w:t>. Table 4 shows the mean marginal effects from a panel logit regression with fixed effects and clustered standard errors (for c</w:t>
      </w:r>
      <w:r w:rsidR="00915A00" w:rsidRPr="00A277A4">
        <w:t>oefficients</w:t>
      </w:r>
      <w:r w:rsidR="00236CCD" w:rsidRPr="00A277A4">
        <w:t>, see</w:t>
      </w:r>
      <w:r w:rsidR="00915A00" w:rsidRPr="00A277A4">
        <w:t xml:space="preserve"> </w:t>
      </w:r>
      <w:r w:rsidR="00236CCD" w:rsidRPr="00A277A4">
        <w:t>A</w:t>
      </w:r>
      <w:r w:rsidR="00915A00" w:rsidRPr="00A277A4">
        <w:t>ppendix Table A</w:t>
      </w:r>
      <w:r w:rsidR="001779BB" w:rsidRPr="00A277A4">
        <w:t>7</w:t>
      </w:r>
      <w:r w:rsidR="00236CCD" w:rsidRPr="00A277A4">
        <w:t>).</w:t>
      </w:r>
      <w:r w:rsidR="00647A51" w:rsidRPr="00A277A4">
        <w:t xml:space="preserve"> </w:t>
      </w:r>
      <w:r w:rsidR="00E518FC" w:rsidRPr="00A277A4">
        <w:t>Again, de jure CBI is associated with a higher chan</w:t>
      </w:r>
      <w:r w:rsidR="00647A51" w:rsidRPr="00A277A4">
        <w:t>c</w:t>
      </w:r>
      <w:r w:rsidR="00E518FC" w:rsidRPr="00A277A4">
        <w:t xml:space="preserve">e of </w:t>
      </w:r>
      <w:r w:rsidR="00647A51" w:rsidRPr="00A277A4">
        <w:t>events such as coups, civil wars, and revolutions.</w:t>
      </w:r>
      <w:r w:rsidR="00CD3BD5" w:rsidRPr="00A277A4">
        <w:t xml:space="preserve"> A fixed exchange rate also increases the chance of these events somewhat, </w:t>
      </w:r>
      <w:r w:rsidR="00E66D04" w:rsidRPr="00A277A4">
        <w:t xml:space="preserve">but the effect size is generally smaller. This stands in contrast with </w:t>
      </w:r>
      <w:r w:rsidR="00A277A4" w:rsidRPr="00A277A4">
        <w:t>earlier</w:t>
      </w:r>
      <w:r w:rsidR="00E66D04" w:rsidRPr="00A277A4">
        <w:t xml:space="preserve"> </w:t>
      </w:r>
      <w:r w:rsidR="00575BD0" w:rsidRPr="00A277A4">
        <w:t>results for fixed exchange rates which seemed to suggest greater electoral stability and less turnover</w:t>
      </w:r>
      <w:r w:rsidR="00E66D04" w:rsidRPr="00A277A4">
        <w:t>.</w:t>
      </w:r>
    </w:p>
    <w:p w14:paraId="71DFE2D9" w14:textId="029C4832" w:rsidR="003B07FA" w:rsidRPr="00CC392D" w:rsidRDefault="006520FB" w:rsidP="00D64175">
      <w:r w:rsidRPr="00575C54">
        <w:t xml:space="preserve">Table 4: Instability Event Panel Logit, Fixed Effects and Clustered Standard Errors, </w:t>
      </w:r>
      <w:r w:rsidR="003B07FA" w:rsidRPr="00575C54">
        <w:t xml:space="preserve">Mean </w:t>
      </w:r>
      <w:r w:rsidR="00807B4F" w:rsidRPr="00575C54">
        <w:t>M</w:t>
      </w:r>
      <w:r w:rsidR="003B07FA" w:rsidRPr="00575C54">
        <w:t xml:space="preserve">arginal </w:t>
      </w:r>
      <w:r w:rsidR="00807B4F" w:rsidRPr="00575C54">
        <w:t>E</w:t>
      </w:r>
      <w:r w:rsidR="003B07FA" w:rsidRPr="00575C54">
        <w:t>ffects</w:t>
      </w:r>
    </w:p>
    <w:tbl>
      <w:tblPr>
        <w:tblW w:w="0" w:type="auto"/>
        <w:tblLayout w:type="fixed"/>
        <w:tblLook w:val="0000" w:firstRow="0" w:lastRow="0" w:firstColumn="0" w:lastColumn="0" w:noHBand="0" w:noVBand="0"/>
      </w:tblPr>
      <w:tblGrid>
        <w:gridCol w:w="2136"/>
        <w:gridCol w:w="1656"/>
      </w:tblGrid>
      <w:tr w:rsidR="00CC392D" w14:paraId="2DCEDAEC" w14:textId="77777777" w:rsidTr="00F16287">
        <w:tc>
          <w:tcPr>
            <w:tcW w:w="2136" w:type="dxa"/>
            <w:tcBorders>
              <w:top w:val="single" w:sz="4" w:space="0" w:color="auto"/>
              <w:left w:val="nil"/>
              <w:bottom w:val="nil"/>
              <w:right w:val="nil"/>
            </w:tcBorders>
          </w:tcPr>
          <w:p w14:paraId="5FA49C0E" w14:textId="77777777" w:rsidR="00CC392D" w:rsidRDefault="00CC392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4903B1F5" w14:textId="77777777" w:rsidR="00CC392D" w:rsidRDefault="00CC392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C392D" w14:paraId="50F0190F" w14:textId="77777777" w:rsidTr="00F16287">
        <w:tc>
          <w:tcPr>
            <w:tcW w:w="2136" w:type="dxa"/>
            <w:tcBorders>
              <w:top w:val="nil"/>
              <w:left w:val="nil"/>
              <w:bottom w:val="nil"/>
              <w:right w:val="nil"/>
            </w:tcBorders>
          </w:tcPr>
          <w:p w14:paraId="73B15E2E" w14:textId="77777777" w:rsidR="00CC392D" w:rsidRDefault="00CC392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67711BB" w14:textId="77777777" w:rsidR="00CC392D" w:rsidRDefault="00CC392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Binary Instability Event</w:t>
            </w:r>
          </w:p>
        </w:tc>
      </w:tr>
      <w:tr w:rsidR="00CC392D" w14:paraId="4F33F69C" w14:textId="77777777" w:rsidTr="00F16287">
        <w:tc>
          <w:tcPr>
            <w:tcW w:w="2136" w:type="dxa"/>
            <w:tcBorders>
              <w:top w:val="single" w:sz="4" w:space="0" w:color="auto"/>
              <w:left w:val="nil"/>
              <w:bottom w:val="nil"/>
              <w:right w:val="nil"/>
            </w:tcBorders>
          </w:tcPr>
          <w:p w14:paraId="25FE4478" w14:textId="77777777" w:rsidR="00CC392D" w:rsidRPr="00B36258" w:rsidRDefault="00CC392D" w:rsidP="00F16287">
            <w:pPr>
              <w:widowControl w:val="0"/>
              <w:autoSpaceDE w:val="0"/>
              <w:autoSpaceDN w:val="0"/>
              <w:adjustRightInd w:val="0"/>
              <w:spacing w:after="0" w:line="240" w:lineRule="auto"/>
              <w:rPr>
                <w:rFonts w:ascii="Times New Roman" w:hAnsi="Times New Roman" w:cs="Times New Roman"/>
                <w:sz w:val="24"/>
                <w:szCs w:val="24"/>
                <w:lang w:val="fr-BE"/>
              </w:rPr>
            </w:pPr>
            <w:r w:rsidRPr="00B36258">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26957847" w14:textId="77777777" w:rsidR="00CC392D" w:rsidRDefault="00CC392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0.376</w:t>
            </w:r>
            <w:r>
              <w:rPr>
                <w:rFonts w:ascii="Times New Roman" w:hAnsi="Times New Roman" w:cs="Times New Roman"/>
                <w:sz w:val="24"/>
                <w:szCs w:val="24"/>
                <w:vertAlign w:val="superscript"/>
              </w:rPr>
              <w:t>***</w:t>
            </w:r>
          </w:p>
        </w:tc>
      </w:tr>
      <w:tr w:rsidR="00CC392D" w14:paraId="2A3483D2" w14:textId="77777777" w:rsidTr="00F16287">
        <w:tc>
          <w:tcPr>
            <w:tcW w:w="2136" w:type="dxa"/>
            <w:tcBorders>
              <w:top w:val="nil"/>
              <w:left w:val="nil"/>
              <w:bottom w:val="nil"/>
              <w:right w:val="nil"/>
            </w:tcBorders>
          </w:tcPr>
          <w:p w14:paraId="1788AF11" w14:textId="77777777" w:rsidR="00CC392D" w:rsidRDefault="00CC392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1B0E455" w14:textId="77777777" w:rsidR="00CC392D" w:rsidRDefault="00CC392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(12.93)</w:t>
            </w:r>
          </w:p>
        </w:tc>
      </w:tr>
      <w:tr w:rsidR="00CC392D" w14:paraId="5FA4D8E6" w14:textId="77777777" w:rsidTr="00F16287">
        <w:tc>
          <w:tcPr>
            <w:tcW w:w="2136" w:type="dxa"/>
            <w:tcBorders>
              <w:top w:val="nil"/>
              <w:left w:val="nil"/>
              <w:bottom w:val="nil"/>
              <w:right w:val="nil"/>
            </w:tcBorders>
          </w:tcPr>
          <w:p w14:paraId="3BB1DB58" w14:textId="77777777" w:rsidR="00CC392D" w:rsidRDefault="00CC392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1388075" w14:textId="77777777" w:rsidR="00CC392D" w:rsidRDefault="00CC392D" w:rsidP="00F16287">
            <w:pPr>
              <w:widowControl w:val="0"/>
              <w:autoSpaceDE w:val="0"/>
              <w:autoSpaceDN w:val="0"/>
              <w:adjustRightInd w:val="0"/>
              <w:spacing w:after="0" w:line="240" w:lineRule="auto"/>
              <w:rPr>
                <w:rFonts w:ascii="Times New Roman" w:hAnsi="Times New Roman" w:cs="Times New Roman"/>
                <w:sz w:val="24"/>
                <w:szCs w:val="24"/>
              </w:rPr>
            </w:pPr>
          </w:p>
        </w:tc>
      </w:tr>
      <w:tr w:rsidR="00CC392D" w14:paraId="1432EDC6" w14:textId="77777777" w:rsidTr="00F16287">
        <w:tc>
          <w:tcPr>
            <w:tcW w:w="2136" w:type="dxa"/>
            <w:tcBorders>
              <w:top w:val="nil"/>
              <w:left w:val="nil"/>
              <w:bottom w:val="nil"/>
              <w:right w:val="nil"/>
            </w:tcBorders>
          </w:tcPr>
          <w:p w14:paraId="5221EBEF" w14:textId="77777777" w:rsidR="00CC392D" w:rsidRDefault="00CC392D"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7A651DBE" w14:textId="77777777" w:rsidR="00CC392D" w:rsidRDefault="00CC392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0.00227</w:t>
            </w:r>
            <w:r>
              <w:rPr>
                <w:rFonts w:ascii="Times New Roman" w:hAnsi="Times New Roman" w:cs="Times New Roman"/>
                <w:sz w:val="24"/>
                <w:szCs w:val="24"/>
                <w:vertAlign w:val="superscript"/>
              </w:rPr>
              <w:t>**</w:t>
            </w:r>
          </w:p>
        </w:tc>
      </w:tr>
      <w:tr w:rsidR="00CC392D" w14:paraId="7AE2E328" w14:textId="77777777" w:rsidTr="00F16287">
        <w:tc>
          <w:tcPr>
            <w:tcW w:w="2136" w:type="dxa"/>
            <w:tcBorders>
              <w:top w:val="nil"/>
              <w:left w:val="nil"/>
              <w:bottom w:val="single" w:sz="4" w:space="0" w:color="auto"/>
              <w:right w:val="nil"/>
            </w:tcBorders>
          </w:tcPr>
          <w:p w14:paraId="00D88034" w14:textId="77777777" w:rsidR="00CC392D" w:rsidRDefault="00CC392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0CBAF202" w14:textId="77777777" w:rsidR="00CC392D" w:rsidRDefault="00CC392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(2.99)</w:t>
            </w:r>
          </w:p>
        </w:tc>
      </w:tr>
      <w:tr w:rsidR="00CC392D" w14:paraId="65A4E9C8" w14:textId="77777777" w:rsidTr="00F16287">
        <w:tc>
          <w:tcPr>
            <w:tcW w:w="2136" w:type="dxa"/>
            <w:tcBorders>
              <w:top w:val="nil"/>
              <w:left w:val="nil"/>
              <w:bottom w:val="single" w:sz="4" w:space="0" w:color="auto"/>
              <w:right w:val="nil"/>
            </w:tcBorders>
          </w:tcPr>
          <w:p w14:paraId="6D317638" w14:textId="77777777" w:rsidR="00CC392D" w:rsidRDefault="00CC392D"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1D912E2B" w14:textId="77777777" w:rsidR="00CC392D" w:rsidRDefault="00CC392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3912</w:t>
            </w:r>
          </w:p>
        </w:tc>
      </w:tr>
    </w:tbl>
    <w:p w14:paraId="02A98669" w14:textId="77777777" w:rsidR="00771F6C" w:rsidRDefault="00771F6C" w:rsidP="00771F6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 xml:space="preserve"> statistics in parentheses</w:t>
      </w:r>
    </w:p>
    <w:p w14:paraId="3C961B13" w14:textId="77777777" w:rsidR="00771F6C" w:rsidRDefault="00771F6C" w:rsidP="00771F6C">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0.001</w:t>
      </w:r>
    </w:p>
    <w:p w14:paraId="0BB5FC81" w14:textId="77777777" w:rsidR="002A0DB8" w:rsidRPr="00977E29" w:rsidRDefault="002A0DB8" w:rsidP="00593607">
      <w:pPr>
        <w:widowControl w:val="0"/>
        <w:autoSpaceDE w:val="0"/>
        <w:autoSpaceDN w:val="0"/>
        <w:adjustRightInd w:val="0"/>
        <w:spacing w:after="0" w:line="240" w:lineRule="auto"/>
        <w:rPr>
          <w:rFonts w:ascii="Times New Roman" w:hAnsi="Times New Roman" w:cs="Times New Roman"/>
          <w:sz w:val="20"/>
          <w:szCs w:val="20"/>
          <w:highlight w:val="yellow"/>
        </w:rPr>
      </w:pPr>
    </w:p>
    <w:tbl>
      <w:tblPr>
        <w:tblW w:w="0" w:type="auto"/>
        <w:tblLayout w:type="fixed"/>
        <w:tblLook w:val="0000" w:firstRow="0" w:lastRow="0" w:firstColumn="0" w:lastColumn="0" w:noHBand="0" w:noVBand="0"/>
      </w:tblPr>
      <w:tblGrid>
        <w:gridCol w:w="2136"/>
        <w:gridCol w:w="1656"/>
      </w:tblGrid>
      <w:tr w:rsidR="00C20085" w14:paraId="6F7C8A2F" w14:textId="77777777" w:rsidTr="00F16287">
        <w:tc>
          <w:tcPr>
            <w:tcW w:w="2136" w:type="dxa"/>
            <w:tcBorders>
              <w:top w:val="single" w:sz="4" w:space="0" w:color="auto"/>
              <w:left w:val="nil"/>
              <w:bottom w:val="nil"/>
              <w:right w:val="nil"/>
            </w:tcBorders>
          </w:tcPr>
          <w:p w14:paraId="37EFCAAF" w14:textId="77777777" w:rsidR="00C20085" w:rsidRDefault="00C2008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053F7BC9" w14:textId="77777777" w:rsidR="00C20085" w:rsidRDefault="00C2008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20085" w14:paraId="770E1257" w14:textId="77777777" w:rsidTr="00F16287">
        <w:tc>
          <w:tcPr>
            <w:tcW w:w="2136" w:type="dxa"/>
            <w:tcBorders>
              <w:top w:val="nil"/>
              <w:left w:val="nil"/>
              <w:bottom w:val="nil"/>
              <w:right w:val="nil"/>
            </w:tcBorders>
          </w:tcPr>
          <w:p w14:paraId="17CE27CF" w14:textId="77777777" w:rsidR="00C20085" w:rsidRDefault="00C2008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AD9F80E" w14:textId="77777777" w:rsidR="00C20085" w:rsidRDefault="00C2008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Binary Instability </w:t>
            </w:r>
            <w:r>
              <w:rPr>
                <w:rFonts w:ascii="Times New Roman" w:hAnsi="Times New Roman" w:cs="Times New Roman"/>
                <w:sz w:val="24"/>
                <w:szCs w:val="24"/>
              </w:rPr>
              <w:lastRenderedPageBreak/>
              <w:t>Event</w:t>
            </w:r>
          </w:p>
        </w:tc>
      </w:tr>
      <w:tr w:rsidR="00C20085" w14:paraId="05D97E41" w14:textId="77777777" w:rsidTr="00F16287">
        <w:tc>
          <w:tcPr>
            <w:tcW w:w="2136" w:type="dxa"/>
            <w:tcBorders>
              <w:top w:val="single" w:sz="4" w:space="0" w:color="auto"/>
              <w:left w:val="nil"/>
              <w:bottom w:val="nil"/>
              <w:right w:val="nil"/>
            </w:tcBorders>
          </w:tcPr>
          <w:p w14:paraId="71E28AF7" w14:textId="77777777" w:rsidR="00C20085" w:rsidRDefault="00C2008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(Lack of) Irregular CB Governor Turnover (higher = more de facto CBI)</w:t>
            </w:r>
          </w:p>
        </w:tc>
        <w:tc>
          <w:tcPr>
            <w:tcW w:w="1656" w:type="dxa"/>
            <w:tcBorders>
              <w:top w:val="single" w:sz="4" w:space="0" w:color="auto"/>
              <w:left w:val="nil"/>
              <w:bottom w:val="nil"/>
              <w:right w:val="nil"/>
            </w:tcBorders>
          </w:tcPr>
          <w:p w14:paraId="1AFA0D36" w14:textId="77777777" w:rsidR="00C20085" w:rsidRDefault="00C2008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0.0282</w:t>
            </w:r>
          </w:p>
        </w:tc>
      </w:tr>
      <w:tr w:rsidR="00C20085" w14:paraId="61272040" w14:textId="77777777" w:rsidTr="00F16287">
        <w:tc>
          <w:tcPr>
            <w:tcW w:w="2136" w:type="dxa"/>
            <w:tcBorders>
              <w:top w:val="nil"/>
              <w:left w:val="nil"/>
              <w:bottom w:val="nil"/>
              <w:right w:val="nil"/>
            </w:tcBorders>
          </w:tcPr>
          <w:p w14:paraId="03CD287B" w14:textId="77777777" w:rsidR="00C20085" w:rsidRDefault="00C2008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096B83E" w14:textId="77777777" w:rsidR="00C20085" w:rsidRDefault="00C2008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w:t>
            </w:r>
          </w:p>
        </w:tc>
      </w:tr>
      <w:tr w:rsidR="00C20085" w14:paraId="1616B653" w14:textId="77777777" w:rsidTr="00F16287">
        <w:tc>
          <w:tcPr>
            <w:tcW w:w="2136" w:type="dxa"/>
            <w:tcBorders>
              <w:top w:val="nil"/>
              <w:left w:val="nil"/>
              <w:bottom w:val="nil"/>
              <w:right w:val="nil"/>
            </w:tcBorders>
          </w:tcPr>
          <w:p w14:paraId="350D2FA9" w14:textId="77777777" w:rsidR="00C20085" w:rsidRDefault="00C2008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5EA3C43" w14:textId="77777777" w:rsidR="00C20085" w:rsidRDefault="00C20085" w:rsidP="00F16287">
            <w:pPr>
              <w:widowControl w:val="0"/>
              <w:autoSpaceDE w:val="0"/>
              <w:autoSpaceDN w:val="0"/>
              <w:adjustRightInd w:val="0"/>
              <w:spacing w:after="0" w:line="240" w:lineRule="auto"/>
              <w:rPr>
                <w:rFonts w:ascii="Times New Roman" w:hAnsi="Times New Roman" w:cs="Times New Roman"/>
                <w:sz w:val="24"/>
                <w:szCs w:val="24"/>
              </w:rPr>
            </w:pPr>
          </w:p>
        </w:tc>
      </w:tr>
      <w:tr w:rsidR="00C20085" w14:paraId="6A9E4D20" w14:textId="77777777" w:rsidTr="00F16287">
        <w:tc>
          <w:tcPr>
            <w:tcW w:w="2136" w:type="dxa"/>
            <w:tcBorders>
              <w:top w:val="nil"/>
              <w:left w:val="nil"/>
              <w:bottom w:val="nil"/>
              <w:right w:val="nil"/>
            </w:tcBorders>
          </w:tcPr>
          <w:p w14:paraId="005D5BC8" w14:textId="77777777" w:rsidR="00C20085" w:rsidRDefault="00C2008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1896C207" w14:textId="77777777" w:rsidR="00C20085" w:rsidRDefault="00C2008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0.0152</w:t>
            </w:r>
            <w:r>
              <w:rPr>
                <w:rFonts w:ascii="Times New Roman" w:hAnsi="Times New Roman" w:cs="Times New Roman"/>
                <w:sz w:val="24"/>
                <w:szCs w:val="24"/>
                <w:vertAlign w:val="superscript"/>
              </w:rPr>
              <w:t>***</w:t>
            </w:r>
          </w:p>
        </w:tc>
      </w:tr>
      <w:tr w:rsidR="00C20085" w14:paraId="78F9B1E7" w14:textId="77777777" w:rsidTr="00F16287">
        <w:tc>
          <w:tcPr>
            <w:tcW w:w="2136" w:type="dxa"/>
            <w:tcBorders>
              <w:top w:val="nil"/>
              <w:left w:val="nil"/>
              <w:bottom w:val="single" w:sz="4" w:space="0" w:color="auto"/>
              <w:right w:val="nil"/>
            </w:tcBorders>
          </w:tcPr>
          <w:p w14:paraId="5601B0E0" w14:textId="77777777" w:rsidR="00C20085" w:rsidRDefault="00C2008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19EB7524" w14:textId="77777777" w:rsidR="00C20085" w:rsidRDefault="00C2008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(6.71)</w:t>
            </w:r>
          </w:p>
        </w:tc>
      </w:tr>
      <w:tr w:rsidR="00C20085" w14:paraId="1AF2DD25" w14:textId="77777777" w:rsidTr="00F16287">
        <w:tc>
          <w:tcPr>
            <w:tcW w:w="2136" w:type="dxa"/>
            <w:tcBorders>
              <w:top w:val="nil"/>
              <w:left w:val="nil"/>
              <w:bottom w:val="single" w:sz="4" w:space="0" w:color="auto"/>
              <w:right w:val="nil"/>
            </w:tcBorders>
          </w:tcPr>
          <w:p w14:paraId="1E2AE43B" w14:textId="77777777" w:rsidR="00C20085" w:rsidRDefault="00C2008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6E8261E7" w14:textId="77777777" w:rsidR="00C20085" w:rsidRDefault="00C2008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4163</w:t>
            </w:r>
          </w:p>
        </w:tc>
      </w:tr>
    </w:tbl>
    <w:p w14:paraId="721AA297" w14:textId="77777777" w:rsidR="00C20085" w:rsidRDefault="00C20085" w:rsidP="00C2008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C42049C" w14:textId="629557D7" w:rsidR="00C20085" w:rsidRPr="00015068" w:rsidRDefault="00C20085" w:rsidP="00C2008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699EB940" w14:textId="77777777" w:rsidR="00C20085" w:rsidRPr="00977E29" w:rsidRDefault="00C20085" w:rsidP="00593607">
      <w:pPr>
        <w:widowControl w:val="0"/>
        <w:autoSpaceDE w:val="0"/>
        <w:autoSpaceDN w:val="0"/>
        <w:adjustRightInd w:val="0"/>
        <w:spacing w:after="0" w:line="240" w:lineRule="auto"/>
        <w:rPr>
          <w:rFonts w:ascii="Times New Roman" w:hAnsi="Times New Roman" w:cs="Times New Roman"/>
          <w:sz w:val="24"/>
          <w:szCs w:val="24"/>
          <w:highlight w:val="yellow"/>
        </w:rPr>
      </w:pPr>
    </w:p>
    <w:p w14:paraId="19B69093" w14:textId="57B6B3B3" w:rsidR="00045E06" w:rsidRDefault="00F149E3" w:rsidP="00D64175">
      <w:pPr>
        <w:rPr>
          <w:lang w:val="en-GB"/>
        </w:rPr>
      </w:pPr>
      <w:r w:rsidRPr="00E132D0">
        <w:t xml:space="preserve">In spirit of previous </w:t>
      </w:r>
      <w:r w:rsidRPr="00207A74">
        <w:t>literature</w:t>
      </w:r>
      <w:r w:rsidR="00AA6F45" w:rsidRPr="00207A74">
        <w:t xml:space="preserve"> </w:t>
      </w:r>
      <w:r w:rsidR="00AA6F45" w:rsidRPr="00207A74">
        <w:fldChar w:fldCharType="begin"/>
      </w:r>
      <w:r w:rsidR="00207A74" w:rsidRPr="00207A74">
        <w:instrText xml:space="preserve"> ADDIN ZOTERO_ITEM CSL_CITATION {"citationID":"nchPHo2H","properties":{"formattedCitation":"(Bernhard, Broz, and Clark 2002)","plainCitation":"(Bernhard, Broz, and Clark 2002)","noteIndex":0},"citationItems":[{"id":230,"uris":["http://zotero.org/users/5939705/items/RID6IKI8"],"uri":["http://zotero.org/users/5939705/items/RID6IKI8"],"itemData":{"id":230,"type":"article-journal","abstract":"In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AA6F45" w:rsidRPr="00207A74">
        <w:fldChar w:fldCharType="separate"/>
      </w:r>
      <w:r w:rsidR="00207A74" w:rsidRPr="00207A74">
        <w:rPr>
          <w:rFonts w:ascii="Calibri" w:hAnsi="Calibri" w:cs="Calibri"/>
        </w:rPr>
        <w:t>(Bernhard, Broz, and Clark 2002)</w:t>
      </w:r>
      <w:r w:rsidR="00AA6F45" w:rsidRPr="00207A74">
        <w:fldChar w:fldCharType="end"/>
      </w:r>
      <w:r w:rsidRPr="00207A74">
        <w:t>, interaction terms allow for th</w:t>
      </w:r>
      <w:r w:rsidR="008716C7" w:rsidRPr="00207A74">
        <w:t>e joint consideration of central bank independence and fixed exchange rates</w:t>
      </w:r>
      <w:r w:rsidR="008716C7" w:rsidRPr="00E132D0">
        <w:t>.</w:t>
      </w:r>
      <w:r w:rsidR="00671B69" w:rsidRPr="00E132D0">
        <w:t xml:space="preserve"> These results can be found in Appendix Table </w:t>
      </w:r>
      <w:r w:rsidR="00D25941" w:rsidRPr="00E132D0">
        <w:t>A</w:t>
      </w:r>
      <w:r w:rsidR="00FC2FC8" w:rsidRPr="00E132D0">
        <w:t>8</w:t>
      </w:r>
      <w:r w:rsidR="00D25941" w:rsidRPr="00E132D0">
        <w:t>.</w:t>
      </w:r>
      <w:r w:rsidR="00827C1C" w:rsidRPr="00E132D0">
        <w:t xml:space="preserve"> </w:t>
      </w:r>
      <w:r w:rsidR="008A0321" w:rsidRPr="00385764">
        <w:t xml:space="preserve">In general, the inclusion of </w:t>
      </w:r>
      <w:r w:rsidR="00854AED" w:rsidRPr="00385764">
        <w:t>interaction terms for institutions</w:t>
      </w:r>
      <w:r w:rsidR="008A0321" w:rsidRPr="00385764">
        <w:t xml:space="preserve"> does not change the sign of variables</w:t>
      </w:r>
      <w:r w:rsidR="00827C1C" w:rsidRPr="00385764">
        <w:t>, but data limitations and potential collinearity reduce significance</w:t>
      </w:r>
      <w:r w:rsidR="008819DA" w:rsidRPr="00385764">
        <w:t xml:space="preserve"> in the current specification</w:t>
      </w:r>
      <w:r w:rsidR="00827C1C" w:rsidRPr="00385764">
        <w:t>.</w:t>
      </w:r>
      <w:r w:rsidR="00854AED" w:rsidRPr="00385764">
        <w:t xml:space="preserve"> </w:t>
      </w:r>
      <w:r w:rsidR="00F71DCD" w:rsidRPr="00385764">
        <w:rPr>
          <w:lang w:val="en-GB"/>
        </w:rPr>
        <w:t xml:space="preserve">De jure CBI </w:t>
      </w:r>
      <w:r w:rsidR="00101D6B" w:rsidRPr="00385764">
        <w:rPr>
          <w:lang w:val="en-GB"/>
        </w:rPr>
        <w:t xml:space="preserve">alone </w:t>
      </w:r>
      <w:r w:rsidR="009C25C6" w:rsidRPr="00385764">
        <w:rPr>
          <w:lang w:val="en-GB"/>
        </w:rPr>
        <w:t xml:space="preserve">still </w:t>
      </w:r>
      <w:r w:rsidR="00F71DCD" w:rsidRPr="00385764">
        <w:rPr>
          <w:lang w:val="en-GB"/>
        </w:rPr>
        <w:t>clearly decreases</w:t>
      </w:r>
      <w:r w:rsidR="00671B69" w:rsidRPr="00385764">
        <w:rPr>
          <w:lang w:val="en-GB"/>
        </w:rPr>
        <w:t xml:space="preserve"> political stability</w:t>
      </w:r>
      <w:r w:rsidR="00C01C17">
        <w:rPr>
          <w:lang w:val="en-GB"/>
        </w:rPr>
        <w:t xml:space="preserve"> </w:t>
      </w:r>
      <w:r w:rsidR="0075529D">
        <w:rPr>
          <w:lang w:val="en-GB"/>
        </w:rPr>
        <w:t xml:space="preserve">while </w:t>
      </w:r>
      <w:r w:rsidR="00C01C17">
        <w:rPr>
          <w:lang w:val="en-GB"/>
        </w:rPr>
        <w:t>fixed rates alone</w:t>
      </w:r>
      <w:r w:rsidR="0075529D">
        <w:rPr>
          <w:lang w:val="en-GB"/>
        </w:rPr>
        <w:t xml:space="preserve"> increase it</w:t>
      </w:r>
      <w:r w:rsidR="00A83237" w:rsidRPr="00385764">
        <w:rPr>
          <w:lang w:val="en-GB"/>
        </w:rPr>
        <w:t xml:space="preserve">, </w:t>
      </w:r>
      <w:r w:rsidR="00C01C17">
        <w:rPr>
          <w:lang w:val="en-GB"/>
        </w:rPr>
        <w:t>but</w:t>
      </w:r>
      <w:r w:rsidR="00A83237" w:rsidRPr="00385764">
        <w:rPr>
          <w:lang w:val="en-GB"/>
        </w:rPr>
        <w:t xml:space="preserve"> the </w:t>
      </w:r>
      <w:r w:rsidR="0075529D">
        <w:rPr>
          <w:lang w:val="en-GB"/>
        </w:rPr>
        <w:t xml:space="preserve">interaction term </w:t>
      </w:r>
      <w:r w:rsidR="00FA3919">
        <w:rPr>
          <w:lang w:val="en-GB"/>
        </w:rPr>
        <w:t>(for the event-based instability indicator) shows significantly that in combination</w:t>
      </w:r>
      <w:r w:rsidR="005202D6">
        <w:rPr>
          <w:lang w:val="en-GB"/>
        </w:rPr>
        <w:t xml:space="preserve"> </w:t>
      </w:r>
      <w:r w:rsidR="00E64F2A">
        <w:rPr>
          <w:lang w:val="en-GB"/>
        </w:rPr>
        <w:t>the commitment institutions grow instability</w:t>
      </w:r>
      <w:r w:rsidR="00C01C17">
        <w:rPr>
          <w:lang w:val="en-GB"/>
        </w:rPr>
        <w:t>.</w:t>
      </w:r>
      <w:r w:rsidR="00FA3919">
        <w:rPr>
          <w:lang w:val="en-GB"/>
        </w:rPr>
        <w:t xml:space="preserve"> </w:t>
      </w:r>
      <w:r w:rsidR="004D3A2F">
        <w:rPr>
          <w:lang w:val="en-GB"/>
        </w:rPr>
        <w:t>De facto CBI</w:t>
      </w:r>
      <w:r w:rsidR="00207A74">
        <w:rPr>
          <w:lang w:val="en-GB"/>
        </w:rPr>
        <w:t>, however,</w:t>
      </w:r>
      <w:r w:rsidR="004D3A2F">
        <w:rPr>
          <w:lang w:val="en-GB"/>
        </w:rPr>
        <w:t xml:space="preserve"> has a stronger instability-reducing effect</w:t>
      </w:r>
      <w:r w:rsidR="00FA6319">
        <w:rPr>
          <w:lang w:val="en-GB"/>
        </w:rPr>
        <w:t xml:space="preserve"> on the World Bank indicator when paired with a fixed exchange rate.</w:t>
      </w:r>
    </w:p>
    <w:p w14:paraId="2376AE8C" w14:textId="6BACB396" w:rsidR="004E6BB3" w:rsidRPr="00416200" w:rsidRDefault="00761FEB" w:rsidP="00D64175">
      <w:pPr>
        <w:rPr>
          <w:lang w:val="en-GB"/>
        </w:rPr>
      </w:pPr>
      <w:r w:rsidRPr="009D3B21">
        <w:rPr>
          <w:lang w:val="en-GB"/>
        </w:rPr>
        <w:t xml:space="preserve">As mentioned earlier, </w:t>
      </w:r>
      <w:r w:rsidR="00C700E0" w:rsidRPr="009D3B21">
        <w:rPr>
          <w:lang w:val="en-GB"/>
        </w:rPr>
        <w:t>several</w:t>
      </w:r>
      <w:r w:rsidRPr="009D3B21">
        <w:rPr>
          <w:lang w:val="en-GB"/>
        </w:rPr>
        <w:t xml:space="preserve"> institutional c</w:t>
      </w:r>
      <w:r w:rsidR="004E6BB3" w:rsidRPr="009D3B21">
        <w:rPr>
          <w:lang w:val="en-GB"/>
        </w:rPr>
        <w:t>ontrols</w:t>
      </w:r>
      <w:r w:rsidRPr="009D3B21">
        <w:rPr>
          <w:lang w:val="en-GB"/>
        </w:rPr>
        <w:t xml:space="preserve"> may have an impact on commitment institutions and electoral and political instability.</w:t>
      </w:r>
      <w:r w:rsidR="00C700E0" w:rsidRPr="009D3B21">
        <w:rPr>
          <w:lang w:val="en-GB"/>
        </w:rPr>
        <w:t xml:space="preserve"> As it turns out, however, most of these effects appear to already be accounted for in country fixed effects</w:t>
      </w:r>
      <w:r w:rsidR="00416200">
        <w:rPr>
          <w:lang w:val="en-GB"/>
        </w:rPr>
        <w:t xml:space="preserve"> with no major changes to sign</w:t>
      </w:r>
      <w:r w:rsidR="00090738">
        <w:rPr>
          <w:lang w:val="en-GB"/>
        </w:rPr>
        <w:t>s for key variables apart from lower significance (likely due to a drastically reduced sample size)</w:t>
      </w:r>
      <w:r w:rsidR="000A102E" w:rsidRPr="009D3B21">
        <w:rPr>
          <w:lang w:val="en-GB"/>
        </w:rPr>
        <w:t xml:space="preserve">. Results are shown in Appendix Table </w:t>
      </w:r>
      <w:r w:rsidR="00D25941" w:rsidRPr="009D3B21">
        <w:rPr>
          <w:lang w:val="en-GB"/>
        </w:rPr>
        <w:t>A</w:t>
      </w:r>
      <w:r w:rsidR="00D12663" w:rsidRPr="009D3B21">
        <w:rPr>
          <w:lang w:val="en-GB"/>
        </w:rPr>
        <w:t>9</w:t>
      </w:r>
      <w:r w:rsidR="00AE1F2D" w:rsidRPr="009D3B21">
        <w:rPr>
          <w:lang w:val="en-GB"/>
        </w:rPr>
        <w:t xml:space="preserve"> (for all controls) </w:t>
      </w:r>
      <w:r w:rsidR="00B6728A" w:rsidRPr="009D3B21">
        <w:rPr>
          <w:lang w:val="en-GB"/>
        </w:rPr>
        <w:t xml:space="preserve">and Table </w:t>
      </w:r>
      <w:r w:rsidR="006F2CA5" w:rsidRPr="009D3B21">
        <w:rPr>
          <w:lang w:val="en-GB"/>
        </w:rPr>
        <w:t>A</w:t>
      </w:r>
      <w:r w:rsidR="00D12663" w:rsidRPr="009D3B21">
        <w:rPr>
          <w:lang w:val="en-GB"/>
        </w:rPr>
        <w:t>10</w:t>
      </w:r>
      <w:r w:rsidR="00B6728A" w:rsidRPr="009D3B21">
        <w:rPr>
          <w:lang w:val="en-GB"/>
        </w:rPr>
        <w:t xml:space="preserve"> (for all controls but those concerning corporatism, due to data availability limitations)</w:t>
      </w:r>
      <w:r w:rsidR="000A102E" w:rsidRPr="009D3B21">
        <w:rPr>
          <w:lang w:val="en-GB"/>
        </w:rPr>
        <w:t>.</w:t>
      </w:r>
      <w:r w:rsidR="00471649" w:rsidRPr="009D3B21">
        <w:rPr>
          <w:lang w:val="en-GB"/>
        </w:rPr>
        <w:t xml:space="preserve"> De Jure CBI still increases political instability, and de facto CBI reduces lower house </w:t>
      </w:r>
      <w:r w:rsidR="00471649" w:rsidRPr="00416200">
        <w:rPr>
          <w:lang w:val="en-GB"/>
        </w:rPr>
        <w:t>turnover. When excluding corporatism, fixed exchange rates also still reduce Head of State turnover</w:t>
      </w:r>
      <w:r w:rsidR="00416200" w:rsidRPr="00416200">
        <w:rPr>
          <w:lang w:val="en-GB"/>
        </w:rPr>
        <w:t>, although considered with fixed rates they may affect head of government turnover and destabilizing events</w:t>
      </w:r>
      <w:r w:rsidR="00471649" w:rsidRPr="00416200">
        <w:rPr>
          <w:lang w:val="en-GB"/>
        </w:rPr>
        <w:t>.</w:t>
      </w:r>
      <w:r w:rsidR="00860630" w:rsidRPr="00416200">
        <w:rPr>
          <w:lang w:val="en-GB"/>
        </w:rPr>
        <w:t xml:space="preserve"> The most significant controls appear to be those for regional government existence and autonomy and horizontal accountability and checks and balances (although multicollinearity is a concern) with electoral impacts.</w:t>
      </w:r>
      <w:r w:rsidR="00D84D90" w:rsidRPr="00416200">
        <w:rPr>
          <w:lang w:val="en-GB"/>
        </w:rPr>
        <w:t xml:space="preserve"> In almost all cases, these representations of federalism and checks and balances have a logical sign suggesting increased electoral turnover from some sort of limitation on power.</w:t>
      </w:r>
    </w:p>
    <w:p w14:paraId="4FEFB149" w14:textId="00FA965E" w:rsidR="0060295E" w:rsidRPr="0060295E" w:rsidRDefault="0060295E" w:rsidP="00D64175">
      <w:r w:rsidRPr="006D2624">
        <w:t>In</w:t>
      </w:r>
      <w:r w:rsidR="00977D6C" w:rsidRPr="006D2624">
        <w:t xml:space="preserve"> Table</w:t>
      </w:r>
      <w:r w:rsidRPr="006D2624">
        <w:t xml:space="preserve"> </w:t>
      </w:r>
      <w:r w:rsidR="00977D6C" w:rsidRPr="006D2624">
        <w:t>A1</w:t>
      </w:r>
      <w:r w:rsidR="004E2B3D" w:rsidRPr="006D2624">
        <w:t>1</w:t>
      </w:r>
      <w:r w:rsidRPr="006D2624">
        <w:t xml:space="preserve"> and </w:t>
      </w:r>
      <w:r w:rsidR="00977D6C" w:rsidRPr="006D2624">
        <w:t>A1</w:t>
      </w:r>
      <w:r w:rsidR="004E2B3D" w:rsidRPr="006D2624">
        <w:t>2</w:t>
      </w:r>
      <w:r w:rsidR="00977D6C" w:rsidRPr="006D2624">
        <w:t>,</w:t>
      </w:r>
      <w:r w:rsidRPr="006D2624">
        <w:t xml:space="preserve"> I test the sensitivity of the logit fixed effects results (although not the more endogeneity robust lag </w:t>
      </w:r>
      <w:r w:rsidRPr="001557E3">
        <w:t xml:space="preserve">and IV ones) to varying binary specifications of the turnover variables and World Bank political instability index, </w:t>
      </w:r>
      <w:r w:rsidRPr="007F33C6">
        <w:t xml:space="preserve">coding for various levels of turnover (half or full) and instability above zero and the sample median. Signs and significance levels are </w:t>
      </w:r>
      <w:r w:rsidR="00035FAE" w:rsidRPr="007F33C6">
        <w:t xml:space="preserve">generally </w:t>
      </w:r>
      <w:r w:rsidRPr="007F33C6">
        <w:t>preserved</w:t>
      </w:r>
      <w:r w:rsidR="00035FAE" w:rsidRPr="007F33C6">
        <w:t>.</w:t>
      </w:r>
      <w:r w:rsidRPr="007F33C6">
        <w:t xml:space="preserve"> In </w:t>
      </w:r>
      <w:r w:rsidR="00005242" w:rsidRPr="007F33C6">
        <w:t xml:space="preserve">Table </w:t>
      </w:r>
      <w:r w:rsidR="00977D6C" w:rsidRPr="007F33C6">
        <w:t>A1</w:t>
      </w:r>
      <w:r w:rsidR="00CA0BFB" w:rsidRPr="007F33C6">
        <w:t>3</w:t>
      </w:r>
      <w:r w:rsidR="00977D6C" w:rsidRPr="007F33C6">
        <w:t>,</w:t>
      </w:r>
      <w:r w:rsidRPr="007F33C6">
        <w:t xml:space="preserve"> I test a coding of the commitment institution independent variables as binary. A few results for de jure CBI and fixed rates lose some significance, but this no more than would expected from the loss of valuable nuance and ordinal information.</w:t>
      </w:r>
    </w:p>
    <w:p w14:paraId="24AE485E" w14:textId="4959CED1" w:rsidR="005D43B7" w:rsidRDefault="00291AC3" w:rsidP="00D64175">
      <w:pPr>
        <w:rPr>
          <w:lang w:val="en-GB"/>
        </w:rPr>
      </w:pPr>
      <w:r>
        <w:rPr>
          <w:lang w:val="en-GB"/>
        </w:rPr>
        <w:lastRenderedPageBreak/>
        <w:t>All</w:t>
      </w:r>
      <w:r w:rsidR="008610AD">
        <w:rPr>
          <w:lang w:val="en-GB"/>
        </w:rPr>
        <w:t xml:space="preserve"> t</w:t>
      </w:r>
      <w:r w:rsidR="00A96197">
        <w:rPr>
          <w:lang w:val="en-GB"/>
        </w:rPr>
        <w:t>he results above</w:t>
      </w:r>
      <w:r w:rsidR="005912FA">
        <w:rPr>
          <w:lang w:val="en-GB"/>
        </w:rPr>
        <w:t xml:space="preserve"> not particularly instructive in the cas</w:t>
      </w:r>
      <w:r w:rsidR="005532EB">
        <w:rPr>
          <w:lang w:val="en-GB"/>
        </w:rPr>
        <w:t xml:space="preserve">e of </w:t>
      </w:r>
      <w:r w:rsidR="00DA2AD1">
        <w:rPr>
          <w:lang w:val="en-GB"/>
        </w:rPr>
        <w:t xml:space="preserve">endogeneity- perhaps </w:t>
      </w:r>
      <w:r w:rsidR="00662550">
        <w:rPr>
          <w:lang w:val="en-GB"/>
        </w:rPr>
        <w:t xml:space="preserve">politicians </w:t>
      </w:r>
      <w:r w:rsidR="008610AD">
        <w:rPr>
          <w:lang w:val="en-GB"/>
        </w:rPr>
        <w:t>adjust the strength of commitment institutions in response to perceived electoral or political threats</w:t>
      </w:r>
      <w:r w:rsidR="005532EB">
        <w:rPr>
          <w:lang w:val="en-GB"/>
        </w:rPr>
        <w:t xml:space="preserve">. </w:t>
      </w:r>
      <w:r w:rsidR="00DA2AD1">
        <w:rPr>
          <w:lang w:val="en-GB"/>
        </w:rPr>
        <w:t xml:space="preserve">In these situations, the use of lags and instrumental variables </w:t>
      </w:r>
      <w:r w:rsidR="00136B30">
        <w:rPr>
          <w:lang w:val="en-GB"/>
        </w:rPr>
        <w:t xml:space="preserve">can </w:t>
      </w:r>
      <w:r w:rsidR="00042182">
        <w:rPr>
          <w:lang w:val="en-GB"/>
        </w:rPr>
        <w:t>prove helpful.</w:t>
      </w:r>
      <w:r w:rsidR="00005F7E">
        <w:rPr>
          <w:lang w:val="en-GB"/>
        </w:rPr>
        <w:t xml:space="preserve"> </w:t>
      </w:r>
      <w:r w:rsidR="00DA1ADC">
        <w:rPr>
          <w:lang w:val="en-GB"/>
        </w:rPr>
        <w:t xml:space="preserve">The results for </w:t>
      </w:r>
      <w:r w:rsidR="00FD29A6">
        <w:rPr>
          <w:lang w:val="en-GB"/>
        </w:rPr>
        <w:t>the</w:t>
      </w:r>
      <w:r w:rsidR="00DA1ADC">
        <w:rPr>
          <w:lang w:val="en-GB"/>
        </w:rPr>
        <w:t xml:space="preserve"> instruments of </w:t>
      </w:r>
      <w:r w:rsidR="00FD29A6">
        <w:rPr>
          <w:lang w:val="en-GB"/>
        </w:rPr>
        <w:t xml:space="preserve">tertiary education enrolment rates for </w:t>
      </w:r>
      <w:r w:rsidR="00005F7E">
        <w:rPr>
          <w:lang w:val="en-GB"/>
        </w:rPr>
        <w:t xml:space="preserve">de jure </w:t>
      </w:r>
      <w:r w:rsidR="00CD7159">
        <w:rPr>
          <w:lang w:val="en-GB"/>
        </w:rPr>
        <w:t xml:space="preserve">and de facto </w:t>
      </w:r>
      <w:r w:rsidR="00FD29A6">
        <w:rPr>
          <w:lang w:val="en-GB"/>
        </w:rPr>
        <w:t xml:space="preserve">central bank independence and aggregate GDP for fixed exchange rates are given </w:t>
      </w:r>
      <w:r w:rsidR="00005F7E">
        <w:rPr>
          <w:lang w:val="en-GB"/>
        </w:rPr>
        <w:t>in Table 5</w:t>
      </w:r>
      <w:r w:rsidR="00BA4DBF">
        <w:rPr>
          <w:lang w:val="en-GB"/>
        </w:rPr>
        <w:t xml:space="preserve">. </w:t>
      </w:r>
      <w:r w:rsidR="00897D3D">
        <w:rPr>
          <w:lang w:val="en-GB"/>
        </w:rPr>
        <w:t>First stages are significant for OLS, but not panel regressions</w:t>
      </w:r>
      <w:r w:rsidR="009148DC">
        <w:rPr>
          <w:lang w:val="en-GB"/>
        </w:rPr>
        <w:t>, likely due to limited data</w:t>
      </w:r>
      <w:r w:rsidR="00897D3D">
        <w:rPr>
          <w:lang w:val="en-GB"/>
        </w:rPr>
        <w:t>.</w:t>
      </w:r>
      <w:r w:rsidR="002E148D" w:rsidRPr="002E148D">
        <w:rPr>
          <w:rStyle w:val="FootnoteReference"/>
          <w:lang w:val="en-GB"/>
        </w:rPr>
        <w:t xml:space="preserve"> </w:t>
      </w:r>
      <w:r w:rsidR="002E148D">
        <w:rPr>
          <w:rStyle w:val="FootnoteReference"/>
          <w:lang w:val="en-GB"/>
        </w:rPr>
        <w:footnoteReference w:id="14"/>
      </w:r>
      <w:r w:rsidR="002E148D">
        <w:rPr>
          <w:lang w:val="en-GB"/>
        </w:rPr>
        <w:t xml:space="preserve"> </w:t>
      </w:r>
      <w:r w:rsidR="00005F7E">
        <w:rPr>
          <w:lang w:val="en-GB"/>
        </w:rPr>
        <w:t xml:space="preserve">Political </w:t>
      </w:r>
      <w:r w:rsidR="00E82887">
        <w:rPr>
          <w:lang w:val="en-GB"/>
        </w:rPr>
        <w:t>s</w:t>
      </w:r>
      <w:r w:rsidR="00005F7E">
        <w:rPr>
          <w:lang w:val="en-GB"/>
        </w:rPr>
        <w:t>tability regressions are excluded due to the poor exclusion restriction.</w:t>
      </w:r>
      <w:r w:rsidR="0022245B">
        <w:rPr>
          <w:lang w:val="en-GB"/>
        </w:rPr>
        <w:t xml:space="preserve"> The results </w:t>
      </w:r>
      <w:r w:rsidR="00ED38C6">
        <w:rPr>
          <w:lang w:val="en-GB"/>
        </w:rPr>
        <w:t>suggest a link between de jure CBI and lower house turnover</w:t>
      </w:r>
      <w:r w:rsidR="001C546C">
        <w:rPr>
          <w:lang w:val="en-GB"/>
        </w:rPr>
        <w:t xml:space="preserve"> in line with earlier results</w:t>
      </w:r>
      <w:r w:rsidR="00ED38C6">
        <w:rPr>
          <w:lang w:val="en-GB"/>
        </w:rPr>
        <w:t xml:space="preserve">, and </w:t>
      </w:r>
      <w:r w:rsidR="00297C06">
        <w:rPr>
          <w:lang w:val="en-GB"/>
        </w:rPr>
        <w:t>signs are as expected for</w:t>
      </w:r>
      <w:r w:rsidR="00ED38C6">
        <w:rPr>
          <w:lang w:val="en-GB"/>
        </w:rPr>
        <w:t xml:space="preserve"> the Head of Government</w:t>
      </w:r>
      <w:r w:rsidR="00297C06">
        <w:rPr>
          <w:lang w:val="en-GB"/>
        </w:rPr>
        <w:t>.</w:t>
      </w:r>
      <w:r w:rsidR="009764BC">
        <w:rPr>
          <w:lang w:val="en-GB"/>
        </w:rPr>
        <w:t xml:space="preserve"> The Head of State variable surprisingly flips signs,</w:t>
      </w:r>
      <w:r w:rsidR="00D511FF">
        <w:rPr>
          <w:lang w:val="en-GB"/>
        </w:rPr>
        <w:t xml:space="preserve"> and de facto CBI, while insignificant, appears to behave similarly to de jure measures.</w:t>
      </w:r>
    </w:p>
    <w:p w14:paraId="3F2DD672" w14:textId="7D54A397" w:rsidR="00FC440C" w:rsidRDefault="00FC440C" w:rsidP="00D64175">
      <w:r>
        <w:t>Table 5:</w:t>
      </w:r>
      <w:r w:rsidR="00005F7E">
        <w:t xml:space="preserve"> Instruments of </w:t>
      </w:r>
      <w:r w:rsidR="00897D3D">
        <w:t>Tertiary Education Enrollment</w:t>
      </w:r>
      <w:r w:rsidR="00467C46">
        <w:t xml:space="preserve"> </w:t>
      </w:r>
      <w:r w:rsidR="00F25415">
        <w:t xml:space="preserve">Rate </w:t>
      </w:r>
      <w:r w:rsidR="00467C46">
        <w:t xml:space="preserve">and Aggregate GDP, </w:t>
      </w:r>
      <w:r w:rsidR="00A71D52">
        <w:t>Robust Standard Errors</w:t>
      </w:r>
    </w:p>
    <w:tbl>
      <w:tblPr>
        <w:tblW w:w="0" w:type="auto"/>
        <w:tblLayout w:type="fixed"/>
        <w:tblLook w:val="0000" w:firstRow="0" w:lastRow="0" w:firstColumn="0" w:lastColumn="0" w:noHBand="0" w:noVBand="0"/>
      </w:tblPr>
      <w:tblGrid>
        <w:gridCol w:w="2136"/>
        <w:gridCol w:w="1656"/>
        <w:gridCol w:w="1656"/>
        <w:gridCol w:w="1656"/>
      </w:tblGrid>
      <w:tr w:rsidR="00020BDA" w14:paraId="5BC1A0C2" w14:textId="77777777" w:rsidTr="007B62B6">
        <w:tc>
          <w:tcPr>
            <w:tcW w:w="2136" w:type="dxa"/>
            <w:tcBorders>
              <w:top w:val="single" w:sz="4" w:space="0" w:color="auto"/>
              <w:left w:val="nil"/>
              <w:bottom w:val="nil"/>
              <w:right w:val="nil"/>
            </w:tcBorders>
          </w:tcPr>
          <w:p w14:paraId="2D806174"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312777EF"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5230C8AA"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348F0E7B"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020BDA" w14:paraId="42A2C237" w14:textId="77777777" w:rsidTr="007B62B6">
        <w:tc>
          <w:tcPr>
            <w:tcW w:w="2136" w:type="dxa"/>
            <w:tcBorders>
              <w:top w:val="nil"/>
              <w:left w:val="nil"/>
              <w:bottom w:val="nil"/>
              <w:right w:val="nil"/>
            </w:tcBorders>
          </w:tcPr>
          <w:p w14:paraId="2E41268B"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47063D6"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36B2CB34"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042A6828"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r>
      <w:tr w:rsidR="00020BDA" w14:paraId="422F0E44" w14:textId="77777777" w:rsidTr="007B62B6">
        <w:tc>
          <w:tcPr>
            <w:tcW w:w="2136" w:type="dxa"/>
            <w:tcBorders>
              <w:top w:val="single" w:sz="4" w:space="0" w:color="auto"/>
              <w:left w:val="nil"/>
              <w:bottom w:val="nil"/>
              <w:right w:val="nil"/>
            </w:tcBorders>
          </w:tcPr>
          <w:p w14:paraId="79019A22" w14:textId="77777777" w:rsidR="00020BDA" w:rsidRPr="00020BDA" w:rsidRDefault="00020BDA" w:rsidP="007B62B6">
            <w:pPr>
              <w:widowControl w:val="0"/>
              <w:autoSpaceDE w:val="0"/>
              <w:autoSpaceDN w:val="0"/>
              <w:adjustRightInd w:val="0"/>
              <w:spacing w:after="0" w:line="240" w:lineRule="auto"/>
              <w:rPr>
                <w:rFonts w:ascii="Times New Roman" w:hAnsi="Times New Roman" w:cs="Times New Roman"/>
                <w:sz w:val="24"/>
                <w:szCs w:val="24"/>
                <w:lang w:val="fr-BE"/>
              </w:rPr>
            </w:pPr>
            <w:r w:rsidRPr="00020BDA">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4D83089B"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0.564</w:t>
            </w:r>
          </w:p>
        </w:tc>
        <w:tc>
          <w:tcPr>
            <w:tcW w:w="1656" w:type="dxa"/>
            <w:tcBorders>
              <w:top w:val="single" w:sz="4" w:space="0" w:color="auto"/>
              <w:left w:val="nil"/>
              <w:bottom w:val="nil"/>
              <w:right w:val="nil"/>
            </w:tcBorders>
          </w:tcPr>
          <w:p w14:paraId="36EDFEB2"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-0.346</w:t>
            </w:r>
          </w:p>
        </w:tc>
        <w:tc>
          <w:tcPr>
            <w:tcW w:w="1656" w:type="dxa"/>
            <w:tcBorders>
              <w:top w:val="single" w:sz="4" w:space="0" w:color="auto"/>
              <w:left w:val="nil"/>
              <w:bottom w:val="nil"/>
              <w:right w:val="nil"/>
            </w:tcBorders>
          </w:tcPr>
          <w:p w14:paraId="6350CB14"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0.906</w:t>
            </w:r>
            <w:r>
              <w:rPr>
                <w:rFonts w:ascii="Times New Roman" w:hAnsi="Times New Roman" w:cs="Times New Roman"/>
                <w:sz w:val="24"/>
                <w:szCs w:val="24"/>
                <w:vertAlign w:val="superscript"/>
              </w:rPr>
              <w:t>*</w:t>
            </w:r>
          </w:p>
        </w:tc>
      </w:tr>
      <w:tr w:rsidR="00020BDA" w14:paraId="73F46D85" w14:textId="77777777" w:rsidTr="007B62B6">
        <w:tc>
          <w:tcPr>
            <w:tcW w:w="2136" w:type="dxa"/>
            <w:tcBorders>
              <w:top w:val="nil"/>
              <w:left w:val="nil"/>
              <w:bottom w:val="nil"/>
              <w:right w:val="nil"/>
            </w:tcBorders>
          </w:tcPr>
          <w:p w14:paraId="22432F01"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66F0D36"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w:t>
            </w:r>
          </w:p>
        </w:tc>
        <w:tc>
          <w:tcPr>
            <w:tcW w:w="1656" w:type="dxa"/>
            <w:tcBorders>
              <w:top w:val="nil"/>
              <w:left w:val="nil"/>
              <w:bottom w:val="nil"/>
              <w:right w:val="nil"/>
            </w:tcBorders>
          </w:tcPr>
          <w:p w14:paraId="6D5A8DE8"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(-0.98)</w:t>
            </w:r>
          </w:p>
        </w:tc>
        <w:tc>
          <w:tcPr>
            <w:tcW w:w="1656" w:type="dxa"/>
            <w:tcBorders>
              <w:top w:val="nil"/>
              <w:left w:val="nil"/>
              <w:bottom w:val="nil"/>
              <w:right w:val="nil"/>
            </w:tcBorders>
          </w:tcPr>
          <w:p w14:paraId="4602ED73"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(1.97)</w:t>
            </w:r>
          </w:p>
        </w:tc>
      </w:tr>
      <w:tr w:rsidR="00020BDA" w14:paraId="745A0FEB" w14:textId="77777777" w:rsidTr="007B62B6">
        <w:tc>
          <w:tcPr>
            <w:tcW w:w="2136" w:type="dxa"/>
            <w:tcBorders>
              <w:top w:val="nil"/>
              <w:left w:val="nil"/>
              <w:bottom w:val="nil"/>
              <w:right w:val="nil"/>
            </w:tcBorders>
          </w:tcPr>
          <w:p w14:paraId="031A6C2D"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7B49A58"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691EAF3"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6EF59F9"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r>
      <w:tr w:rsidR="00020BDA" w14:paraId="2C4CA9C5" w14:textId="77777777" w:rsidTr="007B62B6">
        <w:tc>
          <w:tcPr>
            <w:tcW w:w="2136" w:type="dxa"/>
            <w:tcBorders>
              <w:top w:val="nil"/>
              <w:left w:val="nil"/>
              <w:bottom w:val="nil"/>
              <w:right w:val="nil"/>
            </w:tcBorders>
          </w:tcPr>
          <w:p w14:paraId="3E218FF9"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289D28FD"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-0.00366</w:t>
            </w:r>
          </w:p>
        </w:tc>
        <w:tc>
          <w:tcPr>
            <w:tcW w:w="1656" w:type="dxa"/>
            <w:tcBorders>
              <w:top w:val="nil"/>
              <w:left w:val="nil"/>
              <w:bottom w:val="nil"/>
              <w:right w:val="nil"/>
            </w:tcBorders>
          </w:tcPr>
          <w:p w14:paraId="303A2A1C"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0.0166</w:t>
            </w:r>
          </w:p>
        </w:tc>
        <w:tc>
          <w:tcPr>
            <w:tcW w:w="1656" w:type="dxa"/>
            <w:tcBorders>
              <w:top w:val="nil"/>
              <w:left w:val="nil"/>
              <w:bottom w:val="nil"/>
              <w:right w:val="nil"/>
            </w:tcBorders>
          </w:tcPr>
          <w:p w14:paraId="426E307D"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0.0227</w:t>
            </w:r>
          </w:p>
        </w:tc>
      </w:tr>
      <w:tr w:rsidR="00020BDA" w14:paraId="67D8A6F4" w14:textId="77777777" w:rsidTr="007B62B6">
        <w:tc>
          <w:tcPr>
            <w:tcW w:w="2136" w:type="dxa"/>
            <w:tcBorders>
              <w:top w:val="nil"/>
              <w:left w:val="nil"/>
              <w:bottom w:val="nil"/>
              <w:right w:val="nil"/>
            </w:tcBorders>
          </w:tcPr>
          <w:p w14:paraId="1419BCEA"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A712863"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656" w:type="dxa"/>
            <w:tcBorders>
              <w:top w:val="nil"/>
              <w:left w:val="nil"/>
              <w:bottom w:val="nil"/>
              <w:right w:val="nil"/>
            </w:tcBorders>
          </w:tcPr>
          <w:p w14:paraId="22272D77"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656" w:type="dxa"/>
            <w:tcBorders>
              <w:top w:val="nil"/>
              <w:left w:val="nil"/>
              <w:bottom w:val="nil"/>
              <w:right w:val="nil"/>
            </w:tcBorders>
          </w:tcPr>
          <w:p w14:paraId="5407FD5B"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r>
      <w:tr w:rsidR="00020BDA" w14:paraId="3D39CFB6" w14:textId="77777777" w:rsidTr="007B62B6">
        <w:tc>
          <w:tcPr>
            <w:tcW w:w="2136" w:type="dxa"/>
            <w:tcBorders>
              <w:top w:val="nil"/>
              <w:left w:val="nil"/>
              <w:bottom w:val="nil"/>
              <w:right w:val="nil"/>
            </w:tcBorders>
          </w:tcPr>
          <w:p w14:paraId="7D89D5A0"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BD5460D"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FED1BFE"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657ACC0"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r>
      <w:tr w:rsidR="00020BDA" w14:paraId="52153816" w14:textId="77777777" w:rsidTr="007B62B6">
        <w:tc>
          <w:tcPr>
            <w:tcW w:w="2136" w:type="dxa"/>
            <w:tcBorders>
              <w:top w:val="nil"/>
              <w:left w:val="nil"/>
              <w:bottom w:val="nil"/>
              <w:right w:val="nil"/>
            </w:tcBorders>
          </w:tcPr>
          <w:p w14:paraId="6DE24A7D"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1D50814B"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0.401</w:t>
            </w:r>
          </w:p>
        </w:tc>
        <w:tc>
          <w:tcPr>
            <w:tcW w:w="1656" w:type="dxa"/>
            <w:tcBorders>
              <w:top w:val="nil"/>
              <w:left w:val="nil"/>
              <w:bottom w:val="nil"/>
              <w:right w:val="nil"/>
            </w:tcBorders>
          </w:tcPr>
          <w:p w14:paraId="347CD2AB"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0.497</w:t>
            </w:r>
          </w:p>
        </w:tc>
        <w:tc>
          <w:tcPr>
            <w:tcW w:w="1656" w:type="dxa"/>
            <w:tcBorders>
              <w:top w:val="nil"/>
              <w:left w:val="nil"/>
              <w:bottom w:val="nil"/>
              <w:right w:val="nil"/>
            </w:tcBorders>
          </w:tcPr>
          <w:p w14:paraId="33AABB58"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0.0601</w:t>
            </w:r>
          </w:p>
        </w:tc>
      </w:tr>
      <w:tr w:rsidR="00020BDA" w14:paraId="1553A4D7" w14:textId="77777777" w:rsidTr="007B62B6">
        <w:tc>
          <w:tcPr>
            <w:tcW w:w="2136" w:type="dxa"/>
            <w:tcBorders>
              <w:top w:val="nil"/>
              <w:left w:val="nil"/>
              <w:bottom w:val="single" w:sz="4" w:space="0" w:color="auto"/>
              <w:right w:val="nil"/>
            </w:tcBorders>
          </w:tcPr>
          <w:p w14:paraId="1315852D"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3BA2D961"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(1.30)</w:t>
            </w:r>
          </w:p>
        </w:tc>
        <w:tc>
          <w:tcPr>
            <w:tcW w:w="1656" w:type="dxa"/>
            <w:tcBorders>
              <w:top w:val="nil"/>
              <w:left w:val="nil"/>
              <w:bottom w:val="single" w:sz="4" w:space="0" w:color="auto"/>
              <w:right w:val="nil"/>
            </w:tcBorders>
          </w:tcPr>
          <w:p w14:paraId="717A2365"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(1.78)</w:t>
            </w:r>
          </w:p>
        </w:tc>
        <w:tc>
          <w:tcPr>
            <w:tcW w:w="1656" w:type="dxa"/>
            <w:tcBorders>
              <w:top w:val="nil"/>
              <w:left w:val="nil"/>
              <w:bottom w:val="single" w:sz="4" w:space="0" w:color="auto"/>
              <w:right w:val="nil"/>
            </w:tcBorders>
          </w:tcPr>
          <w:p w14:paraId="75ACCCA1"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r>
      <w:tr w:rsidR="00020BDA" w14:paraId="3D9F12B8" w14:textId="77777777" w:rsidTr="007B62B6">
        <w:tc>
          <w:tcPr>
            <w:tcW w:w="2136" w:type="dxa"/>
            <w:tcBorders>
              <w:top w:val="nil"/>
              <w:left w:val="nil"/>
              <w:bottom w:val="single" w:sz="4" w:space="0" w:color="auto"/>
              <w:right w:val="nil"/>
            </w:tcBorders>
          </w:tcPr>
          <w:p w14:paraId="44E78324" w14:textId="77777777" w:rsidR="00020BDA" w:rsidRDefault="00020BDA"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009ED2A9"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889</w:t>
            </w:r>
          </w:p>
        </w:tc>
        <w:tc>
          <w:tcPr>
            <w:tcW w:w="1656" w:type="dxa"/>
            <w:tcBorders>
              <w:top w:val="nil"/>
              <w:left w:val="nil"/>
              <w:bottom w:val="single" w:sz="4" w:space="0" w:color="auto"/>
              <w:right w:val="nil"/>
            </w:tcBorders>
          </w:tcPr>
          <w:p w14:paraId="68045FA1"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889</w:t>
            </w:r>
          </w:p>
        </w:tc>
        <w:tc>
          <w:tcPr>
            <w:tcW w:w="1656" w:type="dxa"/>
            <w:tcBorders>
              <w:top w:val="nil"/>
              <w:left w:val="nil"/>
              <w:bottom w:val="single" w:sz="4" w:space="0" w:color="auto"/>
              <w:right w:val="nil"/>
            </w:tcBorders>
          </w:tcPr>
          <w:p w14:paraId="0AD59336" w14:textId="77777777" w:rsidR="00020BDA" w:rsidRDefault="00020BDA"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709</w:t>
            </w:r>
          </w:p>
        </w:tc>
      </w:tr>
    </w:tbl>
    <w:p w14:paraId="1A9E030C" w14:textId="77777777" w:rsidR="00020BDA" w:rsidRDefault="00020BDA" w:rsidP="00020BD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79C1F4F" w14:textId="477F7E6C" w:rsidR="00A71D52" w:rsidRDefault="00020BDA" w:rsidP="006D493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0121C3FD" w14:textId="77777777" w:rsidR="006D4938" w:rsidRPr="006D4938" w:rsidRDefault="006D4938" w:rsidP="006D4938">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gridCol w:w="1656"/>
      </w:tblGrid>
      <w:tr w:rsidR="00E66303" w14:paraId="51347189" w14:textId="77777777" w:rsidTr="007B62B6">
        <w:tc>
          <w:tcPr>
            <w:tcW w:w="2136" w:type="dxa"/>
            <w:tcBorders>
              <w:top w:val="single" w:sz="4" w:space="0" w:color="auto"/>
              <w:left w:val="nil"/>
              <w:bottom w:val="nil"/>
              <w:right w:val="nil"/>
            </w:tcBorders>
          </w:tcPr>
          <w:p w14:paraId="032A8C4E"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12554FED"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6DE7E46E"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74333CAE"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E66303" w14:paraId="10D903AA" w14:textId="77777777" w:rsidTr="007B62B6">
        <w:tc>
          <w:tcPr>
            <w:tcW w:w="2136" w:type="dxa"/>
            <w:tcBorders>
              <w:top w:val="nil"/>
              <w:left w:val="nil"/>
              <w:bottom w:val="nil"/>
              <w:right w:val="nil"/>
            </w:tcBorders>
          </w:tcPr>
          <w:p w14:paraId="63F48503"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69FA1AD"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250A3EAB"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1512F147"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r>
      <w:tr w:rsidR="00E66303" w14:paraId="44F3260D" w14:textId="77777777" w:rsidTr="007B62B6">
        <w:tc>
          <w:tcPr>
            <w:tcW w:w="2136" w:type="dxa"/>
            <w:tcBorders>
              <w:top w:val="single" w:sz="4" w:space="0" w:color="auto"/>
              <w:left w:val="nil"/>
              <w:bottom w:val="nil"/>
              <w:right w:val="nil"/>
            </w:tcBorders>
          </w:tcPr>
          <w:p w14:paraId="706E5C35"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54D45A15"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1.237</w:t>
            </w:r>
          </w:p>
        </w:tc>
        <w:tc>
          <w:tcPr>
            <w:tcW w:w="1656" w:type="dxa"/>
            <w:tcBorders>
              <w:top w:val="single" w:sz="4" w:space="0" w:color="auto"/>
              <w:left w:val="nil"/>
              <w:bottom w:val="nil"/>
              <w:right w:val="nil"/>
            </w:tcBorders>
          </w:tcPr>
          <w:p w14:paraId="7190C924"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-0.325</w:t>
            </w:r>
          </w:p>
        </w:tc>
        <w:tc>
          <w:tcPr>
            <w:tcW w:w="1656" w:type="dxa"/>
            <w:tcBorders>
              <w:top w:val="single" w:sz="4" w:space="0" w:color="auto"/>
              <w:left w:val="nil"/>
              <w:bottom w:val="nil"/>
              <w:right w:val="nil"/>
            </w:tcBorders>
          </w:tcPr>
          <w:p w14:paraId="5A817166"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2.402</w:t>
            </w:r>
          </w:p>
        </w:tc>
      </w:tr>
      <w:tr w:rsidR="00E66303" w14:paraId="286644CB" w14:textId="77777777" w:rsidTr="007B62B6">
        <w:tc>
          <w:tcPr>
            <w:tcW w:w="2136" w:type="dxa"/>
            <w:tcBorders>
              <w:top w:val="nil"/>
              <w:left w:val="nil"/>
              <w:bottom w:val="nil"/>
              <w:right w:val="nil"/>
            </w:tcBorders>
          </w:tcPr>
          <w:p w14:paraId="3F0797F1"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15CBC83"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1656" w:type="dxa"/>
            <w:tcBorders>
              <w:top w:val="nil"/>
              <w:left w:val="nil"/>
              <w:bottom w:val="nil"/>
              <w:right w:val="nil"/>
            </w:tcBorders>
          </w:tcPr>
          <w:p w14:paraId="7DB8BDC2"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w:t>
            </w:r>
          </w:p>
        </w:tc>
        <w:tc>
          <w:tcPr>
            <w:tcW w:w="1656" w:type="dxa"/>
            <w:tcBorders>
              <w:top w:val="nil"/>
              <w:left w:val="nil"/>
              <w:bottom w:val="nil"/>
              <w:right w:val="nil"/>
            </w:tcBorders>
          </w:tcPr>
          <w:p w14:paraId="3354C951"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w:t>
            </w:r>
          </w:p>
        </w:tc>
      </w:tr>
      <w:tr w:rsidR="00E66303" w14:paraId="32D85A2B" w14:textId="77777777" w:rsidTr="007B62B6">
        <w:tc>
          <w:tcPr>
            <w:tcW w:w="2136" w:type="dxa"/>
            <w:tcBorders>
              <w:top w:val="nil"/>
              <w:left w:val="nil"/>
              <w:bottom w:val="nil"/>
              <w:right w:val="nil"/>
            </w:tcBorders>
          </w:tcPr>
          <w:p w14:paraId="7669F71C"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A39E56E"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A239B54"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30AD4B6"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r>
      <w:tr w:rsidR="00E66303" w14:paraId="5EE13EE9" w14:textId="77777777" w:rsidTr="007B62B6">
        <w:tc>
          <w:tcPr>
            <w:tcW w:w="2136" w:type="dxa"/>
            <w:tcBorders>
              <w:top w:val="nil"/>
              <w:left w:val="nil"/>
              <w:bottom w:val="nil"/>
              <w:right w:val="nil"/>
            </w:tcBorders>
          </w:tcPr>
          <w:p w14:paraId="3107E928"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17886C97"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0.0163</w:t>
            </w:r>
          </w:p>
        </w:tc>
        <w:tc>
          <w:tcPr>
            <w:tcW w:w="1656" w:type="dxa"/>
            <w:tcBorders>
              <w:top w:val="nil"/>
              <w:left w:val="nil"/>
              <w:bottom w:val="nil"/>
              <w:right w:val="nil"/>
            </w:tcBorders>
          </w:tcPr>
          <w:p w14:paraId="67BA9427"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-0.00392</w:t>
            </w:r>
          </w:p>
        </w:tc>
        <w:tc>
          <w:tcPr>
            <w:tcW w:w="1656" w:type="dxa"/>
            <w:tcBorders>
              <w:top w:val="nil"/>
              <w:left w:val="nil"/>
              <w:bottom w:val="nil"/>
              <w:right w:val="nil"/>
            </w:tcBorders>
          </w:tcPr>
          <w:p w14:paraId="7BD277F4"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0.0860</w:t>
            </w:r>
          </w:p>
        </w:tc>
      </w:tr>
      <w:tr w:rsidR="00E66303" w14:paraId="5AE4D011" w14:textId="77777777" w:rsidTr="007B62B6">
        <w:tc>
          <w:tcPr>
            <w:tcW w:w="2136" w:type="dxa"/>
            <w:tcBorders>
              <w:top w:val="nil"/>
              <w:left w:val="nil"/>
              <w:bottom w:val="nil"/>
              <w:right w:val="nil"/>
            </w:tcBorders>
          </w:tcPr>
          <w:p w14:paraId="023753EE"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F9B786D"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656" w:type="dxa"/>
            <w:tcBorders>
              <w:top w:val="nil"/>
              <w:left w:val="nil"/>
              <w:bottom w:val="nil"/>
              <w:right w:val="nil"/>
            </w:tcBorders>
          </w:tcPr>
          <w:p w14:paraId="2A67B276"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656" w:type="dxa"/>
            <w:tcBorders>
              <w:top w:val="nil"/>
              <w:left w:val="nil"/>
              <w:bottom w:val="nil"/>
              <w:right w:val="nil"/>
            </w:tcBorders>
          </w:tcPr>
          <w:p w14:paraId="67362092"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E66303" w14:paraId="668FFEDD" w14:textId="77777777" w:rsidTr="007B62B6">
        <w:tc>
          <w:tcPr>
            <w:tcW w:w="2136" w:type="dxa"/>
            <w:tcBorders>
              <w:top w:val="nil"/>
              <w:left w:val="nil"/>
              <w:bottom w:val="nil"/>
              <w:right w:val="nil"/>
            </w:tcBorders>
          </w:tcPr>
          <w:p w14:paraId="170EF02D"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320AA37"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72EDED8"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C27B64C"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r>
      <w:tr w:rsidR="00E66303" w14:paraId="03CEE3F7" w14:textId="77777777" w:rsidTr="007B62B6">
        <w:tc>
          <w:tcPr>
            <w:tcW w:w="2136" w:type="dxa"/>
            <w:tcBorders>
              <w:top w:val="nil"/>
              <w:left w:val="nil"/>
              <w:bottom w:val="nil"/>
              <w:right w:val="nil"/>
            </w:tcBorders>
          </w:tcPr>
          <w:p w14:paraId="3D315727"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28E9381B"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-0.511</w:t>
            </w:r>
          </w:p>
        </w:tc>
        <w:tc>
          <w:tcPr>
            <w:tcW w:w="1656" w:type="dxa"/>
            <w:tcBorders>
              <w:top w:val="nil"/>
              <w:left w:val="nil"/>
              <w:bottom w:val="nil"/>
              <w:right w:val="nil"/>
            </w:tcBorders>
          </w:tcPr>
          <w:p w14:paraId="161A1B7C"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0.762</w:t>
            </w:r>
          </w:p>
        </w:tc>
        <w:tc>
          <w:tcPr>
            <w:tcW w:w="1656" w:type="dxa"/>
            <w:tcBorders>
              <w:top w:val="nil"/>
              <w:left w:val="nil"/>
              <w:bottom w:val="nil"/>
              <w:right w:val="nil"/>
            </w:tcBorders>
          </w:tcPr>
          <w:p w14:paraId="029D15F4"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-1.997</w:t>
            </w:r>
          </w:p>
        </w:tc>
      </w:tr>
      <w:tr w:rsidR="00E66303" w14:paraId="14020593" w14:textId="77777777" w:rsidTr="007B62B6">
        <w:tc>
          <w:tcPr>
            <w:tcW w:w="2136" w:type="dxa"/>
            <w:tcBorders>
              <w:top w:val="nil"/>
              <w:left w:val="nil"/>
              <w:bottom w:val="single" w:sz="4" w:space="0" w:color="auto"/>
              <w:right w:val="nil"/>
            </w:tcBorders>
          </w:tcPr>
          <w:p w14:paraId="330C3ACC"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77386332"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w:t>
            </w:r>
          </w:p>
        </w:tc>
        <w:tc>
          <w:tcPr>
            <w:tcW w:w="1656" w:type="dxa"/>
            <w:tcBorders>
              <w:top w:val="nil"/>
              <w:left w:val="nil"/>
              <w:bottom w:val="single" w:sz="4" w:space="0" w:color="auto"/>
              <w:right w:val="nil"/>
            </w:tcBorders>
          </w:tcPr>
          <w:p w14:paraId="4942731E"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(0.93)</w:t>
            </w:r>
          </w:p>
        </w:tc>
        <w:tc>
          <w:tcPr>
            <w:tcW w:w="1656" w:type="dxa"/>
            <w:tcBorders>
              <w:top w:val="nil"/>
              <w:left w:val="nil"/>
              <w:bottom w:val="single" w:sz="4" w:space="0" w:color="auto"/>
              <w:right w:val="nil"/>
            </w:tcBorders>
          </w:tcPr>
          <w:p w14:paraId="15472CC7"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(-1.53)</w:t>
            </w:r>
          </w:p>
        </w:tc>
      </w:tr>
      <w:tr w:rsidR="00E66303" w14:paraId="320E356D" w14:textId="77777777" w:rsidTr="007B62B6">
        <w:tc>
          <w:tcPr>
            <w:tcW w:w="2136" w:type="dxa"/>
            <w:tcBorders>
              <w:top w:val="nil"/>
              <w:left w:val="nil"/>
              <w:bottom w:val="single" w:sz="4" w:space="0" w:color="auto"/>
              <w:right w:val="nil"/>
            </w:tcBorders>
          </w:tcPr>
          <w:p w14:paraId="2C9CA535" w14:textId="77777777" w:rsidR="00E66303" w:rsidRDefault="00E66303"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107A9CB4"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1011</w:t>
            </w:r>
          </w:p>
        </w:tc>
        <w:tc>
          <w:tcPr>
            <w:tcW w:w="1656" w:type="dxa"/>
            <w:tcBorders>
              <w:top w:val="nil"/>
              <w:left w:val="nil"/>
              <w:bottom w:val="single" w:sz="4" w:space="0" w:color="auto"/>
              <w:right w:val="nil"/>
            </w:tcBorders>
          </w:tcPr>
          <w:p w14:paraId="4ADA4C94"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1011</w:t>
            </w:r>
          </w:p>
        </w:tc>
        <w:tc>
          <w:tcPr>
            <w:tcW w:w="1656" w:type="dxa"/>
            <w:tcBorders>
              <w:top w:val="nil"/>
              <w:left w:val="nil"/>
              <w:bottom w:val="single" w:sz="4" w:space="0" w:color="auto"/>
              <w:right w:val="nil"/>
            </w:tcBorders>
          </w:tcPr>
          <w:p w14:paraId="33B8A388" w14:textId="77777777" w:rsidR="00E66303" w:rsidRDefault="00E66303"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818</w:t>
            </w:r>
          </w:p>
        </w:tc>
      </w:tr>
    </w:tbl>
    <w:p w14:paraId="662465F2" w14:textId="77777777" w:rsidR="00E66303" w:rsidRDefault="00E66303" w:rsidP="00E6630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CA0AEB9" w14:textId="5C18CF4E" w:rsidR="00E66303" w:rsidRDefault="00E66303" w:rsidP="00E6630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3ED5BA54" w14:textId="77777777" w:rsidR="00871CFA" w:rsidRPr="00AD7E42" w:rsidRDefault="00871CFA" w:rsidP="00871CFA">
      <w:pPr>
        <w:widowControl w:val="0"/>
        <w:autoSpaceDE w:val="0"/>
        <w:autoSpaceDN w:val="0"/>
        <w:adjustRightInd w:val="0"/>
        <w:spacing w:after="0" w:line="240" w:lineRule="auto"/>
        <w:rPr>
          <w:rFonts w:ascii="Times New Roman" w:hAnsi="Times New Roman" w:cs="Times New Roman"/>
          <w:sz w:val="20"/>
          <w:szCs w:val="20"/>
        </w:rPr>
      </w:pPr>
    </w:p>
    <w:p w14:paraId="6EF526AF" w14:textId="4CB8F1F9" w:rsidR="009C23E1" w:rsidRDefault="00F32A5F" w:rsidP="00760EE4">
      <w:r>
        <w:t>The alternative instrument for central bank independence, that of social science and business graduates as a share of total population</w:t>
      </w:r>
      <w:r w:rsidR="007456C7">
        <w:t>,</w:t>
      </w:r>
      <w:r w:rsidR="00760EE4">
        <w:t xml:space="preserve"> produces strong results </w:t>
      </w:r>
      <w:r w:rsidR="006850C1">
        <w:t xml:space="preserve">in Table </w:t>
      </w:r>
      <w:r w:rsidR="006D4938">
        <w:t>6</w:t>
      </w:r>
      <w:r w:rsidR="006850C1">
        <w:t xml:space="preserve"> </w:t>
      </w:r>
      <w:r w:rsidR="00760EE4">
        <w:t>despite a very small sample size.</w:t>
      </w:r>
      <w:r w:rsidR="00AD7E42">
        <w:t xml:space="preserve"> In this case, the exclusion restriction is better, as it is less convincing that </w:t>
      </w:r>
      <w:r w:rsidR="008F3F70">
        <w:t xml:space="preserve">more tertiary-educated social science and business graduates </w:t>
      </w:r>
      <w:r w:rsidR="0024525A">
        <w:t>lead</w:t>
      </w:r>
      <w:r w:rsidR="008F3F70">
        <w:t xml:space="preserve"> to political instability.</w:t>
      </w:r>
      <w:r w:rsidR="0024525A">
        <w:t xml:space="preserve"> De jure CBI </w:t>
      </w:r>
      <w:r w:rsidR="00E809F6">
        <w:t xml:space="preserve">appears to drive the likelihood of coups, civil wars, and </w:t>
      </w:r>
      <w:r w:rsidR="00011621">
        <w:t>revolutions, a</w:t>
      </w:r>
      <w:r w:rsidR="0024525A">
        <w:t>lthough the results are unclear</w:t>
      </w:r>
      <w:r w:rsidR="00E26207">
        <w:t xml:space="preserve"> </w:t>
      </w:r>
      <w:r w:rsidR="0024525A">
        <w:t>for</w:t>
      </w:r>
      <w:r w:rsidR="00E26207">
        <w:t xml:space="preserve"> fixed </w:t>
      </w:r>
      <w:r w:rsidR="0024525A">
        <w:t xml:space="preserve">exchange </w:t>
      </w:r>
      <w:r w:rsidR="00E26207">
        <w:t>rates</w:t>
      </w:r>
      <w:r w:rsidR="0024525A">
        <w:t>.</w:t>
      </w:r>
      <w:r w:rsidR="0006705E">
        <w:t xml:space="preserve"> </w:t>
      </w:r>
      <w:r w:rsidR="0006705E" w:rsidRPr="00073ABA">
        <w:t>For de facto CBI, the result is</w:t>
      </w:r>
      <w:r w:rsidR="004B76D3" w:rsidRPr="00073ABA">
        <w:t xml:space="preserve"> insignificant.</w:t>
      </w:r>
    </w:p>
    <w:p w14:paraId="5674AEC5" w14:textId="07DBBBB7" w:rsidR="00A10B32" w:rsidRPr="00760EE4" w:rsidRDefault="00A10B32" w:rsidP="00760EE4">
      <w:r>
        <w:t xml:space="preserve">Table </w:t>
      </w:r>
      <w:r w:rsidR="006D4938">
        <w:t>6</w:t>
      </w:r>
      <w:r>
        <w:t xml:space="preserve">: Instruments of Social Sci./Business Graduates </w:t>
      </w:r>
      <w:r w:rsidR="00AA3739">
        <w:t>Pop</w:t>
      </w:r>
      <w:r w:rsidR="00F25415">
        <w:t>ulation</w:t>
      </w:r>
      <w:r w:rsidR="00AA3739">
        <w:t xml:space="preserve"> </w:t>
      </w:r>
      <w:r>
        <w:t>Share and Aggregate GDP, Robust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8B1A95" w14:paraId="788085C3" w14:textId="77777777" w:rsidTr="007B62B6">
        <w:tc>
          <w:tcPr>
            <w:tcW w:w="2136" w:type="dxa"/>
            <w:tcBorders>
              <w:top w:val="single" w:sz="4" w:space="0" w:color="auto"/>
              <w:left w:val="nil"/>
              <w:bottom w:val="nil"/>
              <w:right w:val="nil"/>
            </w:tcBorders>
          </w:tcPr>
          <w:p w14:paraId="186CF36E"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26C38666"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3607BCD0"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61E35585"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6954C6FA"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746241BB"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8B1A95" w14:paraId="78BCBD0D" w14:textId="77777777" w:rsidTr="007B62B6">
        <w:tc>
          <w:tcPr>
            <w:tcW w:w="2136" w:type="dxa"/>
            <w:tcBorders>
              <w:top w:val="nil"/>
              <w:left w:val="nil"/>
              <w:bottom w:val="nil"/>
              <w:right w:val="nil"/>
            </w:tcBorders>
          </w:tcPr>
          <w:p w14:paraId="75987A28"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5933528"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2B6B3DA3"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4C2864AA"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44AAAE6A"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62F1FE7C"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8B1A95" w14:paraId="0E70CBED" w14:textId="77777777" w:rsidTr="007B62B6">
        <w:tc>
          <w:tcPr>
            <w:tcW w:w="2136" w:type="dxa"/>
            <w:tcBorders>
              <w:top w:val="single" w:sz="4" w:space="0" w:color="auto"/>
              <w:left w:val="nil"/>
              <w:bottom w:val="nil"/>
              <w:right w:val="nil"/>
            </w:tcBorders>
          </w:tcPr>
          <w:p w14:paraId="7BAD8C09" w14:textId="77777777" w:rsidR="008B1A95" w:rsidRPr="008B1A95" w:rsidRDefault="008B1A95" w:rsidP="007B62B6">
            <w:pPr>
              <w:widowControl w:val="0"/>
              <w:autoSpaceDE w:val="0"/>
              <w:autoSpaceDN w:val="0"/>
              <w:adjustRightInd w:val="0"/>
              <w:spacing w:after="0" w:line="240" w:lineRule="auto"/>
              <w:rPr>
                <w:rFonts w:ascii="Times New Roman" w:hAnsi="Times New Roman" w:cs="Times New Roman"/>
                <w:sz w:val="24"/>
                <w:szCs w:val="24"/>
                <w:lang w:val="fr-BE"/>
              </w:rPr>
            </w:pPr>
            <w:r w:rsidRPr="008B1A95">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4BE24043"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101.3</w:t>
            </w:r>
          </w:p>
        </w:tc>
        <w:tc>
          <w:tcPr>
            <w:tcW w:w="1656" w:type="dxa"/>
            <w:tcBorders>
              <w:top w:val="single" w:sz="4" w:space="0" w:color="auto"/>
              <w:left w:val="nil"/>
              <w:bottom w:val="nil"/>
              <w:right w:val="nil"/>
            </w:tcBorders>
          </w:tcPr>
          <w:p w14:paraId="41C82215"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40.79</w:t>
            </w:r>
          </w:p>
        </w:tc>
        <w:tc>
          <w:tcPr>
            <w:tcW w:w="1656" w:type="dxa"/>
            <w:tcBorders>
              <w:top w:val="single" w:sz="4" w:space="0" w:color="auto"/>
              <w:left w:val="nil"/>
              <w:bottom w:val="nil"/>
              <w:right w:val="nil"/>
            </w:tcBorders>
          </w:tcPr>
          <w:p w14:paraId="35D04E01"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-58.56</w:t>
            </w:r>
          </w:p>
        </w:tc>
        <w:tc>
          <w:tcPr>
            <w:tcW w:w="1656" w:type="dxa"/>
            <w:tcBorders>
              <w:top w:val="single" w:sz="4" w:space="0" w:color="auto"/>
              <w:left w:val="nil"/>
              <w:bottom w:val="nil"/>
              <w:right w:val="nil"/>
            </w:tcBorders>
          </w:tcPr>
          <w:p w14:paraId="134D560E"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28.66</w:t>
            </w:r>
          </w:p>
        </w:tc>
        <w:tc>
          <w:tcPr>
            <w:tcW w:w="1656" w:type="dxa"/>
            <w:tcBorders>
              <w:top w:val="single" w:sz="4" w:space="0" w:color="auto"/>
              <w:left w:val="nil"/>
              <w:bottom w:val="nil"/>
              <w:right w:val="nil"/>
            </w:tcBorders>
          </w:tcPr>
          <w:p w14:paraId="18EB1AD3"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2.725</w:t>
            </w:r>
            <w:r>
              <w:rPr>
                <w:rFonts w:ascii="Times New Roman" w:hAnsi="Times New Roman" w:cs="Times New Roman"/>
                <w:sz w:val="24"/>
                <w:szCs w:val="24"/>
                <w:vertAlign w:val="superscript"/>
              </w:rPr>
              <w:t>***</w:t>
            </w:r>
          </w:p>
        </w:tc>
      </w:tr>
      <w:tr w:rsidR="008B1A95" w14:paraId="2D94B31E" w14:textId="77777777" w:rsidTr="007B62B6">
        <w:tc>
          <w:tcPr>
            <w:tcW w:w="2136" w:type="dxa"/>
            <w:tcBorders>
              <w:top w:val="nil"/>
              <w:left w:val="nil"/>
              <w:bottom w:val="nil"/>
              <w:right w:val="nil"/>
            </w:tcBorders>
          </w:tcPr>
          <w:p w14:paraId="184BEA37"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364EC6A"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41CE6D55"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27453304"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24C2F1D4"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656" w:type="dxa"/>
            <w:tcBorders>
              <w:top w:val="nil"/>
              <w:left w:val="nil"/>
              <w:bottom w:val="nil"/>
              <w:right w:val="nil"/>
            </w:tcBorders>
          </w:tcPr>
          <w:p w14:paraId="65C40F88"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(4.21)</w:t>
            </w:r>
          </w:p>
        </w:tc>
      </w:tr>
      <w:tr w:rsidR="008B1A95" w14:paraId="3E62D193" w14:textId="77777777" w:rsidTr="007B62B6">
        <w:tc>
          <w:tcPr>
            <w:tcW w:w="2136" w:type="dxa"/>
            <w:tcBorders>
              <w:top w:val="nil"/>
              <w:left w:val="nil"/>
              <w:bottom w:val="nil"/>
              <w:right w:val="nil"/>
            </w:tcBorders>
          </w:tcPr>
          <w:p w14:paraId="3CA85027"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017C23C"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A833803"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708981E"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FC08640"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7EB066F"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r>
      <w:tr w:rsidR="008B1A95" w14:paraId="7A613DC5" w14:textId="77777777" w:rsidTr="007B62B6">
        <w:tc>
          <w:tcPr>
            <w:tcW w:w="2136" w:type="dxa"/>
            <w:tcBorders>
              <w:top w:val="nil"/>
              <w:left w:val="nil"/>
              <w:bottom w:val="nil"/>
              <w:right w:val="nil"/>
            </w:tcBorders>
          </w:tcPr>
          <w:p w14:paraId="700EDAE7"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04F0BC58"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-3.018</w:t>
            </w:r>
          </w:p>
        </w:tc>
        <w:tc>
          <w:tcPr>
            <w:tcW w:w="1656" w:type="dxa"/>
            <w:tcBorders>
              <w:top w:val="nil"/>
              <w:left w:val="nil"/>
              <w:bottom w:val="nil"/>
              <w:right w:val="nil"/>
            </w:tcBorders>
          </w:tcPr>
          <w:p w14:paraId="22762927"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-1.226</w:t>
            </w:r>
          </w:p>
        </w:tc>
        <w:tc>
          <w:tcPr>
            <w:tcW w:w="1656" w:type="dxa"/>
            <w:tcBorders>
              <w:top w:val="nil"/>
              <w:left w:val="nil"/>
              <w:bottom w:val="nil"/>
              <w:right w:val="nil"/>
            </w:tcBorders>
          </w:tcPr>
          <w:p w14:paraId="2A1584F3"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1.817</w:t>
            </w:r>
          </w:p>
        </w:tc>
        <w:tc>
          <w:tcPr>
            <w:tcW w:w="1656" w:type="dxa"/>
            <w:tcBorders>
              <w:top w:val="nil"/>
              <w:left w:val="nil"/>
              <w:bottom w:val="nil"/>
              <w:right w:val="nil"/>
            </w:tcBorders>
          </w:tcPr>
          <w:p w14:paraId="169A3892"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-0.905</w:t>
            </w:r>
          </w:p>
        </w:tc>
        <w:tc>
          <w:tcPr>
            <w:tcW w:w="1656" w:type="dxa"/>
            <w:tcBorders>
              <w:top w:val="nil"/>
              <w:left w:val="nil"/>
              <w:bottom w:val="nil"/>
              <w:right w:val="nil"/>
            </w:tcBorders>
          </w:tcPr>
          <w:p w14:paraId="3578E7CC"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-0.128</w:t>
            </w:r>
          </w:p>
        </w:tc>
      </w:tr>
      <w:tr w:rsidR="008B1A95" w14:paraId="67467A66" w14:textId="77777777" w:rsidTr="007B62B6">
        <w:tc>
          <w:tcPr>
            <w:tcW w:w="2136" w:type="dxa"/>
            <w:tcBorders>
              <w:top w:val="nil"/>
              <w:left w:val="nil"/>
              <w:bottom w:val="nil"/>
              <w:right w:val="nil"/>
            </w:tcBorders>
          </w:tcPr>
          <w:p w14:paraId="7F8BA566"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B553D8E"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0027420A"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7D1D17C0"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602521B4"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656" w:type="dxa"/>
            <w:tcBorders>
              <w:top w:val="nil"/>
              <w:left w:val="nil"/>
              <w:bottom w:val="nil"/>
              <w:right w:val="nil"/>
            </w:tcBorders>
          </w:tcPr>
          <w:p w14:paraId="0B8ACF7C"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(-1.62)</w:t>
            </w:r>
          </w:p>
        </w:tc>
      </w:tr>
      <w:tr w:rsidR="008B1A95" w14:paraId="65EB87B3" w14:textId="77777777" w:rsidTr="007B62B6">
        <w:tc>
          <w:tcPr>
            <w:tcW w:w="2136" w:type="dxa"/>
            <w:tcBorders>
              <w:top w:val="nil"/>
              <w:left w:val="nil"/>
              <w:bottom w:val="nil"/>
              <w:right w:val="nil"/>
            </w:tcBorders>
          </w:tcPr>
          <w:p w14:paraId="15D2774B"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63742BA"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107A22D"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CE57290"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968CC76"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478B604"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r>
      <w:tr w:rsidR="008B1A95" w14:paraId="4D64E474" w14:textId="77777777" w:rsidTr="007B62B6">
        <w:tc>
          <w:tcPr>
            <w:tcW w:w="2136" w:type="dxa"/>
            <w:tcBorders>
              <w:top w:val="nil"/>
              <w:left w:val="nil"/>
              <w:bottom w:val="nil"/>
              <w:right w:val="nil"/>
            </w:tcBorders>
          </w:tcPr>
          <w:p w14:paraId="17C1CC79"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00CE0DC3"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-43.58</w:t>
            </w:r>
          </w:p>
        </w:tc>
        <w:tc>
          <w:tcPr>
            <w:tcW w:w="1656" w:type="dxa"/>
            <w:tcBorders>
              <w:top w:val="nil"/>
              <w:left w:val="nil"/>
              <w:bottom w:val="nil"/>
              <w:right w:val="nil"/>
            </w:tcBorders>
          </w:tcPr>
          <w:p w14:paraId="7BF2901C"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-17.34</w:t>
            </w:r>
          </w:p>
        </w:tc>
        <w:tc>
          <w:tcPr>
            <w:tcW w:w="1656" w:type="dxa"/>
            <w:tcBorders>
              <w:top w:val="nil"/>
              <w:left w:val="nil"/>
              <w:bottom w:val="nil"/>
              <w:right w:val="nil"/>
            </w:tcBorders>
          </w:tcPr>
          <w:p w14:paraId="238F6AB3"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25.93</w:t>
            </w:r>
          </w:p>
        </w:tc>
        <w:tc>
          <w:tcPr>
            <w:tcW w:w="1656" w:type="dxa"/>
            <w:tcBorders>
              <w:top w:val="nil"/>
              <w:left w:val="nil"/>
              <w:bottom w:val="nil"/>
              <w:right w:val="nil"/>
            </w:tcBorders>
          </w:tcPr>
          <w:p w14:paraId="4FFD2307"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-11.87</w:t>
            </w:r>
          </w:p>
        </w:tc>
        <w:tc>
          <w:tcPr>
            <w:tcW w:w="1656" w:type="dxa"/>
            <w:tcBorders>
              <w:top w:val="nil"/>
              <w:left w:val="nil"/>
              <w:bottom w:val="nil"/>
              <w:right w:val="nil"/>
            </w:tcBorders>
          </w:tcPr>
          <w:p w14:paraId="3D35A0C1"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p>
        </w:tc>
      </w:tr>
      <w:tr w:rsidR="008B1A95" w14:paraId="06F993B4" w14:textId="77777777" w:rsidTr="007B62B6">
        <w:tc>
          <w:tcPr>
            <w:tcW w:w="2136" w:type="dxa"/>
            <w:tcBorders>
              <w:top w:val="nil"/>
              <w:left w:val="nil"/>
              <w:bottom w:val="single" w:sz="4" w:space="0" w:color="auto"/>
              <w:right w:val="nil"/>
            </w:tcBorders>
          </w:tcPr>
          <w:p w14:paraId="329D15E6"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4F5DF7A3"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single" w:sz="4" w:space="0" w:color="auto"/>
              <w:right w:val="nil"/>
            </w:tcBorders>
          </w:tcPr>
          <w:p w14:paraId="62F2154F"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single" w:sz="4" w:space="0" w:color="auto"/>
              <w:right w:val="nil"/>
            </w:tcBorders>
          </w:tcPr>
          <w:p w14:paraId="7C286385"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656" w:type="dxa"/>
            <w:tcBorders>
              <w:top w:val="nil"/>
              <w:left w:val="nil"/>
              <w:bottom w:val="single" w:sz="4" w:space="0" w:color="auto"/>
              <w:right w:val="nil"/>
            </w:tcBorders>
          </w:tcPr>
          <w:p w14:paraId="347ECDC4"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656" w:type="dxa"/>
            <w:tcBorders>
              <w:top w:val="nil"/>
              <w:left w:val="nil"/>
              <w:bottom w:val="single" w:sz="4" w:space="0" w:color="auto"/>
              <w:right w:val="nil"/>
            </w:tcBorders>
          </w:tcPr>
          <w:p w14:paraId="7FA8BA21"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p>
        </w:tc>
      </w:tr>
      <w:tr w:rsidR="008B1A95" w14:paraId="058977F8" w14:textId="77777777" w:rsidTr="007B62B6">
        <w:tc>
          <w:tcPr>
            <w:tcW w:w="2136" w:type="dxa"/>
            <w:tcBorders>
              <w:top w:val="nil"/>
              <w:left w:val="nil"/>
              <w:bottom w:val="single" w:sz="4" w:space="0" w:color="auto"/>
              <w:right w:val="nil"/>
            </w:tcBorders>
          </w:tcPr>
          <w:p w14:paraId="2FA422DA" w14:textId="77777777" w:rsidR="008B1A95" w:rsidRDefault="008B1A95"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46D9E374"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656" w:type="dxa"/>
            <w:tcBorders>
              <w:top w:val="nil"/>
              <w:left w:val="nil"/>
              <w:bottom w:val="single" w:sz="4" w:space="0" w:color="auto"/>
              <w:right w:val="nil"/>
            </w:tcBorders>
          </w:tcPr>
          <w:p w14:paraId="2FF7C650"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656" w:type="dxa"/>
            <w:tcBorders>
              <w:top w:val="nil"/>
              <w:left w:val="nil"/>
              <w:bottom w:val="single" w:sz="4" w:space="0" w:color="auto"/>
              <w:right w:val="nil"/>
            </w:tcBorders>
          </w:tcPr>
          <w:p w14:paraId="4F7FB77D"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656" w:type="dxa"/>
            <w:tcBorders>
              <w:top w:val="nil"/>
              <w:left w:val="nil"/>
              <w:bottom w:val="single" w:sz="4" w:space="0" w:color="auto"/>
              <w:right w:val="nil"/>
            </w:tcBorders>
          </w:tcPr>
          <w:p w14:paraId="71AF1ABD"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w:t>
            </w:r>
          </w:p>
        </w:tc>
        <w:tc>
          <w:tcPr>
            <w:tcW w:w="1656" w:type="dxa"/>
            <w:tcBorders>
              <w:top w:val="nil"/>
              <w:left w:val="nil"/>
              <w:bottom w:val="single" w:sz="4" w:space="0" w:color="auto"/>
              <w:right w:val="nil"/>
            </w:tcBorders>
          </w:tcPr>
          <w:p w14:paraId="65A1A6D0" w14:textId="77777777" w:rsidR="008B1A95" w:rsidRDefault="008B1A95"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bl>
    <w:p w14:paraId="05CC28FC" w14:textId="77777777" w:rsidR="008B1A95" w:rsidRDefault="008B1A95" w:rsidP="008B1A9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7D83C176" w14:textId="3A2E4D3B" w:rsidR="00013AD9" w:rsidRDefault="008B1A95" w:rsidP="001B043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1D55A4A8" w14:textId="77777777" w:rsidR="00073ABA" w:rsidRDefault="00073ABA" w:rsidP="001B043E">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gridCol w:w="1656"/>
        <w:gridCol w:w="1656"/>
      </w:tblGrid>
      <w:tr w:rsidR="00073ABA" w14:paraId="450C76AD" w14:textId="77777777" w:rsidTr="00F16287">
        <w:tc>
          <w:tcPr>
            <w:tcW w:w="2136" w:type="dxa"/>
            <w:tcBorders>
              <w:top w:val="single" w:sz="4" w:space="0" w:color="auto"/>
              <w:left w:val="nil"/>
              <w:bottom w:val="nil"/>
              <w:right w:val="nil"/>
            </w:tcBorders>
          </w:tcPr>
          <w:p w14:paraId="5B4F7C6E" w14:textId="77777777" w:rsidR="00073ABA" w:rsidRDefault="00073AB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13657AE7"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3728BBD2"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30BA4134"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74644087"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073ABA" w14:paraId="06C3FDCB" w14:textId="77777777" w:rsidTr="00F16287">
        <w:tc>
          <w:tcPr>
            <w:tcW w:w="2136" w:type="dxa"/>
            <w:tcBorders>
              <w:top w:val="nil"/>
              <w:left w:val="nil"/>
              <w:bottom w:val="nil"/>
              <w:right w:val="nil"/>
            </w:tcBorders>
          </w:tcPr>
          <w:p w14:paraId="0A31999A" w14:textId="77777777" w:rsidR="00073ABA" w:rsidRDefault="00073AB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BDE58C0"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0BFF933F"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66C09507"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05220FC7"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r>
      <w:tr w:rsidR="00073ABA" w14:paraId="7FDDADD4" w14:textId="77777777" w:rsidTr="00F16287">
        <w:tc>
          <w:tcPr>
            <w:tcW w:w="2136" w:type="dxa"/>
            <w:tcBorders>
              <w:top w:val="single" w:sz="4" w:space="0" w:color="auto"/>
              <w:left w:val="nil"/>
              <w:bottom w:val="nil"/>
              <w:right w:val="nil"/>
            </w:tcBorders>
          </w:tcPr>
          <w:p w14:paraId="27EC0693" w14:textId="77777777" w:rsidR="00073ABA" w:rsidRDefault="00073AB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24C5073A"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-17.32</w:t>
            </w:r>
          </w:p>
        </w:tc>
        <w:tc>
          <w:tcPr>
            <w:tcW w:w="1656" w:type="dxa"/>
            <w:tcBorders>
              <w:top w:val="single" w:sz="4" w:space="0" w:color="auto"/>
              <w:left w:val="nil"/>
              <w:bottom w:val="nil"/>
              <w:right w:val="nil"/>
            </w:tcBorders>
          </w:tcPr>
          <w:p w14:paraId="35B2FD09"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-4.902</w:t>
            </w:r>
          </w:p>
        </w:tc>
        <w:tc>
          <w:tcPr>
            <w:tcW w:w="1656" w:type="dxa"/>
            <w:tcBorders>
              <w:top w:val="single" w:sz="4" w:space="0" w:color="auto"/>
              <w:left w:val="nil"/>
              <w:bottom w:val="nil"/>
              <w:right w:val="nil"/>
            </w:tcBorders>
          </w:tcPr>
          <w:p w14:paraId="2EA20841"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18.44</w:t>
            </w:r>
          </w:p>
        </w:tc>
        <w:tc>
          <w:tcPr>
            <w:tcW w:w="1656" w:type="dxa"/>
            <w:tcBorders>
              <w:top w:val="single" w:sz="4" w:space="0" w:color="auto"/>
              <w:left w:val="nil"/>
              <w:bottom w:val="nil"/>
              <w:right w:val="nil"/>
            </w:tcBorders>
          </w:tcPr>
          <w:p w14:paraId="1923721E"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-6.819</w:t>
            </w:r>
          </w:p>
        </w:tc>
      </w:tr>
      <w:tr w:rsidR="00073ABA" w14:paraId="0535592F" w14:textId="77777777" w:rsidTr="00F16287">
        <w:tc>
          <w:tcPr>
            <w:tcW w:w="2136" w:type="dxa"/>
            <w:tcBorders>
              <w:top w:val="nil"/>
              <w:left w:val="nil"/>
              <w:bottom w:val="nil"/>
              <w:right w:val="nil"/>
            </w:tcBorders>
          </w:tcPr>
          <w:p w14:paraId="7662A269" w14:textId="77777777" w:rsidR="00073ABA" w:rsidRDefault="00073AB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0FD94D9"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(-0.79)</w:t>
            </w:r>
          </w:p>
        </w:tc>
        <w:tc>
          <w:tcPr>
            <w:tcW w:w="1656" w:type="dxa"/>
            <w:tcBorders>
              <w:top w:val="nil"/>
              <w:left w:val="nil"/>
              <w:bottom w:val="nil"/>
              <w:right w:val="nil"/>
            </w:tcBorders>
          </w:tcPr>
          <w:p w14:paraId="5B4428AA"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w:t>
            </w:r>
          </w:p>
        </w:tc>
        <w:tc>
          <w:tcPr>
            <w:tcW w:w="1656" w:type="dxa"/>
            <w:tcBorders>
              <w:top w:val="nil"/>
              <w:left w:val="nil"/>
              <w:bottom w:val="nil"/>
              <w:right w:val="nil"/>
            </w:tcBorders>
          </w:tcPr>
          <w:p w14:paraId="60D8E7CF"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656" w:type="dxa"/>
            <w:tcBorders>
              <w:top w:val="nil"/>
              <w:left w:val="nil"/>
              <w:bottom w:val="nil"/>
              <w:right w:val="nil"/>
            </w:tcBorders>
          </w:tcPr>
          <w:p w14:paraId="7C41D92C"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r>
      <w:tr w:rsidR="00073ABA" w14:paraId="320D48B2" w14:textId="77777777" w:rsidTr="00F16287">
        <w:tc>
          <w:tcPr>
            <w:tcW w:w="2136" w:type="dxa"/>
            <w:tcBorders>
              <w:top w:val="nil"/>
              <w:left w:val="nil"/>
              <w:bottom w:val="nil"/>
              <w:right w:val="nil"/>
            </w:tcBorders>
          </w:tcPr>
          <w:p w14:paraId="6AAB1EA3" w14:textId="77777777" w:rsidR="00073ABA" w:rsidRDefault="00073AB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1C346C1" w14:textId="77777777" w:rsidR="00073ABA" w:rsidRDefault="00073AB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7E3765" w14:textId="77777777" w:rsidR="00073ABA" w:rsidRDefault="00073AB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420235D" w14:textId="77777777" w:rsidR="00073ABA" w:rsidRDefault="00073AB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FF9826C" w14:textId="77777777" w:rsidR="00073ABA" w:rsidRDefault="00073ABA" w:rsidP="00F16287">
            <w:pPr>
              <w:widowControl w:val="0"/>
              <w:autoSpaceDE w:val="0"/>
              <w:autoSpaceDN w:val="0"/>
              <w:adjustRightInd w:val="0"/>
              <w:spacing w:after="0" w:line="240" w:lineRule="auto"/>
              <w:rPr>
                <w:rFonts w:ascii="Times New Roman" w:hAnsi="Times New Roman" w:cs="Times New Roman"/>
                <w:sz w:val="24"/>
                <w:szCs w:val="24"/>
              </w:rPr>
            </w:pPr>
          </w:p>
        </w:tc>
      </w:tr>
      <w:tr w:rsidR="00073ABA" w14:paraId="619150C2" w14:textId="77777777" w:rsidTr="00F16287">
        <w:tc>
          <w:tcPr>
            <w:tcW w:w="2136" w:type="dxa"/>
            <w:tcBorders>
              <w:top w:val="nil"/>
              <w:left w:val="nil"/>
              <w:bottom w:val="nil"/>
              <w:right w:val="nil"/>
            </w:tcBorders>
          </w:tcPr>
          <w:p w14:paraId="42AA97E0" w14:textId="77777777" w:rsidR="00073ABA" w:rsidRDefault="00073AB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25914398"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0.00906</w:t>
            </w:r>
          </w:p>
        </w:tc>
        <w:tc>
          <w:tcPr>
            <w:tcW w:w="1656" w:type="dxa"/>
            <w:tcBorders>
              <w:top w:val="nil"/>
              <w:left w:val="nil"/>
              <w:bottom w:val="nil"/>
              <w:right w:val="nil"/>
            </w:tcBorders>
          </w:tcPr>
          <w:p w14:paraId="50DAE22E"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-0.0120</w:t>
            </w:r>
          </w:p>
        </w:tc>
        <w:tc>
          <w:tcPr>
            <w:tcW w:w="1656" w:type="dxa"/>
            <w:tcBorders>
              <w:top w:val="nil"/>
              <w:left w:val="nil"/>
              <w:bottom w:val="nil"/>
              <w:right w:val="nil"/>
            </w:tcBorders>
          </w:tcPr>
          <w:p w14:paraId="7823CEE2"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0C49B95"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0.0740</w:t>
            </w:r>
          </w:p>
        </w:tc>
      </w:tr>
      <w:tr w:rsidR="00073ABA" w14:paraId="4B99C134" w14:textId="77777777" w:rsidTr="00F16287">
        <w:tc>
          <w:tcPr>
            <w:tcW w:w="2136" w:type="dxa"/>
            <w:tcBorders>
              <w:top w:val="nil"/>
              <w:left w:val="nil"/>
              <w:bottom w:val="nil"/>
              <w:right w:val="nil"/>
            </w:tcBorders>
          </w:tcPr>
          <w:p w14:paraId="1ED41412" w14:textId="77777777" w:rsidR="00073ABA" w:rsidRDefault="00073AB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912B81A"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656" w:type="dxa"/>
            <w:tcBorders>
              <w:top w:val="nil"/>
              <w:left w:val="nil"/>
              <w:bottom w:val="nil"/>
              <w:right w:val="nil"/>
            </w:tcBorders>
          </w:tcPr>
          <w:p w14:paraId="6E2D94CF"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656" w:type="dxa"/>
            <w:tcBorders>
              <w:top w:val="nil"/>
              <w:left w:val="nil"/>
              <w:bottom w:val="nil"/>
              <w:right w:val="nil"/>
            </w:tcBorders>
          </w:tcPr>
          <w:p w14:paraId="65B2C175"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(2.05)</w:t>
            </w:r>
          </w:p>
        </w:tc>
        <w:tc>
          <w:tcPr>
            <w:tcW w:w="1656" w:type="dxa"/>
            <w:tcBorders>
              <w:top w:val="nil"/>
              <w:left w:val="nil"/>
              <w:bottom w:val="nil"/>
              <w:right w:val="nil"/>
            </w:tcBorders>
          </w:tcPr>
          <w:p w14:paraId="15B493E0"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w:t>
            </w:r>
          </w:p>
        </w:tc>
      </w:tr>
      <w:tr w:rsidR="00073ABA" w14:paraId="6FD1DC8D" w14:textId="77777777" w:rsidTr="00F16287">
        <w:tc>
          <w:tcPr>
            <w:tcW w:w="2136" w:type="dxa"/>
            <w:tcBorders>
              <w:top w:val="nil"/>
              <w:left w:val="nil"/>
              <w:bottom w:val="nil"/>
              <w:right w:val="nil"/>
            </w:tcBorders>
          </w:tcPr>
          <w:p w14:paraId="6495D702" w14:textId="77777777" w:rsidR="00073ABA" w:rsidRDefault="00073AB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3664FE0" w14:textId="77777777" w:rsidR="00073ABA" w:rsidRDefault="00073AB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71330A5" w14:textId="77777777" w:rsidR="00073ABA" w:rsidRDefault="00073AB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63E15D6" w14:textId="77777777" w:rsidR="00073ABA" w:rsidRDefault="00073AB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6D8A228" w14:textId="77777777" w:rsidR="00073ABA" w:rsidRDefault="00073ABA" w:rsidP="00F16287">
            <w:pPr>
              <w:widowControl w:val="0"/>
              <w:autoSpaceDE w:val="0"/>
              <w:autoSpaceDN w:val="0"/>
              <w:adjustRightInd w:val="0"/>
              <w:spacing w:after="0" w:line="240" w:lineRule="auto"/>
              <w:rPr>
                <w:rFonts w:ascii="Times New Roman" w:hAnsi="Times New Roman" w:cs="Times New Roman"/>
                <w:sz w:val="24"/>
                <w:szCs w:val="24"/>
              </w:rPr>
            </w:pPr>
          </w:p>
        </w:tc>
      </w:tr>
      <w:tr w:rsidR="00073ABA" w14:paraId="1DA8778A" w14:textId="77777777" w:rsidTr="00F16287">
        <w:tc>
          <w:tcPr>
            <w:tcW w:w="2136" w:type="dxa"/>
            <w:tcBorders>
              <w:top w:val="nil"/>
              <w:left w:val="nil"/>
              <w:bottom w:val="nil"/>
              <w:right w:val="nil"/>
            </w:tcBorders>
          </w:tcPr>
          <w:p w14:paraId="61070F85" w14:textId="77777777" w:rsidR="00073ABA" w:rsidRDefault="00073AB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66EB5CB9"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17.78</w:t>
            </w:r>
          </w:p>
        </w:tc>
        <w:tc>
          <w:tcPr>
            <w:tcW w:w="1656" w:type="dxa"/>
            <w:tcBorders>
              <w:top w:val="nil"/>
              <w:left w:val="nil"/>
              <w:bottom w:val="nil"/>
              <w:right w:val="nil"/>
            </w:tcBorders>
          </w:tcPr>
          <w:p w14:paraId="6E510543"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5.411</w:t>
            </w:r>
          </w:p>
        </w:tc>
        <w:tc>
          <w:tcPr>
            <w:tcW w:w="1656" w:type="dxa"/>
            <w:tcBorders>
              <w:top w:val="nil"/>
              <w:left w:val="nil"/>
              <w:bottom w:val="nil"/>
              <w:right w:val="nil"/>
            </w:tcBorders>
          </w:tcPr>
          <w:p w14:paraId="3543D64C"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-18.12</w:t>
            </w:r>
          </w:p>
        </w:tc>
        <w:tc>
          <w:tcPr>
            <w:tcW w:w="1656" w:type="dxa"/>
            <w:tcBorders>
              <w:top w:val="nil"/>
              <w:left w:val="nil"/>
              <w:bottom w:val="nil"/>
              <w:right w:val="nil"/>
            </w:tcBorders>
          </w:tcPr>
          <w:p w14:paraId="0680FE4D"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6.506</w:t>
            </w:r>
          </w:p>
        </w:tc>
      </w:tr>
      <w:tr w:rsidR="00073ABA" w14:paraId="78F0F5FD" w14:textId="77777777" w:rsidTr="00F16287">
        <w:tc>
          <w:tcPr>
            <w:tcW w:w="2136" w:type="dxa"/>
            <w:tcBorders>
              <w:top w:val="nil"/>
              <w:left w:val="nil"/>
              <w:bottom w:val="single" w:sz="4" w:space="0" w:color="auto"/>
              <w:right w:val="nil"/>
            </w:tcBorders>
          </w:tcPr>
          <w:p w14:paraId="62FE9903" w14:textId="77777777" w:rsidR="00073ABA" w:rsidRDefault="00073AB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5C40E48D"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w:t>
            </w:r>
          </w:p>
        </w:tc>
        <w:tc>
          <w:tcPr>
            <w:tcW w:w="1656" w:type="dxa"/>
            <w:tcBorders>
              <w:top w:val="nil"/>
              <w:left w:val="nil"/>
              <w:bottom w:val="single" w:sz="4" w:space="0" w:color="auto"/>
              <w:right w:val="nil"/>
            </w:tcBorders>
          </w:tcPr>
          <w:p w14:paraId="408CD49B"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656" w:type="dxa"/>
            <w:tcBorders>
              <w:top w:val="nil"/>
              <w:left w:val="nil"/>
              <w:bottom w:val="single" w:sz="4" w:space="0" w:color="auto"/>
              <w:right w:val="nil"/>
            </w:tcBorders>
          </w:tcPr>
          <w:p w14:paraId="75C520E9"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(-0.77)</w:t>
            </w:r>
          </w:p>
        </w:tc>
        <w:tc>
          <w:tcPr>
            <w:tcW w:w="1656" w:type="dxa"/>
            <w:tcBorders>
              <w:top w:val="nil"/>
              <w:left w:val="nil"/>
              <w:bottom w:val="single" w:sz="4" w:space="0" w:color="auto"/>
              <w:right w:val="nil"/>
            </w:tcBorders>
          </w:tcPr>
          <w:p w14:paraId="268C8C59"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073ABA" w14:paraId="7560798F" w14:textId="77777777" w:rsidTr="00F16287">
        <w:tc>
          <w:tcPr>
            <w:tcW w:w="2136" w:type="dxa"/>
            <w:tcBorders>
              <w:top w:val="nil"/>
              <w:left w:val="nil"/>
              <w:bottom w:val="single" w:sz="4" w:space="0" w:color="auto"/>
              <w:right w:val="nil"/>
            </w:tcBorders>
          </w:tcPr>
          <w:p w14:paraId="4F19EBF0" w14:textId="77777777" w:rsidR="00073ABA" w:rsidRDefault="00073AB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307D27EF"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62</w:t>
            </w:r>
          </w:p>
        </w:tc>
        <w:tc>
          <w:tcPr>
            <w:tcW w:w="1656" w:type="dxa"/>
            <w:tcBorders>
              <w:top w:val="nil"/>
              <w:left w:val="nil"/>
              <w:bottom w:val="single" w:sz="4" w:space="0" w:color="auto"/>
              <w:right w:val="nil"/>
            </w:tcBorders>
          </w:tcPr>
          <w:p w14:paraId="4C71DC2E"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62</w:t>
            </w:r>
          </w:p>
        </w:tc>
        <w:tc>
          <w:tcPr>
            <w:tcW w:w="1656" w:type="dxa"/>
            <w:tcBorders>
              <w:top w:val="nil"/>
              <w:left w:val="nil"/>
              <w:bottom w:val="single" w:sz="4" w:space="0" w:color="auto"/>
              <w:right w:val="nil"/>
            </w:tcBorders>
          </w:tcPr>
          <w:p w14:paraId="4718C12E"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656" w:type="dxa"/>
            <w:tcBorders>
              <w:top w:val="nil"/>
              <w:left w:val="nil"/>
              <w:bottom w:val="single" w:sz="4" w:space="0" w:color="auto"/>
              <w:right w:val="nil"/>
            </w:tcBorders>
          </w:tcPr>
          <w:p w14:paraId="1BB7CDD7" w14:textId="77777777" w:rsidR="00073ABA" w:rsidRDefault="00073AB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197</w:t>
            </w:r>
          </w:p>
        </w:tc>
      </w:tr>
    </w:tbl>
    <w:p w14:paraId="11245598" w14:textId="77777777" w:rsidR="00073ABA" w:rsidRDefault="00073ABA" w:rsidP="00073AB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E96D3FD" w14:textId="110AE0FC" w:rsidR="00073ABA" w:rsidRDefault="00073ABA" w:rsidP="001B043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684E9517" w14:textId="77777777" w:rsidR="001B043E" w:rsidRPr="001B043E" w:rsidRDefault="001B043E" w:rsidP="001B043E">
      <w:pPr>
        <w:widowControl w:val="0"/>
        <w:autoSpaceDE w:val="0"/>
        <w:autoSpaceDN w:val="0"/>
        <w:adjustRightInd w:val="0"/>
        <w:spacing w:after="0" w:line="240" w:lineRule="auto"/>
        <w:rPr>
          <w:rFonts w:ascii="Times New Roman" w:hAnsi="Times New Roman" w:cs="Times New Roman"/>
          <w:sz w:val="20"/>
          <w:szCs w:val="20"/>
        </w:rPr>
      </w:pPr>
    </w:p>
    <w:p w14:paraId="75975B40" w14:textId="54643C29" w:rsidR="00013AD9" w:rsidRDefault="00013AD9" w:rsidP="005F7BDB">
      <w:r>
        <w:t>Under certain conditions, however, a significant endogeneity-robust relationship for fixed exchange rates can be uncovered.</w:t>
      </w:r>
      <w:r w:rsidR="00F60FA1">
        <w:t xml:space="preserve"> The exclusion of </w:t>
      </w:r>
      <w:r w:rsidR="00E84E87">
        <w:t>CBI as a variable</w:t>
      </w:r>
      <w:r w:rsidR="004E0BE0">
        <w:t xml:space="preserve"> (and associated instruments)</w:t>
      </w:r>
      <w:r w:rsidR="00E84E87">
        <w:t xml:space="preserve"> and the usage of GDP estimates built </w:t>
      </w:r>
      <w:r w:rsidR="00C929E4">
        <w:t>into</w:t>
      </w:r>
      <w:r w:rsidR="00E84E87">
        <w:t xml:space="preserve"> Varieties of Democracy (although not World Bank) data </w:t>
      </w:r>
      <w:r w:rsidR="004E0BE0">
        <w:t>reveals that a fixed exchange rate increases turnover in the lower house and decreases political stability</w:t>
      </w:r>
      <w:r w:rsidR="006850C1">
        <w:t xml:space="preserve"> in Table </w:t>
      </w:r>
      <w:r w:rsidR="006D4938">
        <w:t>7</w:t>
      </w:r>
      <w:r w:rsidR="004E0BE0">
        <w:t>.</w:t>
      </w:r>
      <w:r w:rsidR="00C929E4">
        <w:t xml:space="preserve"> Thus, when accounting for endogeneity, fixed rates </w:t>
      </w:r>
      <w:r w:rsidR="00AA4155">
        <w:t>may</w:t>
      </w:r>
      <w:r w:rsidR="00C929E4">
        <w:t xml:space="preserve"> follow a political business cycle model.</w:t>
      </w:r>
    </w:p>
    <w:p w14:paraId="394DC443" w14:textId="4C858027" w:rsidR="00015FF2" w:rsidRDefault="00013AD9" w:rsidP="00A6689A">
      <w:r>
        <w:t xml:space="preserve">Table </w:t>
      </w:r>
      <w:r w:rsidR="006D4938">
        <w:t>7</w:t>
      </w:r>
      <w:r>
        <w:t>: Instrument of Aggregate GDP for Fixed Exchange Rates, Robust Standard Errors</w:t>
      </w:r>
    </w:p>
    <w:tbl>
      <w:tblPr>
        <w:tblW w:w="0" w:type="auto"/>
        <w:tblLayout w:type="fixed"/>
        <w:tblLook w:val="0000" w:firstRow="0" w:lastRow="0" w:firstColumn="0" w:lastColumn="0" w:noHBand="0" w:noVBand="0"/>
      </w:tblPr>
      <w:tblGrid>
        <w:gridCol w:w="2136"/>
        <w:gridCol w:w="1656"/>
        <w:gridCol w:w="1656"/>
      </w:tblGrid>
      <w:tr w:rsidR="00DD05F2" w14:paraId="20E35008" w14:textId="77777777" w:rsidTr="007B62B6">
        <w:tc>
          <w:tcPr>
            <w:tcW w:w="2136" w:type="dxa"/>
            <w:tcBorders>
              <w:top w:val="single" w:sz="4" w:space="0" w:color="auto"/>
              <w:left w:val="nil"/>
              <w:bottom w:val="nil"/>
              <w:right w:val="nil"/>
            </w:tcBorders>
          </w:tcPr>
          <w:p w14:paraId="44199198" w14:textId="77777777" w:rsidR="00DD05F2" w:rsidRDefault="00DD05F2"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23F354A7"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49035BBD"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DD05F2" w14:paraId="2EEEE54E" w14:textId="77777777" w:rsidTr="007B62B6">
        <w:tc>
          <w:tcPr>
            <w:tcW w:w="2136" w:type="dxa"/>
            <w:tcBorders>
              <w:top w:val="nil"/>
              <w:left w:val="nil"/>
              <w:bottom w:val="nil"/>
              <w:right w:val="nil"/>
            </w:tcBorders>
          </w:tcPr>
          <w:p w14:paraId="4B820BBC" w14:textId="77777777" w:rsidR="00DD05F2" w:rsidRDefault="00DD05F2"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7091A6A"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13473CA9"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r>
      <w:tr w:rsidR="00DD05F2" w14:paraId="1A152488" w14:textId="77777777" w:rsidTr="007B62B6">
        <w:tc>
          <w:tcPr>
            <w:tcW w:w="2136" w:type="dxa"/>
            <w:tcBorders>
              <w:top w:val="single" w:sz="4" w:space="0" w:color="auto"/>
              <w:left w:val="nil"/>
              <w:bottom w:val="nil"/>
              <w:right w:val="nil"/>
            </w:tcBorders>
          </w:tcPr>
          <w:p w14:paraId="1DDFA6DF" w14:textId="77777777" w:rsidR="00DD05F2" w:rsidRDefault="00DD05F2"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single" w:sz="4" w:space="0" w:color="auto"/>
              <w:left w:val="nil"/>
              <w:bottom w:val="nil"/>
              <w:right w:val="nil"/>
            </w:tcBorders>
          </w:tcPr>
          <w:p w14:paraId="28118212"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0.0779</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42B7A3D6"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-0.257</w:t>
            </w:r>
            <w:r>
              <w:rPr>
                <w:rFonts w:ascii="Times New Roman" w:hAnsi="Times New Roman" w:cs="Times New Roman"/>
                <w:sz w:val="24"/>
                <w:szCs w:val="24"/>
                <w:vertAlign w:val="superscript"/>
              </w:rPr>
              <w:t>***</w:t>
            </w:r>
          </w:p>
        </w:tc>
      </w:tr>
      <w:tr w:rsidR="00DD05F2" w14:paraId="2DF55CF0" w14:textId="77777777" w:rsidTr="007B62B6">
        <w:tc>
          <w:tcPr>
            <w:tcW w:w="2136" w:type="dxa"/>
            <w:tcBorders>
              <w:top w:val="nil"/>
              <w:left w:val="nil"/>
              <w:bottom w:val="nil"/>
              <w:right w:val="nil"/>
            </w:tcBorders>
          </w:tcPr>
          <w:p w14:paraId="38273C70" w14:textId="77777777" w:rsidR="00DD05F2" w:rsidRDefault="00DD05F2"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4467605"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656" w:type="dxa"/>
            <w:tcBorders>
              <w:top w:val="nil"/>
              <w:left w:val="nil"/>
              <w:bottom w:val="nil"/>
              <w:right w:val="nil"/>
            </w:tcBorders>
          </w:tcPr>
          <w:p w14:paraId="2E2A75C9"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(-4.13)</w:t>
            </w:r>
          </w:p>
        </w:tc>
      </w:tr>
      <w:tr w:rsidR="00DD05F2" w14:paraId="34BF92E0" w14:textId="77777777" w:rsidTr="007B62B6">
        <w:tc>
          <w:tcPr>
            <w:tcW w:w="2136" w:type="dxa"/>
            <w:tcBorders>
              <w:top w:val="nil"/>
              <w:left w:val="nil"/>
              <w:bottom w:val="nil"/>
              <w:right w:val="nil"/>
            </w:tcBorders>
          </w:tcPr>
          <w:p w14:paraId="38FB3084" w14:textId="77777777" w:rsidR="00DD05F2" w:rsidRDefault="00DD05F2"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780FCD1" w14:textId="77777777" w:rsidR="00DD05F2" w:rsidRDefault="00DD05F2"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A6F8EA1" w14:textId="77777777" w:rsidR="00DD05F2" w:rsidRDefault="00DD05F2" w:rsidP="007B62B6">
            <w:pPr>
              <w:widowControl w:val="0"/>
              <w:autoSpaceDE w:val="0"/>
              <w:autoSpaceDN w:val="0"/>
              <w:adjustRightInd w:val="0"/>
              <w:spacing w:after="0" w:line="240" w:lineRule="auto"/>
              <w:rPr>
                <w:rFonts w:ascii="Times New Roman" w:hAnsi="Times New Roman" w:cs="Times New Roman"/>
                <w:sz w:val="24"/>
                <w:szCs w:val="24"/>
              </w:rPr>
            </w:pPr>
          </w:p>
        </w:tc>
      </w:tr>
      <w:tr w:rsidR="00DD05F2" w14:paraId="39A789D3" w14:textId="77777777" w:rsidTr="007B62B6">
        <w:tc>
          <w:tcPr>
            <w:tcW w:w="2136" w:type="dxa"/>
            <w:tcBorders>
              <w:top w:val="nil"/>
              <w:left w:val="nil"/>
              <w:bottom w:val="nil"/>
              <w:right w:val="nil"/>
            </w:tcBorders>
          </w:tcPr>
          <w:p w14:paraId="347273CB" w14:textId="77777777" w:rsidR="00DD05F2" w:rsidRDefault="00DD05F2"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25D0F31D"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0.0991</w:t>
            </w:r>
          </w:p>
        </w:tc>
        <w:tc>
          <w:tcPr>
            <w:tcW w:w="1656" w:type="dxa"/>
            <w:tcBorders>
              <w:top w:val="nil"/>
              <w:left w:val="nil"/>
              <w:bottom w:val="nil"/>
              <w:right w:val="nil"/>
            </w:tcBorders>
          </w:tcPr>
          <w:p w14:paraId="5C0B5422"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r>
              <w:rPr>
                <w:rFonts w:ascii="Times New Roman" w:hAnsi="Times New Roman" w:cs="Times New Roman"/>
                <w:sz w:val="24"/>
                <w:szCs w:val="24"/>
                <w:vertAlign w:val="superscript"/>
              </w:rPr>
              <w:t>***</w:t>
            </w:r>
          </w:p>
        </w:tc>
      </w:tr>
      <w:tr w:rsidR="00DD05F2" w14:paraId="51D8CE40" w14:textId="77777777" w:rsidTr="007B62B6">
        <w:tc>
          <w:tcPr>
            <w:tcW w:w="2136" w:type="dxa"/>
            <w:tcBorders>
              <w:top w:val="nil"/>
              <w:left w:val="nil"/>
              <w:bottom w:val="single" w:sz="4" w:space="0" w:color="auto"/>
              <w:right w:val="nil"/>
            </w:tcBorders>
          </w:tcPr>
          <w:p w14:paraId="6B5F2596" w14:textId="77777777" w:rsidR="00DD05F2" w:rsidRDefault="00DD05F2" w:rsidP="007B62B6">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3C31E5B3"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656" w:type="dxa"/>
            <w:tcBorders>
              <w:top w:val="nil"/>
              <w:left w:val="nil"/>
              <w:bottom w:val="single" w:sz="4" w:space="0" w:color="auto"/>
              <w:right w:val="nil"/>
            </w:tcBorders>
          </w:tcPr>
          <w:p w14:paraId="6145E7C1"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(4.16)</w:t>
            </w:r>
          </w:p>
        </w:tc>
      </w:tr>
      <w:tr w:rsidR="00DD05F2" w14:paraId="3997E32E" w14:textId="77777777" w:rsidTr="007B62B6">
        <w:tc>
          <w:tcPr>
            <w:tcW w:w="2136" w:type="dxa"/>
            <w:tcBorders>
              <w:top w:val="nil"/>
              <w:left w:val="nil"/>
              <w:bottom w:val="single" w:sz="4" w:space="0" w:color="auto"/>
              <w:right w:val="nil"/>
            </w:tcBorders>
          </w:tcPr>
          <w:p w14:paraId="056D3FC0" w14:textId="77777777" w:rsidR="00DD05F2" w:rsidRDefault="00DD05F2" w:rsidP="007B62B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4B335BB3"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835</w:t>
            </w:r>
          </w:p>
        </w:tc>
        <w:tc>
          <w:tcPr>
            <w:tcW w:w="1656" w:type="dxa"/>
            <w:tcBorders>
              <w:top w:val="nil"/>
              <w:left w:val="nil"/>
              <w:bottom w:val="single" w:sz="4" w:space="0" w:color="auto"/>
              <w:right w:val="nil"/>
            </w:tcBorders>
          </w:tcPr>
          <w:p w14:paraId="0C51CFA7" w14:textId="77777777" w:rsidR="00DD05F2" w:rsidRDefault="00DD05F2" w:rsidP="007B62B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437</w:t>
            </w:r>
          </w:p>
        </w:tc>
      </w:tr>
    </w:tbl>
    <w:p w14:paraId="12F32751" w14:textId="77777777" w:rsidR="00450C70" w:rsidRDefault="00450C70" w:rsidP="00450C7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3486C15D" w14:textId="395133AA" w:rsidR="00450C70" w:rsidRDefault="00450C70" w:rsidP="00450C7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B37D9EB" w14:textId="77777777" w:rsidR="001C12A4" w:rsidRPr="006E784B" w:rsidRDefault="001C12A4" w:rsidP="006E784B">
      <w:pPr>
        <w:widowControl w:val="0"/>
        <w:autoSpaceDE w:val="0"/>
        <w:autoSpaceDN w:val="0"/>
        <w:adjustRightInd w:val="0"/>
        <w:spacing w:after="0" w:line="240" w:lineRule="auto"/>
        <w:rPr>
          <w:rFonts w:ascii="Times New Roman" w:hAnsi="Times New Roman" w:cs="Times New Roman"/>
          <w:sz w:val="20"/>
          <w:szCs w:val="20"/>
        </w:rPr>
      </w:pPr>
    </w:p>
    <w:p w14:paraId="045167D9" w14:textId="5FFD1156" w:rsidR="006E784B" w:rsidRPr="0006798F" w:rsidRDefault="006E784B" w:rsidP="005F7BDB">
      <w:r w:rsidRPr="00181649">
        <w:t>The results of a regression with lagged independent variables continue to build on th</w:t>
      </w:r>
      <w:r w:rsidR="00FD1A32" w:rsidRPr="00181649">
        <w:t>e political business cycle case</w:t>
      </w:r>
      <w:r w:rsidR="009C7912" w:rsidRPr="00181649">
        <w:t xml:space="preserve"> in Table </w:t>
      </w:r>
      <w:r w:rsidR="00A2548E">
        <w:t>8</w:t>
      </w:r>
      <w:r w:rsidR="00FD1A32" w:rsidRPr="00181649">
        <w:t>.</w:t>
      </w:r>
      <w:r w:rsidR="007D0C19" w:rsidRPr="00181649">
        <w:t xml:space="preserve"> </w:t>
      </w:r>
      <w:r w:rsidR="00AA6F30" w:rsidRPr="00181649">
        <w:t>Across the entire time scale (3 years, 6 years, and 8 years)</w:t>
      </w:r>
      <w:r w:rsidR="007D0C19" w:rsidRPr="00181649">
        <w:t xml:space="preserve">, de jure central bank independence </w:t>
      </w:r>
      <w:r w:rsidR="00AA6F30" w:rsidRPr="00181649">
        <w:t>is associated with</w:t>
      </w:r>
      <w:r w:rsidR="00C013F5" w:rsidRPr="00181649">
        <w:t xml:space="preserve"> a</w:t>
      </w:r>
      <w:r w:rsidR="00AA6F30" w:rsidRPr="00181649">
        <w:t xml:space="preserve"> higher </w:t>
      </w:r>
      <w:r w:rsidR="00C013F5" w:rsidRPr="00181649">
        <w:t>chance</w:t>
      </w:r>
      <w:r w:rsidR="00AA6F30" w:rsidRPr="00181649">
        <w:t xml:space="preserve"> of a</w:t>
      </w:r>
      <w:r w:rsidR="00C013F5" w:rsidRPr="00181649">
        <w:t>n instability event.</w:t>
      </w:r>
      <w:r w:rsidR="003564DA" w:rsidRPr="00181649">
        <w:t xml:space="preserve"> On the other hand, in a somewhat odd case, de jure CBI is also linked to less turnover in the head of government with a</w:t>
      </w:r>
      <w:r w:rsidR="00D74FCB" w:rsidRPr="00181649">
        <w:t xml:space="preserve">n about </w:t>
      </w:r>
      <w:r w:rsidR="00DD3CCB" w:rsidRPr="00181649">
        <w:t>8</w:t>
      </w:r>
      <w:r w:rsidR="00F96670" w:rsidRPr="00181649">
        <w:t>-</w:t>
      </w:r>
      <w:r w:rsidR="00C9378B" w:rsidRPr="00181649">
        <w:t>year</w:t>
      </w:r>
      <w:r w:rsidR="003564DA" w:rsidRPr="00181649">
        <w:t xml:space="preserve"> lag.</w:t>
      </w:r>
      <w:r w:rsidR="00961F08" w:rsidRPr="00181649">
        <w:t xml:space="preserve"> This </w:t>
      </w:r>
      <w:r w:rsidR="002C6801" w:rsidRPr="00181649">
        <w:t>contradicts</w:t>
      </w:r>
      <w:r w:rsidR="00961F08" w:rsidRPr="00181649">
        <w:t xml:space="preserve"> earlier findings which </w:t>
      </w:r>
      <w:r w:rsidR="00C9378B" w:rsidRPr="00181649">
        <w:t>suggested</w:t>
      </w:r>
      <w:r w:rsidR="00961F08" w:rsidRPr="00181649">
        <w:t xml:space="preserve"> that CBI </w:t>
      </w:r>
      <w:r w:rsidR="00775CFF" w:rsidRPr="00181649">
        <w:t>decreased</w:t>
      </w:r>
      <w:r w:rsidR="00961F08" w:rsidRPr="00181649">
        <w:t xml:space="preserve"> the survival of incumbents and their cabinets after roughly </w:t>
      </w:r>
      <w:r w:rsidR="00775CFF" w:rsidRPr="00181649">
        <w:t>7</w:t>
      </w:r>
      <w:r w:rsidR="00961F08" w:rsidRPr="00181649">
        <w:t xml:space="preserve"> years in office </w:t>
      </w:r>
      <w:r w:rsidR="00C9378B" w:rsidRPr="00181649">
        <w:fldChar w:fldCharType="begin"/>
      </w:r>
      <w:r w:rsidR="007B01F4">
        <w:instrText xml:space="preserve"> ADDIN ZOTERO_ITEM CSL_CITATION {"citationID":"LkY2bPg4","properties":{"formattedCitation":"(William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C9378B" w:rsidRPr="00181649">
        <w:fldChar w:fldCharType="separate"/>
      </w:r>
      <w:r w:rsidR="00C9378B" w:rsidRPr="00181649">
        <w:rPr>
          <w:rFonts w:ascii="Calibri" w:hAnsi="Calibri" w:cs="Calibri"/>
        </w:rPr>
        <w:t>(William R. Clark, Golder, and Poast 2013)</w:t>
      </w:r>
      <w:r w:rsidR="00C9378B" w:rsidRPr="00181649">
        <w:fldChar w:fldCharType="end"/>
      </w:r>
      <w:r w:rsidR="00C9378B" w:rsidRPr="00181649">
        <w:t>.</w:t>
      </w:r>
      <w:r w:rsidR="00961F08" w:rsidRPr="00181649">
        <w:t xml:space="preserve"> </w:t>
      </w:r>
      <w:r w:rsidR="00C9378B" w:rsidRPr="00181649">
        <w:t xml:space="preserve">On the other hand, the result for the </w:t>
      </w:r>
      <w:r w:rsidR="00331757" w:rsidRPr="00181649">
        <w:t>seven-year</w:t>
      </w:r>
      <w:r w:rsidR="00C9378B" w:rsidRPr="00181649">
        <w:t xml:space="preserve"> lag is of opposite sign and nearly significant, so such a finding should be </w:t>
      </w:r>
      <w:r w:rsidR="00C9378B" w:rsidRPr="0006798F">
        <w:t>interpreted with caution.</w:t>
      </w:r>
    </w:p>
    <w:p w14:paraId="66915F73" w14:textId="07259BC7" w:rsidR="00331757" w:rsidRPr="008D2CAC" w:rsidRDefault="00331757" w:rsidP="005F7BDB">
      <w:pPr>
        <w:rPr>
          <w:highlight w:val="yellow"/>
        </w:rPr>
      </w:pPr>
      <w:r w:rsidRPr="004C2C7B">
        <w:lastRenderedPageBreak/>
        <w:t xml:space="preserve">Middle-term fixed exchange rate results support the case for </w:t>
      </w:r>
      <w:r w:rsidR="00635437" w:rsidRPr="004C2C7B">
        <w:t>higher electoral and political instability.</w:t>
      </w:r>
      <w:r w:rsidR="00DD3CCB" w:rsidRPr="004C2C7B">
        <w:t xml:space="preserve"> In the </w:t>
      </w:r>
      <w:r w:rsidR="00944255" w:rsidRPr="004C2C7B">
        <w:t>5</w:t>
      </w:r>
      <w:r w:rsidR="00F96670" w:rsidRPr="004C2C7B">
        <w:t>-</w:t>
      </w:r>
      <w:r w:rsidR="00DD3CCB" w:rsidRPr="004C2C7B">
        <w:t xml:space="preserve"> and </w:t>
      </w:r>
      <w:r w:rsidR="00944255" w:rsidRPr="004C2C7B">
        <w:t>7</w:t>
      </w:r>
      <w:r w:rsidR="00F96670" w:rsidRPr="004C2C7B">
        <w:t>-</w:t>
      </w:r>
      <w:r w:rsidR="00DD3CCB" w:rsidRPr="004C2C7B">
        <w:t>year lag range</w:t>
      </w:r>
      <w:r w:rsidR="00FA7B5E" w:rsidRPr="004C2C7B">
        <w:t xml:space="preserve">, </w:t>
      </w:r>
      <w:r w:rsidR="004C2C7B">
        <w:t xml:space="preserve">a few </w:t>
      </w:r>
      <w:r w:rsidR="00FA7B5E">
        <w:t>results</w:t>
      </w:r>
      <w:r w:rsidR="004C2C7B">
        <w:t xml:space="preserve"> appear linking</w:t>
      </w:r>
      <w:r w:rsidR="001D19A6">
        <w:t xml:space="preserve"> fixed rates </w:t>
      </w:r>
      <w:r w:rsidR="004C2C7B">
        <w:t>to</w:t>
      </w:r>
      <w:r w:rsidR="001D19A6">
        <w:t xml:space="preserve"> lower house turnover</w:t>
      </w:r>
      <w:r w:rsidR="004C2C7B">
        <w:t>,</w:t>
      </w:r>
      <w:r w:rsidR="001D19A6">
        <w:t xml:space="preserve"> and </w:t>
      </w:r>
      <w:r w:rsidR="004C2C7B">
        <w:t>a clearer link to</w:t>
      </w:r>
      <w:r w:rsidR="001D19A6">
        <w:t xml:space="preserve"> political instability</w:t>
      </w:r>
      <w:r w:rsidR="004C2C7B">
        <w:t xml:space="preserve"> is clear </w:t>
      </w:r>
      <w:r w:rsidR="00B92E18" w:rsidRPr="00144922">
        <w:t xml:space="preserve">at five different points (1, 2, 5, 9, 10 </w:t>
      </w:r>
      <w:r w:rsidR="001D19A6" w:rsidRPr="00144922">
        <w:t xml:space="preserve">year </w:t>
      </w:r>
      <w:r w:rsidR="00B92E18" w:rsidRPr="00144922">
        <w:t>lags) in the de facto specification.</w:t>
      </w:r>
      <w:r w:rsidR="004D2A1C" w:rsidRPr="00144922">
        <w:t xml:space="preserve"> Overall, these results</w:t>
      </w:r>
      <w:r w:rsidR="00116C88" w:rsidRPr="00144922">
        <w:t xml:space="preserve"> strengthen the case somewhat for political business cycle behavior.</w:t>
      </w:r>
      <w:r w:rsidR="00687175" w:rsidRPr="00144922">
        <w:t xml:space="preserve"> </w:t>
      </w:r>
      <w:r w:rsidR="00800AD6" w:rsidRPr="00144922">
        <w:t xml:space="preserve">On the other hand, de facto central bank independence lacks </w:t>
      </w:r>
      <w:r w:rsidR="00144922">
        <w:t xml:space="preserve">large and </w:t>
      </w:r>
      <w:r w:rsidR="00800AD6" w:rsidRPr="00144922">
        <w:t xml:space="preserve">significant lags, </w:t>
      </w:r>
      <w:r w:rsidR="00144922">
        <w:t>except for a</w:t>
      </w:r>
      <w:r w:rsidR="00800AD6">
        <w:t xml:space="preserve"> </w:t>
      </w:r>
      <w:r w:rsidR="00800AD6" w:rsidRPr="00144922">
        <w:t xml:space="preserve">contemporaneous association with </w:t>
      </w:r>
      <w:r w:rsidR="00C22F3F" w:rsidRPr="00144922">
        <w:t>reduced</w:t>
      </w:r>
      <w:r w:rsidR="00800AD6" w:rsidRPr="00144922">
        <w:t xml:space="preserve"> lower house turnover.</w:t>
      </w:r>
    </w:p>
    <w:p w14:paraId="74E04E1B" w14:textId="5A12EA0B" w:rsidR="00C64EBD" w:rsidRPr="00780385" w:rsidRDefault="00C64EBD" w:rsidP="00C64EBD">
      <w:r w:rsidRPr="00780385">
        <w:t xml:space="preserve">Table </w:t>
      </w:r>
      <w:r w:rsidR="00A2548E">
        <w:t>8</w:t>
      </w:r>
      <w:r w:rsidRPr="00780385">
        <w:t xml:space="preserve">: Lagged </w:t>
      </w:r>
      <w:r w:rsidR="00FD1A32" w:rsidRPr="00780385">
        <w:t>Independent Variables, 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892B57" w:rsidRPr="002C32FA" w14:paraId="1AC06F37" w14:textId="77777777" w:rsidTr="00F16287">
        <w:tc>
          <w:tcPr>
            <w:tcW w:w="2136" w:type="dxa"/>
            <w:tcBorders>
              <w:top w:val="single" w:sz="4" w:space="0" w:color="auto"/>
              <w:left w:val="nil"/>
              <w:bottom w:val="nil"/>
              <w:right w:val="nil"/>
            </w:tcBorders>
          </w:tcPr>
          <w:p w14:paraId="3C4BD874"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single" w:sz="4" w:space="0" w:color="auto"/>
              <w:left w:val="nil"/>
              <w:bottom w:val="nil"/>
              <w:right w:val="nil"/>
            </w:tcBorders>
          </w:tcPr>
          <w:p w14:paraId="44BBB807"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w:t>
            </w:r>
          </w:p>
        </w:tc>
        <w:tc>
          <w:tcPr>
            <w:tcW w:w="1656" w:type="dxa"/>
            <w:tcBorders>
              <w:top w:val="single" w:sz="4" w:space="0" w:color="auto"/>
              <w:left w:val="nil"/>
              <w:bottom w:val="nil"/>
              <w:right w:val="nil"/>
            </w:tcBorders>
          </w:tcPr>
          <w:p w14:paraId="708FAEDF"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(2)</w:t>
            </w:r>
          </w:p>
        </w:tc>
        <w:tc>
          <w:tcPr>
            <w:tcW w:w="1656" w:type="dxa"/>
            <w:tcBorders>
              <w:top w:val="single" w:sz="4" w:space="0" w:color="auto"/>
              <w:left w:val="nil"/>
              <w:bottom w:val="nil"/>
              <w:right w:val="nil"/>
            </w:tcBorders>
          </w:tcPr>
          <w:p w14:paraId="5334820B"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(3)</w:t>
            </w:r>
          </w:p>
        </w:tc>
        <w:tc>
          <w:tcPr>
            <w:tcW w:w="1656" w:type="dxa"/>
            <w:tcBorders>
              <w:top w:val="single" w:sz="4" w:space="0" w:color="auto"/>
              <w:left w:val="nil"/>
              <w:bottom w:val="nil"/>
              <w:right w:val="nil"/>
            </w:tcBorders>
          </w:tcPr>
          <w:p w14:paraId="206DC287"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(4)</w:t>
            </w:r>
          </w:p>
        </w:tc>
        <w:tc>
          <w:tcPr>
            <w:tcW w:w="1656" w:type="dxa"/>
            <w:tcBorders>
              <w:top w:val="single" w:sz="4" w:space="0" w:color="auto"/>
              <w:left w:val="nil"/>
              <w:bottom w:val="nil"/>
              <w:right w:val="nil"/>
            </w:tcBorders>
          </w:tcPr>
          <w:p w14:paraId="2DCC896A"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(5)</w:t>
            </w:r>
          </w:p>
        </w:tc>
      </w:tr>
      <w:tr w:rsidR="00892B57" w:rsidRPr="002C32FA" w14:paraId="6132D39C" w14:textId="77777777" w:rsidTr="00F16287">
        <w:tc>
          <w:tcPr>
            <w:tcW w:w="2136" w:type="dxa"/>
            <w:tcBorders>
              <w:top w:val="nil"/>
              <w:left w:val="nil"/>
              <w:bottom w:val="nil"/>
              <w:right w:val="nil"/>
            </w:tcBorders>
          </w:tcPr>
          <w:p w14:paraId="6377644D"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764FB736"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Head of Govt. Turnover</w:t>
            </w:r>
          </w:p>
        </w:tc>
        <w:tc>
          <w:tcPr>
            <w:tcW w:w="1656" w:type="dxa"/>
            <w:tcBorders>
              <w:top w:val="nil"/>
              <w:left w:val="nil"/>
              <w:bottom w:val="nil"/>
              <w:right w:val="nil"/>
            </w:tcBorders>
          </w:tcPr>
          <w:p w14:paraId="6B347944"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Head of State Turnover</w:t>
            </w:r>
          </w:p>
        </w:tc>
        <w:tc>
          <w:tcPr>
            <w:tcW w:w="1656" w:type="dxa"/>
            <w:tcBorders>
              <w:top w:val="nil"/>
              <w:left w:val="nil"/>
              <w:bottom w:val="nil"/>
              <w:right w:val="nil"/>
            </w:tcBorders>
          </w:tcPr>
          <w:p w14:paraId="571D2036"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Lower House Turnover</w:t>
            </w:r>
          </w:p>
        </w:tc>
        <w:tc>
          <w:tcPr>
            <w:tcW w:w="1656" w:type="dxa"/>
            <w:tcBorders>
              <w:top w:val="nil"/>
              <w:left w:val="nil"/>
              <w:bottom w:val="nil"/>
              <w:right w:val="nil"/>
            </w:tcBorders>
          </w:tcPr>
          <w:p w14:paraId="136990D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WB Political Stability (Absence of Violence)</w:t>
            </w:r>
          </w:p>
        </w:tc>
        <w:tc>
          <w:tcPr>
            <w:tcW w:w="1656" w:type="dxa"/>
            <w:tcBorders>
              <w:top w:val="nil"/>
              <w:left w:val="nil"/>
              <w:bottom w:val="nil"/>
              <w:right w:val="nil"/>
            </w:tcBorders>
          </w:tcPr>
          <w:p w14:paraId="53E70836"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Instability Event Indicator</w:t>
            </w:r>
          </w:p>
        </w:tc>
      </w:tr>
      <w:tr w:rsidR="00892B57" w:rsidRPr="002C32FA" w14:paraId="2391465F" w14:textId="77777777" w:rsidTr="00F16287">
        <w:tc>
          <w:tcPr>
            <w:tcW w:w="2136" w:type="dxa"/>
            <w:tcBorders>
              <w:top w:val="single" w:sz="4" w:space="0" w:color="auto"/>
              <w:left w:val="nil"/>
              <w:bottom w:val="nil"/>
              <w:right w:val="nil"/>
            </w:tcBorders>
          </w:tcPr>
          <w:p w14:paraId="75ECF943"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lang w:val="fr-BE"/>
              </w:rPr>
            </w:pPr>
            <w:r w:rsidRPr="002C32FA">
              <w:rPr>
                <w:rFonts w:ascii="Times New Roman" w:hAnsi="Times New Roman"/>
                <w:sz w:val="18"/>
                <w:szCs w:val="18"/>
                <w:lang w:val="fr-BE"/>
              </w:rPr>
              <w:t>De Jure CBI (CNW Index)</w:t>
            </w:r>
          </w:p>
        </w:tc>
        <w:tc>
          <w:tcPr>
            <w:tcW w:w="1656" w:type="dxa"/>
            <w:tcBorders>
              <w:top w:val="single" w:sz="4" w:space="0" w:color="auto"/>
              <w:left w:val="nil"/>
              <w:bottom w:val="nil"/>
              <w:right w:val="nil"/>
            </w:tcBorders>
          </w:tcPr>
          <w:p w14:paraId="1F23674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0.314</w:t>
            </w:r>
          </w:p>
        </w:tc>
        <w:tc>
          <w:tcPr>
            <w:tcW w:w="1656" w:type="dxa"/>
            <w:tcBorders>
              <w:top w:val="single" w:sz="4" w:space="0" w:color="auto"/>
              <w:left w:val="nil"/>
              <w:bottom w:val="nil"/>
              <w:right w:val="nil"/>
            </w:tcBorders>
          </w:tcPr>
          <w:p w14:paraId="2C3D732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0.423</w:t>
            </w:r>
          </w:p>
        </w:tc>
        <w:tc>
          <w:tcPr>
            <w:tcW w:w="1656" w:type="dxa"/>
            <w:tcBorders>
              <w:top w:val="single" w:sz="4" w:space="0" w:color="auto"/>
              <w:left w:val="nil"/>
              <w:bottom w:val="nil"/>
              <w:right w:val="nil"/>
            </w:tcBorders>
          </w:tcPr>
          <w:p w14:paraId="4C772B4E"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1.063</w:t>
            </w:r>
            <w:r w:rsidRPr="002C32FA">
              <w:rPr>
                <w:rFonts w:ascii="Times New Roman" w:hAnsi="Times New Roman"/>
                <w:sz w:val="18"/>
                <w:szCs w:val="18"/>
                <w:vertAlign w:val="superscript"/>
              </w:rPr>
              <w:t>*</w:t>
            </w:r>
          </w:p>
        </w:tc>
        <w:tc>
          <w:tcPr>
            <w:tcW w:w="1656" w:type="dxa"/>
            <w:tcBorders>
              <w:top w:val="single" w:sz="4" w:space="0" w:color="auto"/>
              <w:left w:val="nil"/>
              <w:bottom w:val="nil"/>
              <w:right w:val="nil"/>
            </w:tcBorders>
          </w:tcPr>
          <w:p w14:paraId="12C53983"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-0.459</w:t>
            </w:r>
            <w:r w:rsidRPr="002C32FA">
              <w:rPr>
                <w:rFonts w:ascii="Times New Roman" w:hAnsi="Times New Roman"/>
                <w:sz w:val="18"/>
                <w:szCs w:val="18"/>
                <w:vertAlign w:val="superscript"/>
              </w:rPr>
              <w:t>**</w:t>
            </w:r>
          </w:p>
        </w:tc>
        <w:tc>
          <w:tcPr>
            <w:tcW w:w="1656" w:type="dxa"/>
            <w:tcBorders>
              <w:top w:val="single" w:sz="4" w:space="0" w:color="auto"/>
              <w:left w:val="nil"/>
              <w:bottom w:val="nil"/>
              <w:right w:val="nil"/>
            </w:tcBorders>
          </w:tcPr>
          <w:p w14:paraId="333C18D4"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0.237</w:t>
            </w:r>
          </w:p>
        </w:tc>
      </w:tr>
      <w:tr w:rsidR="00892B57" w:rsidRPr="002C32FA" w14:paraId="1DB1475E" w14:textId="77777777" w:rsidTr="00F16287">
        <w:tc>
          <w:tcPr>
            <w:tcW w:w="2136" w:type="dxa"/>
            <w:tcBorders>
              <w:top w:val="nil"/>
              <w:left w:val="nil"/>
              <w:bottom w:val="nil"/>
              <w:right w:val="nil"/>
            </w:tcBorders>
          </w:tcPr>
          <w:p w14:paraId="17457DAF"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5FF36DE0"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(0.60)</w:t>
            </w:r>
          </w:p>
        </w:tc>
        <w:tc>
          <w:tcPr>
            <w:tcW w:w="1656" w:type="dxa"/>
            <w:tcBorders>
              <w:top w:val="nil"/>
              <w:left w:val="nil"/>
              <w:bottom w:val="nil"/>
              <w:right w:val="nil"/>
            </w:tcBorders>
          </w:tcPr>
          <w:p w14:paraId="18CB1946"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(0.85)</w:t>
            </w:r>
          </w:p>
        </w:tc>
        <w:tc>
          <w:tcPr>
            <w:tcW w:w="1656" w:type="dxa"/>
            <w:tcBorders>
              <w:top w:val="nil"/>
              <w:left w:val="nil"/>
              <w:bottom w:val="nil"/>
              <w:right w:val="nil"/>
            </w:tcBorders>
          </w:tcPr>
          <w:p w14:paraId="42953F50"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(2.18)</w:t>
            </w:r>
          </w:p>
        </w:tc>
        <w:tc>
          <w:tcPr>
            <w:tcW w:w="1656" w:type="dxa"/>
            <w:tcBorders>
              <w:top w:val="nil"/>
              <w:left w:val="nil"/>
              <w:bottom w:val="nil"/>
              <w:right w:val="nil"/>
            </w:tcBorders>
          </w:tcPr>
          <w:p w14:paraId="72AAB25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(-3.15)</w:t>
            </w:r>
          </w:p>
        </w:tc>
        <w:tc>
          <w:tcPr>
            <w:tcW w:w="1656" w:type="dxa"/>
            <w:tcBorders>
              <w:top w:val="nil"/>
              <w:left w:val="nil"/>
              <w:bottom w:val="nil"/>
              <w:right w:val="nil"/>
            </w:tcBorders>
          </w:tcPr>
          <w:p w14:paraId="198851A8"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(1.55)</w:t>
            </w:r>
          </w:p>
        </w:tc>
      </w:tr>
      <w:tr w:rsidR="00892B57" w:rsidRPr="002C32FA" w14:paraId="08614361" w14:textId="77777777" w:rsidTr="00F16287">
        <w:tc>
          <w:tcPr>
            <w:tcW w:w="2136" w:type="dxa"/>
            <w:tcBorders>
              <w:top w:val="nil"/>
              <w:left w:val="nil"/>
              <w:bottom w:val="nil"/>
              <w:right w:val="nil"/>
            </w:tcBorders>
          </w:tcPr>
          <w:p w14:paraId="350B9081"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7B376EA"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5AE59E83"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35FEE793"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0F06C008"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101AD47"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7BEBAD74" w14:textId="77777777" w:rsidTr="00F16287">
        <w:tc>
          <w:tcPr>
            <w:tcW w:w="2136" w:type="dxa"/>
            <w:tcBorders>
              <w:top w:val="nil"/>
              <w:left w:val="nil"/>
              <w:bottom w:val="nil"/>
              <w:right w:val="nil"/>
            </w:tcBorders>
          </w:tcPr>
          <w:p w14:paraId="166297C3"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r w:rsidRPr="002C32FA">
              <w:rPr>
                <w:rFonts w:ascii="Times New Roman" w:hAnsi="Times New Roman"/>
                <w:sz w:val="18"/>
                <w:szCs w:val="18"/>
              </w:rPr>
              <w:t>Exchange Rate Classification (RR inverted, higher = more fixed)</w:t>
            </w:r>
          </w:p>
        </w:tc>
        <w:tc>
          <w:tcPr>
            <w:tcW w:w="1656" w:type="dxa"/>
            <w:tcBorders>
              <w:top w:val="nil"/>
              <w:left w:val="nil"/>
              <w:bottom w:val="nil"/>
              <w:right w:val="nil"/>
            </w:tcBorders>
          </w:tcPr>
          <w:p w14:paraId="5F64DE2B"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-0.0528</w:t>
            </w:r>
            <w:r w:rsidRPr="002C32FA">
              <w:rPr>
                <w:rFonts w:ascii="Times New Roman" w:hAnsi="Times New Roman"/>
                <w:sz w:val="18"/>
                <w:szCs w:val="18"/>
                <w:vertAlign w:val="superscript"/>
              </w:rPr>
              <w:t>*</w:t>
            </w:r>
          </w:p>
        </w:tc>
        <w:tc>
          <w:tcPr>
            <w:tcW w:w="1656" w:type="dxa"/>
            <w:tcBorders>
              <w:top w:val="nil"/>
              <w:left w:val="nil"/>
              <w:bottom w:val="nil"/>
              <w:right w:val="nil"/>
            </w:tcBorders>
          </w:tcPr>
          <w:p w14:paraId="3BABF8A7"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-0.0431</w:t>
            </w:r>
            <w:r w:rsidRPr="002C32FA">
              <w:rPr>
                <w:rFonts w:ascii="Times New Roman" w:hAnsi="Times New Roman"/>
                <w:sz w:val="18"/>
                <w:szCs w:val="18"/>
                <w:vertAlign w:val="superscript"/>
              </w:rPr>
              <w:t>*</w:t>
            </w:r>
          </w:p>
        </w:tc>
        <w:tc>
          <w:tcPr>
            <w:tcW w:w="1656" w:type="dxa"/>
            <w:tcBorders>
              <w:top w:val="nil"/>
              <w:left w:val="nil"/>
              <w:bottom w:val="nil"/>
              <w:right w:val="nil"/>
            </w:tcBorders>
          </w:tcPr>
          <w:p w14:paraId="4F6F0120"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-0.0234</w:t>
            </w:r>
          </w:p>
        </w:tc>
        <w:tc>
          <w:tcPr>
            <w:tcW w:w="1656" w:type="dxa"/>
            <w:tcBorders>
              <w:top w:val="nil"/>
              <w:left w:val="nil"/>
              <w:bottom w:val="nil"/>
              <w:right w:val="nil"/>
            </w:tcBorders>
          </w:tcPr>
          <w:p w14:paraId="708AF606"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0.00132</w:t>
            </w:r>
          </w:p>
        </w:tc>
        <w:tc>
          <w:tcPr>
            <w:tcW w:w="1656" w:type="dxa"/>
            <w:tcBorders>
              <w:top w:val="nil"/>
              <w:left w:val="nil"/>
              <w:bottom w:val="nil"/>
              <w:right w:val="nil"/>
            </w:tcBorders>
          </w:tcPr>
          <w:p w14:paraId="1E0D365F"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0.00551</w:t>
            </w:r>
          </w:p>
        </w:tc>
      </w:tr>
      <w:tr w:rsidR="00892B57" w:rsidRPr="002C32FA" w14:paraId="6F181FAC" w14:textId="77777777" w:rsidTr="00F16287">
        <w:tc>
          <w:tcPr>
            <w:tcW w:w="2136" w:type="dxa"/>
            <w:tcBorders>
              <w:top w:val="nil"/>
              <w:left w:val="nil"/>
              <w:bottom w:val="nil"/>
              <w:right w:val="nil"/>
            </w:tcBorders>
          </w:tcPr>
          <w:p w14:paraId="1B6A3E45"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55E38BBF"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(-2.31)</w:t>
            </w:r>
          </w:p>
        </w:tc>
        <w:tc>
          <w:tcPr>
            <w:tcW w:w="1656" w:type="dxa"/>
            <w:tcBorders>
              <w:top w:val="nil"/>
              <w:left w:val="nil"/>
              <w:bottom w:val="nil"/>
              <w:right w:val="nil"/>
            </w:tcBorders>
          </w:tcPr>
          <w:p w14:paraId="1574FE73"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(-2.24)</w:t>
            </w:r>
          </w:p>
        </w:tc>
        <w:tc>
          <w:tcPr>
            <w:tcW w:w="1656" w:type="dxa"/>
            <w:tcBorders>
              <w:top w:val="nil"/>
              <w:left w:val="nil"/>
              <w:bottom w:val="nil"/>
              <w:right w:val="nil"/>
            </w:tcBorders>
          </w:tcPr>
          <w:p w14:paraId="44523002"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(-1.08)</w:t>
            </w:r>
          </w:p>
        </w:tc>
        <w:tc>
          <w:tcPr>
            <w:tcW w:w="1656" w:type="dxa"/>
            <w:tcBorders>
              <w:top w:val="nil"/>
              <w:left w:val="nil"/>
              <w:bottom w:val="nil"/>
              <w:right w:val="nil"/>
            </w:tcBorders>
          </w:tcPr>
          <w:p w14:paraId="20089957"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(0.19)</w:t>
            </w:r>
          </w:p>
        </w:tc>
        <w:tc>
          <w:tcPr>
            <w:tcW w:w="1656" w:type="dxa"/>
            <w:tcBorders>
              <w:top w:val="nil"/>
              <w:left w:val="nil"/>
              <w:bottom w:val="nil"/>
              <w:right w:val="nil"/>
            </w:tcBorders>
          </w:tcPr>
          <w:p w14:paraId="04EF6591"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(0.72)</w:t>
            </w:r>
          </w:p>
        </w:tc>
      </w:tr>
      <w:tr w:rsidR="00892B57" w:rsidRPr="002C32FA" w14:paraId="7F222C03" w14:textId="77777777" w:rsidTr="00F16287">
        <w:tc>
          <w:tcPr>
            <w:tcW w:w="2136" w:type="dxa"/>
            <w:tcBorders>
              <w:top w:val="nil"/>
              <w:left w:val="nil"/>
              <w:bottom w:val="nil"/>
              <w:right w:val="nil"/>
            </w:tcBorders>
          </w:tcPr>
          <w:p w14:paraId="0B840BF0"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63CAB2CD"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723A60A6"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449ABC03"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7F2B94BB"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45F5BB60"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3AC67600" w14:textId="77777777" w:rsidTr="00F16287">
        <w:tc>
          <w:tcPr>
            <w:tcW w:w="2136" w:type="dxa"/>
            <w:tcBorders>
              <w:top w:val="nil"/>
              <w:left w:val="nil"/>
              <w:bottom w:val="nil"/>
              <w:right w:val="nil"/>
            </w:tcBorders>
          </w:tcPr>
          <w:p w14:paraId="5CFF5CA2"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roofErr w:type="spellStart"/>
            <w:r w:rsidRPr="002C32FA">
              <w:rPr>
                <w:rFonts w:ascii="Times New Roman" w:hAnsi="Times New Roman"/>
                <w:sz w:val="18"/>
                <w:szCs w:val="18"/>
              </w:rPr>
              <w:t>L.De</w:t>
            </w:r>
            <w:proofErr w:type="spellEnd"/>
            <w:r w:rsidRPr="002C32FA">
              <w:rPr>
                <w:rFonts w:ascii="Times New Roman" w:hAnsi="Times New Roman"/>
                <w:sz w:val="18"/>
                <w:szCs w:val="18"/>
              </w:rPr>
              <w:t xml:space="preserve"> Jure CBI (CNW Index)</w:t>
            </w:r>
          </w:p>
        </w:tc>
        <w:tc>
          <w:tcPr>
            <w:tcW w:w="1656" w:type="dxa"/>
            <w:tcBorders>
              <w:top w:val="nil"/>
              <w:left w:val="nil"/>
              <w:bottom w:val="nil"/>
              <w:right w:val="nil"/>
            </w:tcBorders>
          </w:tcPr>
          <w:p w14:paraId="4B91A24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0.678</w:t>
            </w:r>
          </w:p>
        </w:tc>
        <w:tc>
          <w:tcPr>
            <w:tcW w:w="1656" w:type="dxa"/>
            <w:tcBorders>
              <w:top w:val="nil"/>
              <w:left w:val="nil"/>
              <w:bottom w:val="nil"/>
              <w:right w:val="nil"/>
            </w:tcBorders>
          </w:tcPr>
          <w:p w14:paraId="2D0B0EBA"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-0.0183</w:t>
            </w:r>
          </w:p>
        </w:tc>
        <w:tc>
          <w:tcPr>
            <w:tcW w:w="1656" w:type="dxa"/>
            <w:tcBorders>
              <w:top w:val="nil"/>
              <w:left w:val="nil"/>
              <w:bottom w:val="nil"/>
              <w:right w:val="nil"/>
            </w:tcBorders>
          </w:tcPr>
          <w:p w14:paraId="1C40D15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-0.735</w:t>
            </w:r>
          </w:p>
        </w:tc>
        <w:tc>
          <w:tcPr>
            <w:tcW w:w="1656" w:type="dxa"/>
            <w:tcBorders>
              <w:top w:val="nil"/>
              <w:left w:val="nil"/>
              <w:bottom w:val="nil"/>
              <w:right w:val="nil"/>
            </w:tcBorders>
          </w:tcPr>
          <w:p w14:paraId="7DAC7D73"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-0.134</w:t>
            </w:r>
          </w:p>
        </w:tc>
        <w:tc>
          <w:tcPr>
            <w:tcW w:w="1656" w:type="dxa"/>
            <w:tcBorders>
              <w:top w:val="nil"/>
              <w:left w:val="nil"/>
              <w:bottom w:val="nil"/>
              <w:right w:val="nil"/>
            </w:tcBorders>
          </w:tcPr>
          <w:p w14:paraId="5D55AC7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-0.0650</w:t>
            </w:r>
          </w:p>
        </w:tc>
      </w:tr>
      <w:tr w:rsidR="00892B57" w:rsidRPr="002C32FA" w14:paraId="73B7BF0F" w14:textId="77777777" w:rsidTr="00F16287">
        <w:tc>
          <w:tcPr>
            <w:tcW w:w="2136" w:type="dxa"/>
            <w:tcBorders>
              <w:top w:val="nil"/>
              <w:left w:val="nil"/>
              <w:bottom w:val="nil"/>
              <w:right w:val="nil"/>
            </w:tcBorders>
          </w:tcPr>
          <w:p w14:paraId="6AA9A1E2"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08B44AA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(0.95)</w:t>
            </w:r>
          </w:p>
        </w:tc>
        <w:tc>
          <w:tcPr>
            <w:tcW w:w="1656" w:type="dxa"/>
            <w:tcBorders>
              <w:top w:val="nil"/>
              <w:left w:val="nil"/>
              <w:bottom w:val="nil"/>
              <w:right w:val="nil"/>
            </w:tcBorders>
          </w:tcPr>
          <w:p w14:paraId="07A16DB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(-0.03)</w:t>
            </w:r>
          </w:p>
        </w:tc>
        <w:tc>
          <w:tcPr>
            <w:tcW w:w="1656" w:type="dxa"/>
            <w:tcBorders>
              <w:top w:val="nil"/>
              <w:left w:val="nil"/>
              <w:bottom w:val="nil"/>
              <w:right w:val="nil"/>
            </w:tcBorders>
          </w:tcPr>
          <w:p w14:paraId="56FAFF63"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(-1.10)</w:t>
            </w:r>
          </w:p>
        </w:tc>
        <w:tc>
          <w:tcPr>
            <w:tcW w:w="1656" w:type="dxa"/>
            <w:tcBorders>
              <w:top w:val="nil"/>
              <w:left w:val="nil"/>
              <w:bottom w:val="nil"/>
              <w:right w:val="nil"/>
            </w:tcBorders>
          </w:tcPr>
          <w:p w14:paraId="7624671B"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(-1.07)</w:t>
            </w:r>
          </w:p>
        </w:tc>
        <w:tc>
          <w:tcPr>
            <w:tcW w:w="1656" w:type="dxa"/>
            <w:tcBorders>
              <w:top w:val="nil"/>
              <w:left w:val="nil"/>
              <w:bottom w:val="nil"/>
              <w:right w:val="nil"/>
            </w:tcBorders>
          </w:tcPr>
          <w:p w14:paraId="6D94777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(-0.68)</w:t>
            </w:r>
          </w:p>
        </w:tc>
      </w:tr>
      <w:tr w:rsidR="00892B57" w:rsidRPr="002C32FA" w14:paraId="01380F75" w14:textId="77777777" w:rsidTr="00F16287">
        <w:tc>
          <w:tcPr>
            <w:tcW w:w="2136" w:type="dxa"/>
            <w:tcBorders>
              <w:top w:val="nil"/>
              <w:left w:val="nil"/>
              <w:bottom w:val="nil"/>
              <w:right w:val="nil"/>
            </w:tcBorders>
          </w:tcPr>
          <w:p w14:paraId="6B299084"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349A11B6"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5A65367"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28DA598E"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5BAA6CD5"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341E15D3"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5FA66A72" w14:textId="77777777" w:rsidTr="00F16287">
        <w:tc>
          <w:tcPr>
            <w:tcW w:w="2136" w:type="dxa"/>
            <w:tcBorders>
              <w:top w:val="nil"/>
              <w:left w:val="nil"/>
              <w:bottom w:val="nil"/>
              <w:right w:val="nil"/>
            </w:tcBorders>
          </w:tcPr>
          <w:p w14:paraId="5EB599C6"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lang w:val="fr-BE"/>
              </w:rPr>
            </w:pPr>
            <w:r w:rsidRPr="002C32FA">
              <w:rPr>
                <w:rFonts w:ascii="Times New Roman" w:hAnsi="Times New Roman"/>
                <w:sz w:val="18"/>
                <w:szCs w:val="18"/>
                <w:lang w:val="fr-BE"/>
              </w:rPr>
              <w:t>L2.De Jure CBI (CNW Index)</w:t>
            </w:r>
          </w:p>
        </w:tc>
        <w:tc>
          <w:tcPr>
            <w:tcW w:w="1656" w:type="dxa"/>
            <w:tcBorders>
              <w:top w:val="nil"/>
              <w:left w:val="nil"/>
              <w:bottom w:val="nil"/>
              <w:right w:val="nil"/>
            </w:tcBorders>
          </w:tcPr>
          <w:p w14:paraId="77D92974"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-0.998</w:t>
            </w:r>
          </w:p>
        </w:tc>
        <w:tc>
          <w:tcPr>
            <w:tcW w:w="1656" w:type="dxa"/>
            <w:tcBorders>
              <w:top w:val="nil"/>
              <w:left w:val="nil"/>
              <w:bottom w:val="nil"/>
              <w:right w:val="nil"/>
            </w:tcBorders>
          </w:tcPr>
          <w:p w14:paraId="61183B5A"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0.138</w:t>
            </w:r>
          </w:p>
        </w:tc>
        <w:tc>
          <w:tcPr>
            <w:tcW w:w="1656" w:type="dxa"/>
            <w:tcBorders>
              <w:top w:val="nil"/>
              <w:left w:val="nil"/>
              <w:bottom w:val="nil"/>
              <w:right w:val="nil"/>
            </w:tcBorders>
          </w:tcPr>
          <w:p w14:paraId="79A9E168"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-0.0271</w:t>
            </w:r>
          </w:p>
        </w:tc>
        <w:tc>
          <w:tcPr>
            <w:tcW w:w="1656" w:type="dxa"/>
            <w:tcBorders>
              <w:top w:val="nil"/>
              <w:left w:val="nil"/>
              <w:bottom w:val="nil"/>
              <w:right w:val="nil"/>
            </w:tcBorders>
          </w:tcPr>
          <w:p w14:paraId="05393A56"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0.0346</w:t>
            </w:r>
          </w:p>
        </w:tc>
        <w:tc>
          <w:tcPr>
            <w:tcW w:w="1656" w:type="dxa"/>
            <w:tcBorders>
              <w:top w:val="nil"/>
              <w:left w:val="nil"/>
              <w:bottom w:val="nil"/>
              <w:right w:val="nil"/>
            </w:tcBorders>
          </w:tcPr>
          <w:p w14:paraId="7F7FA9EA"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0.0311</w:t>
            </w:r>
          </w:p>
        </w:tc>
      </w:tr>
      <w:tr w:rsidR="00892B57" w:rsidRPr="002C32FA" w14:paraId="42EB4D6C" w14:textId="77777777" w:rsidTr="00F16287">
        <w:tc>
          <w:tcPr>
            <w:tcW w:w="2136" w:type="dxa"/>
            <w:tcBorders>
              <w:top w:val="nil"/>
              <w:left w:val="nil"/>
              <w:bottom w:val="nil"/>
              <w:right w:val="nil"/>
            </w:tcBorders>
          </w:tcPr>
          <w:p w14:paraId="0E4E7BBF"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73EE0A2D"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(-1.60)</w:t>
            </w:r>
          </w:p>
        </w:tc>
        <w:tc>
          <w:tcPr>
            <w:tcW w:w="1656" w:type="dxa"/>
            <w:tcBorders>
              <w:top w:val="nil"/>
              <w:left w:val="nil"/>
              <w:bottom w:val="nil"/>
              <w:right w:val="nil"/>
            </w:tcBorders>
          </w:tcPr>
          <w:p w14:paraId="0E095E9B"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(0.26)</w:t>
            </w:r>
          </w:p>
        </w:tc>
        <w:tc>
          <w:tcPr>
            <w:tcW w:w="1656" w:type="dxa"/>
            <w:tcBorders>
              <w:top w:val="nil"/>
              <w:left w:val="nil"/>
              <w:bottom w:val="nil"/>
              <w:right w:val="nil"/>
            </w:tcBorders>
          </w:tcPr>
          <w:p w14:paraId="187F1656"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(-0.04)</w:t>
            </w:r>
          </w:p>
        </w:tc>
        <w:tc>
          <w:tcPr>
            <w:tcW w:w="1656" w:type="dxa"/>
            <w:tcBorders>
              <w:top w:val="nil"/>
              <w:left w:val="nil"/>
              <w:bottom w:val="nil"/>
              <w:right w:val="nil"/>
            </w:tcBorders>
          </w:tcPr>
          <w:p w14:paraId="5E88934B"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(0.27)</w:t>
            </w:r>
          </w:p>
        </w:tc>
        <w:tc>
          <w:tcPr>
            <w:tcW w:w="1656" w:type="dxa"/>
            <w:tcBorders>
              <w:top w:val="nil"/>
              <w:left w:val="nil"/>
              <w:bottom w:val="nil"/>
              <w:right w:val="nil"/>
            </w:tcBorders>
          </w:tcPr>
          <w:p w14:paraId="38878AF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(0.24)</w:t>
            </w:r>
          </w:p>
        </w:tc>
      </w:tr>
      <w:tr w:rsidR="00892B57" w:rsidRPr="002C32FA" w14:paraId="2F0055B1" w14:textId="77777777" w:rsidTr="00F16287">
        <w:tc>
          <w:tcPr>
            <w:tcW w:w="2136" w:type="dxa"/>
            <w:tcBorders>
              <w:top w:val="nil"/>
              <w:left w:val="nil"/>
              <w:bottom w:val="nil"/>
              <w:right w:val="nil"/>
            </w:tcBorders>
          </w:tcPr>
          <w:p w14:paraId="5805EF57"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76BBC4E7"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C7DCC21"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210CCB5B"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02E232D6"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3AC4E7E0"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468CAD9E" w14:textId="77777777" w:rsidTr="00F16287">
        <w:tc>
          <w:tcPr>
            <w:tcW w:w="2136" w:type="dxa"/>
            <w:tcBorders>
              <w:top w:val="nil"/>
              <w:left w:val="nil"/>
              <w:bottom w:val="nil"/>
              <w:right w:val="nil"/>
            </w:tcBorders>
          </w:tcPr>
          <w:p w14:paraId="3AE44590"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lang w:val="fr-BE"/>
              </w:rPr>
            </w:pPr>
            <w:r w:rsidRPr="002C32FA">
              <w:rPr>
                <w:rFonts w:ascii="Times New Roman" w:hAnsi="Times New Roman"/>
                <w:sz w:val="18"/>
                <w:szCs w:val="18"/>
                <w:lang w:val="fr-BE"/>
              </w:rPr>
              <w:t>L3.De Jure CBI (CNW Index)</w:t>
            </w:r>
          </w:p>
        </w:tc>
        <w:tc>
          <w:tcPr>
            <w:tcW w:w="1656" w:type="dxa"/>
            <w:tcBorders>
              <w:top w:val="nil"/>
              <w:left w:val="nil"/>
              <w:bottom w:val="nil"/>
              <w:right w:val="nil"/>
            </w:tcBorders>
          </w:tcPr>
          <w:p w14:paraId="624D6C1E"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-0.337</w:t>
            </w:r>
          </w:p>
        </w:tc>
        <w:tc>
          <w:tcPr>
            <w:tcW w:w="1656" w:type="dxa"/>
            <w:tcBorders>
              <w:top w:val="nil"/>
              <w:left w:val="nil"/>
              <w:bottom w:val="nil"/>
              <w:right w:val="nil"/>
            </w:tcBorders>
          </w:tcPr>
          <w:p w14:paraId="4F39ADB0"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-0.603</w:t>
            </w:r>
          </w:p>
        </w:tc>
        <w:tc>
          <w:tcPr>
            <w:tcW w:w="1656" w:type="dxa"/>
            <w:tcBorders>
              <w:top w:val="nil"/>
              <w:left w:val="nil"/>
              <w:bottom w:val="nil"/>
              <w:right w:val="nil"/>
            </w:tcBorders>
          </w:tcPr>
          <w:p w14:paraId="72C91D44"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-0.486</w:t>
            </w:r>
          </w:p>
        </w:tc>
        <w:tc>
          <w:tcPr>
            <w:tcW w:w="1656" w:type="dxa"/>
            <w:tcBorders>
              <w:top w:val="nil"/>
              <w:left w:val="nil"/>
              <w:bottom w:val="nil"/>
              <w:right w:val="nil"/>
            </w:tcBorders>
          </w:tcPr>
          <w:p w14:paraId="28749BD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-0.0223</w:t>
            </w:r>
          </w:p>
        </w:tc>
        <w:tc>
          <w:tcPr>
            <w:tcW w:w="1656" w:type="dxa"/>
            <w:tcBorders>
              <w:top w:val="nil"/>
              <w:left w:val="nil"/>
              <w:bottom w:val="nil"/>
              <w:right w:val="nil"/>
            </w:tcBorders>
          </w:tcPr>
          <w:p w14:paraId="1C8C1EF7"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0.590</w:t>
            </w:r>
            <w:r w:rsidRPr="002C32FA">
              <w:rPr>
                <w:rFonts w:ascii="Times New Roman" w:hAnsi="Times New Roman"/>
                <w:sz w:val="18"/>
                <w:szCs w:val="18"/>
                <w:vertAlign w:val="superscript"/>
              </w:rPr>
              <w:t>***</w:t>
            </w:r>
          </w:p>
        </w:tc>
      </w:tr>
      <w:tr w:rsidR="00892B57" w:rsidRPr="002C32FA" w14:paraId="32722FB2" w14:textId="77777777" w:rsidTr="00F16287">
        <w:tc>
          <w:tcPr>
            <w:tcW w:w="2136" w:type="dxa"/>
            <w:tcBorders>
              <w:top w:val="nil"/>
              <w:left w:val="nil"/>
              <w:bottom w:val="nil"/>
              <w:right w:val="nil"/>
            </w:tcBorders>
          </w:tcPr>
          <w:p w14:paraId="1DED4F9B"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3413B28B"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(-0.57)</w:t>
            </w:r>
          </w:p>
        </w:tc>
        <w:tc>
          <w:tcPr>
            <w:tcW w:w="1656" w:type="dxa"/>
            <w:tcBorders>
              <w:top w:val="nil"/>
              <w:left w:val="nil"/>
              <w:bottom w:val="nil"/>
              <w:right w:val="nil"/>
            </w:tcBorders>
          </w:tcPr>
          <w:p w14:paraId="72B5520A"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(-1.36)</w:t>
            </w:r>
          </w:p>
        </w:tc>
        <w:tc>
          <w:tcPr>
            <w:tcW w:w="1656" w:type="dxa"/>
            <w:tcBorders>
              <w:top w:val="nil"/>
              <w:left w:val="nil"/>
              <w:bottom w:val="nil"/>
              <w:right w:val="nil"/>
            </w:tcBorders>
          </w:tcPr>
          <w:p w14:paraId="311937C7"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(-0.74)</w:t>
            </w:r>
          </w:p>
        </w:tc>
        <w:tc>
          <w:tcPr>
            <w:tcW w:w="1656" w:type="dxa"/>
            <w:tcBorders>
              <w:top w:val="nil"/>
              <w:left w:val="nil"/>
              <w:bottom w:val="nil"/>
              <w:right w:val="nil"/>
            </w:tcBorders>
          </w:tcPr>
          <w:p w14:paraId="2F7DA7B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(-0.15)</w:t>
            </w:r>
          </w:p>
        </w:tc>
        <w:tc>
          <w:tcPr>
            <w:tcW w:w="1656" w:type="dxa"/>
            <w:tcBorders>
              <w:top w:val="nil"/>
              <w:left w:val="nil"/>
              <w:bottom w:val="nil"/>
              <w:right w:val="nil"/>
            </w:tcBorders>
          </w:tcPr>
          <w:p w14:paraId="029893FE"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(3.82)</w:t>
            </w:r>
          </w:p>
        </w:tc>
      </w:tr>
      <w:tr w:rsidR="00892B57" w:rsidRPr="002C32FA" w14:paraId="052BC05D" w14:textId="77777777" w:rsidTr="00F16287">
        <w:tc>
          <w:tcPr>
            <w:tcW w:w="2136" w:type="dxa"/>
            <w:tcBorders>
              <w:top w:val="nil"/>
              <w:left w:val="nil"/>
              <w:bottom w:val="nil"/>
              <w:right w:val="nil"/>
            </w:tcBorders>
          </w:tcPr>
          <w:p w14:paraId="619C90E3"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4E6F4169"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D2D3708"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6AA4F83C"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55D3F6D4"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3FB10579"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75A2A0B4" w14:textId="77777777" w:rsidTr="00F16287">
        <w:tc>
          <w:tcPr>
            <w:tcW w:w="2136" w:type="dxa"/>
            <w:tcBorders>
              <w:top w:val="nil"/>
              <w:left w:val="nil"/>
              <w:bottom w:val="nil"/>
              <w:right w:val="nil"/>
            </w:tcBorders>
          </w:tcPr>
          <w:p w14:paraId="7A7F553F"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lang w:val="fr-BE"/>
              </w:rPr>
            </w:pPr>
            <w:r w:rsidRPr="002C32FA">
              <w:rPr>
                <w:rFonts w:ascii="Times New Roman" w:hAnsi="Times New Roman"/>
                <w:sz w:val="18"/>
                <w:szCs w:val="18"/>
                <w:lang w:val="fr-BE"/>
              </w:rPr>
              <w:t>L4.De Jure CBI (CNW Index)</w:t>
            </w:r>
          </w:p>
        </w:tc>
        <w:tc>
          <w:tcPr>
            <w:tcW w:w="1656" w:type="dxa"/>
            <w:tcBorders>
              <w:top w:val="nil"/>
              <w:left w:val="nil"/>
              <w:bottom w:val="nil"/>
              <w:right w:val="nil"/>
            </w:tcBorders>
          </w:tcPr>
          <w:p w14:paraId="01F64B33"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0.884</w:t>
            </w:r>
          </w:p>
        </w:tc>
        <w:tc>
          <w:tcPr>
            <w:tcW w:w="1656" w:type="dxa"/>
            <w:tcBorders>
              <w:top w:val="nil"/>
              <w:left w:val="nil"/>
              <w:bottom w:val="nil"/>
              <w:right w:val="nil"/>
            </w:tcBorders>
          </w:tcPr>
          <w:p w14:paraId="60AF9A00"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0.132</w:t>
            </w:r>
          </w:p>
        </w:tc>
        <w:tc>
          <w:tcPr>
            <w:tcW w:w="1656" w:type="dxa"/>
            <w:tcBorders>
              <w:top w:val="nil"/>
              <w:left w:val="nil"/>
              <w:bottom w:val="nil"/>
              <w:right w:val="nil"/>
            </w:tcBorders>
          </w:tcPr>
          <w:p w14:paraId="4BB3CDDD"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0.0941</w:t>
            </w:r>
          </w:p>
        </w:tc>
        <w:tc>
          <w:tcPr>
            <w:tcW w:w="1656" w:type="dxa"/>
            <w:tcBorders>
              <w:top w:val="nil"/>
              <w:left w:val="nil"/>
              <w:bottom w:val="nil"/>
              <w:right w:val="nil"/>
            </w:tcBorders>
          </w:tcPr>
          <w:p w14:paraId="4BED7C4A"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0.00588</w:t>
            </w:r>
          </w:p>
        </w:tc>
        <w:tc>
          <w:tcPr>
            <w:tcW w:w="1656" w:type="dxa"/>
            <w:tcBorders>
              <w:top w:val="nil"/>
              <w:left w:val="nil"/>
              <w:bottom w:val="nil"/>
              <w:right w:val="nil"/>
            </w:tcBorders>
          </w:tcPr>
          <w:p w14:paraId="70C5F706"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-0.118</w:t>
            </w:r>
          </w:p>
        </w:tc>
      </w:tr>
      <w:tr w:rsidR="00892B57" w:rsidRPr="002C32FA" w14:paraId="34B82EB9" w14:textId="77777777" w:rsidTr="00F16287">
        <w:tc>
          <w:tcPr>
            <w:tcW w:w="2136" w:type="dxa"/>
            <w:tcBorders>
              <w:top w:val="nil"/>
              <w:left w:val="nil"/>
              <w:bottom w:val="nil"/>
              <w:right w:val="nil"/>
            </w:tcBorders>
          </w:tcPr>
          <w:p w14:paraId="7AFC1F95"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3554A39F"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(1.24)</w:t>
            </w:r>
          </w:p>
        </w:tc>
        <w:tc>
          <w:tcPr>
            <w:tcW w:w="1656" w:type="dxa"/>
            <w:tcBorders>
              <w:top w:val="nil"/>
              <w:left w:val="nil"/>
              <w:bottom w:val="nil"/>
              <w:right w:val="nil"/>
            </w:tcBorders>
          </w:tcPr>
          <w:p w14:paraId="0B15D46B"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(0.24)</w:t>
            </w:r>
          </w:p>
        </w:tc>
        <w:tc>
          <w:tcPr>
            <w:tcW w:w="1656" w:type="dxa"/>
            <w:tcBorders>
              <w:top w:val="nil"/>
              <w:left w:val="nil"/>
              <w:bottom w:val="nil"/>
              <w:right w:val="nil"/>
            </w:tcBorders>
          </w:tcPr>
          <w:p w14:paraId="5F82D58D"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(0.11)</w:t>
            </w:r>
          </w:p>
        </w:tc>
        <w:tc>
          <w:tcPr>
            <w:tcW w:w="1656" w:type="dxa"/>
            <w:tcBorders>
              <w:top w:val="nil"/>
              <w:left w:val="nil"/>
              <w:bottom w:val="nil"/>
              <w:right w:val="nil"/>
            </w:tcBorders>
          </w:tcPr>
          <w:p w14:paraId="39476368"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(0.05)</w:t>
            </w:r>
          </w:p>
        </w:tc>
        <w:tc>
          <w:tcPr>
            <w:tcW w:w="1656" w:type="dxa"/>
            <w:tcBorders>
              <w:top w:val="nil"/>
              <w:left w:val="nil"/>
              <w:bottom w:val="nil"/>
              <w:right w:val="nil"/>
            </w:tcBorders>
          </w:tcPr>
          <w:p w14:paraId="02BD56D1"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(-1.44)</w:t>
            </w:r>
          </w:p>
        </w:tc>
      </w:tr>
      <w:tr w:rsidR="00892B57" w:rsidRPr="002C32FA" w14:paraId="22164B5C" w14:textId="77777777" w:rsidTr="00F16287">
        <w:tc>
          <w:tcPr>
            <w:tcW w:w="2136" w:type="dxa"/>
            <w:tcBorders>
              <w:top w:val="nil"/>
              <w:left w:val="nil"/>
              <w:bottom w:val="nil"/>
              <w:right w:val="nil"/>
            </w:tcBorders>
          </w:tcPr>
          <w:p w14:paraId="18E53BCA"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2D3370ED"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298004F2"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2F4A9161"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5AB80B6E"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619B68F4"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3670F2DC" w14:textId="77777777" w:rsidTr="00F16287">
        <w:tc>
          <w:tcPr>
            <w:tcW w:w="2136" w:type="dxa"/>
            <w:tcBorders>
              <w:top w:val="nil"/>
              <w:left w:val="nil"/>
              <w:bottom w:val="nil"/>
              <w:right w:val="nil"/>
            </w:tcBorders>
          </w:tcPr>
          <w:p w14:paraId="4C55BF6B"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lang w:val="fr-BE"/>
              </w:rPr>
            </w:pPr>
            <w:r w:rsidRPr="002C32FA">
              <w:rPr>
                <w:rFonts w:ascii="Times New Roman" w:hAnsi="Times New Roman"/>
                <w:sz w:val="18"/>
                <w:szCs w:val="18"/>
                <w:lang w:val="fr-BE"/>
              </w:rPr>
              <w:t>L5.De Jure CBI (CNW Index)</w:t>
            </w:r>
          </w:p>
        </w:tc>
        <w:tc>
          <w:tcPr>
            <w:tcW w:w="1656" w:type="dxa"/>
            <w:tcBorders>
              <w:top w:val="nil"/>
              <w:left w:val="nil"/>
              <w:bottom w:val="nil"/>
              <w:right w:val="nil"/>
            </w:tcBorders>
          </w:tcPr>
          <w:p w14:paraId="109D5227"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0.584</w:t>
            </w:r>
          </w:p>
        </w:tc>
        <w:tc>
          <w:tcPr>
            <w:tcW w:w="1656" w:type="dxa"/>
            <w:tcBorders>
              <w:top w:val="nil"/>
              <w:left w:val="nil"/>
              <w:bottom w:val="nil"/>
              <w:right w:val="nil"/>
            </w:tcBorders>
          </w:tcPr>
          <w:p w14:paraId="7E655351"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0.752</w:t>
            </w:r>
          </w:p>
        </w:tc>
        <w:tc>
          <w:tcPr>
            <w:tcW w:w="1656" w:type="dxa"/>
            <w:tcBorders>
              <w:top w:val="nil"/>
              <w:left w:val="nil"/>
              <w:bottom w:val="nil"/>
              <w:right w:val="nil"/>
            </w:tcBorders>
          </w:tcPr>
          <w:p w14:paraId="103A50A0"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0.242</w:t>
            </w:r>
          </w:p>
        </w:tc>
        <w:tc>
          <w:tcPr>
            <w:tcW w:w="1656" w:type="dxa"/>
            <w:tcBorders>
              <w:top w:val="nil"/>
              <w:left w:val="nil"/>
              <w:bottom w:val="nil"/>
              <w:right w:val="nil"/>
            </w:tcBorders>
          </w:tcPr>
          <w:p w14:paraId="2833C9E4"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-0.0216</w:t>
            </w:r>
          </w:p>
        </w:tc>
        <w:tc>
          <w:tcPr>
            <w:tcW w:w="1656" w:type="dxa"/>
            <w:tcBorders>
              <w:top w:val="nil"/>
              <w:left w:val="nil"/>
              <w:bottom w:val="nil"/>
              <w:right w:val="nil"/>
            </w:tcBorders>
          </w:tcPr>
          <w:p w14:paraId="65D4F968"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0.0947</w:t>
            </w:r>
          </w:p>
        </w:tc>
      </w:tr>
      <w:tr w:rsidR="00892B57" w:rsidRPr="002C32FA" w14:paraId="18C16123" w14:textId="77777777" w:rsidTr="00F16287">
        <w:tc>
          <w:tcPr>
            <w:tcW w:w="2136" w:type="dxa"/>
            <w:tcBorders>
              <w:top w:val="nil"/>
              <w:left w:val="nil"/>
              <w:bottom w:val="nil"/>
              <w:right w:val="nil"/>
            </w:tcBorders>
          </w:tcPr>
          <w:p w14:paraId="2621A0DD"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732507F0"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(0.63)</w:t>
            </w:r>
          </w:p>
        </w:tc>
        <w:tc>
          <w:tcPr>
            <w:tcW w:w="1656" w:type="dxa"/>
            <w:tcBorders>
              <w:top w:val="nil"/>
              <w:left w:val="nil"/>
              <w:bottom w:val="nil"/>
              <w:right w:val="nil"/>
            </w:tcBorders>
          </w:tcPr>
          <w:p w14:paraId="6EAE713B"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(1.08)</w:t>
            </w:r>
          </w:p>
        </w:tc>
        <w:tc>
          <w:tcPr>
            <w:tcW w:w="1656" w:type="dxa"/>
            <w:tcBorders>
              <w:top w:val="nil"/>
              <w:left w:val="nil"/>
              <w:bottom w:val="nil"/>
              <w:right w:val="nil"/>
            </w:tcBorders>
          </w:tcPr>
          <w:p w14:paraId="353AC5C4"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(0.28)</w:t>
            </w:r>
          </w:p>
        </w:tc>
        <w:tc>
          <w:tcPr>
            <w:tcW w:w="1656" w:type="dxa"/>
            <w:tcBorders>
              <w:top w:val="nil"/>
              <w:left w:val="nil"/>
              <w:bottom w:val="nil"/>
              <w:right w:val="nil"/>
            </w:tcBorders>
          </w:tcPr>
          <w:p w14:paraId="2AC1C83F"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(-0.24)</w:t>
            </w:r>
          </w:p>
        </w:tc>
        <w:tc>
          <w:tcPr>
            <w:tcW w:w="1656" w:type="dxa"/>
            <w:tcBorders>
              <w:top w:val="nil"/>
              <w:left w:val="nil"/>
              <w:bottom w:val="nil"/>
              <w:right w:val="nil"/>
            </w:tcBorders>
          </w:tcPr>
          <w:p w14:paraId="672BDCC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(1.07)</w:t>
            </w:r>
          </w:p>
        </w:tc>
      </w:tr>
      <w:tr w:rsidR="00892B57" w:rsidRPr="002C32FA" w14:paraId="6BD258A2" w14:textId="77777777" w:rsidTr="00F16287">
        <w:tc>
          <w:tcPr>
            <w:tcW w:w="2136" w:type="dxa"/>
            <w:tcBorders>
              <w:top w:val="nil"/>
              <w:left w:val="nil"/>
              <w:bottom w:val="nil"/>
              <w:right w:val="nil"/>
            </w:tcBorders>
          </w:tcPr>
          <w:p w14:paraId="4DB840F3"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30A07DD3"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807CF70"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7EADAF9C"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6836EF27"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E819232"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7050315F" w14:textId="77777777" w:rsidTr="00F16287">
        <w:tc>
          <w:tcPr>
            <w:tcW w:w="2136" w:type="dxa"/>
            <w:tcBorders>
              <w:top w:val="nil"/>
              <w:left w:val="nil"/>
              <w:bottom w:val="nil"/>
              <w:right w:val="nil"/>
            </w:tcBorders>
          </w:tcPr>
          <w:p w14:paraId="7F9F4233"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lang w:val="fr-BE"/>
              </w:rPr>
            </w:pPr>
            <w:r w:rsidRPr="002C32FA">
              <w:rPr>
                <w:rFonts w:ascii="Times New Roman" w:hAnsi="Times New Roman"/>
                <w:sz w:val="18"/>
                <w:szCs w:val="18"/>
                <w:lang w:val="fr-BE"/>
              </w:rPr>
              <w:t>L6.De Jure CBI (CNW Index)</w:t>
            </w:r>
          </w:p>
        </w:tc>
        <w:tc>
          <w:tcPr>
            <w:tcW w:w="1656" w:type="dxa"/>
            <w:tcBorders>
              <w:top w:val="nil"/>
              <w:left w:val="nil"/>
              <w:bottom w:val="nil"/>
              <w:right w:val="nil"/>
            </w:tcBorders>
          </w:tcPr>
          <w:p w14:paraId="1BBB8867"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-1.067</w:t>
            </w:r>
          </w:p>
        </w:tc>
        <w:tc>
          <w:tcPr>
            <w:tcW w:w="1656" w:type="dxa"/>
            <w:tcBorders>
              <w:top w:val="nil"/>
              <w:left w:val="nil"/>
              <w:bottom w:val="nil"/>
              <w:right w:val="nil"/>
            </w:tcBorders>
          </w:tcPr>
          <w:p w14:paraId="046CA43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-0.217</w:t>
            </w:r>
          </w:p>
        </w:tc>
        <w:tc>
          <w:tcPr>
            <w:tcW w:w="1656" w:type="dxa"/>
            <w:tcBorders>
              <w:top w:val="nil"/>
              <w:left w:val="nil"/>
              <w:bottom w:val="nil"/>
              <w:right w:val="nil"/>
            </w:tcBorders>
          </w:tcPr>
          <w:p w14:paraId="56E4D926"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0.262</w:t>
            </w:r>
          </w:p>
        </w:tc>
        <w:tc>
          <w:tcPr>
            <w:tcW w:w="1656" w:type="dxa"/>
            <w:tcBorders>
              <w:top w:val="nil"/>
              <w:left w:val="nil"/>
              <w:bottom w:val="nil"/>
              <w:right w:val="nil"/>
            </w:tcBorders>
          </w:tcPr>
          <w:p w14:paraId="246B7AB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-0.105</w:t>
            </w:r>
          </w:p>
        </w:tc>
        <w:tc>
          <w:tcPr>
            <w:tcW w:w="1656" w:type="dxa"/>
            <w:tcBorders>
              <w:top w:val="nil"/>
              <w:left w:val="nil"/>
              <w:bottom w:val="nil"/>
              <w:right w:val="nil"/>
            </w:tcBorders>
          </w:tcPr>
          <w:p w14:paraId="4A4FBE9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0.353</w:t>
            </w:r>
            <w:r w:rsidRPr="002C32FA">
              <w:rPr>
                <w:rFonts w:ascii="Times New Roman" w:hAnsi="Times New Roman"/>
                <w:sz w:val="18"/>
                <w:szCs w:val="18"/>
                <w:vertAlign w:val="superscript"/>
              </w:rPr>
              <w:t>*</w:t>
            </w:r>
          </w:p>
        </w:tc>
      </w:tr>
      <w:tr w:rsidR="00892B57" w:rsidRPr="002C32FA" w14:paraId="4B715CDA" w14:textId="77777777" w:rsidTr="00F16287">
        <w:tc>
          <w:tcPr>
            <w:tcW w:w="2136" w:type="dxa"/>
            <w:tcBorders>
              <w:top w:val="nil"/>
              <w:left w:val="nil"/>
              <w:bottom w:val="nil"/>
              <w:right w:val="nil"/>
            </w:tcBorders>
          </w:tcPr>
          <w:p w14:paraId="4F830D63"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71A55CD0"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(-1.10)</w:t>
            </w:r>
          </w:p>
        </w:tc>
        <w:tc>
          <w:tcPr>
            <w:tcW w:w="1656" w:type="dxa"/>
            <w:tcBorders>
              <w:top w:val="nil"/>
              <w:left w:val="nil"/>
              <w:bottom w:val="nil"/>
              <w:right w:val="nil"/>
            </w:tcBorders>
          </w:tcPr>
          <w:p w14:paraId="6FE68D33"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(-0.28)</w:t>
            </w:r>
          </w:p>
        </w:tc>
        <w:tc>
          <w:tcPr>
            <w:tcW w:w="1656" w:type="dxa"/>
            <w:tcBorders>
              <w:top w:val="nil"/>
              <w:left w:val="nil"/>
              <w:bottom w:val="nil"/>
              <w:right w:val="nil"/>
            </w:tcBorders>
          </w:tcPr>
          <w:p w14:paraId="7AC3BE42"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(0.36)</w:t>
            </w:r>
          </w:p>
        </w:tc>
        <w:tc>
          <w:tcPr>
            <w:tcW w:w="1656" w:type="dxa"/>
            <w:tcBorders>
              <w:top w:val="nil"/>
              <w:left w:val="nil"/>
              <w:bottom w:val="nil"/>
              <w:right w:val="nil"/>
            </w:tcBorders>
          </w:tcPr>
          <w:p w14:paraId="4266D6FF"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(-1.15)</w:t>
            </w:r>
          </w:p>
        </w:tc>
        <w:tc>
          <w:tcPr>
            <w:tcW w:w="1656" w:type="dxa"/>
            <w:tcBorders>
              <w:top w:val="nil"/>
              <w:left w:val="nil"/>
              <w:bottom w:val="nil"/>
              <w:right w:val="nil"/>
            </w:tcBorders>
          </w:tcPr>
          <w:p w14:paraId="7E52D990"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(2.37)</w:t>
            </w:r>
          </w:p>
        </w:tc>
      </w:tr>
      <w:tr w:rsidR="00892B57" w:rsidRPr="002C32FA" w14:paraId="589DE9B0" w14:textId="77777777" w:rsidTr="00F16287">
        <w:tc>
          <w:tcPr>
            <w:tcW w:w="2136" w:type="dxa"/>
            <w:tcBorders>
              <w:top w:val="nil"/>
              <w:left w:val="nil"/>
              <w:bottom w:val="nil"/>
              <w:right w:val="nil"/>
            </w:tcBorders>
          </w:tcPr>
          <w:p w14:paraId="5703F4A1"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4DCCB1BC"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40CB4CB1"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524A0282"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7C4F17C1"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014F41DA"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27FBC5A8" w14:textId="77777777" w:rsidTr="00F16287">
        <w:tc>
          <w:tcPr>
            <w:tcW w:w="2136" w:type="dxa"/>
            <w:tcBorders>
              <w:top w:val="nil"/>
              <w:left w:val="nil"/>
              <w:bottom w:val="nil"/>
              <w:right w:val="nil"/>
            </w:tcBorders>
          </w:tcPr>
          <w:p w14:paraId="3D1AE632"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lang w:val="fr-BE"/>
              </w:rPr>
            </w:pPr>
            <w:r w:rsidRPr="002C32FA">
              <w:rPr>
                <w:rFonts w:ascii="Times New Roman" w:hAnsi="Times New Roman"/>
                <w:sz w:val="18"/>
                <w:szCs w:val="18"/>
                <w:lang w:val="fr-BE"/>
              </w:rPr>
              <w:t>L7.De Jure CBI (CNW Index)</w:t>
            </w:r>
          </w:p>
        </w:tc>
        <w:tc>
          <w:tcPr>
            <w:tcW w:w="1656" w:type="dxa"/>
            <w:tcBorders>
              <w:top w:val="nil"/>
              <w:left w:val="nil"/>
              <w:bottom w:val="nil"/>
              <w:right w:val="nil"/>
            </w:tcBorders>
          </w:tcPr>
          <w:p w14:paraId="4BFDE8A0"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1.394</w:t>
            </w:r>
          </w:p>
        </w:tc>
        <w:tc>
          <w:tcPr>
            <w:tcW w:w="1656" w:type="dxa"/>
            <w:tcBorders>
              <w:top w:val="nil"/>
              <w:left w:val="nil"/>
              <w:bottom w:val="nil"/>
              <w:right w:val="nil"/>
            </w:tcBorders>
          </w:tcPr>
          <w:p w14:paraId="66D22182"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-0.421</w:t>
            </w:r>
          </w:p>
        </w:tc>
        <w:tc>
          <w:tcPr>
            <w:tcW w:w="1656" w:type="dxa"/>
            <w:tcBorders>
              <w:top w:val="nil"/>
              <w:left w:val="nil"/>
              <w:bottom w:val="nil"/>
              <w:right w:val="nil"/>
            </w:tcBorders>
          </w:tcPr>
          <w:p w14:paraId="265C5AD6"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0.391</w:t>
            </w:r>
          </w:p>
        </w:tc>
        <w:tc>
          <w:tcPr>
            <w:tcW w:w="1656" w:type="dxa"/>
            <w:tcBorders>
              <w:top w:val="nil"/>
              <w:left w:val="nil"/>
              <w:bottom w:val="nil"/>
              <w:right w:val="nil"/>
            </w:tcBorders>
          </w:tcPr>
          <w:p w14:paraId="401578B8"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0.0450</w:t>
            </w:r>
          </w:p>
        </w:tc>
        <w:tc>
          <w:tcPr>
            <w:tcW w:w="1656" w:type="dxa"/>
            <w:tcBorders>
              <w:top w:val="nil"/>
              <w:left w:val="nil"/>
              <w:bottom w:val="nil"/>
              <w:right w:val="nil"/>
            </w:tcBorders>
          </w:tcPr>
          <w:p w14:paraId="12C4EE6F"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0.158</w:t>
            </w:r>
          </w:p>
        </w:tc>
      </w:tr>
      <w:tr w:rsidR="00892B57" w:rsidRPr="002C32FA" w14:paraId="7E92B38C" w14:textId="77777777" w:rsidTr="00F16287">
        <w:tc>
          <w:tcPr>
            <w:tcW w:w="2136" w:type="dxa"/>
            <w:tcBorders>
              <w:top w:val="nil"/>
              <w:left w:val="nil"/>
              <w:bottom w:val="nil"/>
              <w:right w:val="nil"/>
            </w:tcBorders>
          </w:tcPr>
          <w:p w14:paraId="00DA93C1"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5C62FEC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(1.53)</w:t>
            </w:r>
          </w:p>
        </w:tc>
        <w:tc>
          <w:tcPr>
            <w:tcW w:w="1656" w:type="dxa"/>
            <w:tcBorders>
              <w:top w:val="nil"/>
              <w:left w:val="nil"/>
              <w:bottom w:val="nil"/>
              <w:right w:val="nil"/>
            </w:tcBorders>
          </w:tcPr>
          <w:p w14:paraId="5CD5ADFA"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(-0.46)</w:t>
            </w:r>
          </w:p>
        </w:tc>
        <w:tc>
          <w:tcPr>
            <w:tcW w:w="1656" w:type="dxa"/>
            <w:tcBorders>
              <w:top w:val="nil"/>
              <w:left w:val="nil"/>
              <w:bottom w:val="nil"/>
              <w:right w:val="nil"/>
            </w:tcBorders>
          </w:tcPr>
          <w:p w14:paraId="0C803B4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(0.49)</w:t>
            </w:r>
          </w:p>
        </w:tc>
        <w:tc>
          <w:tcPr>
            <w:tcW w:w="1656" w:type="dxa"/>
            <w:tcBorders>
              <w:top w:val="nil"/>
              <w:left w:val="nil"/>
              <w:bottom w:val="nil"/>
              <w:right w:val="nil"/>
            </w:tcBorders>
          </w:tcPr>
          <w:p w14:paraId="2E6E8BAD"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(0.52)</w:t>
            </w:r>
          </w:p>
        </w:tc>
        <w:tc>
          <w:tcPr>
            <w:tcW w:w="1656" w:type="dxa"/>
            <w:tcBorders>
              <w:top w:val="nil"/>
              <w:left w:val="nil"/>
              <w:bottom w:val="nil"/>
              <w:right w:val="nil"/>
            </w:tcBorders>
          </w:tcPr>
          <w:p w14:paraId="61F13BDF"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(1.68)</w:t>
            </w:r>
          </w:p>
        </w:tc>
      </w:tr>
      <w:tr w:rsidR="00892B57" w:rsidRPr="002C32FA" w14:paraId="3D070669" w14:textId="77777777" w:rsidTr="00F16287">
        <w:tc>
          <w:tcPr>
            <w:tcW w:w="2136" w:type="dxa"/>
            <w:tcBorders>
              <w:top w:val="nil"/>
              <w:left w:val="nil"/>
              <w:bottom w:val="nil"/>
              <w:right w:val="nil"/>
            </w:tcBorders>
          </w:tcPr>
          <w:p w14:paraId="5CFF0462"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3E580DA0"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530F8DCA"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6BF4FFC"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446C229B"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037866A9"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1AA4568B" w14:textId="77777777" w:rsidTr="00F16287">
        <w:tc>
          <w:tcPr>
            <w:tcW w:w="2136" w:type="dxa"/>
            <w:tcBorders>
              <w:top w:val="nil"/>
              <w:left w:val="nil"/>
              <w:bottom w:val="nil"/>
              <w:right w:val="nil"/>
            </w:tcBorders>
          </w:tcPr>
          <w:p w14:paraId="518DB9A5"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lang w:val="fr-BE"/>
              </w:rPr>
            </w:pPr>
            <w:r w:rsidRPr="002C32FA">
              <w:rPr>
                <w:rFonts w:ascii="Times New Roman" w:hAnsi="Times New Roman"/>
                <w:sz w:val="18"/>
                <w:szCs w:val="18"/>
                <w:lang w:val="fr-BE"/>
              </w:rPr>
              <w:t>L8.De Jure CBI (CNW Index)</w:t>
            </w:r>
          </w:p>
        </w:tc>
        <w:tc>
          <w:tcPr>
            <w:tcW w:w="1656" w:type="dxa"/>
            <w:tcBorders>
              <w:top w:val="nil"/>
              <w:left w:val="nil"/>
              <w:bottom w:val="nil"/>
              <w:right w:val="nil"/>
            </w:tcBorders>
          </w:tcPr>
          <w:p w14:paraId="4517BE11"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-1.975</w:t>
            </w:r>
            <w:r w:rsidRPr="002C32FA">
              <w:rPr>
                <w:rFonts w:ascii="Times New Roman" w:hAnsi="Times New Roman"/>
                <w:sz w:val="18"/>
                <w:szCs w:val="18"/>
                <w:vertAlign w:val="superscript"/>
              </w:rPr>
              <w:t>*</w:t>
            </w:r>
          </w:p>
        </w:tc>
        <w:tc>
          <w:tcPr>
            <w:tcW w:w="1656" w:type="dxa"/>
            <w:tcBorders>
              <w:top w:val="nil"/>
              <w:left w:val="nil"/>
              <w:bottom w:val="nil"/>
              <w:right w:val="nil"/>
            </w:tcBorders>
          </w:tcPr>
          <w:p w14:paraId="3AE364D3"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-0.0815</w:t>
            </w:r>
          </w:p>
        </w:tc>
        <w:tc>
          <w:tcPr>
            <w:tcW w:w="1656" w:type="dxa"/>
            <w:tcBorders>
              <w:top w:val="nil"/>
              <w:left w:val="nil"/>
              <w:bottom w:val="nil"/>
              <w:right w:val="nil"/>
            </w:tcBorders>
          </w:tcPr>
          <w:p w14:paraId="409FB38A"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0.378</w:t>
            </w:r>
          </w:p>
        </w:tc>
        <w:tc>
          <w:tcPr>
            <w:tcW w:w="1656" w:type="dxa"/>
            <w:tcBorders>
              <w:top w:val="nil"/>
              <w:left w:val="nil"/>
              <w:bottom w:val="nil"/>
              <w:right w:val="nil"/>
            </w:tcBorders>
          </w:tcPr>
          <w:p w14:paraId="49B79A83"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-0.140</w:t>
            </w:r>
          </w:p>
        </w:tc>
        <w:tc>
          <w:tcPr>
            <w:tcW w:w="1656" w:type="dxa"/>
            <w:tcBorders>
              <w:top w:val="nil"/>
              <w:left w:val="nil"/>
              <w:bottom w:val="nil"/>
              <w:right w:val="nil"/>
            </w:tcBorders>
          </w:tcPr>
          <w:p w14:paraId="23AF6437"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0.448</w:t>
            </w:r>
            <w:r w:rsidRPr="002C32FA">
              <w:rPr>
                <w:rFonts w:ascii="Times New Roman" w:hAnsi="Times New Roman"/>
                <w:sz w:val="18"/>
                <w:szCs w:val="18"/>
                <w:vertAlign w:val="superscript"/>
              </w:rPr>
              <w:t>**</w:t>
            </w:r>
          </w:p>
        </w:tc>
      </w:tr>
      <w:tr w:rsidR="00892B57" w:rsidRPr="002C32FA" w14:paraId="0C4EFD79" w14:textId="77777777" w:rsidTr="00F16287">
        <w:tc>
          <w:tcPr>
            <w:tcW w:w="2136" w:type="dxa"/>
            <w:tcBorders>
              <w:top w:val="nil"/>
              <w:left w:val="nil"/>
              <w:bottom w:val="nil"/>
              <w:right w:val="nil"/>
            </w:tcBorders>
          </w:tcPr>
          <w:p w14:paraId="2D98CDB1"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5A17C5CF"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(-2.31)</w:t>
            </w:r>
          </w:p>
        </w:tc>
        <w:tc>
          <w:tcPr>
            <w:tcW w:w="1656" w:type="dxa"/>
            <w:tcBorders>
              <w:top w:val="nil"/>
              <w:left w:val="nil"/>
              <w:bottom w:val="nil"/>
              <w:right w:val="nil"/>
            </w:tcBorders>
          </w:tcPr>
          <w:p w14:paraId="5D0C6D1D"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(-0.09)</w:t>
            </w:r>
          </w:p>
        </w:tc>
        <w:tc>
          <w:tcPr>
            <w:tcW w:w="1656" w:type="dxa"/>
            <w:tcBorders>
              <w:top w:val="nil"/>
              <w:left w:val="nil"/>
              <w:bottom w:val="nil"/>
              <w:right w:val="nil"/>
            </w:tcBorders>
          </w:tcPr>
          <w:p w14:paraId="40C2E65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(0.52)</w:t>
            </w:r>
          </w:p>
        </w:tc>
        <w:tc>
          <w:tcPr>
            <w:tcW w:w="1656" w:type="dxa"/>
            <w:tcBorders>
              <w:top w:val="nil"/>
              <w:left w:val="nil"/>
              <w:bottom w:val="nil"/>
              <w:right w:val="nil"/>
            </w:tcBorders>
          </w:tcPr>
          <w:p w14:paraId="100BC4FE"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(-1.55)</w:t>
            </w:r>
          </w:p>
        </w:tc>
        <w:tc>
          <w:tcPr>
            <w:tcW w:w="1656" w:type="dxa"/>
            <w:tcBorders>
              <w:top w:val="nil"/>
              <w:left w:val="nil"/>
              <w:bottom w:val="nil"/>
              <w:right w:val="nil"/>
            </w:tcBorders>
          </w:tcPr>
          <w:p w14:paraId="2E9103E4"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(3.02)</w:t>
            </w:r>
          </w:p>
        </w:tc>
      </w:tr>
      <w:tr w:rsidR="00892B57" w:rsidRPr="002C32FA" w14:paraId="583C77B8" w14:textId="77777777" w:rsidTr="00F16287">
        <w:tc>
          <w:tcPr>
            <w:tcW w:w="2136" w:type="dxa"/>
            <w:tcBorders>
              <w:top w:val="nil"/>
              <w:left w:val="nil"/>
              <w:bottom w:val="nil"/>
              <w:right w:val="nil"/>
            </w:tcBorders>
          </w:tcPr>
          <w:p w14:paraId="4D5ED4E9"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4A1AD333"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02251C3B"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64B8A899"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B28D306"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083444B5"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2375A72A" w14:textId="77777777" w:rsidTr="00F16287">
        <w:tc>
          <w:tcPr>
            <w:tcW w:w="2136" w:type="dxa"/>
            <w:tcBorders>
              <w:top w:val="nil"/>
              <w:left w:val="nil"/>
              <w:bottom w:val="nil"/>
              <w:right w:val="nil"/>
            </w:tcBorders>
          </w:tcPr>
          <w:p w14:paraId="22C9AEE1"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lang w:val="fr-BE"/>
              </w:rPr>
            </w:pPr>
            <w:r w:rsidRPr="002C32FA">
              <w:rPr>
                <w:rFonts w:ascii="Times New Roman" w:hAnsi="Times New Roman"/>
                <w:sz w:val="18"/>
                <w:szCs w:val="18"/>
                <w:lang w:val="fr-BE"/>
              </w:rPr>
              <w:t>L9.De Jure CBI (CNW Index)</w:t>
            </w:r>
          </w:p>
        </w:tc>
        <w:tc>
          <w:tcPr>
            <w:tcW w:w="1656" w:type="dxa"/>
            <w:tcBorders>
              <w:top w:val="nil"/>
              <w:left w:val="nil"/>
              <w:bottom w:val="nil"/>
              <w:right w:val="nil"/>
            </w:tcBorders>
          </w:tcPr>
          <w:p w14:paraId="2E46A9D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0.120</w:t>
            </w:r>
          </w:p>
        </w:tc>
        <w:tc>
          <w:tcPr>
            <w:tcW w:w="1656" w:type="dxa"/>
            <w:tcBorders>
              <w:top w:val="nil"/>
              <w:left w:val="nil"/>
              <w:bottom w:val="nil"/>
              <w:right w:val="nil"/>
            </w:tcBorders>
          </w:tcPr>
          <w:p w14:paraId="67EE1DC7"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0.555</w:t>
            </w:r>
          </w:p>
        </w:tc>
        <w:tc>
          <w:tcPr>
            <w:tcW w:w="1656" w:type="dxa"/>
            <w:tcBorders>
              <w:top w:val="nil"/>
              <w:left w:val="nil"/>
              <w:bottom w:val="nil"/>
              <w:right w:val="nil"/>
            </w:tcBorders>
          </w:tcPr>
          <w:p w14:paraId="34F94D7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-0.877</w:t>
            </w:r>
          </w:p>
        </w:tc>
        <w:tc>
          <w:tcPr>
            <w:tcW w:w="1656" w:type="dxa"/>
            <w:tcBorders>
              <w:top w:val="nil"/>
              <w:left w:val="nil"/>
              <w:bottom w:val="nil"/>
              <w:right w:val="nil"/>
            </w:tcBorders>
          </w:tcPr>
          <w:p w14:paraId="5B1E60FE"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-0.0162</w:t>
            </w:r>
          </w:p>
        </w:tc>
        <w:tc>
          <w:tcPr>
            <w:tcW w:w="1656" w:type="dxa"/>
            <w:tcBorders>
              <w:top w:val="nil"/>
              <w:left w:val="nil"/>
              <w:bottom w:val="nil"/>
              <w:right w:val="nil"/>
            </w:tcBorders>
          </w:tcPr>
          <w:p w14:paraId="377BCD0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0.209</w:t>
            </w:r>
          </w:p>
        </w:tc>
      </w:tr>
      <w:tr w:rsidR="00892B57" w:rsidRPr="002C32FA" w14:paraId="494A3226" w14:textId="77777777" w:rsidTr="00F16287">
        <w:tc>
          <w:tcPr>
            <w:tcW w:w="2136" w:type="dxa"/>
            <w:tcBorders>
              <w:top w:val="nil"/>
              <w:left w:val="nil"/>
              <w:bottom w:val="nil"/>
              <w:right w:val="nil"/>
            </w:tcBorders>
          </w:tcPr>
          <w:p w14:paraId="739AC860"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4060E14"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(0.19)</w:t>
            </w:r>
          </w:p>
        </w:tc>
        <w:tc>
          <w:tcPr>
            <w:tcW w:w="1656" w:type="dxa"/>
            <w:tcBorders>
              <w:top w:val="nil"/>
              <w:left w:val="nil"/>
              <w:bottom w:val="nil"/>
              <w:right w:val="nil"/>
            </w:tcBorders>
          </w:tcPr>
          <w:p w14:paraId="4756CAD7"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(1.04)</w:t>
            </w:r>
          </w:p>
        </w:tc>
        <w:tc>
          <w:tcPr>
            <w:tcW w:w="1656" w:type="dxa"/>
            <w:tcBorders>
              <w:top w:val="nil"/>
              <w:left w:val="nil"/>
              <w:bottom w:val="nil"/>
              <w:right w:val="nil"/>
            </w:tcBorders>
          </w:tcPr>
          <w:p w14:paraId="67B06F12"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(-1.51)</w:t>
            </w:r>
          </w:p>
        </w:tc>
        <w:tc>
          <w:tcPr>
            <w:tcW w:w="1656" w:type="dxa"/>
            <w:tcBorders>
              <w:top w:val="nil"/>
              <w:left w:val="nil"/>
              <w:bottom w:val="nil"/>
              <w:right w:val="nil"/>
            </w:tcBorders>
          </w:tcPr>
          <w:p w14:paraId="76A204FD"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(-0.20)</w:t>
            </w:r>
          </w:p>
        </w:tc>
        <w:tc>
          <w:tcPr>
            <w:tcW w:w="1656" w:type="dxa"/>
            <w:tcBorders>
              <w:top w:val="nil"/>
              <w:left w:val="nil"/>
              <w:bottom w:val="nil"/>
              <w:right w:val="nil"/>
            </w:tcBorders>
          </w:tcPr>
          <w:p w14:paraId="40A65CFD"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(1.79)</w:t>
            </w:r>
          </w:p>
        </w:tc>
      </w:tr>
      <w:tr w:rsidR="00892B57" w:rsidRPr="002C32FA" w14:paraId="32013F88" w14:textId="77777777" w:rsidTr="00F16287">
        <w:tc>
          <w:tcPr>
            <w:tcW w:w="2136" w:type="dxa"/>
            <w:tcBorders>
              <w:top w:val="nil"/>
              <w:left w:val="nil"/>
              <w:bottom w:val="nil"/>
              <w:right w:val="nil"/>
            </w:tcBorders>
          </w:tcPr>
          <w:p w14:paraId="3E72A649"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4F620720"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7EB830D6"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7B367641"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736386D5"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4C3896E2"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73A646B3" w14:textId="77777777" w:rsidTr="00F16287">
        <w:tc>
          <w:tcPr>
            <w:tcW w:w="2136" w:type="dxa"/>
            <w:tcBorders>
              <w:top w:val="nil"/>
              <w:left w:val="nil"/>
              <w:bottom w:val="nil"/>
              <w:right w:val="nil"/>
            </w:tcBorders>
          </w:tcPr>
          <w:p w14:paraId="74EF1FAA"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lang w:val="fr-BE"/>
              </w:rPr>
            </w:pPr>
            <w:r w:rsidRPr="002C32FA">
              <w:rPr>
                <w:rFonts w:ascii="Times New Roman" w:hAnsi="Times New Roman"/>
                <w:sz w:val="18"/>
                <w:szCs w:val="18"/>
                <w:lang w:val="fr-BE"/>
              </w:rPr>
              <w:t xml:space="preserve">L10.De Jure CBI (CNW </w:t>
            </w:r>
            <w:r w:rsidRPr="002C32FA">
              <w:rPr>
                <w:rFonts w:ascii="Times New Roman" w:hAnsi="Times New Roman"/>
                <w:sz w:val="18"/>
                <w:szCs w:val="18"/>
                <w:lang w:val="fr-BE"/>
              </w:rPr>
              <w:lastRenderedPageBreak/>
              <w:t>Index)</w:t>
            </w:r>
          </w:p>
        </w:tc>
        <w:tc>
          <w:tcPr>
            <w:tcW w:w="1656" w:type="dxa"/>
            <w:tcBorders>
              <w:top w:val="nil"/>
              <w:left w:val="nil"/>
              <w:bottom w:val="nil"/>
              <w:right w:val="nil"/>
            </w:tcBorders>
          </w:tcPr>
          <w:p w14:paraId="149EC61B"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lastRenderedPageBreak/>
              <w:t>0.834</w:t>
            </w:r>
          </w:p>
        </w:tc>
        <w:tc>
          <w:tcPr>
            <w:tcW w:w="1656" w:type="dxa"/>
            <w:tcBorders>
              <w:top w:val="nil"/>
              <w:left w:val="nil"/>
              <w:bottom w:val="nil"/>
              <w:right w:val="nil"/>
            </w:tcBorders>
          </w:tcPr>
          <w:p w14:paraId="2A22AB56"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-0.334</w:t>
            </w:r>
          </w:p>
        </w:tc>
        <w:tc>
          <w:tcPr>
            <w:tcW w:w="1656" w:type="dxa"/>
            <w:tcBorders>
              <w:top w:val="nil"/>
              <w:left w:val="nil"/>
              <w:bottom w:val="nil"/>
              <w:right w:val="nil"/>
            </w:tcBorders>
          </w:tcPr>
          <w:p w14:paraId="0F13DE8F"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0.286</w:t>
            </w:r>
          </w:p>
        </w:tc>
        <w:tc>
          <w:tcPr>
            <w:tcW w:w="1656" w:type="dxa"/>
            <w:tcBorders>
              <w:top w:val="nil"/>
              <w:left w:val="nil"/>
              <w:bottom w:val="nil"/>
              <w:right w:val="nil"/>
            </w:tcBorders>
          </w:tcPr>
          <w:p w14:paraId="084DBF0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0.0454</w:t>
            </w:r>
          </w:p>
        </w:tc>
        <w:tc>
          <w:tcPr>
            <w:tcW w:w="1656" w:type="dxa"/>
            <w:tcBorders>
              <w:top w:val="nil"/>
              <w:left w:val="nil"/>
              <w:bottom w:val="nil"/>
              <w:right w:val="nil"/>
            </w:tcBorders>
          </w:tcPr>
          <w:p w14:paraId="29A680C1"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0.172</w:t>
            </w:r>
          </w:p>
        </w:tc>
      </w:tr>
      <w:tr w:rsidR="00892B57" w:rsidRPr="002C32FA" w14:paraId="22C6F7A8" w14:textId="77777777" w:rsidTr="00F16287">
        <w:tc>
          <w:tcPr>
            <w:tcW w:w="2136" w:type="dxa"/>
            <w:tcBorders>
              <w:top w:val="nil"/>
              <w:left w:val="nil"/>
              <w:bottom w:val="nil"/>
              <w:right w:val="nil"/>
            </w:tcBorders>
          </w:tcPr>
          <w:p w14:paraId="4CF33205"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28D2C05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(1.80)</w:t>
            </w:r>
          </w:p>
        </w:tc>
        <w:tc>
          <w:tcPr>
            <w:tcW w:w="1656" w:type="dxa"/>
            <w:tcBorders>
              <w:top w:val="nil"/>
              <w:left w:val="nil"/>
              <w:bottom w:val="nil"/>
              <w:right w:val="nil"/>
            </w:tcBorders>
          </w:tcPr>
          <w:p w14:paraId="382A5B6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(-0.82)</w:t>
            </w:r>
          </w:p>
        </w:tc>
        <w:tc>
          <w:tcPr>
            <w:tcW w:w="1656" w:type="dxa"/>
            <w:tcBorders>
              <w:top w:val="nil"/>
              <w:left w:val="nil"/>
              <w:bottom w:val="nil"/>
              <w:right w:val="nil"/>
            </w:tcBorders>
          </w:tcPr>
          <w:p w14:paraId="4C010097"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(0.68)</w:t>
            </w:r>
          </w:p>
        </w:tc>
        <w:tc>
          <w:tcPr>
            <w:tcW w:w="1656" w:type="dxa"/>
            <w:tcBorders>
              <w:top w:val="nil"/>
              <w:left w:val="nil"/>
              <w:bottom w:val="nil"/>
              <w:right w:val="nil"/>
            </w:tcBorders>
          </w:tcPr>
          <w:p w14:paraId="5D8084F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(0.44)</w:t>
            </w:r>
          </w:p>
        </w:tc>
        <w:tc>
          <w:tcPr>
            <w:tcW w:w="1656" w:type="dxa"/>
            <w:tcBorders>
              <w:top w:val="nil"/>
              <w:left w:val="nil"/>
              <w:bottom w:val="nil"/>
              <w:right w:val="nil"/>
            </w:tcBorders>
          </w:tcPr>
          <w:p w14:paraId="26799E9F"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(1.00)</w:t>
            </w:r>
          </w:p>
        </w:tc>
      </w:tr>
      <w:tr w:rsidR="00892B57" w:rsidRPr="002C32FA" w14:paraId="3C7A5AB9" w14:textId="77777777" w:rsidTr="00F16287">
        <w:tc>
          <w:tcPr>
            <w:tcW w:w="2136" w:type="dxa"/>
            <w:tcBorders>
              <w:top w:val="nil"/>
              <w:left w:val="nil"/>
              <w:bottom w:val="nil"/>
              <w:right w:val="nil"/>
            </w:tcBorders>
          </w:tcPr>
          <w:p w14:paraId="46179CDB"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2E95993"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D1E11FB"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25A478CA"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31BAB679"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62F718AC"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67B0A6C0" w14:textId="77777777" w:rsidTr="00F16287">
        <w:tc>
          <w:tcPr>
            <w:tcW w:w="2136" w:type="dxa"/>
            <w:tcBorders>
              <w:top w:val="nil"/>
              <w:left w:val="nil"/>
              <w:bottom w:val="nil"/>
              <w:right w:val="nil"/>
            </w:tcBorders>
          </w:tcPr>
          <w:p w14:paraId="3CF735B0"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roofErr w:type="spellStart"/>
            <w:r w:rsidRPr="002C32FA">
              <w:rPr>
                <w:rFonts w:ascii="Times New Roman" w:hAnsi="Times New Roman"/>
                <w:sz w:val="18"/>
                <w:szCs w:val="18"/>
              </w:rPr>
              <w:t>L.Exchange</w:t>
            </w:r>
            <w:proofErr w:type="spellEnd"/>
            <w:r w:rsidRPr="002C32FA">
              <w:rPr>
                <w:rFonts w:ascii="Times New Roman" w:hAnsi="Times New Roman"/>
                <w:sz w:val="18"/>
                <w:szCs w:val="18"/>
              </w:rPr>
              <w:t xml:space="preserve"> Rate Classification (RR inverted, higher = more fixed)</w:t>
            </w:r>
          </w:p>
        </w:tc>
        <w:tc>
          <w:tcPr>
            <w:tcW w:w="1656" w:type="dxa"/>
            <w:tcBorders>
              <w:top w:val="nil"/>
              <w:left w:val="nil"/>
              <w:bottom w:val="nil"/>
              <w:right w:val="nil"/>
            </w:tcBorders>
          </w:tcPr>
          <w:p w14:paraId="72D3698A"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0.0432</w:t>
            </w:r>
          </w:p>
        </w:tc>
        <w:tc>
          <w:tcPr>
            <w:tcW w:w="1656" w:type="dxa"/>
            <w:tcBorders>
              <w:top w:val="nil"/>
              <w:left w:val="nil"/>
              <w:bottom w:val="nil"/>
              <w:right w:val="nil"/>
            </w:tcBorders>
          </w:tcPr>
          <w:p w14:paraId="3384D3B6"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0.0279</w:t>
            </w:r>
          </w:p>
        </w:tc>
        <w:tc>
          <w:tcPr>
            <w:tcW w:w="1656" w:type="dxa"/>
            <w:tcBorders>
              <w:top w:val="nil"/>
              <w:left w:val="nil"/>
              <w:bottom w:val="nil"/>
              <w:right w:val="nil"/>
            </w:tcBorders>
          </w:tcPr>
          <w:p w14:paraId="09BABB4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0.0102</w:t>
            </w:r>
          </w:p>
        </w:tc>
        <w:tc>
          <w:tcPr>
            <w:tcW w:w="1656" w:type="dxa"/>
            <w:tcBorders>
              <w:top w:val="nil"/>
              <w:left w:val="nil"/>
              <w:bottom w:val="nil"/>
              <w:right w:val="nil"/>
            </w:tcBorders>
          </w:tcPr>
          <w:p w14:paraId="5BAF0AD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0.0118</w:t>
            </w:r>
          </w:p>
        </w:tc>
        <w:tc>
          <w:tcPr>
            <w:tcW w:w="1656" w:type="dxa"/>
            <w:tcBorders>
              <w:top w:val="nil"/>
              <w:left w:val="nil"/>
              <w:bottom w:val="nil"/>
              <w:right w:val="nil"/>
            </w:tcBorders>
          </w:tcPr>
          <w:p w14:paraId="65401D4B"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0.00487</w:t>
            </w:r>
          </w:p>
        </w:tc>
      </w:tr>
      <w:tr w:rsidR="00892B57" w:rsidRPr="002C32FA" w14:paraId="7015BA09" w14:textId="77777777" w:rsidTr="00F16287">
        <w:tc>
          <w:tcPr>
            <w:tcW w:w="2136" w:type="dxa"/>
            <w:tcBorders>
              <w:top w:val="nil"/>
              <w:left w:val="nil"/>
              <w:bottom w:val="nil"/>
              <w:right w:val="nil"/>
            </w:tcBorders>
          </w:tcPr>
          <w:p w14:paraId="7EFA1227"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5A974C6A"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(1.36)</w:t>
            </w:r>
          </w:p>
        </w:tc>
        <w:tc>
          <w:tcPr>
            <w:tcW w:w="1656" w:type="dxa"/>
            <w:tcBorders>
              <w:top w:val="nil"/>
              <w:left w:val="nil"/>
              <w:bottom w:val="nil"/>
              <w:right w:val="nil"/>
            </w:tcBorders>
          </w:tcPr>
          <w:p w14:paraId="795B6E3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(1.09)</w:t>
            </w:r>
          </w:p>
        </w:tc>
        <w:tc>
          <w:tcPr>
            <w:tcW w:w="1656" w:type="dxa"/>
            <w:tcBorders>
              <w:top w:val="nil"/>
              <w:left w:val="nil"/>
              <w:bottom w:val="nil"/>
              <w:right w:val="nil"/>
            </w:tcBorders>
          </w:tcPr>
          <w:p w14:paraId="43A07A3E"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(0.46)</w:t>
            </w:r>
          </w:p>
        </w:tc>
        <w:tc>
          <w:tcPr>
            <w:tcW w:w="1656" w:type="dxa"/>
            <w:tcBorders>
              <w:top w:val="nil"/>
              <w:left w:val="nil"/>
              <w:bottom w:val="nil"/>
              <w:right w:val="nil"/>
            </w:tcBorders>
          </w:tcPr>
          <w:p w14:paraId="7E7E67F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(1.39)</w:t>
            </w:r>
          </w:p>
        </w:tc>
        <w:tc>
          <w:tcPr>
            <w:tcW w:w="1656" w:type="dxa"/>
            <w:tcBorders>
              <w:top w:val="nil"/>
              <w:left w:val="nil"/>
              <w:bottom w:val="nil"/>
              <w:right w:val="nil"/>
            </w:tcBorders>
          </w:tcPr>
          <w:p w14:paraId="5267B84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(1.68)</w:t>
            </w:r>
          </w:p>
        </w:tc>
      </w:tr>
      <w:tr w:rsidR="00892B57" w:rsidRPr="002C32FA" w14:paraId="5AF6DC77" w14:textId="77777777" w:rsidTr="00F16287">
        <w:tc>
          <w:tcPr>
            <w:tcW w:w="2136" w:type="dxa"/>
            <w:tcBorders>
              <w:top w:val="nil"/>
              <w:left w:val="nil"/>
              <w:bottom w:val="nil"/>
              <w:right w:val="nil"/>
            </w:tcBorders>
          </w:tcPr>
          <w:p w14:paraId="0C8ECC3B"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5D3DA8B5"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217E0737"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7AE78C30"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FFA0B05"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568582C6"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314F691E" w14:textId="77777777" w:rsidTr="00F16287">
        <w:tc>
          <w:tcPr>
            <w:tcW w:w="2136" w:type="dxa"/>
            <w:tcBorders>
              <w:top w:val="nil"/>
              <w:left w:val="nil"/>
              <w:bottom w:val="nil"/>
              <w:right w:val="nil"/>
            </w:tcBorders>
          </w:tcPr>
          <w:p w14:paraId="4B74A8B5"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r w:rsidRPr="002C32FA">
              <w:rPr>
                <w:rFonts w:ascii="Times New Roman" w:hAnsi="Times New Roman"/>
                <w:sz w:val="18"/>
                <w:szCs w:val="18"/>
              </w:rPr>
              <w:t>L2.Exchange Rate Classification (RR inverted, higher = more fixed)</w:t>
            </w:r>
          </w:p>
        </w:tc>
        <w:tc>
          <w:tcPr>
            <w:tcW w:w="1656" w:type="dxa"/>
            <w:tcBorders>
              <w:top w:val="nil"/>
              <w:left w:val="nil"/>
              <w:bottom w:val="nil"/>
              <w:right w:val="nil"/>
            </w:tcBorders>
          </w:tcPr>
          <w:p w14:paraId="5578FBA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-0.0245</w:t>
            </w:r>
          </w:p>
        </w:tc>
        <w:tc>
          <w:tcPr>
            <w:tcW w:w="1656" w:type="dxa"/>
            <w:tcBorders>
              <w:top w:val="nil"/>
              <w:left w:val="nil"/>
              <w:bottom w:val="nil"/>
              <w:right w:val="nil"/>
            </w:tcBorders>
          </w:tcPr>
          <w:p w14:paraId="1D5BE01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-0.0286</w:t>
            </w:r>
          </w:p>
        </w:tc>
        <w:tc>
          <w:tcPr>
            <w:tcW w:w="1656" w:type="dxa"/>
            <w:tcBorders>
              <w:top w:val="nil"/>
              <w:left w:val="nil"/>
              <w:bottom w:val="nil"/>
              <w:right w:val="nil"/>
            </w:tcBorders>
          </w:tcPr>
          <w:p w14:paraId="68B157DA"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0.00223</w:t>
            </w:r>
          </w:p>
        </w:tc>
        <w:tc>
          <w:tcPr>
            <w:tcW w:w="1656" w:type="dxa"/>
            <w:tcBorders>
              <w:top w:val="nil"/>
              <w:left w:val="nil"/>
              <w:bottom w:val="nil"/>
              <w:right w:val="nil"/>
            </w:tcBorders>
          </w:tcPr>
          <w:p w14:paraId="7684438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0.00557</w:t>
            </w:r>
          </w:p>
        </w:tc>
        <w:tc>
          <w:tcPr>
            <w:tcW w:w="1656" w:type="dxa"/>
            <w:tcBorders>
              <w:top w:val="nil"/>
              <w:left w:val="nil"/>
              <w:bottom w:val="nil"/>
              <w:right w:val="nil"/>
            </w:tcBorders>
          </w:tcPr>
          <w:p w14:paraId="4B204DA4"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0.00308</w:t>
            </w:r>
          </w:p>
        </w:tc>
      </w:tr>
      <w:tr w:rsidR="00892B57" w:rsidRPr="002C32FA" w14:paraId="4CC2EA6A" w14:textId="77777777" w:rsidTr="00F16287">
        <w:tc>
          <w:tcPr>
            <w:tcW w:w="2136" w:type="dxa"/>
            <w:tcBorders>
              <w:top w:val="nil"/>
              <w:left w:val="nil"/>
              <w:bottom w:val="nil"/>
              <w:right w:val="nil"/>
            </w:tcBorders>
          </w:tcPr>
          <w:p w14:paraId="4E8063E3"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2E84D9F3"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(-1.01)</w:t>
            </w:r>
          </w:p>
        </w:tc>
        <w:tc>
          <w:tcPr>
            <w:tcW w:w="1656" w:type="dxa"/>
            <w:tcBorders>
              <w:top w:val="nil"/>
              <w:left w:val="nil"/>
              <w:bottom w:val="nil"/>
              <w:right w:val="nil"/>
            </w:tcBorders>
          </w:tcPr>
          <w:p w14:paraId="39AA1AFE"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(-1.58)</w:t>
            </w:r>
          </w:p>
        </w:tc>
        <w:tc>
          <w:tcPr>
            <w:tcW w:w="1656" w:type="dxa"/>
            <w:tcBorders>
              <w:top w:val="nil"/>
              <w:left w:val="nil"/>
              <w:bottom w:val="nil"/>
              <w:right w:val="nil"/>
            </w:tcBorders>
          </w:tcPr>
          <w:p w14:paraId="4DDA4256"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(0.12)</w:t>
            </w:r>
          </w:p>
        </w:tc>
        <w:tc>
          <w:tcPr>
            <w:tcW w:w="1656" w:type="dxa"/>
            <w:tcBorders>
              <w:top w:val="nil"/>
              <w:left w:val="nil"/>
              <w:bottom w:val="nil"/>
              <w:right w:val="nil"/>
            </w:tcBorders>
          </w:tcPr>
          <w:p w14:paraId="492FC2B2"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(0.92)</w:t>
            </w:r>
          </w:p>
        </w:tc>
        <w:tc>
          <w:tcPr>
            <w:tcW w:w="1656" w:type="dxa"/>
            <w:tcBorders>
              <w:top w:val="nil"/>
              <w:left w:val="nil"/>
              <w:bottom w:val="nil"/>
              <w:right w:val="nil"/>
            </w:tcBorders>
          </w:tcPr>
          <w:p w14:paraId="484CFE41"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(0.71)</w:t>
            </w:r>
          </w:p>
        </w:tc>
      </w:tr>
      <w:tr w:rsidR="00892B57" w:rsidRPr="002C32FA" w14:paraId="606EBE4C" w14:textId="77777777" w:rsidTr="00F16287">
        <w:tc>
          <w:tcPr>
            <w:tcW w:w="2136" w:type="dxa"/>
            <w:tcBorders>
              <w:top w:val="nil"/>
              <w:left w:val="nil"/>
              <w:bottom w:val="nil"/>
              <w:right w:val="nil"/>
            </w:tcBorders>
          </w:tcPr>
          <w:p w14:paraId="6CA7C670"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7B74A009"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442C6218"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75BC110D"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4AE713DC"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DF1CDBE"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355AD674" w14:textId="77777777" w:rsidTr="00F16287">
        <w:tc>
          <w:tcPr>
            <w:tcW w:w="2136" w:type="dxa"/>
            <w:tcBorders>
              <w:top w:val="nil"/>
              <w:left w:val="nil"/>
              <w:bottom w:val="nil"/>
              <w:right w:val="nil"/>
            </w:tcBorders>
          </w:tcPr>
          <w:p w14:paraId="1387665E"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r w:rsidRPr="002C32FA">
              <w:rPr>
                <w:rFonts w:ascii="Times New Roman" w:hAnsi="Times New Roman"/>
                <w:sz w:val="18"/>
                <w:szCs w:val="18"/>
              </w:rPr>
              <w:t>L3.Exchange Rate Classification (RR inverted, higher = more fixed)</w:t>
            </w:r>
          </w:p>
        </w:tc>
        <w:tc>
          <w:tcPr>
            <w:tcW w:w="1656" w:type="dxa"/>
            <w:tcBorders>
              <w:top w:val="nil"/>
              <w:left w:val="nil"/>
              <w:bottom w:val="nil"/>
              <w:right w:val="nil"/>
            </w:tcBorders>
          </w:tcPr>
          <w:p w14:paraId="4C6EE82F"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0.00617</w:t>
            </w:r>
          </w:p>
        </w:tc>
        <w:tc>
          <w:tcPr>
            <w:tcW w:w="1656" w:type="dxa"/>
            <w:tcBorders>
              <w:top w:val="nil"/>
              <w:left w:val="nil"/>
              <w:bottom w:val="nil"/>
              <w:right w:val="nil"/>
            </w:tcBorders>
          </w:tcPr>
          <w:p w14:paraId="55CE2A37"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0.00450</w:t>
            </w:r>
          </w:p>
        </w:tc>
        <w:tc>
          <w:tcPr>
            <w:tcW w:w="1656" w:type="dxa"/>
            <w:tcBorders>
              <w:top w:val="nil"/>
              <w:left w:val="nil"/>
              <w:bottom w:val="nil"/>
              <w:right w:val="nil"/>
            </w:tcBorders>
          </w:tcPr>
          <w:p w14:paraId="6136635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0.00599</w:t>
            </w:r>
          </w:p>
        </w:tc>
        <w:tc>
          <w:tcPr>
            <w:tcW w:w="1656" w:type="dxa"/>
            <w:tcBorders>
              <w:top w:val="nil"/>
              <w:left w:val="nil"/>
              <w:bottom w:val="nil"/>
              <w:right w:val="nil"/>
            </w:tcBorders>
          </w:tcPr>
          <w:p w14:paraId="7E8DAE88"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-0.00614</w:t>
            </w:r>
          </w:p>
        </w:tc>
        <w:tc>
          <w:tcPr>
            <w:tcW w:w="1656" w:type="dxa"/>
            <w:tcBorders>
              <w:top w:val="nil"/>
              <w:left w:val="nil"/>
              <w:bottom w:val="nil"/>
              <w:right w:val="nil"/>
            </w:tcBorders>
          </w:tcPr>
          <w:p w14:paraId="1C6DA4E0"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-0.00792</w:t>
            </w:r>
          </w:p>
        </w:tc>
      </w:tr>
      <w:tr w:rsidR="00892B57" w:rsidRPr="002C32FA" w14:paraId="3EFA771E" w14:textId="77777777" w:rsidTr="00F16287">
        <w:tc>
          <w:tcPr>
            <w:tcW w:w="2136" w:type="dxa"/>
            <w:tcBorders>
              <w:top w:val="nil"/>
              <w:left w:val="nil"/>
              <w:bottom w:val="nil"/>
              <w:right w:val="nil"/>
            </w:tcBorders>
          </w:tcPr>
          <w:p w14:paraId="78E1F901"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01A858A"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(0.27)</w:t>
            </w:r>
          </w:p>
        </w:tc>
        <w:tc>
          <w:tcPr>
            <w:tcW w:w="1656" w:type="dxa"/>
            <w:tcBorders>
              <w:top w:val="nil"/>
              <w:left w:val="nil"/>
              <w:bottom w:val="nil"/>
              <w:right w:val="nil"/>
            </w:tcBorders>
          </w:tcPr>
          <w:p w14:paraId="6481C171"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(0.23)</w:t>
            </w:r>
          </w:p>
        </w:tc>
        <w:tc>
          <w:tcPr>
            <w:tcW w:w="1656" w:type="dxa"/>
            <w:tcBorders>
              <w:top w:val="nil"/>
              <w:left w:val="nil"/>
              <w:bottom w:val="nil"/>
              <w:right w:val="nil"/>
            </w:tcBorders>
          </w:tcPr>
          <w:p w14:paraId="60E702B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(0.21)</w:t>
            </w:r>
          </w:p>
        </w:tc>
        <w:tc>
          <w:tcPr>
            <w:tcW w:w="1656" w:type="dxa"/>
            <w:tcBorders>
              <w:top w:val="nil"/>
              <w:left w:val="nil"/>
              <w:bottom w:val="nil"/>
              <w:right w:val="nil"/>
            </w:tcBorders>
          </w:tcPr>
          <w:p w14:paraId="1960DBB6"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(-0.82)</w:t>
            </w:r>
          </w:p>
        </w:tc>
        <w:tc>
          <w:tcPr>
            <w:tcW w:w="1656" w:type="dxa"/>
            <w:tcBorders>
              <w:top w:val="nil"/>
              <w:left w:val="nil"/>
              <w:bottom w:val="nil"/>
              <w:right w:val="nil"/>
            </w:tcBorders>
          </w:tcPr>
          <w:p w14:paraId="33D9A0C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(-1.47)</w:t>
            </w:r>
          </w:p>
        </w:tc>
      </w:tr>
      <w:tr w:rsidR="00892B57" w:rsidRPr="002C32FA" w14:paraId="256E469C" w14:textId="77777777" w:rsidTr="00F16287">
        <w:tc>
          <w:tcPr>
            <w:tcW w:w="2136" w:type="dxa"/>
            <w:tcBorders>
              <w:top w:val="nil"/>
              <w:left w:val="nil"/>
              <w:bottom w:val="nil"/>
              <w:right w:val="nil"/>
            </w:tcBorders>
          </w:tcPr>
          <w:p w14:paraId="29B89EE7"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2AB4D810"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76D1B6F9"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66657480"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5D33510D"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4B957E9"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3D21041C" w14:textId="77777777" w:rsidTr="00F16287">
        <w:tc>
          <w:tcPr>
            <w:tcW w:w="2136" w:type="dxa"/>
            <w:tcBorders>
              <w:top w:val="nil"/>
              <w:left w:val="nil"/>
              <w:bottom w:val="nil"/>
              <w:right w:val="nil"/>
            </w:tcBorders>
          </w:tcPr>
          <w:p w14:paraId="129794A8"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r w:rsidRPr="002C32FA">
              <w:rPr>
                <w:rFonts w:ascii="Times New Roman" w:hAnsi="Times New Roman"/>
                <w:sz w:val="18"/>
                <w:szCs w:val="18"/>
              </w:rPr>
              <w:t>L4.Exchange Rate Classification (RR inverted, higher = more fixed)</w:t>
            </w:r>
          </w:p>
        </w:tc>
        <w:tc>
          <w:tcPr>
            <w:tcW w:w="1656" w:type="dxa"/>
            <w:tcBorders>
              <w:top w:val="nil"/>
              <w:left w:val="nil"/>
              <w:bottom w:val="nil"/>
              <w:right w:val="nil"/>
            </w:tcBorders>
          </w:tcPr>
          <w:p w14:paraId="5C2EBD88"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0.0170</w:t>
            </w:r>
          </w:p>
        </w:tc>
        <w:tc>
          <w:tcPr>
            <w:tcW w:w="1656" w:type="dxa"/>
            <w:tcBorders>
              <w:top w:val="nil"/>
              <w:left w:val="nil"/>
              <w:bottom w:val="nil"/>
              <w:right w:val="nil"/>
            </w:tcBorders>
          </w:tcPr>
          <w:p w14:paraId="0829F5B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0.0302</w:t>
            </w:r>
          </w:p>
        </w:tc>
        <w:tc>
          <w:tcPr>
            <w:tcW w:w="1656" w:type="dxa"/>
            <w:tcBorders>
              <w:top w:val="nil"/>
              <w:left w:val="nil"/>
              <w:bottom w:val="nil"/>
              <w:right w:val="nil"/>
            </w:tcBorders>
          </w:tcPr>
          <w:p w14:paraId="4CC3D86D"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-0.0148</w:t>
            </w:r>
          </w:p>
        </w:tc>
        <w:tc>
          <w:tcPr>
            <w:tcW w:w="1656" w:type="dxa"/>
            <w:tcBorders>
              <w:top w:val="nil"/>
              <w:left w:val="nil"/>
              <w:bottom w:val="nil"/>
              <w:right w:val="nil"/>
            </w:tcBorders>
          </w:tcPr>
          <w:p w14:paraId="1052A5DE"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-0.00603</w:t>
            </w:r>
          </w:p>
        </w:tc>
        <w:tc>
          <w:tcPr>
            <w:tcW w:w="1656" w:type="dxa"/>
            <w:tcBorders>
              <w:top w:val="nil"/>
              <w:left w:val="nil"/>
              <w:bottom w:val="nil"/>
              <w:right w:val="nil"/>
            </w:tcBorders>
          </w:tcPr>
          <w:p w14:paraId="4DB1E813"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-0.00411</w:t>
            </w:r>
          </w:p>
        </w:tc>
      </w:tr>
      <w:tr w:rsidR="00892B57" w:rsidRPr="002C32FA" w14:paraId="7EACD060" w14:textId="77777777" w:rsidTr="00F16287">
        <w:tc>
          <w:tcPr>
            <w:tcW w:w="2136" w:type="dxa"/>
            <w:tcBorders>
              <w:top w:val="nil"/>
              <w:left w:val="nil"/>
              <w:bottom w:val="nil"/>
              <w:right w:val="nil"/>
            </w:tcBorders>
          </w:tcPr>
          <w:p w14:paraId="36A76C88"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4FFB6663"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(0.72)</w:t>
            </w:r>
          </w:p>
        </w:tc>
        <w:tc>
          <w:tcPr>
            <w:tcW w:w="1656" w:type="dxa"/>
            <w:tcBorders>
              <w:top w:val="nil"/>
              <w:left w:val="nil"/>
              <w:bottom w:val="nil"/>
              <w:right w:val="nil"/>
            </w:tcBorders>
          </w:tcPr>
          <w:p w14:paraId="7A93BAA7"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(1.39)</w:t>
            </w:r>
          </w:p>
        </w:tc>
        <w:tc>
          <w:tcPr>
            <w:tcW w:w="1656" w:type="dxa"/>
            <w:tcBorders>
              <w:top w:val="nil"/>
              <w:left w:val="nil"/>
              <w:bottom w:val="nil"/>
              <w:right w:val="nil"/>
            </w:tcBorders>
          </w:tcPr>
          <w:p w14:paraId="106C9EF1"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(-0.71)</w:t>
            </w:r>
          </w:p>
        </w:tc>
        <w:tc>
          <w:tcPr>
            <w:tcW w:w="1656" w:type="dxa"/>
            <w:tcBorders>
              <w:top w:val="nil"/>
              <w:left w:val="nil"/>
              <w:bottom w:val="nil"/>
              <w:right w:val="nil"/>
            </w:tcBorders>
          </w:tcPr>
          <w:p w14:paraId="321A4A36"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(-0.97)</w:t>
            </w:r>
          </w:p>
        </w:tc>
        <w:tc>
          <w:tcPr>
            <w:tcW w:w="1656" w:type="dxa"/>
            <w:tcBorders>
              <w:top w:val="nil"/>
              <w:left w:val="nil"/>
              <w:bottom w:val="nil"/>
              <w:right w:val="nil"/>
            </w:tcBorders>
          </w:tcPr>
          <w:p w14:paraId="359DB81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(-1.06)</w:t>
            </w:r>
          </w:p>
        </w:tc>
      </w:tr>
      <w:tr w:rsidR="00892B57" w:rsidRPr="002C32FA" w14:paraId="42F0D4CD" w14:textId="77777777" w:rsidTr="00F16287">
        <w:tc>
          <w:tcPr>
            <w:tcW w:w="2136" w:type="dxa"/>
            <w:tcBorders>
              <w:top w:val="nil"/>
              <w:left w:val="nil"/>
              <w:bottom w:val="nil"/>
              <w:right w:val="nil"/>
            </w:tcBorders>
          </w:tcPr>
          <w:p w14:paraId="46C2FAA5"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41166AE0"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40EF289"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C7B3F79"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3F3EC64B"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664A1412"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31685F08" w14:textId="77777777" w:rsidTr="00F16287">
        <w:tc>
          <w:tcPr>
            <w:tcW w:w="2136" w:type="dxa"/>
            <w:tcBorders>
              <w:top w:val="nil"/>
              <w:left w:val="nil"/>
              <w:bottom w:val="nil"/>
              <w:right w:val="nil"/>
            </w:tcBorders>
          </w:tcPr>
          <w:p w14:paraId="2C208348"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r w:rsidRPr="002C32FA">
              <w:rPr>
                <w:rFonts w:ascii="Times New Roman" w:hAnsi="Times New Roman"/>
                <w:sz w:val="18"/>
                <w:szCs w:val="18"/>
              </w:rPr>
              <w:t>L5.Exchange Rate Classification (RR inverted, higher = more fixed)</w:t>
            </w:r>
          </w:p>
        </w:tc>
        <w:tc>
          <w:tcPr>
            <w:tcW w:w="1656" w:type="dxa"/>
            <w:tcBorders>
              <w:top w:val="nil"/>
              <w:left w:val="nil"/>
              <w:bottom w:val="nil"/>
              <w:right w:val="nil"/>
            </w:tcBorders>
          </w:tcPr>
          <w:p w14:paraId="76592D9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-0.0239</w:t>
            </w:r>
          </w:p>
        </w:tc>
        <w:tc>
          <w:tcPr>
            <w:tcW w:w="1656" w:type="dxa"/>
            <w:tcBorders>
              <w:top w:val="nil"/>
              <w:left w:val="nil"/>
              <w:bottom w:val="nil"/>
              <w:right w:val="nil"/>
            </w:tcBorders>
          </w:tcPr>
          <w:p w14:paraId="5636917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-0.0228</w:t>
            </w:r>
          </w:p>
        </w:tc>
        <w:tc>
          <w:tcPr>
            <w:tcW w:w="1656" w:type="dxa"/>
            <w:tcBorders>
              <w:top w:val="nil"/>
              <w:left w:val="nil"/>
              <w:bottom w:val="nil"/>
              <w:right w:val="nil"/>
            </w:tcBorders>
          </w:tcPr>
          <w:p w14:paraId="067717BD"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0.0415</w:t>
            </w:r>
            <w:r w:rsidRPr="002C32FA">
              <w:rPr>
                <w:rFonts w:ascii="Times New Roman" w:hAnsi="Times New Roman"/>
                <w:sz w:val="18"/>
                <w:szCs w:val="18"/>
                <w:vertAlign w:val="superscript"/>
              </w:rPr>
              <w:t>*</w:t>
            </w:r>
          </w:p>
        </w:tc>
        <w:tc>
          <w:tcPr>
            <w:tcW w:w="1656" w:type="dxa"/>
            <w:tcBorders>
              <w:top w:val="nil"/>
              <w:left w:val="nil"/>
              <w:bottom w:val="nil"/>
              <w:right w:val="nil"/>
            </w:tcBorders>
          </w:tcPr>
          <w:p w14:paraId="21D6662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-0.00221</w:t>
            </w:r>
          </w:p>
        </w:tc>
        <w:tc>
          <w:tcPr>
            <w:tcW w:w="1656" w:type="dxa"/>
            <w:tcBorders>
              <w:top w:val="nil"/>
              <w:left w:val="nil"/>
              <w:bottom w:val="nil"/>
              <w:right w:val="nil"/>
            </w:tcBorders>
          </w:tcPr>
          <w:p w14:paraId="3919E4B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0.00498</w:t>
            </w:r>
          </w:p>
        </w:tc>
      </w:tr>
      <w:tr w:rsidR="00892B57" w:rsidRPr="002C32FA" w14:paraId="31C00E9F" w14:textId="77777777" w:rsidTr="00F16287">
        <w:tc>
          <w:tcPr>
            <w:tcW w:w="2136" w:type="dxa"/>
            <w:tcBorders>
              <w:top w:val="nil"/>
              <w:left w:val="nil"/>
              <w:bottom w:val="nil"/>
              <w:right w:val="nil"/>
            </w:tcBorders>
          </w:tcPr>
          <w:p w14:paraId="0C1276DF"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3B670EFF"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(-1.22)</w:t>
            </w:r>
          </w:p>
        </w:tc>
        <w:tc>
          <w:tcPr>
            <w:tcW w:w="1656" w:type="dxa"/>
            <w:tcBorders>
              <w:top w:val="nil"/>
              <w:left w:val="nil"/>
              <w:bottom w:val="nil"/>
              <w:right w:val="nil"/>
            </w:tcBorders>
          </w:tcPr>
          <w:p w14:paraId="7BB71923"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(-1.15)</w:t>
            </w:r>
          </w:p>
        </w:tc>
        <w:tc>
          <w:tcPr>
            <w:tcW w:w="1656" w:type="dxa"/>
            <w:tcBorders>
              <w:top w:val="nil"/>
              <w:left w:val="nil"/>
              <w:bottom w:val="nil"/>
              <w:right w:val="nil"/>
            </w:tcBorders>
          </w:tcPr>
          <w:p w14:paraId="3A4C3F03"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(2.04)</w:t>
            </w:r>
          </w:p>
        </w:tc>
        <w:tc>
          <w:tcPr>
            <w:tcW w:w="1656" w:type="dxa"/>
            <w:tcBorders>
              <w:top w:val="nil"/>
              <w:left w:val="nil"/>
              <w:bottom w:val="nil"/>
              <w:right w:val="nil"/>
            </w:tcBorders>
          </w:tcPr>
          <w:p w14:paraId="1A1A3421"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(-0.47)</w:t>
            </w:r>
          </w:p>
        </w:tc>
        <w:tc>
          <w:tcPr>
            <w:tcW w:w="1656" w:type="dxa"/>
            <w:tcBorders>
              <w:top w:val="nil"/>
              <w:left w:val="nil"/>
              <w:bottom w:val="nil"/>
              <w:right w:val="nil"/>
            </w:tcBorders>
          </w:tcPr>
          <w:p w14:paraId="7A4E87E3"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(1.43)</w:t>
            </w:r>
          </w:p>
        </w:tc>
      </w:tr>
      <w:tr w:rsidR="00892B57" w:rsidRPr="002C32FA" w14:paraId="4C436689" w14:textId="77777777" w:rsidTr="00F16287">
        <w:tc>
          <w:tcPr>
            <w:tcW w:w="2136" w:type="dxa"/>
            <w:tcBorders>
              <w:top w:val="nil"/>
              <w:left w:val="nil"/>
              <w:bottom w:val="nil"/>
              <w:right w:val="nil"/>
            </w:tcBorders>
          </w:tcPr>
          <w:p w14:paraId="2FFDA6AE"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30F02E8A"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093628FF"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7DCF6F56"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9EF38FF"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096A40C4"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4A33A84D" w14:textId="77777777" w:rsidTr="00F16287">
        <w:tc>
          <w:tcPr>
            <w:tcW w:w="2136" w:type="dxa"/>
            <w:tcBorders>
              <w:top w:val="nil"/>
              <w:left w:val="nil"/>
              <w:bottom w:val="nil"/>
              <w:right w:val="nil"/>
            </w:tcBorders>
          </w:tcPr>
          <w:p w14:paraId="50C16C9C"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r w:rsidRPr="002C32FA">
              <w:rPr>
                <w:rFonts w:ascii="Times New Roman" w:hAnsi="Times New Roman"/>
                <w:sz w:val="18"/>
                <w:szCs w:val="18"/>
              </w:rPr>
              <w:t>L6.Exchange Rate Classification (RR inverted, higher = more fixed)</w:t>
            </w:r>
          </w:p>
        </w:tc>
        <w:tc>
          <w:tcPr>
            <w:tcW w:w="1656" w:type="dxa"/>
            <w:tcBorders>
              <w:top w:val="nil"/>
              <w:left w:val="nil"/>
              <w:bottom w:val="nil"/>
              <w:right w:val="nil"/>
            </w:tcBorders>
          </w:tcPr>
          <w:p w14:paraId="27708A8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0.00535</w:t>
            </w:r>
          </w:p>
        </w:tc>
        <w:tc>
          <w:tcPr>
            <w:tcW w:w="1656" w:type="dxa"/>
            <w:tcBorders>
              <w:top w:val="nil"/>
              <w:left w:val="nil"/>
              <w:bottom w:val="nil"/>
              <w:right w:val="nil"/>
            </w:tcBorders>
          </w:tcPr>
          <w:p w14:paraId="237ECEB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-0.00538</w:t>
            </w:r>
          </w:p>
        </w:tc>
        <w:tc>
          <w:tcPr>
            <w:tcW w:w="1656" w:type="dxa"/>
            <w:tcBorders>
              <w:top w:val="nil"/>
              <w:left w:val="nil"/>
              <w:bottom w:val="nil"/>
              <w:right w:val="nil"/>
            </w:tcBorders>
          </w:tcPr>
          <w:p w14:paraId="52CDC18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-0.0390</w:t>
            </w:r>
          </w:p>
        </w:tc>
        <w:tc>
          <w:tcPr>
            <w:tcW w:w="1656" w:type="dxa"/>
            <w:tcBorders>
              <w:top w:val="nil"/>
              <w:left w:val="nil"/>
              <w:bottom w:val="nil"/>
              <w:right w:val="nil"/>
            </w:tcBorders>
          </w:tcPr>
          <w:p w14:paraId="3A868A4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0.00280</w:t>
            </w:r>
          </w:p>
        </w:tc>
        <w:tc>
          <w:tcPr>
            <w:tcW w:w="1656" w:type="dxa"/>
            <w:tcBorders>
              <w:top w:val="nil"/>
              <w:left w:val="nil"/>
              <w:bottom w:val="nil"/>
              <w:right w:val="nil"/>
            </w:tcBorders>
          </w:tcPr>
          <w:p w14:paraId="5674642B"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0.00103</w:t>
            </w:r>
          </w:p>
        </w:tc>
      </w:tr>
      <w:tr w:rsidR="00892B57" w:rsidRPr="002C32FA" w14:paraId="189B6104" w14:textId="77777777" w:rsidTr="00F16287">
        <w:tc>
          <w:tcPr>
            <w:tcW w:w="2136" w:type="dxa"/>
            <w:tcBorders>
              <w:top w:val="nil"/>
              <w:left w:val="nil"/>
              <w:bottom w:val="nil"/>
              <w:right w:val="nil"/>
            </w:tcBorders>
          </w:tcPr>
          <w:p w14:paraId="3ACC7447"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5095AD9F"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(0.27)</w:t>
            </w:r>
          </w:p>
        </w:tc>
        <w:tc>
          <w:tcPr>
            <w:tcW w:w="1656" w:type="dxa"/>
            <w:tcBorders>
              <w:top w:val="nil"/>
              <w:left w:val="nil"/>
              <w:bottom w:val="nil"/>
              <w:right w:val="nil"/>
            </w:tcBorders>
          </w:tcPr>
          <w:p w14:paraId="193280D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(-0.32)</w:t>
            </w:r>
          </w:p>
        </w:tc>
        <w:tc>
          <w:tcPr>
            <w:tcW w:w="1656" w:type="dxa"/>
            <w:tcBorders>
              <w:top w:val="nil"/>
              <w:left w:val="nil"/>
              <w:bottom w:val="nil"/>
              <w:right w:val="nil"/>
            </w:tcBorders>
          </w:tcPr>
          <w:p w14:paraId="41853D93"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(-1.61)</w:t>
            </w:r>
          </w:p>
        </w:tc>
        <w:tc>
          <w:tcPr>
            <w:tcW w:w="1656" w:type="dxa"/>
            <w:tcBorders>
              <w:top w:val="nil"/>
              <w:left w:val="nil"/>
              <w:bottom w:val="nil"/>
              <w:right w:val="nil"/>
            </w:tcBorders>
          </w:tcPr>
          <w:p w14:paraId="2F98143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(0.64)</w:t>
            </w:r>
          </w:p>
        </w:tc>
        <w:tc>
          <w:tcPr>
            <w:tcW w:w="1656" w:type="dxa"/>
            <w:tcBorders>
              <w:top w:val="nil"/>
              <w:left w:val="nil"/>
              <w:bottom w:val="nil"/>
              <w:right w:val="nil"/>
            </w:tcBorders>
          </w:tcPr>
          <w:p w14:paraId="784C0CFE"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(0.35)</w:t>
            </w:r>
          </w:p>
        </w:tc>
      </w:tr>
      <w:tr w:rsidR="00892B57" w:rsidRPr="002C32FA" w14:paraId="35F4E07D" w14:textId="77777777" w:rsidTr="00F16287">
        <w:tc>
          <w:tcPr>
            <w:tcW w:w="2136" w:type="dxa"/>
            <w:tcBorders>
              <w:top w:val="nil"/>
              <w:left w:val="nil"/>
              <w:bottom w:val="nil"/>
              <w:right w:val="nil"/>
            </w:tcBorders>
          </w:tcPr>
          <w:p w14:paraId="1BE589EE"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4FE94122"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42748EBE"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0C94DD41"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45F8AC01"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6FEB6E57"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5F42C0F6" w14:textId="77777777" w:rsidTr="00F16287">
        <w:tc>
          <w:tcPr>
            <w:tcW w:w="2136" w:type="dxa"/>
            <w:tcBorders>
              <w:top w:val="nil"/>
              <w:left w:val="nil"/>
              <w:bottom w:val="nil"/>
              <w:right w:val="nil"/>
            </w:tcBorders>
          </w:tcPr>
          <w:p w14:paraId="0E54F002"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r w:rsidRPr="002C32FA">
              <w:rPr>
                <w:rFonts w:ascii="Times New Roman" w:hAnsi="Times New Roman"/>
                <w:sz w:val="18"/>
                <w:szCs w:val="18"/>
              </w:rPr>
              <w:t>L7.Exchange Rate Classification (RR inverted, higher = more fixed)</w:t>
            </w:r>
          </w:p>
        </w:tc>
        <w:tc>
          <w:tcPr>
            <w:tcW w:w="1656" w:type="dxa"/>
            <w:tcBorders>
              <w:top w:val="nil"/>
              <w:left w:val="nil"/>
              <w:bottom w:val="nil"/>
              <w:right w:val="nil"/>
            </w:tcBorders>
          </w:tcPr>
          <w:p w14:paraId="6B8832F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0.0337</w:t>
            </w:r>
          </w:p>
        </w:tc>
        <w:tc>
          <w:tcPr>
            <w:tcW w:w="1656" w:type="dxa"/>
            <w:tcBorders>
              <w:top w:val="nil"/>
              <w:left w:val="nil"/>
              <w:bottom w:val="nil"/>
              <w:right w:val="nil"/>
            </w:tcBorders>
          </w:tcPr>
          <w:p w14:paraId="631867C7"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0.0160</w:t>
            </w:r>
          </w:p>
        </w:tc>
        <w:tc>
          <w:tcPr>
            <w:tcW w:w="1656" w:type="dxa"/>
            <w:tcBorders>
              <w:top w:val="nil"/>
              <w:left w:val="nil"/>
              <w:bottom w:val="nil"/>
              <w:right w:val="nil"/>
            </w:tcBorders>
          </w:tcPr>
          <w:p w14:paraId="3A5217BB"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0.0394</w:t>
            </w:r>
            <w:r w:rsidRPr="002C32FA">
              <w:rPr>
                <w:rFonts w:ascii="Times New Roman" w:hAnsi="Times New Roman"/>
                <w:sz w:val="18"/>
                <w:szCs w:val="18"/>
                <w:vertAlign w:val="superscript"/>
              </w:rPr>
              <w:t>*</w:t>
            </w:r>
          </w:p>
        </w:tc>
        <w:tc>
          <w:tcPr>
            <w:tcW w:w="1656" w:type="dxa"/>
            <w:tcBorders>
              <w:top w:val="nil"/>
              <w:left w:val="nil"/>
              <w:bottom w:val="nil"/>
              <w:right w:val="nil"/>
            </w:tcBorders>
          </w:tcPr>
          <w:p w14:paraId="7A6543F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-0.0106</w:t>
            </w:r>
            <w:r w:rsidRPr="002C32FA">
              <w:rPr>
                <w:rFonts w:ascii="Times New Roman" w:hAnsi="Times New Roman"/>
                <w:sz w:val="18"/>
                <w:szCs w:val="18"/>
                <w:vertAlign w:val="superscript"/>
              </w:rPr>
              <w:t>*</w:t>
            </w:r>
          </w:p>
        </w:tc>
        <w:tc>
          <w:tcPr>
            <w:tcW w:w="1656" w:type="dxa"/>
            <w:tcBorders>
              <w:top w:val="nil"/>
              <w:left w:val="nil"/>
              <w:bottom w:val="nil"/>
              <w:right w:val="nil"/>
            </w:tcBorders>
          </w:tcPr>
          <w:p w14:paraId="19EE1FB2"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-0.00125</w:t>
            </w:r>
          </w:p>
        </w:tc>
      </w:tr>
      <w:tr w:rsidR="00892B57" w:rsidRPr="002C32FA" w14:paraId="431E82C1" w14:textId="77777777" w:rsidTr="00F16287">
        <w:tc>
          <w:tcPr>
            <w:tcW w:w="2136" w:type="dxa"/>
            <w:tcBorders>
              <w:top w:val="nil"/>
              <w:left w:val="nil"/>
              <w:bottom w:val="nil"/>
              <w:right w:val="nil"/>
            </w:tcBorders>
          </w:tcPr>
          <w:p w14:paraId="1EF17A48"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30ECD8A0"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(1.68)</w:t>
            </w:r>
          </w:p>
        </w:tc>
        <w:tc>
          <w:tcPr>
            <w:tcW w:w="1656" w:type="dxa"/>
            <w:tcBorders>
              <w:top w:val="nil"/>
              <w:left w:val="nil"/>
              <w:bottom w:val="nil"/>
              <w:right w:val="nil"/>
            </w:tcBorders>
          </w:tcPr>
          <w:p w14:paraId="093F3C02"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(1.01)</w:t>
            </w:r>
          </w:p>
        </w:tc>
        <w:tc>
          <w:tcPr>
            <w:tcW w:w="1656" w:type="dxa"/>
            <w:tcBorders>
              <w:top w:val="nil"/>
              <w:left w:val="nil"/>
              <w:bottom w:val="nil"/>
              <w:right w:val="nil"/>
            </w:tcBorders>
          </w:tcPr>
          <w:p w14:paraId="59EDCFF3"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(2.03)</w:t>
            </w:r>
          </w:p>
        </w:tc>
        <w:tc>
          <w:tcPr>
            <w:tcW w:w="1656" w:type="dxa"/>
            <w:tcBorders>
              <w:top w:val="nil"/>
              <w:left w:val="nil"/>
              <w:bottom w:val="nil"/>
              <w:right w:val="nil"/>
            </w:tcBorders>
          </w:tcPr>
          <w:p w14:paraId="134F721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(-2.45)</w:t>
            </w:r>
          </w:p>
        </w:tc>
        <w:tc>
          <w:tcPr>
            <w:tcW w:w="1656" w:type="dxa"/>
            <w:tcBorders>
              <w:top w:val="nil"/>
              <w:left w:val="nil"/>
              <w:bottom w:val="nil"/>
              <w:right w:val="nil"/>
            </w:tcBorders>
          </w:tcPr>
          <w:p w14:paraId="69D8F43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(-0.36)</w:t>
            </w:r>
          </w:p>
        </w:tc>
      </w:tr>
      <w:tr w:rsidR="00892B57" w:rsidRPr="002C32FA" w14:paraId="0AE8CA7A" w14:textId="77777777" w:rsidTr="00F16287">
        <w:tc>
          <w:tcPr>
            <w:tcW w:w="2136" w:type="dxa"/>
            <w:tcBorders>
              <w:top w:val="nil"/>
              <w:left w:val="nil"/>
              <w:bottom w:val="nil"/>
              <w:right w:val="nil"/>
            </w:tcBorders>
          </w:tcPr>
          <w:p w14:paraId="048B019B"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63C94277"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3B07C10C"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3385BFD4"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2D1CF305"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4AA3D9D6"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6E10DE4B" w14:textId="77777777" w:rsidTr="00F16287">
        <w:tc>
          <w:tcPr>
            <w:tcW w:w="2136" w:type="dxa"/>
            <w:tcBorders>
              <w:top w:val="nil"/>
              <w:left w:val="nil"/>
              <w:bottom w:val="nil"/>
              <w:right w:val="nil"/>
            </w:tcBorders>
          </w:tcPr>
          <w:p w14:paraId="1FAC54BB"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r w:rsidRPr="002C32FA">
              <w:rPr>
                <w:rFonts w:ascii="Times New Roman" w:hAnsi="Times New Roman"/>
                <w:sz w:val="18"/>
                <w:szCs w:val="18"/>
              </w:rPr>
              <w:t>L8.Exchange Rate Classification (RR inverted, higher = more fixed)</w:t>
            </w:r>
          </w:p>
        </w:tc>
        <w:tc>
          <w:tcPr>
            <w:tcW w:w="1656" w:type="dxa"/>
            <w:tcBorders>
              <w:top w:val="nil"/>
              <w:left w:val="nil"/>
              <w:bottom w:val="nil"/>
              <w:right w:val="nil"/>
            </w:tcBorders>
          </w:tcPr>
          <w:p w14:paraId="313B5C6E"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-0.0296</w:t>
            </w:r>
          </w:p>
        </w:tc>
        <w:tc>
          <w:tcPr>
            <w:tcW w:w="1656" w:type="dxa"/>
            <w:tcBorders>
              <w:top w:val="nil"/>
              <w:left w:val="nil"/>
              <w:bottom w:val="nil"/>
              <w:right w:val="nil"/>
            </w:tcBorders>
          </w:tcPr>
          <w:p w14:paraId="4D55C146"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-0.0126</w:t>
            </w:r>
          </w:p>
        </w:tc>
        <w:tc>
          <w:tcPr>
            <w:tcW w:w="1656" w:type="dxa"/>
            <w:tcBorders>
              <w:top w:val="nil"/>
              <w:left w:val="nil"/>
              <w:bottom w:val="nil"/>
              <w:right w:val="nil"/>
            </w:tcBorders>
          </w:tcPr>
          <w:p w14:paraId="6DE4880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-0.0420</w:t>
            </w:r>
          </w:p>
        </w:tc>
        <w:tc>
          <w:tcPr>
            <w:tcW w:w="1656" w:type="dxa"/>
            <w:tcBorders>
              <w:top w:val="nil"/>
              <w:left w:val="nil"/>
              <w:bottom w:val="nil"/>
              <w:right w:val="nil"/>
            </w:tcBorders>
          </w:tcPr>
          <w:p w14:paraId="73442A98"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0.00134</w:t>
            </w:r>
          </w:p>
        </w:tc>
        <w:tc>
          <w:tcPr>
            <w:tcW w:w="1656" w:type="dxa"/>
            <w:tcBorders>
              <w:top w:val="nil"/>
              <w:left w:val="nil"/>
              <w:bottom w:val="nil"/>
              <w:right w:val="nil"/>
            </w:tcBorders>
          </w:tcPr>
          <w:p w14:paraId="1922FB56"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0.000735</w:t>
            </w:r>
          </w:p>
        </w:tc>
      </w:tr>
      <w:tr w:rsidR="00892B57" w:rsidRPr="002C32FA" w14:paraId="1F36422B" w14:textId="77777777" w:rsidTr="00F16287">
        <w:tc>
          <w:tcPr>
            <w:tcW w:w="2136" w:type="dxa"/>
            <w:tcBorders>
              <w:top w:val="nil"/>
              <w:left w:val="nil"/>
              <w:bottom w:val="nil"/>
              <w:right w:val="nil"/>
            </w:tcBorders>
          </w:tcPr>
          <w:p w14:paraId="182CCB19"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09784EA2"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(-1.82)</w:t>
            </w:r>
          </w:p>
        </w:tc>
        <w:tc>
          <w:tcPr>
            <w:tcW w:w="1656" w:type="dxa"/>
            <w:tcBorders>
              <w:top w:val="nil"/>
              <w:left w:val="nil"/>
              <w:bottom w:val="nil"/>
              <w:right w:val="nil"/>
            </w:tcBorders>
          </w:tcPr>
          <w:p w14:paraId="676D5A71"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(-1.10)</w:t>
            </w:r>
          </w:p>
        </w:tc>
        <w:tc>
          <w:tcPr>
            <w:tcW w:w="1656" w:type="dxa"/>
            <w:tcBorders>
              <w:top w:val="nil"/>
              <w:left w:val="nil"/>
              <w:bottom w:val="nil"/>
              <w:right w:val="nil"/>
            </w:tcBorders>
          </w:tcPr>
          <w:p w14:paraId="693386BA"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(-1.81)</w:t>
            </w:r>
          </w:p>
        </w:tc>
        <w:tc>
          <w:tcPr>
            <w:tcW w:w="1656" w:type="dxa"/>
            <w:tcBorders>
              <w:top w:val="nil"/>
              <w:left w:val="nil"/>
              <w:bottom w:val="nil"/>
              <w:right w:val="nil"/>
            </w:tcBorders>
          </w:tcPr>
          <w:p w14:paraId="78C47A10"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(0.35)</w:t>
            </w:r>
          </w:p>
        </w:tc>
        <w:tc>
          <w:tcPr>
            <w:tcW w:w="1656" w:type="dxa"/>
            <w:tcBorders>
              <w:top w:val="nil"/>
              <w:left w:val="nil"/>
              <w:bottom w:val="nil"/>
              <w:right w:val="nil"/>
            </w:tcBorders>
          </w:tcPr>
          <w:p w14:paraId="248BB89E"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(0.23)</w:t>
            </w:r>
          </w:p>
        </w:tc>
      </w:tr>
      <w:tr w:rsidR="00892B57" w:rsidRPr="002C32FA" w14:paraId="5728919D" w14:textId="77777777" w:rsidTr="00F16287">
        <w:tc>
          <w:tcPr>
            <w:tcW w:w="2136" w:type="dxa"/>
            <w:tcBorders>
              <w:top w:val="nil"/>
              <w:left w:val="nil"/>
              <w:bottom w:val="nil"/>
              <w:right w:val="nil"/>
            </w:tcBorders>
          </w:tcPr>
          <w:p w14:paraId="7F952B02"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89FDF32"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48423131"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2E660F33"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C61EEAC"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740DF979"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78434ED0" w14:textId="77777777" w:rsidTr="00F16287">
        <w:tc>
          <w:tcPr>
            <w:tcW w:w="2136" w:type="dxa"/>
            <w:tcBorders>
              <w:top w:val="nil"/>
              <w:left w:val="nil"/>
              <w:bottom w:val="nil"/>
              <w:right w:val="nil"/>
            </w:tcBorders>
          </w:tcPr>
          <w:p w14:paraId="4A671B36"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r w:rsidRPr="002C32FA">
              <w:rPr>
                <w:rFonts w:ascii="Times New Roman" w:hAnsi="Times New Roman"/>
                <w:sz w:val="18"/>
                <w:szCs w:val="18"/>
              </w:rPr>
              <w:t>L9.Exchange Rate Classification (RR inverted, higher = more fixed)</w:t>
            </w:r>
          </w:p>
        </w:tc>
        <w:tc>
          <w:tcPr>
            <w:tcW w:w="1656" w:type="dxa"/>
            <w:tcBorders>
              <w:top w:val="nil"/>
              <w:left w:val="nil"/>
              <w:bottom w:val="nil"/>
              <w:right w:val="nil"/>
            </w:tcBorders>
          </w:tcPr>
          <w:p w14:paraId="708BC506"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0.0189</w:t>
            </w:r>
          </w:p>
        </w:tc>
        <w:tc>
          <w:tcPr>
            <w:tcW w:w="1656" w:type="dxa"/>
            <w:tcBorders>
              <w:top w:val="nil"/>
              <w:left w:val="nil"/>
              <w:bottom w:val="nil"/>
              <w:right w:val="nil"/>
            </w:tcBorders>
          </w:tcPr>
          <w:p w14:paraId="3D12724A"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0.00353</w:t>
            </w:r>
          </w:p>
        </w:tc>
        <w:tc>
          <w:tcPr>
            <w:tcW w:w="1656" w:type="dxa"/>
            <w:tcBorders>
              <w:top w:val="nil"/>
              <w:left w:val="nil"/>
              <w:bottom w:val="nil"/>
              <w:right w:val="nil"/>
            </w:tcBorders>
          </w:tcPr>
          <w:p w14:paraId="07B7452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0.0102</w:t>
            </w:r>
          </w:p>
        </w:tc>
        <w:tc>
          <w:tcPr>
            <w:tcW w:w="1656" w:type="dxa"/>
            <w:tcBorders>
              <w:top w:val="nil"/>
              <w:left w:val="nil"/>
              <w:bottom w:val="nil"/>
              <w:right w:val="nil"/>
            </w:tcBorders>
          </w:tcPr>
          <w:p w14:paraId="1CE46221"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-0.00639</w:t>
            </w:r>
          </w:p>
        </w:tc>
        <w:tc>
          <w:tcPr>
            <w:tcW w:w="1656" w:type="dxa"/>
            <w:tcBorders>
              <w:top w:val="nil"/>
              <w:left w:val="nil"/>
              <w:bottom w:val="nil"/>
              <w:right w:val="nil"/>
            </w:tcBorders>
          </w:tcPr>
          <w:p w14:paraId="00953C9F"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0.00573</w:t>
            </w:r>
          </w:p>
        </w:tc>
      </w:tr>
      <w:tr w:rsidR="00892B57" w:rsidRPr="002C32FA" w14:paraId="5939E656" w14:textId="77777777" w:rsidTr="00F16287">
        <w:tc>
          <w:tcPr>
            <w:tcW w:w="2136" w:type="dxa"/>
            <w:tcBorders>
              <w:top w:val="nil"/>
              <w:left w:val="nil"/>
              <w:bottom w:val="nil"/>
              <w:right w:val="nil"/>
            </w:tcBorders>
          </w:tcPr>
          <w:p w14:paraId="49338477"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586D94D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(1.15)</w:t>
            </w:r>
          </w:p>
        </w:tc>
        <w:tc>
          <w:tcPr>
            <w:tcW w:w="1656" w:type="dxa"/>
            <w:tcBorders>
              <w:top w:val="nil"/>
              <w:left w:val="nil"/>
              <w:bottom w:val="nil"/>
              <w:right w:val="nil"/>
            </w:tcBorders>
          </w:tcPr>
          <w:p w14:paraId="7EF393C8"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(0.28)</w:t>
            </w:r>
          </w:p>
        </w:tc>
        <w:tc>
          <w:tcPr>
            <w:tcW w:w="1656" w:type="dxa"/>
            <w:tcBorders>
              <w:top w:val="nil"/>
              <w:left w:val="nil"/>
              <w:bottom w:val="nil"/>
              <w:right w:val="nil"/>
            </w:tcBorders>
          </w:tcPr>
          <w:p w14:paraId="617948C7"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(0.45)</w:t>
            </w:r>
          </w:p>
        </w:tc>
        <w:tc>
          <w:tcPr>
            <w:tcW w:w="1656" w:type="dxa"/>
            <w:tcBorders>
              <w:top w:val="nil"/>
              <w:left w:val="nil"/>
              <w:bottom w:val="nil"/>
              <w:right w:val="nil"/>
            </w:tcBorders>
          </w:tcPr>
          <w:p w14:paraId="04E9F481"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(-1.59)</w:t>
            </w:r>
          </w:p>
        </w:tc>
        <w:tc>
          <w:tcPr>
            <w:tcW w:w="1656" w:type="dxa"/>
            <w:tcBorders>
              <w:top w:val="nil"/>
              <w:left w:val="nil"/>
              <w:bottom w:val="nil"/>
              <w:right w:val="nil"/>
            </w:tcBorders>
          </w:tcPr>
          <w:p w14:paraId="1E55B628"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(1.55)</w:t>
            </w:r>
          </w:p>
        </w:tc>
      </w:tr>
      <w:tr w:rsidR="00892B57" w:rsidRPr="002C32FA" w14:paraId="361E26A8" w14:textId="77777777" w:rsidTr="00F16287">
        <w:tc>
          <w:tcPr>
            <w:tcW w:w="2136" w:type="dxa"/>
            <w:tcBorders>
              <w:top w:val="nil"/>
              <w:left w:val="nil"/>
              <w:bottom w:val="nil"/>
              <w:right w:val="nil"/>
            </w:tcBorders>
          </w:tcPr>
          <w:p w14:paraId="1D4647DD"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2C3F9BDD"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F4B3811"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23B2A24B"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1708E0FA"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4AABA678"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317A6235" w14:textId="77777777" w:rsidTr="00F16287">
        <w:tc>
          <w:tcPr>
            <w:tcW w:w="2136" w:type="dxa"/>
            <w:tcBorders>
              <w:top w:val="nil"/>
              <w:left w:val="nil"/>
              <w:bottom w:val="nil"/>
              <w:right w:val="nil"/>
            </w:tcBorders>
          </w:tcPr>
          <w:p w14:paraId="3DBDC56F"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r w:rsidRPr="002C32FA">
              <w:rPr>
                <w:rFonts w:ascii="Times New Roman" w:hAnsi="Times New Roman"/>
                <w:sz w:val="18"/>
                <w:szCs w:val="18"/>
              </w:rPr>
              <w:t>L10.Exchange Rate Classification (RR inverted, higher = more fixed)</w:t>
            </w:r>
          </w:p>
        </w:tc>
        <w:tc>
          <w:tcPr>
            <w:tcW w:w="1656" w:type="dxa"/>
            <w:tcBorders>
              <w:top w:val="nil"/>
              <w:left w:val="nil"/>
              <w:bottom w:val="nil"/>
              <w:right w:val="nil"/>
            </w:tcBorders>
          </w:tcPr>
          <w:p w14:paraId="344C1B53"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-0.0171</w:t>
            </w:r>
          </w:p>
        </w:tc>
        <w:tc>
          <w:tcPr>
            <w:tcW w:w="1656" w:type="dxa"/>
            <w:tcBorders>
              <w:top w:val="nil"/>
              <w:left w:val="nil"/>
              <w:bottom w:val="nil"/>
              <w:right w:val="nil"/>
            </w:tcBorders>
          </w:tcPr>
          <w:p w14:paraId="66C11D7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-0.00163</w:t>
            </w:r>
          </w:p>
        </w:tc>
        <w:tc>
          <w:tcPr>
            <w:tcW w:w="1656" w:type="dxa"/>
            <w:tcBorders>
              <w:top w:val="nil"/>
              <w:left w:val="nil"/>
              <w:bottom w:val="nil"/>
              <w:right w:val="nil"/>
            </w:tcBorders>
          </w:tcPr>
          <w:p w14:paraId="19951230"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0.00582</w:t>
            </w:r>
          </w:p>
        </w:tc>
        <w:tc>
          <w:tcPr>
            <w:tcW w:w="1656" w:type="dxa"/>
            <w:tcBorders>
              <w:top w:val="nil"/>
              <w:left w:val="nil"/>
              <w:bottom w:val="nil"/>
              <w:right w:val="nil"/>
            </w:tcBorders>
          </w:tcPr>
          <w:p w14:paraId="06E783BF"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-0.00398</w:t>
            </w:r>
          </w:p>
        </w:tc>
        <w:tc>
          <w:tcPr>
            <w:tcW w:w="1656" w:type="dxa"/>
            <w:tcBorders>
              <w:top w:val="nil"/>
              <w:left w:val="nil"/>
              <w:bottom w:val="nil"/>
              <w:right w:val="nil"/>
            </w:tcBorders>
          </w:tcPr>
          <w:p w14:paraId="7AB5F4B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-0.00195</w:t>
            </w:r>
          </w:p>
        </w:tc>
      </w:tr>
      <w:tr w:rsidR="00892B57" w:rsidRPr="002C32FA" w14:paraId="704D3940" w14:textId="77777777" w:rsidTr="00F16287">
        <w:tc>
          <w:tcPr>
            <w:tcW w:w="2136" w:type="dxa"/>
            <w:tcBorders>
              <w:top w:val="nil"/>
              <w:left w:val="nil"/>
              <w:bottom w:val="nil"/>
              <w:right w:val="nil"/>
            </w:tcBorders>
          </w:tcPr>
          <w:p w14:paraId="3F164E9D"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55D2C230"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(-1.13)</w:t>
            </w:r>
          </w:p>
        </w:tc>
        <w:tc>
          <w:tcPr>
            <w:tcW w:w="1656" w:type="dxa"/>
            <w:tcBorders>
              <w:top w:val="nil"/>
              <w:left w:val="nil"/>
              <w:bottom w:val="nil"/>
              <w:right w:val="nil"/>
            </w:tcBorders>
          </w:tcPr>
          <w:p w14:paraId="11708D86"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(-0.12)</w:t>
            </w:r>
          </w:p>
        </w:tc>
        <w:tc>
          <w:tcPr>
            <w:tcW w:w="1656" w:type="dxa"/>
            <w:tcBorders>
              <w:top w:val="nil"/>
              <w:left w:val="nil"/>
              <w:bottom w:val="nil"/>
              <w:right w:val="nil"/>
            </w:tcBorders>
          </w:tcPr>
          <w:p w14:paraId="25F1F83E"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(0.32)</w:t>
            </w:r>
          </w:p>
        </w:tc>
        <w:tc>
          <w:tcPr>
            <w:tcW w:w="1656" w:type="dxa"/>
            <w:tcBorders>
              <w:top w:val="nil"/>
              <w:left w:val="nil"/>
              <w:bottom w:val="nil"/>
              <w:right w:val="nil"/>
            </w:tcBorders>
          </w:tcPr>
          <w:p w14:paraId="4ECD1C98"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(-0.83)</w:t>
            </w:r>
          </w:p>
        </w:tc>
        <w:tc>
          <w:tcPr>
            <w:tcW w:w="1656" w:type="dxa"/>
            <w:tcBorders>
              <w:top w:val="nil"/>
              <w:left w:val="nil"/>
              <w:bottom w:val="nil"/>
              <w:right w:val="nil"/>
            </w:tcBorders>
          </w:tcPr>
          <w:p w14:paraId="2DCEC44B"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(-0.43)</w:t>
            </w:r>
          </w:p>
        </w:tc>
      </w:tr>
      <w:tr w:rsidR="00892B57" w:rsidRPr="002C32FA" w14:paraId="1AF5A5C9" w14:textId="77777777" w:rsidTr="00F16287">
        <w:tc>
          <w:tcPr>
            <w:tcW w:w="2136" w:type="dxa"/>
            <w:tcBorders>
              <w:top w:val="nil"/>
              <w:left w:val="nil"/>
              <w:bottom w:val="nil"/>
              <w:right w:val="nil"/>
            </w:tcBorders>
          </w:tcPr>
          <w:p w14:paraId="5D9A3B71"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00E74D2C"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448852C5"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3CDC3BD7"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67F0781A"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nil"/>
              <w:right w:val="nil"/>
            </w:tcBorders>
          </w:tcPr>
          <w:p w14:paraId="0F3C64DA"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r>
      <w:tr w:rsidR="00892B57" w:rsidRPr="002C32FA" w14:paraId="43F924A2" w14:textId="77777777" w:rsidTr="00F16287">
        <w:tc>
          <w:tcPr>
            <w:tcW w:w="2136" w:type="dxa"/>
            <w:tcBorders>
              <w:top w:val="nil"/>
              <w:left w:val="nil"/>
              <w:bottom w:val="nil"/>
              <w:right w:val="nil"/>
            </w:tcBorders>
          </w:tcPr>
          <w:p w14:paraId="5CE5D866"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r w:rsidRPr="002C32FA">
              <w:rPr>
                <w:rFonts w:ascii="Times New Roman" w:hAnsi="Times New Roman"/>
                <w:sz w:val="18"/>
                <w:szCs w:val="18"/>
              </w:rPr>
              <w:t>Constant</w:t>
            </w:r>
          </w:p>
        </w:tc>
        <w:tc>
          <w:tcPr>
            <w:tcW w:w="1656" w:type="dxa"/>
            <w:tcBorders>
              <w:top w:val="nil"/>
              <w:left w:val="nil"/>
              <w:bottom w:val="nil"/>
              <w:right w:val="nil"/>
            </w:tcBorders>
          </w:tcPr>
          <w:p w14:paraId="78ABACB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0.680</w:t>
            </w:r>
            <w:r w:rsidRPr="002C32FA">
              <w:rPr>
                <w:rFonts w:ascii="Times New Roman" w:hAnsi="Times New Roman"/>
                <w:sz w:val="18"/>
                <w:szCs w:val="18"/>
                <w:vertAlign w:val="superscript"/>
              </w:rPr>
              <w:t>***</w:t>
            </w:r>
          </w:p>
        </w:tc>
        <w:tc>
          <w:tcPr>
            <w:tcW w:w="1656" w:type="dxa"/>
            <w:tcBorders>
              <w:top w:val="nil"/>
              <w:left w:val="nil"/>
              <w:bottom w:val="nil"/>
              <w:right w:val="nil"/>
            </w:tcBorders>
          </w:tcPr>
          <w:p w14:paraId="6D0E3615"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0.469</w:t>
            </w:r>
            <w:r w:rsidRPr="002C32FA">
              <w:rPr>
                <w:rFonts w:ascii="Times New Roman" w:hAnsi="Times New Roman"/>
                <w:sz w:val="18"/>
                <w:szCs w:val="18"/>
                <w:vertAlign w:val="superscript"/>
              </w:rPr>
              <w:t>***</w:t>
            </w:r>
          </w:p>
        </w:tc>
        <w:tc>
          <w:tcPr>
            <w:tcW w:w="1656" w:type="dxa"/>
            <w:tcBorders>
              <w:top w:val="nil"/>
              <w:left w:val="nil"/>
              <w:bottom w:val="nil"/>
              <w:right w:val="nil"/>
            </w:tcBorders>
          </w:tcPr>
          <w:p w14:paraId="553DADA7"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0.418</w:t>
            </w:r>
            <w:r w:rsidRPr="002C32FA">
              <w:rPr>
                <w:rFonts w:ascii="Times New Roman" w:hAnsi="Times New Roman"/>
                <w:sz w:val="18"/>
                <w:szCs w:val="18"/>
                <w:vertAlign w:val="superscript"/>
              </w:rPr>
              <w:t>**</w:t>
            </w:r>
          </w:p>
        </w:tc>
        <w:tc>
          <w:tcPr>
            <w:tcW w:w="1656" w:type="dxa"/>
            <w:tcBorders>
              <w:top w:val="nil"/>
              <w:left w:val="nil"/>
              <w:bottom w:val="nil"/>
              <w:right w:val="nil"/>
            </w:tcBorders>
          </w:tcPr>
          <w:p w14:paraId="3A3BBA68"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0.471</w:t>
            </w:r>
            <w:r w:rsidRPr="002C32FA">
              <w:rPr>
                <w:rFonts w:ascii="Times New Roman" w:hAnsi="Times New Roman"/>
                <w:sz w:val="18"/>
                <w:szCs w:val="18"/>
                <w:vertAlign w:val="superscript"/>
              </w:rPr>
              <w:t>***</w:t>
            </w:r>
          </w:p>
        </w:tc>
        <w:tc>
          <w:tcPr>
            <w:tcW w:w="1656" w:type="dxa"/>
            <w:tcBorders>
              <w:top w:val="nil"/>
              <w:left w:val="nil"/>
              <w:bottom w:val="nil"/>
              <w:right w:val="nil"/>
            </w:tcBorders>
          </w:tcPr>
          <w:p w14:paraId="206B005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-0.540</w:t>
            </w:r>
            <w:r w:rsidRPr="002C32FA">
              <w:rPr>
                <w:rFonts w:ascii="Times New Roman" w:hAnsi="Times New Roman"/>
                <w:sz w:val="18"/>
                <w:szCs w:val="18"/>
                <w:vertAlign w:val="superscript"/>
              </w:rPr>
              <w:t>***</w:t>
            </w:r>
          </w:p>
        </w:tc>
      </w:tr>
      <w:tr w:rsidR="00892B57" w:rsidRPr="002C32FA" w14:paraId="4DD0AEDB" w14:textId="77777777" w:rsidTr="00F16287">
        <w:tc>
          <w:tcPr>
            <w:tcW w:w="2136" w:type="dxa"/>
            <w:tcBorders>
              <w:top w:val="nil"/>
              <w:left w:val="nil"/>
              <w:bottom w:val="single" w:sz="4" w:space="0" w:color="auto"/>
              <w:right w:val="nil"/>
            </w:tcBorders>
          </w:tcPr>
          <w:p w14:paraId="47FF2D92"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p>
        </w:tc>
        <w:tc>
          <w:tcPr>
            <w:tcW w:w="1656" w:type="dxa"/>
            <w:tcBorders>
              <w:top w:val="nil"/>
              <w:left w:val="nil"/>
              <w:bottom w:val="single" w:sz="4" w:space="0" w:color="auto"/>
              <w:right w:val="nil"/>
            </w:tcBorders>
          </w:tcPr>
          <w:p w14:paraId="23842843"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(4.46)</w:t>
            </w:r>
          </w:p>
        </w:tc>
        <w:tc>
          <w:tcPr>
            <w:tcW w:w="1656" w:type="dxa"/>
            <w:tcBorders>
              <w:top w:val="nil"/>
              <w:left w:val="nil"/>
              <w:bottom w:val="single" w:sz="4" w:space="0" w:color="auto"/>
              <w:right w:val="nil"/>
            </w:tcBorders>
          </w:tcPr>
          <w:p w14:paraId="20094D3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(3.95)</w:t>
            </w:r>
          </w:p>
        </w:tc>
        <w:tc>
          <w:tcPr>
            <w:tcW w:w="1656" w:type="dxa"/>
            <w:tcBorders>
              <w:top w:val="nil"/>
              <w:left w:val="nil"/>
              <w:bottom w:val="single" w:sz="4" w:space="0" w:color="auto"/>
              <w:right w:val="nil"/>
            </w:tcBorders>
          </w:tcPr>
          <w:p w14:paraId="1FE4C7C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(2.73)</w:t>
            </w:r>
          </w:p>
        </w:tc>
        <w:tc>
          <w:tcPr>
            <w:tcW w:w="1656" w:type="dxa"/>
            <w:tcBorders>
              <w:top w:val="nil"/>
              <w:left w:val="nil"/>
              <w:bottom w:val="single" w:sz="4" w:space="0" w:color="auto"/>
              <w:right w:val="nil"/>
            </w:tcBorders>
          </w:tcPr>
          <w:p w14:paraId="26D19E26"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(3.69)</w:t>
            </w:r>
          </w:p>
        </w:tc>
        <w:tc>
          <w:tcPr>
            <w:tcW w:w="1656" w:type="dxa"/>
            <w:tcBorders>
              <w:top w:val="nil"/>
              <w:left w:val="nil"/>
              <w:bottom w:val="single" w:sz="4" w:space="0" w:color="auto"/>
              <w:right w:val="nil"/>
            </w:tcBorders>
          </w:tcPr>
          <w:p w14:paraId="52ACE4C1"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(-5.63)</w:t>
            </w:r>
          </w:p>
        </w:tc>
      </w:tr>
      <w:tr w:rsidR="00892B57" w:rsidRPr="002C32FA" w14:paraId="77A48FF7" w14:textId="77777777" w:rsidTr="00F16287">
        <w:tc>
          <w:tcPr>
            <w:tcW w:w="2136" w:type="dxa"/>
            <w:tcBorders>
              <w:top w:val="nil"/>
              <w:left w:val="nil"/>
              <w:bottom w:val="single" w:sz="4" w:space="0" w:color="auto"/>
              <w:right w:val="nil"/>
            </w:tcBorders>
          </w:tcPr>
          <w:p w14:paraId="59D0F33B" w14:textId="77777777" w:rsidR="00892B57" w:rsidRPr="002C32FA" w:rsidRDefault="00892B57" w:rsidP="00F16287">
            <w:pPr>
              <w:widowControl w:val="0"/>
              <w:autoSpaceDE w:val="0"/>
              <w:autoSpaceDN w:val="0"/>
              <w:adjustRightInd w:val="0"/>
              <w:spacing w:after="0" w:line="240" w:lineRule="auto"/>
              <w:rPr>
                <w:rFonts w:ascii="Times New Roman" w:hAnsi="Times New Roman"/>
                <w:sz w:val="18"/>
                <w:szCs w:val="18"/>
              </w:rPr>
            </w:pPr>
            <w:r w:rsidRPr="002C32FA">
              <w:rPr>
                <w:rFonts w:ascii="Times New Roman" w:hAnsi="Times New Roman"/>
                <w:sz w:val="18"/>
                <w:szCs w:val="18"/>
              </w:rPr>
              <w:t>Observations</w:t>
            </w:r>
          </w:p>
        </w:tc>
        <w:tc>
          <w:tcPr>
            <w:tcW w:w="1656" w:type="dxa"/>
            <w:tcBorders>
              <w:top w:val="nil"/>
              <w:left w:val="nil"/>
              <w:bottom w:val="single" w:sz="4" w:space="0" w:color="auto"/>
              <w:right w:val="nil"/>
            </w:tcBorders>
          </w:tcPr>
          <w:p w14:paraId="400FF8F3"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969</w:t>
            </w:r>
          </w:p>
        </w:tc>
        <w:tc>
          <w:tcPr>
            <w:tcW w:w="1656" w:type="dxa"/>
            <w:tcBorders>
              <w:top w:val="nil"/>
              <w:left w:val="nil"/>
              <w:bottom w:val="single" w:sz="4" w:space="0" w:color="auto"/>
              <w:right w:val="nil"/>
            </w:tcBorders>
          </w:tcPr>
          <w:p w14:paraId="3FCE45F0"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969</w:t>
            </w:r>
          </w:p>
        </w:tc>
        <w:tc>
          <w:tcPr>
            <w:tcW w:w="1656" w:type="dxa"/>
            <w:tcBorders>
              <w:top w:val="nil"/>
              <w:left w:val="nil"/>
              <w:bottom w:val="single" w:sz="4" w:space="0" w:color="auto"/>
              <w:right w:val="nil"/>
            </w:tcBorders>
          </w:tcPr>
          <w:p w14:paraId="675DE2D9"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799</w:t>
            </w:r>
          </w:p>
        </w:tc>
        <w:tc>
          <w:tcPr>
            <w:tcW w:w="1656" w:type="dxa"/>
            <w:tcBorders>
              <w:top w:val="nil"/>
              <w:left w:val="nil"/>
              <w:bottom w:val="single" w:sz="4" w:space="0" w:color="auto"/>
              <w:right w:val="nil"/>
            </w:tcBorders>
          </w:tcPr>
          <w:p w14:paraId="17D496CC"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1803</w:t>
            </w:r>
          </w:p>
        </w:tc>
        <w:tc>
          <w:tcPr>
            <w:tcW w:w="1656" w:type="dxa"/>
            <w:tcBorders>
              <w:top w:val="nil"/>
              <w:left w:val="nil"/>
              <w:bottom w:val="single" w:sz="4" w:space="0" w:color="auto"/>
              <w:right w:val="nil"/>
            </w:tcBorders>
          </w:tcPr>
          <w:p w14:paraId="51A9BC2B" w14:textId="77777777" w:rsidR="00892B57" w:rsidRPr="002C32FA" w:rsidRDefault="00892B57" w:rsidP="00F16287">
            <w:pPr>
              <w:widowControl w:val="0"/>
              <w:autoSpaceDE w:val="0"/>
              <w:autoSpaceDN w:val="0"/>
              <w:adjustRightInd w:val="0"/>
              <w:spacing w:after="0" w:line="240" w:lineRule="auto"/>
              <w:jc w:val="center"/>
              <w:rPr>
                <w:rFonts w:ascii="Times New Roman" w:hAnsi="Times New Roman"/>
                <w:sz w:val="18"/>
                <w:szCs w:val="18"/>
              </w:rPr>
            </w:pPr>
            <w:r w:rsidRPr="002C32FA">
              <w:rPr>
                <w:rFonts w:ascii="Times New Roman" w:hAnsi="Times New Roman"/>
                <w:sz w:val="18"/>
                <w:szCs w:val="18"/>
              </w:rPr>
              <w:t>2679</w:t>
            </w:r>
          </w:p>
        </w:tc>
      </w:tr>
    </w:tbl>
    <w:p w14:paraId="7F33E878" w14:textId="77777777" w:rsidR="00C64EBD" w:rsidRPr="002C32FA" w:rsidRDefault="00C64EBD" w:rsidP="00C64EBD">
      <w:pPr>
        <w:widowControl w:val="0"/>
        <w:autoSpaceDE w:val="0"/>
        <w:autoSpaceDN w:val="0"/>
        <w:adjustRightInd w:val="0"/>
        <w:spacing w:after="0" w:line="240" w:lineRule="auto"/>
        <w:rPr>
          <w:rFonts w:ascii="Times New Roman" w:hAnsi="Times New Roman"/>
          <w:sz w:val="14"/>
          <w:szCs w:val="14"/>
        </w:rPr>
      </w:pPr>
      <w:r w:rsidRPr="002C32FA">
        <w:rPr>
          <w:rFonts w:ascii="Times New Roman" w:hAnsi="Times New Roman"/>
          <w:i/>
          <w:sz w:val="14"/>
          <w:szCs w:val="14"/>
        </w:rPr>
        <w:t>t</w:t>
      </w:r>
      <w:r w:rsidRPr="002C32FA">
        <w:rPr>
          <w:rFonts w:ascii="Times New Roman" w:hAnsi="Times New Roman"/>
          <w:sz w:val="14"/>
          <w:szCs w:val="14"/>
        </w:rPr>
        <w:t xml:space="preserve"> statistics in parentheses</w:t>
      </w:r>
    </w:p>
    <w:p w14:paraId="056A399C" w14:textId="77777777" w:rsidR="003D794D" w:rsidRPr="002C32FA" w:rsidRDefault="00C64EBD" w:rsidP="007D321A">
      <w:pPr>
        <w:widowControl w:val="0"/>
        <w:autoSpaceDE w:val="0"/>
        <w:autoSpaceDN w:val="0"/>
        <w:adjustRightInd w:val="0"/>
        <w:spacing w:after="0" w:line="240" w:lineRule="auto"/>
        <w:rPr>
          <w:rFonts w:ascii="Times New Roman" w:hAnsi="Times New Roman"/>
          <w:sz w:val="14"/>
          <w:szCs w:val="14"/>
        </w:rPr>
      </w:pPr>
      <w:r w:rsidRPr="002C32FA">
        <w:rPr>
          <w:rFonts w:ascii="Times New Roman" w:hAnsi="Times New Roman"/>
          <w:sz w:val="14"/>
          <w:szCs w:val="14"/>
          <w:vertAlign w:val="superscript"/>
        </w:rPr>
        <w:t>*</w:t>
      </w:r>
      <w:r w:rsidRPr="002C32FA">
        <w:rPr>
          <w:rFonts w:ascii="Times New Roman" w:hAnsi="Times New Roman"/>
          <w:sz w:val="14"/>
          <w:szCs w:val="14"/>
        </w:rPr>
        <w:t xml:space="preserve"> </w:t>
      </w:r>
      <w:r w:rsidRPr="002C32FA">
        <w:rPr>
          <w:rFonts w:ascii="Times New Roman" w:hAnsi="Times New Roman"/>
          <w:i/>
          <w:sz w:val="14"/>
          <w:szCs w:val="14"/>
        </w:rPr>
        <w:t>p</w:t>
      </w:r>
      <w:r w:rsidRPr="002C32FA">
        <w:rPr>
          <w:rFonts w:ascii="Times New Roman" w:hAnsi="Times New Roman"/>
          <w:sz w:val="14"/>
          <w:szCs w:val="14"/>
        </w:rPr>
        <w:t xml:space="preserve"> &lt; 0.05, </w:t>
      </w:r>
      <w:r w:rsidRPr="002C32FA">
        <w:rPr>
          <w:rFonts w:ascii="Times New Roman" w:hAnsi="Times New Roman"/>
          <w:sz w:val="14"/>
          <w:szCs w:val="14"/>
          <w:vertAlign w:val="superscript"/>
        </w:rPr>
        <w:t>**</w:t>
      </w:r>
      <w:r w:rsidRPr="002C32FA">
        <w:rPr>
          <w:rFonts w:ascii="Times New Roman" w:hAnsi="Times New Roman"/>
          <w:sz w:val="14"/>
          <w:szCs w:val="14"/>
        </w:rPr>
        <w:t xml:space="preserve"> </w:t>
      </w:r>
      <w:r w:rsidRPr="002C32FA">
        <w:rPr>
          <w:rFonts w:ascii="Times New Roman" w:hAnsi="Times New Roman"/>
          <w:i/>
          <w:sz w:val="14"/>
          <w:szCs w:val="14"/>
        </w:rPr>
        <w:t>p</w:t>
      </w:r>
      <w:r w:rsidRPr="002C32FA">
        <w:rPr>
          <w:rFonts w:ascii="Times New Roman" w:hAnsi="Times New Roman"/>
          <w:sz w:val="14"/>
          <w:szCs w:val="14"/>
        </w:rPr>
        <w:t xml:space="preserve"> &lt; 0.01, </w:t>
      </w:r>
      <w:r w:rsidRPr="002C32FA">
        <w:rPr>
          <w:rFonts w:ascii="Times New Roman" w:hAnsi="Times New Roman"/>
          <w:sz w:val="14"/>
          <w:szCs w:val="14"/>
          <w:vertAlign w:val="superscript"/>
        </w:rPr>
        <w:t>***</w:t>
      </w:r>
      <w:r w:rsidRPr="002C32FA">
        <w:rPr>
          <w:rFonts w:ascii="Times New Roman" w:hAnsi="Times New Roman"/>
          <w:sz w:val="14"/>
          <w:szCs w:val="14"/>
        </w:rPr>
        <w:t xml:space="preserve"> </w:t>
      </w:r>
      <w:r w:rsidRPr="002C32FA">
        <w:rPr>
          <w:rFonts w:ascii="Times New Roman" w:hAnsi="Times New Roman"/>
          <w:i/>
          <w:sz w:val="14"/>
          <w:szCs w:val="14"/>
        </w:rPr>
        <w:t>p</w:t>
      </w:r>
      <w:r w:rsidRPr="002C32FA">
        <w:rPr>
          <w:rFonts w:ascii="Times New Roman" w:hAnsi="Times New Roman"/>
          <w:sz w:val="14"/>
          <w:szCs w:val="14"/>
        </w:rPr>
        <w:t xml:space="preserve"> &lt; 0.001</w:t>
      </w:r>
    </w:p>
    <w:p w14:paraId="5730CC72" w14:textId="77777777" w:rsidR="00892B57" w:rsidRDefault="00892B57" w:rsidP="00892B57">
      <w:pPr>
        <w:widowControl w:val="0"/>
        <w:autoSpaceDE w:val="0"/>
        <w:autoSpaceDN w:val="0"/>
        <w:adjustRightInd w:val="0"/>
        <w:spacing w:after="0" w:line="240" w:lineRule="auto"/>
        <w:rPr>
          <w:rFonts w:ascii="Times New Roman" w:hAnsi="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780385" w:rsidRPr="00B15A51" w14:paraId="34802E94" w14:textId="77777777" w:rsidTr="00F16287">
        <w:tc>
          <w:tcPr>
            <w:tcW w:w="2136" w:type="dxa"/>
            <w:tcBorders>
              <w:top w:val="single" w:sz="4" w:space="0" w:color="auto"/>
              <w:left w:val="nil"/>
              <w:bottom w:val="nil"/>
              <w:right w:val="nil"/>
            </w:tcBorders>
          </w:tcPr>
          <w:p w14:paraId="4418831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B6A541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w:t>
            </w:r>
          </w:p>
        </w:tc>
        <w:tc>
          <w:tcPr>
            <w:tcW w:w="1656" w:type="dxa"/>
            <w:tcBorders>
              <w:top w:val="single" w:sz="4" w:space="0" w:color="auto"/>
              <w:left w:val="nil"/>
              <w:bottom w:val="nil"/>
              <w:right w:val="nil"/>
            </w:tcBorders>
          </w:tcPr>
          <w:p w14:paraId="3929A3F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w:t>
            </w:r>
          </w:p>
        </w:tc>
        <w:tc>
          <w:tcPr>
            <w:tcW w:w="1656" w:type="dxa"/>
            <w:tcBorders>
              <w:top w:val="single" w:sz="4" w:space="0" w:color="auto"/>
              <w:left w:val="nil"/>
              <w:bottom w:val="nil"/>
              <w:right w:val="nil"/>
            </w:tcBorders>
          </w:tcPr>
          <w:p w14:paraId="0D83327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w:t>
            </w:r>
          </w:p>
        </w:tc>
        <w:tc>
          <w:tcPr>
            <w:tcW w:w="1656" w:type="dxa"/>
            <w:tcBorders>
              <w:top w:val="single" w:sz="4" w:space="0" w:color="auto"/>
              <w:left w:val="nil"/>
              <w:bottom w:val="nil"/>
              <w:right w:val="nil"/>
            </w:tcBorders>
          </w:tcPr>
          <w:p w14:paraId="7D32BD0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(4)</w:t>
            </w:r>
          </w:p>
        </w:tc>
        <w:tc>
          <w:tcPr>
            <w:tcW w:w="1656" w:type="dxa"/>
            <w:tcBorders>
              <w:top w:val="single" w:sz="4" w:space="0" w:color="auto"/>
              <w:left w:val="nil"/>
              <w:bottom w:val="nil"/>
              <w:right w:val="nil"/>
            </w:tcBorders>
          </w:tcPr>
          <w:p w14:paraId="1E8A237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(5)</w:t>
            </w:r>
          </w:p>
        </w:tc>
      </w:tr>
      <w:tr w:rsidR="00780385" w:rsidRPr="00B15A51" w14:paraId="03BEC81D" w14:textId="77777777" w:rsidTr="00F16287">
        <w:tc>
          <w:tcPr>
            <w:tcW w:w="2136" w:type="dxa"/>
            <w:tcBorders>
              <w:top w:val="nil"/>
              <w:left w:val="nil"/>
              <w:bottom w:val="nil"/>
              <w:right w:val="nil"/>
            </w:tcBorders>
          </w:tcPr>
          <w:p w14:paraId="3487B82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FDE6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Head of Govt. Turnover</w:t>
            </w:r>
          </w:p>
        </w:tc>
        <w:tc>
          <w:tcPr>
            <w:tcW w:w="1656" w:type="dxa"/>
            <w:tcBorders>
              <w:top w:val="nil"/>
              <w:left w:val="nil"/>
              <w:bottom w:val="nil"/>
              <w:right w:val="nil"/>
            </w:tcBorders>
          </w:tcPr>
          <w:p w14:paraId="56F4A88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Head of State Turnover</w:t>
            </w:r>
          </w:p>
        </w:tc>
        <w:tc>
          <w:tcPr>
            <w:tcW w:w="1656" w:type="dxa"/>
            <w:tcBorders>
              <w:top w:val="nil"/>
              <w:left w:val="nil"/>
              <w:bottom w:val="nil"/>
              <w:right w:val="nil"/>
            </w:tcBorders>
          </w:tcPr>
          <w:p w14:paraId="02F328D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Lower House Turnover</w:t>
            </w:r>
          </w:p>
        </w:tc>
        <w:tc>
          <w:tcPr>
            <w:tcW w:w="1656" w:type="dxa"/>
            <w:tcBorders>
              <w:top w:val="nil"/>
              <w:left w:val="nil"/>
              <w:bottom w:val="nil"/>
              <w:right w:val="nil"/>
            </w:tcBorders>
          </w:tcPr>
          <w:p w14:paraId="45720D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43753D5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Instability Event Indicator</w:t>
            </w:r>
          </w:p>
        </w:tc>
      </w:tr>
      <w:tr w:rsidR="00780385" w:rsidRPr="00B15A51" w14:paraId="309B56E3" w14:textId="77777777" w:rsidTr="00F16287">
        <w:tc>
          <w:tcPr>
            <w:tcW w:w="2136" w:type="dxa"/>
            <w:tcBorders>
              <w:top w:val="single" w:sz="4" w:space="0" w:color="auto"/>
              <w:left w:val="nil"/>
              <w:bottom w:val="nil"/>
              <w:right w:val="nil"/>
            </w:tcBorders>
          </w:tcPr>
          <w:p w14:paraId="490FB90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7B3A401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-0.133</w:t>
            </w:r>
          </w:p>
        </w:tc>
        <w:tc>
          <w:tcPr>
            <w:tcW w:w="1656" w:type="dxa"/>
            <w:tcBorders>
              <w:top w:val="single" w:sz="4" w:space="0" w:color="auto"/>
              <w:left w:val="nil"/>
              <w:bottom w:val="nil"/>
              <w:right w:val="nil"/>
            </w:tcBorders>
          </w:tcPr>
          <w:p w14:paraId="04B9D0E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0.00556</w:t>
            </w:r>
          </w:p>
        </w:tc>
        <w:tc>
          <w:tcPr>
            <w:tcW w:w="1656" w:type="dxa"/>
            <w:tcBorders>
              <w:top w:val="single" w:sz="4" w:space="0" w:color="auto"/>
              <w:left w:val="nil"/>
              <w:bottom w:val="nil"/>
              <w:right w:val="nil"/>
            </w:tcBorders>
          </w:tcPr>
          <w:p w14:paraId="6790153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-0.277</w:t>
            </w:r>
            <w:r w:rsidRPr="00B15A51">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D8BD7D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-0.0162</w:t>
            </w:r>
          </w:p>
        </w:tc>
        <w:tc>
          <w:tcPr>
            <w:tcW w:w="1656" w:type="dxa"/>
            <w:tcBorders>
              <w:top w:val="single" w:sz="4" w:space="0" w:color="auto"/>
              <w:left w:val="nil"/>
              <w:bottom w:val="nil"/>
              <w:right w:val="nil"/>
            </w:tcBorders>
          </w:tcPr>
          <w:p w14:paraId="18E5528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0.0236</w:t>
            </w:r>
          </w:p>
        </w:tc>
      </w:tr>
      <w:tr w:rsidR="00780385" w:rsidRPr="00B15A51" w14:paraId="58F0EE9B" w14:textId="77777777" w:rsidTr="00F16287">
        <w:tc>
          <w:tcPr>
            <w:tcW w:w="2136" w:type="dxa"/>
            <w:tcBorders>
              <w:top w:val="nil"/>
              <w:left w:val="nil"/>
              <w:bottom w:val="nil"/>
              <w:right w:val="nil"/>
            </w:tcBorders>
          </w:tcPr>
          <w:p w14:paraId="5261208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8A6C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(-1.61)</w:t>
            </w:r>
          </w:p>
        </w:tc>
        <w:tc>
          <w:tcPr>
            <w:tcW w:w="1656" w:type="dxa"/>
            <w:tcBorders>
              <w:top w:val="nil"/>
              <w:left w:val="nil"/>
              <w:bottom w:val="nil"/>
              <w:right w:val="nil"/>
            </w:tcBorders>
          </w:tcPr>
          <w:p w14:paraId="799285F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(0.08)</w:t>
            </w:r>
          </w:p>
        </w:tc>
        <w:tc>
          <w:tcPr>
            <w:tcW w:w="1656" w:type="dxa"/>
            <w:tcBorders>
              <w:top w:val="nil"/>
              <w:left w:val="nil"/>
              <w:bottom w:val="nil"/>
              <w:right w:val="nil"/>
            </w:tcBorders>
          </w:tcPr>
          <w:p w14:paraId="052B448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(-3.11)</w:t>
            </w:r>
          </w:p>
        </w:tc>
        <w:tc>
          <w:tcPr>
            <w:tcW w:w="1656" w:type="dxa"/>
            <w:tcBorders>
              <w:top w:val="nil"/>
              <w:left w:val="nil"/>
              <w:bottom w:val="nil"/>
              <w:right w:val="nil"/>
            </w:tcBorders>
          </w:tcPr>
          <w:p w14:paraId="67F1C8F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(-0.51)</w:t>
            </w:r>
          </w:p>
        </w:tc>
        <w:tc>
          <w:tcPr>
            <w:tcW w:w="1656" w:type="dxa"/>
            <w:tcBorders>
              <w:top w:val="nil"/>
              <w:left w:val="nil"/>
              <w:bottom w:val="nil"/>
              <w:right w:val="nil"/>
            </w:tcBorders>
          </w:tcPr>
          <w:p w14:paraId="41B85DB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(0.95)</w:t>
            </w:r>
          </w:p>
        </w:tc>
      </w:tr>
      <w:tr w:rsidR="00780385" w:rsidRPr="00B15A51" w14:paraId="361B15E0" w14:textId="77777777" w:rsidTr="00F16287">
        <w:tc>
          <w:tcPr>
            <w:tcW w:w="2136" w:type="dxa"/>
            <w:tcBorders>
              <w:top w:val="nil"/>
              <w:left w:val="nil"/>
              <w:bottom w:val="nil"/>
              <w:right w:val="nil"/>
            </w:tcBorders>
          </w:tcPr>
          <w:p w14:paraId="2DFE8D1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6C06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C1347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5D64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9313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0D36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6E4005D" w14:textId="77777777" w:rsidTr="00F16287">
        <w:tc>
          <w:tcPr>
            <w:tcW w:w="2136" w:type="dxa"/>
            <w:tcBorders>
              <w:top w:val="nil"/>
              <w:left w:val="nil"/>
              <w:bottom w:val="nil"/>
              <w:right w:val="nil"/>
            </w:tcBorders>
          </w:tcPr>
          <w:p w14:paraId="4822F05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F6B1BC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-0.0104</w:t>
            </w:r>
          </w:p>
        </w:tc>
        <w:tc>
          <w:tcPr>
            <w:tcW w:w="1656" w:type="dxa"/>
            <w:tcBorders>
              <w:top w:val="nil"/>
              <w:left w:val="nil"/>
              <w:bottom w:val="nil"/>
              <w:right w:val="nil"/>
            </w:tcBorders>
          </w:tcPr>
          <w:p w14:paraId="4B14DFB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-0.0187</w:t>
            </w:r>
          </w:p>
        </w:tc>
        <w:tc>
          <w:tcPr>
            <w:tcW w:w="1656" w:type="dxa"/>
            <w:tcBorders>
              <w:top w:val="nil"/>
              <w:left w:val="nil"/>
              <w:bottom w:val="nil"/>
              <w:right w:val="nil"/>
            </w:tcBorders>
          </w:tcPr>
          <w:p w14:paraId="7AD7E55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0.00848</w:t>
            </w:r>
          </w:p>
        </w:tc>
        <w:tc>
          <w:tcPr>
            <w:tcW w:w="1656" w:type="dxa"/>
            <w:tcBorders>
              <w:top w:val="nil"/>
              <w:left w:val="nil"/>
              <w:bottom w:val="nil"/>
              <w:right w:val="nil"/>
            </w:tcBorders>
          </w:tcPr>
          <w:p w14:paraId="4785533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0.00623</w:t>
            </w:r>
          </w:p>
        </w:tc>
        <w:tc>
          <w:tcPr>
            <w:tcW w:w="1656" w:type="dxa"/>
            <w:tcBorders>
              <w:top w:val="nil"/>
              <w:left w:val="nil"/>
              <w:bottom w:val="nil"/>
              <w:right w:val="nil"/>
            </w:tcBorders>
          </w:tcPr>
          <w:p w14:paraId="60D5D89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0.0150</w:t>
            </w:r>
            <w:r w:rsidRPr="00B15A51">
              <w:rPr>
                <w:rFonts w:ascii="Times New Roman" w:hAnsi="Times New Roman" w:cs="Times New Roman"/>
                <w:sz w:val="16"/>
                <w:szCs w:val="16"/>
                <w:vertAlign w:val="superscript"/>
              </w:rPr>
              <w:t>*</w:t>
            </w:r>
          </w:p>
        </w:tc>
      </w:tr>
      <w:tr w:rsidR="00780385" w:rsidRPr="00B15A51" w14:paraId="0FD31242" w14:textId="77777777" w:rsidTr="00F16287">
        <w:tc>
          <w:tcPr>
            <w:tcW w:w="2136" w:type="dxa"/>
            <w:tcBorders>
              <w:top w:val="nil"/>
              <w:left w:val="nil"/>
              <w:bottom w:val="nil"/>
              <w:right w:val="nil"/>
            </w:tcBorders>
          </w:tcPr>
          <w:p w14:paraId="73EEB6E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B312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(-0.59)</w:t>
            </w:r>
          </w:p>
        </w:tc>
        <w:tc>
          <w:tcPr>
            <w:tcW w:w="1656" w:type="dxa"/>
            <w:tcBorders>
              <w:top w:val="nil"/>
              <w:left w:val="nil"/>
              <w:bottom w:val="nil"/>
              <w:right w:val="nil"/>
            </w:tcBorders>
          </w:tcPr>
          <w:p w14:paraId="04C892D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(-0.99)</w:t>
            </w:r>
          </w:p>
        </w:tc>
        <w:tc>
          <w:tcPr>
            <w:tcW w:w="1656" w:type="dxa"/>
            <w:tcBorders>
              <w:top w:val="nil"/>
              <w:left w:val="nil"/>
              <w:bottom w:val="nil"/>
              <w:right w:val="nil"/>
            </w:tcBorders>
          </w:tcPr>
          <w:p w14:paraId="1DB5D90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(0.43)</w:t>
            </w:r>
          </w:p>
        </w:tc>
        <w:tc>
          <w:tcPr>
            <w:tcW w:w="1656" w:type="dxa"/>
            <w:tcBorders>
              <w:top w:val="nil"/>
              <w:left w:val="nil"/>
              <w:bottom w:val="nil"/>
              <w:right w:val="nil"/>
            </w:tcBorders>
          </w:tcPr>
          <w:p w14:paraId="6453F81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(0.86)</w:t>
            </w:r>
          </w:p>
        </w:tc>
        <w:tc>
          <w:tcPr>
            <w:tcW w:w="1656" w:type="dxa"/>
            <w:tcBorders>
              <w:top w:val="nil"/>
              <w:left w:val="nil"/>
              <w:bottom w:val="nil"/>
              <w:right w:val="nil"/>
            </w:tcBorders>
          </w:tcPr>
          <w:p w14:paraId="0460C78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(2.11)</w:t>
            </w:r>
          </w:p>
        </w:tc>
      </w:tr>
      <w:tr w:rsidR="00780385" w:rsidRPr="00B15A51" w14:paraId="406DFC9C" w14:textId="77777777" w:rsidTr="00F16287">
        <w:tc>
          <w:tcPr>
            <w:tcW w:w="2136" w:type="dxa"/>
            <w:tcBorders>
              <w:top w:val="nil"/>
              <w:left w:val="nil"/>
              <w:bottom w:val="nil"/>
              <w:right w:val="nil"/>
            </w:tcBorders>
          </w:tcPr>
          <w:p w14:paraId="2F7038C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E289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A818F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D1F1E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3AEE2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CF654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1E9CE475" w14:textId="77777777" w:rsidTr="00F16287">
        <w:tc>
          <w:tcPr>
            <w:tcW w:w="2136" w:type="dxa"/>
            <w:tcBorders>
              <w:top w:val="nil"/>
              <w:left w:val="nil"/>
              <w:bottom w:val="nil"/>
              <w:right w:val="nil"/>
            </w:tcBorders>
          </w:tcPr>
          <w:p w14:paraId="5680CB0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25F8D98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-0.0369</w:t>
            </w:r>
          </w:p>
        </w:tc>
        <w:tc>
          <w:tcPr>
            <w:tcW w:w="1656" w:type="dxa"/>
            <w:tcBorders>
              <w:top w:val="nil"/>
              <w:left w:val="nil"/>
              <w:bottom w:val="nil"/>
              <w:right w:val="nil"/>
            </w:tcBorders>
          </w:tcPr>
          <w:p w14:paraId="56BCF22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0.0620</w:t>
            </w:r>
          </w:p>
        </w:tc>
        <w:tc>
          <w:tcPr>
            <w:tcW w:w="1656" w:type="dxa"/>
            <w:tcBorders>
              <w:top w:val="nil"/>
              <w:left w:val="nil"/>
              <w:bottom w:val="nil"/>
              <w:right w:val="nil"/>
            </w:tcBorders>
          </w:tcPr>
          <w:p w14:paraId="29A3405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0.0103</w:t>
            </w:r>
          </w:p>
        </w:tc>
        <w:tc>
          <w:tcPr>
            <w:tcW w:w="1656" w:type="dxa"/>
            <w:tcBorders>
              <w:top w:val="nil"/>
              <w:left w:val="nil"/>
              <w:bottom w:val="nil"/>
              <w:right w:val="nil"/>
            </w:tcBorders>
          </w:tcPr>
          <w:p w14:paraId="76E78E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0.00761</w:t>
            </w:r>
          </w:p>
        </w:tc>
        <w:tc>
          <w:tcPr>
            <w:tcW w:w="1656" w:type="dxa"/>
            <w:tcBorders>
              <w:top w:val="nil"/>
              <w:left w:val="nil"/>
              <w:bottom w:val="nil"/>
              <w:right w:val="nil"/>
            </w:tcBorders>
          </w:tcPr>
          <w:p w14:paraId="2C5D9E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0.0591</w:t>
            </w:r>
            <w:r w:rsidRPr="00B15A51">
              <w:rPr>
                <w:rFonts w:ascii="Times New Roman" w:hAnsi="Times New Roman" w:cs="Times New Roman"/>
                <w:sz w:val="16"/>
                <w:szCs w:val="16"/>
                <w:vertAlign w:val="superscript"/>
              </w:rPr>
              <w:t>*</w:t>
            </w:r>
          </w:p>
        </w:tc>
      </w:tr>
      <w:tr w:rsidR="00780385" w:rsidRPr="00B15A51" w14:paraId="3E97FDF9" w14:textId="77777777" w:rsidTr="00F16287">
        <w:tc>
          <w:tcPr>
            <w:tcW w:w="2136" w:type="dxa"/>
            <w:tcBorders>
              <w:top w:val="nil"/>
              <w:left w:val="nil"/>
              <w:bottom w:val="nil"/>
              <w:right w:val="nil"/>
            </w:tcBorders>
          </w:tcPr>
          <w:p w14:paraId="03F52A4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63D47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(-0.49)</w:t>
            </w:r>
          </w:p>
        </w:tc>
        <w:tc>
          <w:tcPr>
            <w:tcW w:w="1656" w:type="dxa"/>
            <w:tcBorders>
              <w:top w:val="nil"/>
              <w:left w:val="nil"/>
              <w:bottom w:val="nil"/>
              <w:right w:val="nil"/>
            </w:tcBorders>
          </w:tcPr>
          <w:p w14:paraId="63DA979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(0.89)</w:t>
            </w:r>
          </w:p>
        </w:tc>
        <w:tc>
          <w:tcPr>
            <w:tcW w:w="1656" w:type="dxa"/>
            <w:tcBorders>
              <w:top w:val="nil"/>
              <w:left w:val="nil"/>
              <w:bottom w:val="nil"/>
              <w:right w:val="nil"/>
            </w:tcBorders>
          </w:tcPr>
          <w:p w14:paraId="53F59A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w:t>
            </w:r>
          </w:p>
        </w:tc>
        <w:tc>
          <w:tcPr>
            <w:tcW w:w="1656" w:type="dxa"/>
            <w:tcBorders>
              <w:top w:val="nil"/>
              <w:left w:val="nil"/>
              <w:bottom w:val="nil"/>
              <w:right w:val="nil"/>
            </w:tcBorders>
          </w:tcPr>
          <w:p w14:paraId="103BA22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(0.22)</w:t>
            </w:r>
          </w:p>
        </w:tc>
        <w:tc>
          <w:tcPr>
            <w:tcW w:w="1656" w:type="dxa"/>
            <w:tcBorders>
              <w:top w:val="nil"/>
              <w:left w:val="nil"/>
              <w:bottom w:val="nil"/>
              <w:right w:val="nil"/>
            </w:tcBorders>
          </w:tcPr>
          <w:p w14:paraId="5AC7D08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(2.24)</w:t>
            </w:r>
          </w:p>
        </w:tc>
      </w:tr>
      <w:tr w:rsidR="00780385" w:rsidRPr="00B15A51" w14:paraId="0B109785" w14:textId="77777777" w:rsidTr="00F16287">
        <w:tc>
          <w:tcPr>
            <w:tcW w:w="2136" w:type="dxa"/>
            <w:tcBorders>
              <w:top w:val="nil"/>
              <w:left w:val="nil"/>
              <w:bottom w:val="nil"/>
              <w:right w:val="nil"/>
            </w:tcBorders>
          </w:tcPr>
          <w:p w14:paraId="67F70A0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7AC5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AA851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C122F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6651F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6439F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6A59E61" w14:textId="77777777" w:rsidTr="00F16287">
        <w:tc>
          <w:tcPr>
            <w:tcW w:w="2136" w:type="dxa"/>
            <w:tcBorders>
              <w:top w:val="nil"/>
              <w:left w:val="nil"/>
              <w:bottom w:val="nil"/>
              <w:right w:val="nil"/>
            </w:tcBorders>
          </w:tcPr>
          <w:p w14:paraId="1691742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6522B84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-0.140</w:t>
            </w:r>
          </w:p>
        </w:tc>
        <w:tc>
          <w:tcPr>
            <w:tcW w:w="1656" w:type="dxa"/>
            <w:tcBorders>
              <w:top w:val="nil"/>
              <w:left w:val="nil"/>
              <w:bottom w:val="nil"/>
              <w:right w:val="nil"/>
            </w:tcBorders>
          </w:tcPr>
          <w:p w14:paraId="0004D5D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-0.115</w:t>
            </w:r>
          </w:p>
        </w:tc>
        <w:tc>
          <w:tcPr>
            <w:tcW w:w="1656" w:type="dxa"/>
            <w:tcBorders>
              <w:top w:val="nil"/>
              <w:left w:val="nil"/>
              <w:bottom w:val="nil"/>
              <w:right w:val="nil"/>
            </w:tcBorders>
          </w:tcPr>
          <w:p w14:paraId="548C3C3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-0.232</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22F01DF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0.00235</w:t>
            </w:r>
          </w:p>
        </w:tc>
        <w:tc>
          <w:tcPr>
            <w:tcW w:w="1656" w:type="dxa"/>
            <w:tcBorders>
              <w:top w:val="nil"/>
              <w:left w:val="nil"/>
              <w:bottom w:val="nil"/>
              <w:right w:val="nil"/>
            </w:tcBorders>
          </w:tcPr>
          <w:p w14:paraId="70BB908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0.0522</w:t>
            </w:r>
          </w:p>
        </w:tc>
      </w:tr>
      <w:tr w:rsidR="00780385" w:rsidRPr="00B15A51" w14:paraId="7416D719" w14:textId="77777777" w:rsidTr="00F16287">
        <w:tc>
          <w:tcPr>
            <w:tcW w:w="2136" w:type="dxa"/>
            <w:tcBorders>
              <w:top w:val="nil"/>
              <w:left w:val="nil"/>
              <w:bottom w:val="nil"/>
              <w:right w:val="nil"/>
            </w:tcBorders>
          </w:tcPr>
          <w:p w14:paraId="7AB9E6B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622B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(-1.72)</w:t>
            </w:r>
          </w:p>
        </w:tc>
        <w:tc>
          <w:tcPr>
            <w:tcW w:w="1656" w:type="dxa"/>
            <w:tcBorders>
              <w:top w:val="nil"/>
              <w:left w:val="nil"/>
              <w:bottom w:val="nil"/>
              <w:right w:val="nil"/>
            </w:tcBorders>
          </w:tcPr>
          <w:p w14:paraId="59FEFE6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(-1.64)</w:t>
            </w:r>
          </w:p>
        </w:tc>
        <w:tc>
          <w:tcPr>
            <w:tcW w:w="1656" w:type="dxa"/>
            <w:tcBorders>
              <w:top w:val="nil"/>
              <w:left w:val="nil"/>
              <w:bottom w:val="nil"/>
              <w:right w:val="nil"/>
            </w:tcBorders>
          </w:tcPr>
          <w:p w14:paraId="2673990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(-2.56)</w:t>
            </w:r>
          </w:p>
        </w:tc>
        <w:tc>
          <w:tcPr>
            <w:tcW w:w="1656" w:type="dxa"/>
            <w:tcBorders>
              <w:top w:val="nil"/>
              <w:left w:val="nil"/>
              <w:bottom w:val="nil"/>
              <w:right w:val="nil"/>
            </w:tcBorders>
          </w:tcPr>
          <w:p w14:paraId="3BC27DE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w:t>
            </w:r>
          </w:p>
        </w:tc>
        <w:tc>
          <w:tcPr>
            <w:tcW w:w="1656" w:type="dxa"/>
            <w:tcBorders>
              <w:top w:val="nil"/>
              <w:left w:val="nil"/>
              <w:bottom w:val="nil"/>
              <w:right w:val="nil"/>
            </w:tcBorders>
          </w:tcPr>
          <w:p w14:paraId="2F65EBE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(1.76)</w:t>
            </w:r>
          </w:p>
        </w:tc>
      </w:tr>
      <w:tr w:rsidR="00780385" w:rsidRPr="00B15A51" w14:paraId="520A7181" w14:textId="77777777" w:rsidTr="00F16287">
        <w:tc>
          <w:tcPr>
            <w:tcW w:w="2136" w:type="dxa"/>
            <w:tcBorders>
              <w:top w:val="nil"/>
              <w:left w:val="nil"/>
              <w:bottom w:val="nil"/>
              <w:right w:val="nil"/>
            </w:tcBorders>
          </w:tcPr>
          <w:p w14:paraId="2B46DB6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C126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3AC94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490DD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5223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F40E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43CA2B1" w14:textId="77777777" w:rsidTr="00F16287">
        <w:tc>
          <w:tcPr>
            <w:tcW w:w="2136" w:type="dxa"/>
            <w:tcBorders>
              <w:top w:val="nil"/>
              <w:left w:val="nil"/>
              <w:bottom w:val="nil"/>
              <w:right w:val="nil"/>
            </w:tcBorders>
          </w:tcPr>
          <w:p w14:paraId="75B13E8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2BB9752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-0.0562</w:t>
            </w:r>
          </w:p>
        </w:tc>
        <w:tc>
          <w:tcPr>
            <w:tcW w:w="1656" w:type="dxa"/>
            <w:tcBorders>
              <w:top w:val="nil"/>
              <w:left w:val="nil"/>
              <w:bottom w:val="nil"/>
              <w:right w:val="nil"/>
            </w:tcBorders>
          </w:tcPr>
          <w:p w14:paraId="04D0090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-0.0338</w:t>
            </w:r>
          </w:p>
        </w:tc>
        <w:tc>
          <w:tcPr>
            <w:tcW w:w="1656" w:type="dxa"/>
            <w:tcBorders>
              <w:top w:val="nil"/>
              <w:left w:val="nil"/>
              <w:bottom w:val="nil"/>
              <w:right w:val="nil"/>
            </w:tcBorders>
          </w:tcPr>
          <w:p w14:paraId="3BF7EDD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-0.120</w:t>
            </w:r>
          </w:p>
        </w:tc>
        <w:tc>
          <w:tcPr>
            <w:tcW w:w="1656" w:type="dxa"/>
            <w:tcBorders>
              <w:top w:val="nil"/>
              <w:left w:val="nil"/>
              <w:bottom w:val="nil"/>
              <w:right w:val="nil"/>
            </w:tcBorders>
          </w:tcPr>
          <w:p w14:paraId="316B70A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0.0223</w:t>
            </w:r>
          </w:p>
        </w:tc>
        <w:tc>
          <w:tcPr>
            <w:tcW w:w="1656" w:type="dxa"/>
            <w:tcBorders>
              <w:top w:val="nil"/>
              <w:left w:val="nil"/>
              <w:bottom w:val="nil"/>
              <w:right w:val="nil"/>
            </w:tcBorders>
          </w:tcPr>
          <w:p w14:paraId="01CE591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0.00130</w:t>
            </w:r>
          </w:p>
        </w:tc>
      </w:tr>
      <w:tr w:rsidR="00780385" w:rsidRPr="00B15A51" w14:paraId="13839340" w14:textId="77777777" w:rsidTr="00F16287">
        <w:tc>
          <w:tcPr>
            <w:tcW w:w="2136" w:type="dxa"/>
            <w:tcBorders>
              <w:top w:val="nil"/>
              <w:left w:val="nil"/>
              <w:bottom w:val="nil"/>
              <w:right w:val="nil"/>
            </w:tcBorders>
          </w:tcPr>
          <w:p w14:paraId="053A4A4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F63F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(-0.76)</w:t>
            </w:r>
          </w:p>
        </w:tc>
        <w:tc>
          <w:tcPr>
            <w:tcW w:w="1656" w:type="dxa"/>
            <w:tcBorders>
              <w:top w:val="nil"/>
              <w:left w:val="nil"/>
              <w:bottom w:val="nil"/>
              <w:right w:val="nil"/>
            </w:tcBorders>
          </w:tcPr>
          <w:p w14:paraId="22EA2DE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(-0.57)</w:t>
            </w:r>
          </w:p>
        </w:tc>
        <w:tc>
          <w:tcPr>
            <w:tcW w:w="1656" w:type="dxa"/>
            <w:tcBorders>
              <w:top w:val="nil"/>
              <w:left w:val="nil"/>
              <w:bottom w:val="nil"/>
              <w:right w:val="nil"/>
            </w:tcBorders>
          </w:tcPr>
          <w:p w14:paraId="0CF0D65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(-1.52)</w:t>
            </w:r>
          </w:p>
        </w:tc>
        <w:tc>
          <w:tcPr>
            <w:tcW w:w="1656" w:type="dxa"/>
            <w:tcBorders>
              <w:top w:val="nil"/>
              <w:left w:val="nil"/>
              <w:bottom w:val="nil"/>
              <w:right w:val="nil"/>
            </w:tcBorders>
          </w:tcPr>
          <w:p w14:paraId="0E5B50A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(0.65)</w:t>
            </w:r>
          </w:p>
        </w:tc>
        <w:tc>
          <w:tcPr>
            <w:tcW w:w="1656" w:type="dxa"/>
            <w:tcBorders>
              <w:top w:val="nil"/>
              <w:left w:val="nil"/>
              <w:bottom w:val="nil"/>
              <w:right w:val="nil"/>
            </w:tcBorders>
          </w:tcPr>
          <w:p w14:paraId="6032AF7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w:t>
            </w:r>
          </w:p>
        </w:tc>
      </w:tr>
      <w:tr w:rsidR="00780385" w:rsidRPr="00B15A51" w14:paraId="00949098" w14:textId="77777777" w:rsidTr="00F16287">
        <w:tc>
          <w:tcPr>
            <w:tcW w:w="2136" w:type="dxa"/>
            <w:tcBorders>
              <w:top w:val="nil"/>
              <w:left w:val="nil"/>
              <w:bottom w:val="nil"/>
              <w:right w:val="nil"/>
            </w:tcBorders>
          </w:tcPr>
          <w:p w14:paraId="39B4B83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0D12F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666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B45D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46EA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55D33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5655446" w14:textId="77777777" w:rsidTr="00F16287">
        <w:tc>
          <w:tcPr>
            <w:tcW w:w="2136" w:type="dxa"/>
            <w:tcBorders>
              <w:top w:val="nil"/>
              <w:left w:val="nil"/>
              <w:bottom w:val="nil"/>
              <w:right w:val="nil"/>
            </w:tcBorders>
          </w:tcPr>
          <w:p w14:paraId="5E7BBFC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4C78333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0.0695</w:t>
            </w:r>
          </w:p>
        </w:tc>
        <w:tc>
          <w:tcPr>
            <w:tcW w:w="1656" w:type="dxa"/>
            <w:tcBorders>
              <w:top w:val="nil"/>
              <w:left w:val="nil"/>
              <w:bottom w:val="nil"/>
              <w:right w:val="nil"/>
            </w:tcBorders>
          </w:tcPr>
          <w:p w14:paraId="3A51C40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0.0247</w:t>
            </w:r>
          </w:p>
        </w:tc>
        <w:tc>
          <w:tcPr>
            <w:tcW w:w="1656" w:type="dxa"/>
            <w:tcBorders>
              <w:top w:val="nil"/>
              <w:left w:val="nil"/>
              <w:bottom w:val="nil"/>
              <w:right w:val="nil"/>
            </w:tcBorders>
          </w:tcPr>
          <w:p w14:paraId="6DDB4FA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0.166</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118CDD6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0.0402</w:t>
            </w:r>
          </w:p>
        </w:tc>
        <w:tc>
          <w:tcPr>
            <w:tcW w:w="1656" w:type="dxa"/>
            <w:tcBorders>
              <w:top w:val="nil"/>
              <w:left w:val="nil"/>
              <w:bottom w:val="nil"/>
              <w:right w:val="nil"/>
            </w:tcBorders>
          </w:tcPr>
          <w:p w14:paraId="64171AA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0.0259</w:t>
            </w:r>
          </w:p>
        </w:tc>
      </w:tr>
      <w:tr w:rsidR="00780385" w:rsidRPr="00B15A51" w14:paraId="770B07D9" w14:textId="77777777" w:rsidTr="00F16287">
        <w:tc>
          <w:tcPr>
            <w:tcW w:w="2136" w:type="dxa"/>
            <w:tcBorders>
              <w:top w:val="nil"/>
              <w:left w:val="nil"/>
              <w:bottom w:val="nil"/>
              <w:right w:val="nil"/>
            </w:tcBorders>
          </w:tcPr>
          <w:p w14:paraId="7B5EEDB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1D7E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(0.78)</w:t>
            </w:r>
          </w:p>
        </w:tc>
        <w:tc>
          <w:tcPr>
            <w:tcW w:w="1656" w:type="dxa"/>
            <w:tcBorders>
              <w:top w:val="nil"/>
              <w:left w:val="nil"/>
              <w:bottom w:val="nil"/>
              <w:right w:val="nil"/>
            </w:tcBorders>
          </w:tcPr>
          <w:p w14:paraId="2455682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(0.34)</w:t>
            </w:r>
          </w:p>
        </w:tc>
        <w:tc>
          <w:tcPr>
            <w:tcW w:w="1656" w:type="dxa"/>
            <w:tcBorders>
              <w:top w:val="nil"/>
              <w:left w:val="nil"/>
              <w:bottom w:val="nil"/>
              <w:right w:val="nil"/>
            </w:tcBorders>
          </w:tcPr>
          <w:p w14:paraId="7B897DD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(2.01)</w:t>
            </w:r>
          </w:p>
        </w:tc>
        <w:tc>
          <w:tcPr>
            <w:tcW w:w="1656" w:type="dxa"/>
            <w:tcBorders>
              <w:top w:val="nil"/>
              <w:left w:val="nil"/>
              <w:bottom w:val="nil"/>
              <w:right w:val="nil"/>
            </w:tcBorders>
          </w:tcPr>
          <w:p w14:paraId="64AD09C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(1.07)</w:t>
            </w:r>
          </w:p>
        </w:tc>
        <w:tc>
          <w:tcPr>
            <w:tcW w:w="1656" w:type="dxa"/>
            <w:tcBorders>
              <w:top w:val="nil"/>
              <w:left w:val="nil"/>
              <w:bottom w:val="nil"/>
              <w:right w:val="nil"/>
            </w:tcBorders>
          </w:tcPr>
          <w:p w14:paraId="5D5DEAF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(0.87)</w:t>
            </w:r>
          </w:p>
        </w:tc>
      </w:tr>
      <w:tr w:rsidR="00780385" w:rsidRPr="00B15A51" w14:paraId="7931CAD2" w14:textId="77777777" w:rsidTr="00F16287">
        <w:tc>
          <w:tcPr>
            <w:tcW w:w="2136" w:type="dxa"/>
            <w:tcBorders>
              <w:top w:val="nil"/>
              <w:left w:val="nil"/>
              <w:bottom w:val="nil"/>
              <w:right w:val="nil"/>
            </w:tcBorders>
          </w:tcPr>
          <w:p w14:paraId="7D390A0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3055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191A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CCD5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4D71C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12682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2C91875B" w14:textId="77777777" w:rsidTr="00F16287">
        <w:tc>
          <w:tcPr>
            <w:tcW w:w="2136" w:type="dxa"/>
            <w:tcBorders>
              <w:top w:val="nil"/>
              <w:left w:val="nil"/>
              <w:bottom w:val="nil"/>
              <w:right w:val="nil"/>
            </w:tcBorders>
          </w:tcPr>
          <w:p w14:paraId="063EDEC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34F4BE1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0.0139</w:t>
            </w:r>
          </w:p>
        </w:tc>
        <w:tc>
          <w:tcPr>
            <w:tcW w:w="1656" w:type="dxa"/>
            <w:tcBorders>
              <w:top w:val="nil"/>
              <w:left w:val="nil"/>
              <w:bottom w:val="nil"/>
              <w:right w:val="nil"/>
            </w:tcBorders>
          </w:tcPr>
          <w:p w14:paraId="2C2CB39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-0.0111</w:t>
            </w:r>
          </w:p>
        </w:tc>
        <w:tc>
          <w:tcPr>
            <w:tcW w:w="1656" w:type="dxa"/>
            <w:tcBorders>
              <w:top w:val="nil"/>
              <w:left w:val="nil"/>
              <w:bottom w:val="nil"/>
              <w:right w:val="nil"/>
            </w:tcBorders>
          </w:tcPr>
          <w:p w14:paraId="49F1CB9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0.137</w:t>
            </w:r>
          </w:p>
        </w:tc>
        <w:tc>
          <w:tcPr>
            <w:tcW w:w="1656" w:type="dxa"/>
            <w:tcBorders>
              <w:top w:val="nil"/>
              <w:left w:val="nil"/>
              <w:bottom w:val="nil"/>
              <w:right w:val="nil"/>
            </w:tcBorders>
          </w:tcPr>
          <w:p w14:paraId="5C1D559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-0.000553</w:t>
            </w:r>
          </w:p>
        </w:tc>
        <w:tc>
          <w:tcPr>
            <w:tcW w:w="1656" w:type="dxa"/>
            <w:tcBorders>
              <w:top w:val="nil"/>
              <w:left w:val="nil"/>
              <w:bottom w:val="nil"/>
              <w:right w:val="nil"/>
            </w:tcBorders>
          </w:tcPr>
          <w:p w14:paraId="6C69A95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0.0204</w:t>
            </w:r>
          </w:p>
        </w:tc>
      </w:tr>
      <w:tr w:rsidR="00780385" w:rsidRPr="00B15A51" w14:paraId="7EA91660" w14:textId="77777777" w:rsidTr="00F16287">
        <w:tc>
          <w:tcPr>
            <w:tcW w:w="2136" w:type="dxa"/>
            <w:tcBorders>
              <w:top w:val="nil"/>
              <w:left w:val="nil"/>
              <w:bottom w:val="nil"/>
              <w:right w:val="nil"/>
            </w:tcBorders>
          </w:tcPr>
          <w:p w14:paraId="66027C8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6F67E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(0.17)</w:t>
            </w:r>
          </w:p>
        </w:tc>
        <w:tc>
          <w:tcPr>
            <w:tcW w:w="1656" w:type="dxa"/>
            <w:tcBorders>
              <w:top w:val="nil"/>
              <w:left w:val="nil"/>
              <w:bottom w:val="nil"/>
              <w:right w:val="nil"/>
            </w:tcBorders>
          </w:tcPr>
          <w:p w14:paraId="34F12F1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(-0.17)</w:t>
            </w:r>
          </w:p>
        </w:tc>
        <w:tc>
          <w:tcPr>
            <w:tcW w:w="1656" w:type="dxa"/>
            <w:tcBorders>
              <w:top w:val="nil"/>
              <w:left w:val="nil"/>
              <w:bottom w:val="nil"/>
              <w:right w:val="nil"/>
            </w:tcBorders>
          </w:tcPr>
          <w:p w14:paraId="23A7F44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(1.66)</w:t>
            </w:r>
          </w:p>
        </w:tc>
        <w:tc>
          <w:tcPr>
            <w:tcW w:w="1656" w:type="dxa"/>
            <w:tcBorders>
              <w:top w:val="nil"/>
              <w:left w:val="nil"/>
              <w:bottom w:val="nil"/>
              <w:right w:val="nil"/>
            </w:tcBorders>
          </w:tcPr>
          <w:p w14:paraId="7D52EB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w:t>
            </w:r>
          </w:p>
        </w:tc>
        <w:tc>
          <w:tcPr>
            <w:tcW w:w="1656" w:type="dxa"/>
            <w:tcBorders>
              <w:top w:val="nil"/>
              <w:left w:val="nil"/>
              <w:bottom w:val="nil"/>
              <w:right w:val="nil"/>
            </w:tcBorders>
          </w:tcPr>
          <w:p w14:paraId="711CF32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(0.65)</w:t>
            </w:r>
          </w:p>
        </w:tc>
      </w:tr>
      <w:tr w:rsidR="00780385" w:rsidRPr="00B15A51" w14:paraId="6920057C" w14:textId="77777777" w:rsidTr="00F16287">
        <w:tc>
          <w:tcPr>
            <w:tcW w:w="2136" w:type="dxa"/>
            <w:tcBorders>
              <w:top w:val="nil"/>
              <w:left w:val="nil"/>
              <w:bottom w:val="nil"/>
              <w:right w:val="nil"/>
            </w:tcBorders>
          </w:tcPr>
          <w:p w14:paraId="37CC60C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A98E8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DC1E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3EA1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878EC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7C504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60E706C" w14:textId="77777777" w:rsidTr="00F16287">
        <w:tc>
          <w:tcPr>
            <w:tcW w:w="2136" w:type="dxa"/>
            <w:tcBorders>
              <w:top w:val="nil"/>
              <w:left w:val="nil"/>
              <w:bottom w:val="nil"/>
              <w:right w:val="nil"/>
            </w:tcBorders>
          </w:tcPr>
          <w:p w14:paraId="0C7F5C8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0D0CC7B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-0.117</w:t>
            </w:r>
          </w:p>
        </w:tc>
        <w:tc>
          <w:tcPr>
            <w:tcW w:w="1656" w:type="dxa"/>
            <w:tcBorders>
              <w:top w:val="nil"/>
              <w:left w:val="nil"/>
              <w:bottom w:val="nil"/>
              <w:right w:val="nil"/>
            </w:tcBorders>
          </w:tcPr>
          <w:p w14:paraId="3E574F5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-0.0614</w:t>
            </w:r>
          </w:p>
        </w:tc>
        <w:tc>
          <w:tcPr>
            <w:tcW w:w="1656" w:type="dxa"/>
            <w:tcBorders>
              <w:top w:val="nil"/>
              <w:left w:val="nil"/>
              <w:bottom w:val="nil"/>
              <w:right w:val="nil"/>
            </w:tcBorders>
          </w:tcPr>
          <w:p w14:paraId="368B807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-0.0909</w:t>
            </w:r>
          </w:p>
        </w:tc>
        <w:tc>
          <w:tcPr>
            <w:tcW w:w="1656" w:type="dxa"/>
            <w:tcBorders>
              <w:top w:val="nil"/>
              <w:left w:val="nil"/>
              <w:bottom w:val="nil"/>
              <w:right w:val="nil"/>
            </w:tcBorders>
          </w:tcPr>
          <w:p w14:paraId="20CD2AF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-0.00147</w:t>
            </w:r>
          </w:p>
        </w:tc>
        <w:tc>
          <w:tcPr>
            <w:tcW w:w="1656" w:type="dxa"/>
            <w:tcBorders>
              <w:top w:val="nil"/>
              <w:left w:val="nil"/>
              <w:bottom w:val="nil"/>
              <w:right w:val="nil"/>
            </w:tcBorders>
          </w:tcPr>
          <w:p w14:paraId="79F6A46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0.00789</w:t>
            </w:r>
          </w:p>
        </w:tc>
      </w:tr>
      <w:tr w:rsidR="00780385" w:rsidRPr="00B15A51" w14:paraId="14837958" w14:textId="77777777" w:rsidTr="00F16287">
        <w:tc>
          <w:tcPr>
            <w:tcW w:w="2136" w:type="dxa"/>
            <w:tcBorders>
              <w:top w:val="nil"/>
              <w:left w:val="nil"/>
              <w:bottom w:val="nil"/>
              <w:right w:val="nil"/>
            </w:tcBorders>
          </w:tcPr>
          <w:p w14:paraId="72FB80B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640D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(-1.67)</w:t>
            </w:r>
          </w:p>
        </w:tc>
        <w:tc>
          <w:tcPr>
            <w:tcW w:w="1656" w:type="dxa"/>
            <w:tcBorders>
              <w:top w:val="nil"/>
              <w:left w:val="nil"/>
              <w:bottom w:val="nil"/>
              <w:right w:val="nil"/>
            </w:tcBorders>
          </w:tcPr>
          <w:p w14:paraId="7A71D6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(-1.01)</w:t>
            </w:r>
          </w:p>
        </w:tc>
        <w:tc>
          <w:tcPr>
            <w:tcW w:w="1656" w:type="dxa"/>
            <w:tcBorders>
              <w:top w:val="nil"/>
              <w:left w:val="nil"/>
              <w:bottom w:val="nil"/>
              <w:right w:val="nil"/>
            </w:tcBorders>
          </w:tcPr>
          <w:p w14:paraId="7C31D83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(-1.06)</w:t>
            </w:r>
          </w:p>
        </w:tc>
        <w:tc>
          <w:tcPr>
            <w:tcW w:w="1656" w:type="dxa"/>
            <w:tcBorders>
              <w:top w:val="nil"/>
              <w:left w:val="nil"/>
              <w:bottom w:val="nil"/>
              <w:right w:val="nil"/>
            </w:tcBorders>
          </w:tcPr>
          <w:p w14:paraId="1F413AA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w:t>
            </w:r>
          </w:p>
        </w:tc>
        <w:tc>
          <w:tcPr>
            <w:tcW w:w="1656" w:type="dxa"/>
            <w:tcBorders>
              <w:top w:val="nil"/>
              <w:left w:val="nil"/>
              <w:bottom w:val="nil"/>
              <w:right w:val="nil"/>
            </w:tcBorders>
          </w:tcPr>
          <w:p w14:paraId="2474162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(0.26)</w:t>
            </w:r>
          </w:p>
        </w:tc>
      </w:tr>
      <w:tr w:rsidR="00780385" w:rsidRPr="00B15A51" w14:paraId="09813FF4" w14:textId="77777777" w:rsidTr="00F16287">
        <w:tc>
          <w:tcPr>
            <w:tcW w:w="2136" w:type="dxa"/>
            <w:tcBorders>
              <w:top w:val="nil"/>
              <w:left w:val="nil"/>
              <w:bottom w:val="nil"/>
              <w:right w:val="nil"/>
            </w:tcBorders>
          </w:tcPr>
          <w:p w14:paraId="12D2D2E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F1A8A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E00C7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4B56D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4EA07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EB77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6656C6F" w14:textId="77777777" w:rsidTr="00F16287">
        <w:tc>
          <w:tcPr>
            <w:tcW w:w="2136" w:type="dxa"/>
            <w:tcBorders>
              <w:top w:val="nil"/>
              <w:left w:val="nil"/>
              <w:bottom w:val="nil"/>
              <w:right w:val="nil"/>
            </w:tcBorders>
          </w:tcPr>
          <w:p w14:paraId="3E7F207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2E0CA71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-0.0903</w:t>
            </w:r>
          </w:p>
        </w:tc>
        <w:tc>
          <w:tcPr>
            <w:tcW w:w="1656" w:type="dxa"/>
            <w:tcBorders>
              <w:top w:val="nil"/>
              <w:left w:val="nil"/>
              <w:bottom w:val="nil"/>
              <w:right w:val="nil"/>
            </w:tcBorders>
          </w:tcPr>
          <w:p w14:paraId="367299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0.0757</w:t>
            </w:r>
          </w:p>
        </w:tc>
        <w:tc>
          <w:tcPr>
            <w:tcW w:w="1656" w:type="dxa"/>
            <w:tcBorders>
              <w:top w:val="nil"/>
              <w:left w:val="nil"/>
              <w:bottom w:val="nil"/>
              <w:right w:val="nil"/>
            </w:tcBorders>
          </w:tcPr>
          <w:p w14:paraId="656A8D2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-0.149</w:t>
            </w:r>
          </w:p>
        </w:tc>
        <w:tc>
          <w:tcPr>
            <w:tcW w:w="1656" w:type="dxa"/>
            <w:tcBorders>
              <w:top w:val="nil"/>
              <w:left w:val="nil"/>
              <w:bottom w:val="nil"/>
              <w:right w:val="nil"/>
            </w:tcBorders>
          </w:tcPr>
          <w:p w14:paraId="43B5705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-0.0223</w:t>
            </w:r>
          </w:p>
        </w:tc>
        <w:tc>
          <w:tcPr>
            <w:tcW w:w="1656" w:type="dxa"/>
            <w:tcBorders>
              <w:top w:val="nil"/>
              <w:left w:val="nil"/>
              <w:bottom w:val="nil"/>
              <w:right w:val="nil"/>
            </w:tcBorders>
          </w:tcPr>
          <w:p w14:paraId="22A3F11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0.0213</w:t>
            </w:r>
          </w:p>
        </w:tc>
      </w:tr>
      <w:tr w:rsidR="00780385" w:rsidRPr="00B15A51" w14:paraId="2B5D40ED" w14:textId="77777777" w:rsidTr="00F16287">
        <w:tc>
          <w:tcPr>
            <w:tcW w:w="2136" w:type="dxa"/>
            <w:tcBorders>
              <w:top w:val="nil"/>
              <w:left w:val="nil"/>
              <w:bottom w:val="nil"/>
              <w:right w:val="nil"/>
            </w:tcBorders>
          </w:tcPr>
          <w:p w14:paraId="7BFD86B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5CA4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(-1.10)</w:t>
            </w:r>
          </w:p>
        </w:tc>
        <w:tc>
          <w:tcPr>
            <w:tcW w:w="1656" w:type="dxa"/>
            <w:tcBorders>
              <w:top w:val="nil"/>
              <w:left w:val="nil"/>
              <w:bottom w:val="nil"/>
              <w:right w:val="nil"/>
            </w:tcBorders>
          </w:tcPr>
          <w:p w14:paraId="6CCE28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(1.54)</w:t>
            </w:r>
          </w:p>
        </w:tc>
        <w:tc>
          <w:tcPr>
            <w:tcW w:w="1656" w:type="dxa"/>
            <w:tcBorders>
              <w:top w:val="nil"/>
              <w:left w:val="nil"/>
              <w:bottom w:val="nil"/>
              <w:right w:val="nil"/>
            </w:tcBorders>
          </w:tcPr>
          <w:p w14:paraId="3BE79E5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(-1.58)</w:t>
            </w:r>
          </w:p>
        </w:tc>
        <w:tc>
          <w:tcPr>
            <w:tcW w:w="1656" w:type="dxa"/>
            <w:tcBorders>
              <w:top w:val="nil"/>
              <w:left w:val="nil"/>
              <w:bottom w:val="nil"/>
              <w:right w:val="nil"/>
            </w:tcBorders>
          </w:tcPr>
          <w:p w14:paraId="3FB2236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(-0.80)</w:t>
            </w:r>
          </w:p>
        </w:tc>
        <w:tc>
          <w:tcPr>
            <w:tcW w:w="1656" w:type="dxa"/>
            <w:tcBorders>
              <w:top w:val="nil"/>
              <w:left w:val="nil"/>
              <w:bottom w:val="nil"/>
              <w:right w:val="nil"/>
            </w:tcBorders>
          </w:tcPr>
          <w:p w14:paraId="30042D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(0.66)</w:t>
            </w:r>
          </w:p>
        </w:tc>
      </w:tr>
      <w:tr w:rsidR="00780385" w:rsidRPr="00B15A51" w14:paraId="094AA0BB" w14:textId="77777777" w:rsidTr="00F16287">
        <w:tc>
          <w:tcPr>
            <w:tcW w:w="2136" w:type="dxa"/>
            <w:tcBorders>
              <w:top w:val="nil"/>
              <w:left w:val="nil"/>
              <w:bottom w:val="nil"/>
              <w:right w:val="nil"/>
            </w:tcBorders>
          </w:tcPr>
          <w:p w14:paraId="339093D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3C35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E8E71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585E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F3CE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003B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28CBF3AF" w14:textId="77777777" w:rsidTr="00F16287">
        <w:tc>
          <w:tcPr>
            <w:tcW w:w="2136" w:type="dxa"/>
            <w:tcBorders>
              <w:top w:val="nil"/>
              <w:left w:val="nil"/>
              <w:bottom w:val="nil"/>
              <w:right w:val="nil"/>
            </w:tcBorders>
          </w:tcPr>
          <w:p w14:paraId="0F04C9F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45C53D7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0.0106</w:t>
            </w:r>
          </w:p>
        </w:tc>
        <w:tc>
          <w:tcPr>
            <w:tcW w:w="1656" w:type="dxa"/>
            <w:tcBorders>
              <w:top w:val="nil"/>
              <w:left w:val="nil"/>
              <w:bottom w:val="nil"/>
              <w:right w:val="nil"/>
            </w:tcBorders>
          </w:tcPr>
          <w:p w14:paraId="3AD38FD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0.157</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141F8E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-0.0516</w:t>
            </w:r>
          </w:p>
        </w:tc>
        <w:tc>
          <w:tcPr>
            <w:tcW w:w="1656" w:type="dxa"/>
            <w:tcBorders>
              <w:top w:val="nil"/>
              <w:left w:val="nil"/>
              <w:bottom w:val="nil"/>
              <w:right w:val="nil"/>
            </w:tcBorders>
          </w:tcPr>
          <w:p w14:paraId="3AF5BE6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-0.0174</w:t>
            </w:r>
          </w:p>
        </w:tc>
        <w:tc>
          <w:tcPr>
            <w:tcW w:w="1656" w:type="dxa"/>
            <w:tcBorders>
              <w:top w:val="nil"/>
              <w:left w:val="nil"/>
              <w:bottom w:val="nil"/>
              <w:right w:val="nil"/>
            </w:tcBorders>
          </w:tcPr>
          <w:p w14:paraId="0096807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-0.0267</w:t>
            </w:r>
          </w:p>
        </w:tc>
      </w:tr>
      <w:tr w:rsidR="00780385" w:rsidRPr="00B15A51" w14:paraId="52426130" w14:textId="77777777" w:rsidTr="00F16287">
        <w:tc>
          <w:tcPr>
            <w:tcW w:w="2136" w:type="dxa"/>
            <w:tcBorders>
              <w:top w:val="nil"/>
              <w:left w:val="nil"/>
              <w:bottom w:val="nil"/>
              <w:right w:val="nil"/>
            </w:tcBorders>
          </w:tcPr>
          <w:p w14:paraId="335043D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8389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(0.15)</w:t>
            </w:r>
          </w:p>
        </w:tc>
        <w:tc>
          <w:tcPr>
            <w:tcW w:w="1656" w:type="dxa"/>
            <w:tcBorders>
              <w:top w:val="nil"/>
              <w:left w:val="nil"/>
              <w:bottom w:val="nil"/>
              <w:right w:val="nil"/>
            </w:tcBorders>
          </w:tcPr>
          <w:p w14:paraId="52B087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(2.65)</w:t>
            </w:r>
          </w:p>
        </w:tc>
        <w:tc>
          <w:tcPr>
            <w:tcW w:w="1656" w:type="dxa"/>
            <w:tcBorders>
              <w:top w:val="nil"/>
              <w:left w:val="nil"/>
              <w:bottom w:val="nil"/>
              <w:right w:val="nil"/>
            </w:tcBorders>
          </w:tcPr>
          <w:p w14:paraId="593E00D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(-0.59)</w:t>
            </w:r>
          </w:p>
        </w:tc>
        <w:tc>
          <w:tcPr>
            <w:tcW w:w="1656" w:type="dxa"/>
            <w:tcBorders>
              <w:top w:val="nil"/>
              <w:left w:val="nil"/>
              <w:bottom w:val="nil"/>
              <w:right w:val="nil"/>
            </w:tcBorders>
          </w:tcPr>
          <w:p w14:paraId="3AB3A25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(-0.64)</w:t>
            </w:r>
          </w:p>
        </w:tc>
        <w:tc>
          <w:tcPr>
            <w:tcW w:w="1656" w:type="dxa"/>
            <w:tcBorders>
              <w:top w:val="nil"/>
              <w:left w:val="nil"/>
              <w:bottom w:val="nil"/>
              <w:right w:val="nil"/>
            </w:tcBorders>
          </w:tcPr>
          <w:p w14:paraId="186769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(-0.93)</w:t>
            </w:r>
          </w:p>
        </w:tc>
      </w:tr>
      <w:tr w:rsidR="00780385" w:rsidRPr="00B15A51" w14:paraId="329BEFF5" w14:textId="77777777" w:rsidTr="00F16287">
        <w:tc>
          <w:tcPr>
            <w:tcW w:w="2136" w:type="dxa"/>
            <w:tcBorders>
              <w:top w:val="nil"/>
              <w:left w:val="nil"/>
              <w:bottom w:val="nil"/>
              <w:right w:val="nil"/>
            </w:tcBorders>
          </w:tcPr>
          <w:p w14:paraId="57975C0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B37B5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EEAC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D0D28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8FB1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5020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BADCC17" w14:textId="77777777" w:rsidTr="00F16287">
        <w:tc>
          <w:tcPr>
            <w:tcW w:w="2136" w:type="dxa"/>
            <w:tcBorders>
              <w:top w:val="nil"/>
              <w:left w:val="nil"/>
              <w:bottom w:val="nil"/>
              <w:right w:val="nil"/>
            </w:tcBorders>
          </w:tcPr>
          <w:p w14:paraId="235157E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02A71BB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-0.0876</w:t>
            </w:r>
          </w:p>
        </w:tc>
        <w:tc>
          <w:tcPr>
            <w:tcW w:w="1656" w:type="dxa"/>
            <w:tcBorders>
              <w:top w:val="nil"/>
              <w:left w:val="nil"/>
              <w:bottom w:val="nil"/>
              <w:right w:val="nil"/>
            </w:tcBorders>
          </w:tcPr>
          <w:p w14:paraId="5FDEA4D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-0.134</w:t>
            </w:r>
          </w:p>
        </w:tc>
        <w:tc>
          <w:tcPr>
            <w:tcW w:w="1656" w:type="dxa"/>
            <w:tcBorders>
              <w:top w:val="nil"/>
              <w:left w:val="nil"/>
              <w:bottom w:val="nil"/>
              <w:right w:val="nil"/>
            </w:tcBorders>
          </w:tcPr>
          <w:p w14:paraId="7B671E9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-0.137</w:t>
            </w:r>
          </w:p>
        </w:tc>
        <w:tc>
          <w:tcPr>
            <w:tcW w:w="1656" w:type="dxa"/>
            <w:tcBorders>
              <w:top w:val="nil"/>
              <w:left w:val="nil"/>
              <w:bottom w:val="nil"/>
              <w:right w:val="nil"/>
            </w:tcBorders>
          </w:tcPr>
          <w:p w14:paraId="3E0D0D6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-0.00404</w:t>
            </w:r>
          </w:p>
        </w:tc>
        <w:tc>
          <w:tcPr>
            <w:tcW w:w="1656" w:type="dxa"/>
            <w:tcBorders>
              <w:top w:val="nil"/>
              <w:left w:val="nil"/>
              <w:bottom w:val="nil"/>
              <w:right w:val="nil"/>
            </w:tcBorders>
          </w:tcPr>
          <w:p w14:paraId="15C6EE3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-0.00562</w:t>
            </w:r>
          </w:p>
        </w:tc>
      </w:tr>
      <w:tr w:rsidR="00780385" w:rsidRPr="00B15A51" w14:paraId="4F43ED2A" w14:textId="77777777" w:rsidTr="00F16287">
        <w:tc>
          <w:tcPr>
            <w:tcW w:w="2136" w:type="dxa"/>
            <w:tcBorders>
              <w:top w:val="nil"/>
              <w:left w:val="nil"/>
              <w:bottom w:val="nil"/>
              <w:right w:val="nil"/>
            </w:tcBorders>
          </w:tcPr>
          <w:p w14:paraId="257B377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0CABE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(-0.92)</w:t>
            </w:r>
          </w:p>
        </w:tc>
        <w:tc>
          <w:tcPr>
            <w:tcW w:w="1656" w:type="dxa"/>
            <w:tcBorders>
              <w:top w:val="nil"/>
              <w:left w:val="nil"/>
              <w:bottom w:val="nil"/>
              <w:right w:val="nil"/>
            </w:tcBorders>
          </w:tcPr>
          <w:p w14:paraId="182B693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(-1.58)</w:t>
            </w:r>
          </w:p>
        </w:tc>
        <w:tc>
          <w:tcPr>
            <w:tcW w:w="1656" w:type="dxa"/>
            <w:tcBorders>
              <w:top w:val="nil"/>
              <w:left w:val="nil"/>
              <w:bottom w:val="nil"/>
              <w:right w:val="nil"/>
            </w:tcBorders>
          </w:tcPr>
          <w:p w14:paraId="546FB0C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(-1.61)</w:t>
            </w:r>
          </w:p>
        </w:tc>
        <w:tc>
          <w:tcPr>
            <w:tcW w:w="1656" w:type="dxa"/>
            <w:tcBorders>
              <w:top w:val="nil"/>
              <w:left w:val="nil"/>
              <w:bottom w:val="nil"/>
              <w:right w:val="nil"/>
            </w:tcBorders>
          </w:tcPr>
          <w:p w14:paraId="5BDDBE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(-0.18)</w:t>
            </w:r>
          </w:p>
        </w:tc>
        <w:tc>
          <w:tcPr>
            <w:tcW w:w="1656" w:type="dxa"/>
            <w:tcBorders>
              <w:top w:val="nil"/>
              <w:left w:val="nil"/>
              <w:bottom w:val="nil"/>
              <w:right w:val="nil"/>
            </w:tcBorders>
          </w:tcPr>
          <w:p w14:paraId="64E8BA6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(-0.19)</w:t>
            </w:r>
          </w:p>
        </w:tc>
      </w:tr>
      <w:tr w:rsidR="00780385" w:rsidRPr="00B15A51" w14:paraId="151948B9" w14:textId="77777777" w:rsidTr="00F16287">
        <w:tc>
          <w:tcPr>
            <w:tcW w:w="2136" w:type="dxa"/>
            <w:tcBorders>
              <w:top w:val="nil"/>
              <w:left w:val="nil"/>
              <w:bottom w:val="nil"/>
              <w:right w:val="nil"/>
            </w:tcBorders>
          </w:tcPr>
          <w:p w14:paraId="7BEE45B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6498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70F45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5AEED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9BF9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8E07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517A2866" w14:textId="77777777" w:rsidTr="00F16287">
        <w:tc>
          <w:tcPr>
            <w:tcW w:w="2136" w:type="dxa"/>
            <w:tcBorders>
              <w:top w:val="nil"/>
              <w:left w:val="nil"/>
              <w:bottom w:val="nil"/>
              <w:right w:val="nil"/>
            </w:tcBorders>
          </w:tcPr>
          <w:p w14:paraId="060799D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6CA6265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-0.0404</w:t>
            </w:r>
          </w:p>
        </w:tc>
        <w:tc>
          <w:tcPr>
            <w:tcW w:w="1656" w:type="dxa"/>
            <w:tcBorders>
              <w:top w:val="nil"/>
              <w:left w:val="nil"/>
              <w:bottom w:val="nil"/>
              <w:right w:val="nil"/>
            </w:tcBorders>
          </w:tcPr>
          <w:p w14:paraId="3D1907B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-0.128</w:t>
            </w:r>
          </w:p>
        </w:tc>
        <w:tc>
          <w:tcPr>
            <w:tcW w:w="1656" w:type="dxa"/>
            <w:tcBorders>
              <w:top w:val="nil"/>
              <w:left w:val="nil"/>
              <w:bottom w:val="nil"/>
              <w:right w:val="nil"/>
            </w:tcBorders>
          </w:tcPr>
          <w:p w14:paraId="044A792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-0.118</w:t>
            </w:r>
          </w:p>
        </w:tc>
        <w:tc>
          <w:tcPr>
            <w:tcW w:w="1656" w:type="dxa"/>
            <w:tcBorders>
              <w:top w:val="nil"/>
              <w:left w:val="nil"/>
              <w:bottom w:val="nil"/>
              <w:right w:val="nil"/>
            </w:tcBorders>
          </w:tcPr>
          <w:p w14:paraId="3816E6C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0.00348</w:t>
            </w:r>
          </w:p>
        </w:tc>
        <w:tc>
          <w:tcPr>
            <w:tcW w:w="1656" w:type="dxa"/>
            <w:tcBorders>
              <w:top w:val="nil"/>
              <w:left w:val="nil"/>
              <w:bottom w:val="nil"/>
              <w:right w:val="nil"/>
            </w:tcBorders>
          </w:tcPr>
          <w:p w14:paraId="619FFB5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0.0101</w:t>
            </w:r>
          </w:p>
        </w:tc>
      </w:tr>
      <w:tr w:rsidR="00780385" w:rsidRPr="00B15A51" w14:paraId="1895C93B" w14:textId="77777777" w:rsidTr="00F16287">
        <w:tc>
          <w:tcPr>
            <w:tcW w:w="2136" w:type="dxa"/>
            <w:tcBorders>
              <w:top w:val="nil"/>
              <w:left w:val="nil"/>
              <w:bottom w:val="nil"/>
              <w:right w:val="nil"/>
            </w:tcBorders>
          </w:tcPr>
          <w:p w14:paraId="566CAB3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F0645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(-0.49)</w:t>
            </w:r>
          </w:p>
        </w:tc>
        <w:tc>
          <w:tcPr>
            <w:tcW w:w="1656" w:type="dxa"/>
            <w:tcBorders>
              <w:top w:val="nil"/>
              <w:left w:val="nil"/>
              <w:bottom w:val="nil"/>
              <w:right w:val="nil"/>
            </w:tcBorders>
          </w:tcPr>
          <w:p w14:paraId="1E46733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(-1.73)</w:t>
            </w:r>
          </w:p>
        </w:tc>
        <w:tc>
          <w:tcPr>
            <w:tcW w:w="1656" w:type="dxa"/>
            <w:tcBorders>
              <w:top w:val="nil"/>
              <w:left w:val="nil"/>
              <w:bottom w:val="nil"/>
              <w:right w:val="nil"/>
            </w:tcBorders>
          </w:tcPr>
          <w:p w14:paraId="0FBFBAE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(-1.44)</w:t>
            </w:r>
          </w:p>
        </w:tc>
        <w:tc>
          <w:tcPr>
            <w:tcW w:w="1656" w:type="dxa"/>
            <w:tcBorders>
              <w:top w:val="nil"/>
              <w:left w:val="nil"/>
              <w:bottom w:val="nil"/>
              <w:right w:val="nil"/>
            </w:tcBorders>
          </w:tcPr>
          <w:p w14:paraId="4971542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(0.16)</w:t>
            </w:r>
          </w:p>
        </w:tc>
        <w:tc>
          <w:tcPr>
            <w:tcW w:w="1656" w:type="dxa"/>
            <w:tcBorders>
              <w:top w:val="nil"/>
              <w:left w:val="nil"/>
              <w:bottom w:val="nil"/>
              <w:right w:val="nil"/>
            </w:tcBorders>
          </w:tcPr>
          <w:p w14:paraId="1BB562A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(0.37)</w:t>
            </w:r>
          </w:p>
        </w:tc>
      </w:tr>
      <w:tr w:rsidR="00780385" w:rsidRPr="00B15A51" w14:paraId="1B15324E" w14:textId="77777777" w:rsidTr="00F16287">
        <w:tc>
          <w:tcPr>
            <w:tcW w:w="2136" w:type="dxa"/>
            <w:tcBorders>
              <w:top w:val="nil"/>
              <w:left w:val="nil"/>
              <w:bottom w:val="nil"/>
              <w:right w:val="nil"/>
            </w:tcBorders>
          </w:tcPr>
          <w:p w14:paraId="455590E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40DA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ABF06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3225F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63A8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60652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971DA8D" w14:textId="77777777" w:rsidTr="00F16287">
        <w:tc>
          <w:tcPr>
            <w:tcW w:w="2136" w:type="dxa"/>
            <w:tcBorders>
              <w:top w:val="nil"/>
              <w:left w:val="nil"/>
              <w:bottom w:val="nil"/>
              <w:right w:val="nil"/>
            </w:tcBorders>
          </w:tcPr>
          <w:p w14:paraId="1737A97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roofErr w:type="spellStart"/>
            <w:r w:rsidRPr="00B15A51">
              <w:rPr>
                <w:rFonts w:ascii="Times New Roman" w:hAnsi="Times New Roman" w:cs="Times New Roman"/>
                <w:sz w:val="16"/>
                <w:szCs w:val="16"/>
              </w:rPr>
              <w:t>L.Exchange</w:t>
            </w:r>
            <w:proofErr w:type="spellEnd"/>
            <w:r w:rsidRPr="00B15A51">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D6CE68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0.0113</w:t>
            </w:r>
          </w:p>
        </w:tc>
        <w:tc>
          <w:tcPr>
            <w:tcW w:w="1656" w:type="dxa"/>
            <w:tcBorders>
              <w:top w:val="nil"/>
              <w:left w:val="nil"/>
              <w:bottom w:val="nil"/>
              <w:right w:val="nil"/>
            </w:tcBorders>
          </w:tcPr>
          <w:p w14:paraId="65D416D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0.00694</w:t>
            </w:r>
          </w:p>
        </w:tc>
        <w:tc>
          <w:tcPr>
            <w:tcW w:w="1656" w:type="dxa"/>
            <w:tcBorders>
              <w:top w:val="nil"/>
              <w:left w:val="nil"/>
              <w:bottom w:val="nil"/>
              <w:right w:val="nil"/>
            </w:tcBorders>
          </w:tcPr>
          <w:p w14:paraId="147D1B7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-0.00550</w:t>
            </w:r>
          </w:p>
        </w:tc>
        <w:tc>
          <w:tcPr>
            <w:tcW w:w="1656" w:type="dxa"/>
            <w:tcBorders>
              <w:top w:val="nil"/>
              <w:left w:val="nil"/>
              <w:bottom w:val="nil"/>
              <w:right w:val="nil"/>
            </w:tcBorders>
          </w:tcPr>
          <w:p w14:paraId="1E9434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0.0102</w:t>
            </w:r>
          </w:p>
        </w:tc>
        <w:tc>
          <w:tcPr>
            <w:tcW w:w="1656" w:type="dxa"/>
            <w:tcBorders>
              <w:top w:val="nil"/>
              <w:left w:val="nil"/>
              <w:bottom w:val="nil"/>
              <w:right w:val="nil"/>
            </w:tcBorders>
          </w:tcPr>
          <w:p w14:paraId="36B56F0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0.00667</w:t>
            </w:r>
            <w:r w:rsidRPr="00B15A51">
              <w:rPr>
                <w:rFonts w:ascii="Times New Roman" w:hAnsi="Times New Roman" w:cs="Times New Roman"/>
                <w:sz w:val="16"/>
                <w:szCs w:val="16"/>
                <w:vertAlign w:val="superscript"/>
              </w:rPr>
              <w:t>*</w:t>
            </w:r>
          </w:p>
        </w:tc>
      </w:tr>
      <w:tr w:rsidR="00780385" w:rsidRPr="00B15A51" w14:paraId="315C935E" w14:textId="77777777" w:rsidTr="00F16287">
        <w:tc>
          <w:tcPr>
            <w:tcW w:w="2136" w:type="dxa"/>
            <w:tcBorders>
              <w:top w:val="nil"/>
              <w:left w:val="nil"/>
              <w:bottom w:val="nil"/>
              <w:right w:val="nil"/>
            </w:tcBorders>
          </w:tcPr>
          <w:p w14:paraId="4FDA401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D9AFA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(0.53)</w:t>
            </w:r>
          </w:p>
        </w:tc>
        <w:tc>
          <w:tcPr>
            <w:tcW w:w="1656" w:type="dxa"/>
            <w:tcBorders>
              <w:top w:val="nil"/>
              <w:left w:val="nil"/>
              <w:bottom w:val="nil"/>
              <w:right w:val="nil"/>
            </w:tcBorders>
          </w:tcPr>
          <w:p w14:paraId="7433CEA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(0.27)</w:t>
            </w:r>
          </w:p>
        </w:tc>
        <w:tc>
          <w:tcPr>
            <w:tcW w:w="1656" w:type="dxa"/>
            <w:tcBorders>
              <w:top w:val="nil"/>
              <w:left w:val="nil"/>
              <w:bottom w:val="nil"/>
              <w:right w:val="nil"/>
            </w:tcBorders>
          </w:tcPr>
          <w:p w14:paraId="028C306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(-0.35)</w:t>
            </w:r>
          </w:p>
        </w:tc>
        <w:tc>
          <w:tcPr>
            <w:tcW w:w="1656" w:type="dxa"/>
            <w:tcBorders>
              <w:top w:val="nil"/>
              <w:left w:val="nil"/>
              <w:bottom w:val="nil"/>
              <w:right w:val="nil"/>
            </w:tcBorders>
          </w:tcPr>
          <w:p w14:paraId="572A4F9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(1.54)</w:t>
            </w:r>
          </w:p>
        </w:tc>
        <w:tc>
          <w:tcPr>
            <w:tcW w:w="1656" w:type="dxa"/>
            <w:tcBorders>
              <w:top w:val="nil"/>
              <w:left w:val="nil"/>
              <w:bottom w:val="nil"/>
              <w:right w:val="nil"/>
            </w:tcBorders>
          </w:tcPr>
          <w:p w14:paraId="0D3B273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(2.33)</w:t>
            </w:r>
          </w:p>
        </w:tc>
      </w:tr>
      <w:tr w:rsidR="00780385" w:rsidRPr="00B15A51" w14:paraId="1CF39AF9" w14:textId="77777777" w:rsidTr="00F16287">
        <w:tc>
          <w:tcPr>
            <w:tcW w:w="2136" w:type="dxa"/>
            <w:tcBorders>
              <w:top w:val="nil"/>
              <w:left w:val="nil"/>
              <w:bottom w:val="nil"/>
              <w:right w:val="nil"/>
            </w:tcBorders>
          </w:tcPr>
          <w:p w14:paraId="478E58E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6B63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B963A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1BBD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FEFDD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D14C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389476DF" w14:textId="77777777" w:rsidTr="00F16287">
        <w:tc>
          <w:tcPr>
            <w:tcW w:w="2136" w:type="dxa"/>
            <w:tcBorders>
              <w:top w:val="nil"/>
              <w:left w:val="nil"/>
              <w:bottom w:val="nil"/>
              <w:right w:val="nil"/>
            </w:tcBorders>
          </w:tcPr>
          <w:p w14:paraId="488CF32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6259484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-0.00102</w:t>
            </w:r>
          </w:p>
        </w:tc>
        <w:tc>
          <w:tcPr>
            <w:tcW w:w="1656" w:type="dxa"/>
            <w:tcBorders>
              <w:top w:val="nil"/>
              <w:left w:val="nil"/>
              <w:bottom w:val="nil"/>
              <w:right w:val="nil"/>
            </w:tcBorders>
          </w:tcPr>
          <w:p w14:paraId="1636CA9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-0.0181</w:t>
            </w:r>
          </w:p>
        </w:tc>
        <w:tc>
          <w:tcPr>
            <w:tcW w:w="1656" w:type="dxa"/>
            <w:tcBorders>
              <w:top w:val="nil"/>
              <w:left w:val="nil"/>
              <w:bottom w:val="nil"/>
              <w:right w:val="nil"/>
            </w:tcBorders>
          </w:tcPr>
          <w:p w14:paraId="4F0629C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-0.00410</w:t>
            </w:r>
          </w:p>
        </w:tc>
        <w:tc>
          <w:tcPr>
            <w:tcW w:w="1656" w:type="dxa"/>
            <w:tcBorders>
              <w:top w:val="nil"/>
              <w:left w:val="nil"/>
              <w:bottom w:val="nil"/>
              <w:right w:val="nil"/>
            </w:tcBorders>
          </w:tcPr>
          <w:p w14:paraId="3A7D1F2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0.00719</w:t>
            </w:r>
          </w:p>
        </w:tc>
        <w:tc>
          <w:tcPr>
            <w:tcW w:w="1656" w:type="dxa"/>
            <w:tcBorders>
              <w:top w:val="nil"/>
              <w:left w:val="nil"/>
              <w:bottom w:val="nil"/>
              <w:right w:val="nil"/>
            </w:tcBorders>
          </w:tcPr>
          <w:p w14:paraId="6D217BB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0.00775</w:t>
            </w:r>
            <w:r w:rsidRPr="00B15A51">
              <w:rPr>
                <w:rFonts w:ascii="Times New Roman" w:hAnsi="Times New Roman" w:cs="Times New Roman"/>
                <w:sz w:val="16"/>
                <w:szCs w:val="16"/>
                <w:vertAlign w:val="superscript"/>
              </w:rPr>
              <w:t>*</w:t>
            </w:r>
          </w:p>
        </w:tc>
      </w:tr>
      <w:tr w:rsidR="00780385" w:rsidRPr="00B15A51" w14:paraId="66A68353" w14:textId="77777777" w:rsidTr="00F16287">
        <w:tc>
          <w:tcPr>
            <w:tcW w:w="2136" w:type="dxa"/>
            <w:tcBorders>
              <w:top w:val="nil"/>
              <w:left w:val="nil"/>
              <w:bottom w:val="nil"/>
              <w:right w:val="nil"/>
            </w:tcBorders>
          </w:tcPr>
          <w:p w14:paraId="32A11CD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DCE13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w:t>
            </w:r>
          </w:p>
        </w:tc>
        <w:tc>
          <w:tcPr>
            <w:tcW w:w="1656" w:type="dxa"/>
            <w:tcBorders>
              <w:top w:val="nil"/>
              <w:left w:val="nil"/>
              <w:bottom w:val="nil"/>
              <w:right w:val="nil"/>
            </w:tcBorders>
          </w:tcPr>
          <w:p w14:paraId="59B8C4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(-0.87)</w:t>
            </w:r>
          </w:p>
        </w:tc>
        <w:tc>
          <w:tcPr>
            <w:tcW w:w="1656" w:type="dxa"/>
            <w:tcBorders>
              <w:top w:val="nil"/>
              <w:left w:val="nil"/>
              <w:bottom w:val="nil"/>
              <w:right w:val="nil"/>
            </w:tcBorders>
          </w:tcPr>
          <w:p w14:paraId="206229A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(-0.31)</w:t>
            </w:r>
          </w:p>
        </w:tc>
        <w:tc>
          <w:tcPr>
            <w:tcW w:w="1656" w:type="dxa"/>
            <w:tcBorders>
              <w:top w:val="nil"/>
              <w:left w:val="nil"/>
              <w:bottom w:val="nil"/>
              <w:right w:val="nil"/>
            </w:tcBorders>
          </w:tcPr>
          <w:p w14:paraId="70E42B2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(0.97)</w:t>
            </w:r>
          </w:p>
        </w:tc>
        <w:tc>
          <w:tcPr>
            <w:tcW w:w="1656" w:type="dxa"/>
            <w:tcBorders>
              <w:top w:val="nil"/>
              <w:left w:val="nil"/>
              <w:bottom w:val="nil"/>
              <w:right w:val="nil"/>
            </w:tcBorders>
          </w:tcPr>
          <w:p w14:paraId="7C5868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(2.17)</w:t>
            </w:r>
          </w:p>
        </w:tc>
      </w:tr>
      <w:tr w:rsidR="00780385" w:rsidRPr="00B15A51" w14:paraId="3CB7A818" w14:textId="77777777" w:rsidTr="00F16287">
        <w:tc>
          <w:tcPr>
            <w:tcW w:w="2136" w:type="dxa"/>
            <w:tcBorders>
              <w:top w:val="nil"/>
              <w:left w:val="nil"/>
              <w:bottom w:val="nil"/>
              <w:right w:val="nil"/>
            </w:tcBorders>
          </w:tcPr>
          <w:p w14:paraId="1D09054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1B835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8AED6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1B2C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43E8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FBC4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19823556" w14:textId="77777777" w:rsidTr="00F16287">
        <w:tc>
          <w:tcPr>
            <w:tcW w:w="2136" w:type="dxa"/>
            <w:tcBorders>
              <w:top w:val="nil"/>
              <w:left w:val="nil"/>
              <w:bottom w:val="nil"/>
              <w:right w:val="nil"/>
            </w:tcBorders>
          </w:tcPr>
          <w:p w14:paraId="6CB87D8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7CB58C7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-0.0278</w:t>
            </w:r>
          </w:p>
        </w:tc>
        <w:tc>
          <w:tcPr>
            <w:tcW w:w="1656" w:type="dxa"/>
            <w:tcBorders>
              <w:top w:val="nil"/>
              <w:left w:val="nil"/>
              <w:bottom w:val="nil"/>
              <w:right w:val="nil"/>
            </w:tcBorders>
          </w:tcPr>
          <w:p w14:paraId="5BD9E5E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0.00811</w:t>
            </w:r>
          </w:p>
        </w:tc>
        <w:tc>
          <w:tcPr>
            <w:tcW w:w="1656" w:type="dxa"/>
            <w:tcBorders>
              <w:top w:val="nil"/>
              <w:left w:val="nil"/>
              <w:bottom w:val="nil"/>
              <w:right w:val="nil"/>
            </w:tcBorders>
          </w:tcPr>
          <w:p w14:paraId="5156A05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-0.000358</w:t>
            </w:r>
          </w:p>
        </w:tc>
        <w:tc>
          <w:tcPr>
            <w:tcW w:w="1656" w:type="dxa"/>
            <w:tcBorders>
              <w:top w:val="nil"/>
              <w:left w:val="nil"/>
              <w:bottom w:val="nil"/>
              <w:right w:val="nil"/>
            </w:tcBorders>
          </w:tcPr>
          <w:p w14:paraId="035140D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-0.0143</w:t>
            </w:r>
          </w:p>
        </w:tc>
        <w:tc>
          <w:tcPr>
            <w:tcW w:w="1656" w:type="dxa"/>
            <w:tcBorders>
              <w:top w:val="nil"/>
              <w:left w:val="nil"/>
              <w:bottom w:val="nil"/>
              <w:right w:val="nil"/>
            </w:tcBorders>
          </w:tcPr>
          <w:p w14:paraId="5F31EDF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-0.00416</w:t>
            </w:r>
          </w:p>
        </w:tc>
      </w:tr>
      <w:tr w:rsidR="00780385" w:rsidRPr="00B15A51" w14:paraId="71BCD41D" w14:textId="77777777" w:rsidTr="00F16287">
        <w:tc>
          <w:tcPr>
            <w:tcW w:w="2136" w:type="dxa"/>
            <w:tcBorders>
              <w:top w:val="nil"/>
              <w:left w:val="nil"/>
              <w:bottom w:val="nil"/>
              <w:right w:val="nil"/>
            </w:tcBorders>
          </w:tcPr>
          <w:p w14:paraId="3344D53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B5A3C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(-1.30)</w:t>
            </w:r>
          </w:p>
        </w:tc>
        <w:tc>
          <w:tcPr>
            <w:tcW w:w="1656" w:type="dxa"/>
            <w:tcBorders>
              <w:top w:val="nil"/>
              <w:left w:val="nil"/>
              <w:bottom w:val="nil"/>
              <w:right w:val="nil"/>
            </w:tcBorders>
          </w:tcPr>
          <w:p w14:paraId="3D591DF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(0.50)</w:t>
            </w:r>
          </w:p>
        </w:tc>
        <w:tc>
          <w:tcPr>
            <w:tcW w:w="1656" w:type="dxa"/>
            <w:tcBorders>
              <w:top w:val="nil"/>
              <w:left w:val="nil"/>
              <w:bottom w:val="nil"/>
              <w:right w:val="nil"/>
            </w:tcBorders>
          </w:tcPr>
          <w:p w14:paraId="1EDEDB8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w:t>
            </w:r>
          </w:p>
        </w:tc>
        <w:tc>
          <w:tcPr>
            <w:tcW w:w="1656" w:type="dxa"/>
            <w:tcBorders>
              <w:top w:val="nil"/>
              <w:left w:val="nil"/>
              <w:bottom w:val="nil"/>
              <w:right w:val="nil"/>
            </w:tcBorders>
          </w:tcPr>
          <w:p w14:paraId="6697B0B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(-1.84)</w:t>
            </w:r>
          </w:p>
        </w:tc>
        <w:tc>
          <w:tcPr>
            <w:tcW w:w="1656" w:type="dxa"/>
            <w:tcBorders>
              <w:top w:val="nil"/>
              <w:left w:val="nil"/>
              <w:bottom w:val="nil"/>
              <w:right w:val="nil"/>
            </w:tcBorders>
          </w:tcPr>
          <w:p w14:paraId="64642A6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(-0.92)</w:t>
            </w:r>
          </w:p>
        </w:tc>
      </w:tr>
      <w:tr w:rsidR="00780385" w:rsidRPr="00B15A51" w14:paraId="509F9587" w14:textId="77777777" w:rsidTr="00F16287">
        <w:tc>
          <w:tcPr>
            <w:tcW w:w="2136" w:type="dxa"/>
            <w:tcBorders>
              <w:top w:val="nil"/>
              <w:left w:val="nil"/>
              <w:bottom w:val="nil"/>
              <w:right w:val="nil"/>
            </w:tcBorders>
          </w:tcPr>
          <w:p w14:paraId="74225D0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80FE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666DC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E3DD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827B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88EE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38758EE0" w14:textId="77777777" w:rsidTr="00F16287">
        <w:tc>
          <w:tcPr>
            <w:tcW w:w="2136" w:type="dxa"/>
            <w:tcBorders>
              <w:top w:val="nil"/>
              <w:left w:val="nil"/>
              <w:bottom w:val="nil"/>
              <w:right w:val="nil"/>
            </w:tcBorders>
          </w:tcPr>
          <w:p w14:paraId="153832D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2802161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0.0286</w:t>
            </w:r>
          </w:p>
        </w:tc>
        <w:tc>
          <w:tcPr>
            <w:tcW w:w="1656" w:type="dxa"/>
            <w:tcBorders>
              <w:top w:val="nil"/>
              <w:left w:val="nil"/>
              <w:bottom w:val="nil"/>
              <w:right w:val="nil"/>
            </w:tcBorders>
          </w:tcPr>
          <w:p w14:paraId="7315BFC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0.0274</w:t>
            </w:r>
          </w:p>
        </w:tc>
        <w:tc>
          <w:tcPr>
            <w:tcW w:w="1656" w:type="dxa"/>
            <w:tcBorders>
              <w:top w:val="nil"/>
              <w:left w:val="nil"/>
              <w:bottom w:val="nil"/>
              <w:right w:val="nil"/>
            </w:tcBorders>
          </w:tcPr>
          <w:p w14:paraId="246C00B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0.0103</w:t>
            </w:r>
          </w:p>
        </w:tc>
        <w:tc>
          <w:tcPr>
            <w:tcW w:w="1656" w:type="dxa"/>
            <w:tcBorders>
              <w:top w:val="nil"/>
              <w:left w:val="nil"/>
              <w:bottom w:val="nil"/>
              <w:right w:val="nil"/>
            </w:tcBorders>
          </w:tcPr>
          <w:p w14:paraId="5E63BC2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-0.00673</w:t>
            </w:r>
          </w:p>
        </w:tc>
        <w:tc>
          <w:tcPr>
            <w:tcW w:w="1656" w:type="dxa"/>
            <w:tcBorders>
              <w:top w:val="nil"/>
              <w:left w:val="nil"/>
              <w:bottom w:val="nil"/>
              <w:right w:val="nil"/>
            </w:tcBorders>
          </w:tcPr>
          <w:p w14:paraId="3335F7F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0.00269</w:t>
            </w:r>
          </w:p>
        </w:tc>
      </w:tr>
      <w:tr w:rsidR="00780385" w:rsidRPr="00B15A51" w14:paraId="10F05A9D" w14:textId="77777777" w:rsidTr="00F16287">
        <w:tc>
          <w:tcPr>
            <w:tcW w:w="2136" w:type="dxa"/>
            <w:tcBorders>
              <w:top w:val="nil"/>
              <w:left w:val="nil"/>
              <w:bottom w:val="nil"/>
              <w:right w:val="nil"/>
            </w:tcBorders>
          </w:tcPr>
          <w:p w14:paraId="10F6F54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D613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(1.47)</w:t>
            </w:r>
          </w:p>
        </w:tc>
        <w:tc>
          <w:tcPr>
            <w:tcW w:w="1656" w:type="dxa"/>
            <w:tcBorders>
              <w:top w:val="nil"/>
              <w:left w:val="nil"/>
              <w:bottom w:val="nil"/>
              <w:right w:val="nil"/>
            </w:tcBorders>
          </w:tcPr>
          <w:p w14:paraId="00F7577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(1.83)</w:t>
            </w:r>
          </w:p>
        </w:tc>
        <w:tc>
          <w:tcPr>
            <w:tcW w:w="1656" w:type="dxa"/>
            <w:tcBorders>
              <w:top w:val="nil"/>
              <w:left w:val="nil"/>
              <w:bottom w:val="nil"/>
              <w:right w:val="nil"/>
            </w:tcBorders>
          </w:tcPr>
          <w:p w14:paraId="2BE2699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(0.47)</w:t>
            </w:r>
          </w:p>
        </w:tc>
        <w:tc>
          <w:tcPr>
            <w:tcW w:w="1656" w:type="dxa"/>
            <w:tcBorders>
              <w:top w:val="nil"/>
              <w:left w:val="nil"/>
              <w:bottom w:val="nil"/>
              <w:right w:val="nil"/>
            </w:tcBorders>
          </w:tcPr>
          <w:p w14:paraId="27F969A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(-1.22)</w:t>
            </w:r>
          </w:p>
        </w:tc>
        <w:tc>
          <w:tcPr>
            <w:tcW w:w="1656" w:type="dxa"/>
            <w:tcBorders>
              <w:top w:val="nil"/>
              <w:left w:val="nil"/>
              <w:bottom w:val="nil"/>
              <w:right w:val="nil"/>
            </w:tcBorders>
          </w:tcPr>
          <w:p w14:paraId="2657CA1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(0.71)</w:t>
            </w:r>
          </w:p>
        </w:tc>
      </w:tr>
      <w:tr w:rsidR="00780385" w:rsidRPr="00B15A51" w14:paraId="2B820520" w14:textId="77777777" w:rsidTr="00F16287">
        <w:tc>
          <w:tcPr>
            <w:tcW w:w="2136" w:type="dxa"/>
            <w:tcBorders>
              <w:top w:val="nil"/>
              <w:left w:val="nil"/>
              <w:bottom w:val="nil"/>
              <w:right w:val="nil"/>
            </w:tcBorders>
          </w:tcPr>
          <w:p w14:paraId="6FD1061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E3D31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6386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4F9F5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A09C4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746C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9ADDFAF" w14:textId="77777777" w:rsidTr="00F16287">
        <w:tc>
          <w:tcPr>
            <w:tcW w:w="2136" w:type="dxa"/>
            <w:tcBorders>
              <w:top w:val="nil"/>
              <w:left w:val="nil"/>
              <w:bottom w:val="nil"/>
              <w:right w:val="nil"/>
            </w:tcBorders>
          </w:tcPr>
          <w:p w14:paraId="360B5A2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6C8DF5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-0.000630</w:t>
            </w:r>
          </w:p>
        </w:tc>
        <w:tc>
          <w:tcPr>
            <w:tcW w:w="1656" w:type="dxa"/>
            <w:tcBorders>
              <w:top w:val="nil"/>
              <w:left w:val="nil"/>
              <w:bottom w:val="nil"/>
              <w:right w:val="nil"/>
            </w:tcBorders>
          </w:tcPr>
          <w:p w14:paraId="1D1B10A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-0.00529</w:t>
            </w:r>
          </w:p>
        </w:tc>
        <w:tc>
          <w:tcPr>
            <w:tcW w:w="1656" w:type="dxa"/>
            <w:tcBorders>
              <w:top w:val="nil"/>
              <w:left w:val="nil"/>
              <w:bottom w:val="nil"/>
              <w:right w:val="nil"/>
            </w:tcBorders>
          </w:tcPr>
          <w:p w14:paraId="325A175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0.0411</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453EC53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0.00195</w:t>
            </w:r>
          </w:p>
        </w:tc>
        <w:tc>
          <w:tcPr>
            <w:tcW w:w="1656" w:type="dxa"/>
            <w:tcBorders>
              <w:top w:val="nil"/>
              <w:left w:val="nil"/>
              <w:bottom w:val="nil"/>
              <w:right w:val="nil"/>
            </w:tcBorders>
          </w:tcPr>
          <w:p w14:paraId="1421A46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0.0106</w:t>
            </w:r>
            <w:r w:rsidRPr="00B15A51">
              <w:rPr>
                <w:rFonts w:ascii="Times New Roman" w:hAnsi="Times New Roman" w:cs="Times New Roman"/>
                <w:sz w:val="16"/>
                <w:szCs w:val="16"/>
                <w:vertAlign w:val="superscript"/>
              </w:rPr>
              <w:t>**</w:t>
            </w:r>
          </w:p>
        </w:tc>
      </w:tr>
      <w:tr w:rsidR="00780385" w:rsidRPr="00B15A51" w14:paraId="59E2BDCE" w14:textId="77777777" w:rsidTr="00F16287">
        <w:tc>
          <w:tcPr>
            <w:tcW w:w="2136" w:type="dxa"/>
            <w:tcBorders>
              <w:top w:val="nil"/>
              <w:left w:val="nil"/>
              <w:bottom w:val="nil"/>
              <w:right w:val="nil"/>
            </w:tcBorders>
          </w:tcPr>
          <w:p w14:paraId="4E6B209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EA09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w:t>
            </w:r>
          </w:p>
        </w:tc>
        <w:tc>
          <w:tcPr>
            <w:tcW w:w="1656" w:type="dxa"/>
            <w:tcBorders>
              <w:top w:val="nil"/>
              <w:left w:val="nil"/>
              <w:bottom w:val="nil"/>
              <w:right w:val="nil"/>
            </w:tcBorders>
          </w:tcPr>
          <w:p w14:paraId="57F3A93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(-0.33)</w:t>
            </w:r>
          </w:p>
        </w:tc>
        <w:tc>
          <w:tcPr>
            <w:tcW w:w="1656" w:type="dxa"/>
            <w:tcBorders>
              <w:top w:val="nil"/>
              <w:left w:val="nil"/>
              <w:bottom w:val="nil"/>
              <w:right w:val="nil"/>
            </w:tcBorders>
          </w:tcPr>
          <w:p w14:paraId="39B0175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(2.13)</w:t>
            </w:r>
          </w:p>
        </w:tc>
        <w:tc>
          <w:tcPr>
            <w:tcW w:w="1656" w:type="dxa"/>
            <w:tcBorders>
              <w:top w:val="nil"/>
              <w:left w:val="nil"/>
              <w:bottom w:val="nil"/>
              <w:right w:val="nil"/>
            </w:tcBorders>
          </w:tcPr>
          <w:p w14:paraId="337B8B4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(0.38)</w:t>
            </w:r>
          </w:p>
        </w:tc>
        <w:tc>
          <w:tcPr>
            <w:tcW w:w="1656" w:type="dxa"/>
            <w:tcBorders>
              <w:top w:val="nil"/>
              <w:left w:val="nil"/>
              <w:bottom w:val="nil"/>
              <w:right w:val="nil"/>
            </w:tcBorders>
          </w:tcPr>
          <w:p w14:paraId="259B82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(3.25)</w:t>
            </w:r>
          </w:p>
        </w:tc>
      </w:tr>
      <w:tr w:rsidR="00780385" w:rsidRPr="00B15A51" w14:paraId="04F277BB" w14:textId="77777777" w:rsidTr="00F16287">
        <w:tc>
          <w:tcPr>
            <w:tcW w:w="2136" w:type="dxa"/>
            <w:tcBorders>
              <w:top w:val="nil"/>
              <w:left w:val="nil"/>
              <w:bottom w:val="nil"/>
              <w:right w:val="nil"/>
            </w:tcBorders>
          </w:tcPr>
          <w:p w14:paraId="6A986F0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7A47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E973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D102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1479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233D4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59EEFCE8" w14:textId="77777777" w:rsidTr="00F16287">
        <w:tc>
          <w:tcPr>
            <w:tcW w:w="2136" w:type="dxa"/>
            <w:tcBorders>
              <w:top w:val="nil"/>
              <w:left w:val="nil"/>
              <w:bottom w:val="nil"/>
              <w:right w:val="nil"/>
            </w:tcBorders>
          </w:tcPr>
          <w:p w14:paraId="64E7F77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320E0C8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-0.00378</w:t>
            </w:r>
          </w:p>
        </w:tc>
        <w:tc>
          <w:tcPr>
            <w:tcW w:w="1656" w:type="dxa"/>
            <w:tcBorders>
              <w:top w:val="nil"/>
              <w:left w:val="nil"/>
              <w:bottom w:val="nil"/>
              <w:right w:val="nil"/>
            </w:tcBorders>
          </w:tcPr>
          <w:p w14:paraId="6002EDD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-0.0418</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B6AE1F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-0.0362</w:t>
            </w:r>
          </w:p>
        </w:tc>
        <w:tc>
          <w:tcPr>
            <w:tcW w:w="1656" w:type="dxa"/>
            <w:tcBorders>
              <w:top w:val="nil"/>
              <w:left w:val="nil"/>
              <w:bottom w:val="nil"/>
              <w:right w:val="nil"/>
            </w:tcBorders>
          </w:tcPr>
          <w:p w14:paraId="7E6B958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0.00310</w:t>
            </w:r>
          </w:p>
        </w:tc>
        <w:tc>
          <w:tcPr>
            <w:tcW w:w="1656" w:type="dxa"/>
            <w:tcBorders>
              <w:top w:val="nil"/>
              <w:left w:val="nil"/>
              <w:bottom w:val="nil"/>
              <w:right w:val="nil"/>
            </w:tcBorders>
          </w:tcPr>
          <w:p w14:paraId="00550D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0.00306</w:t>
            </w:r>
          </w:p>
        </w:tc>
      </w:tr>
      <w:tr w:rsidR="00780385" w:rsidRPr="00B15A51" w14:paraId="1570D513" w14:textId="77777777" w:rsidTr="00F16287">
        <w:tc>
          <w:tcPr>
            <w:tcW w:w="2136" w:type="dxa"/>
            <w:tcBorders>
              <w:top w:val="nil"/>
              <w:left w:val="nil"/>
              <w:bottom w:val="nil"/>
              <w:right w:val="nil"/>
            </w:tcBorders>
          </w:tcPr>
          <w:p w14:paraId="406932B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C587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(-0.17)</w:t>
            </w:r>
          </w:p>
        </w:tc>
        <w:tc>
          <w:tcPr>
            <w:tcW w:w="1656" w:type="dxa"/>
            <w:tcBorders>
              <w:top w:val="nil"/>
              <w:left w:val="nil"/>
              <w:bottom w:val="nil"/>
              <w:right w:val="nil"/>
            </w:tcBorders>
          </w:tcPr>
          <w:p w14:paraId="2069FAD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(-2.13)</w:t>
            </w:r>
          </w:p>
        </w:tc>
        <w:tc>
          <w:tcPr>
            <w:tcW w:w="1656" w:type="dxa"/>
            <w:tcBorders>
              <w:top w:val="nil"/>
              <w:left w:val="nil"/>
              <w:bottom w:val="nil"/>
              <w:right w:val="nil"/>
            </w:tcBorders>
          </w:tcPr>
          <w:p w14:paraId="1CC7B88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(-1.73)</w:t>
            </w:r>
          </w:p>
        </w:tc>
        <w:tc>
          <w:tcPr>
            <w:tcW w:w="1656" w:type="dxa"/>
            <w:tcBorders>
              <w:top w:val="nil"/>
              <w:left w:val="nil"/>
              <w:bottom w:val="nil"/>
              <w:right w:val="nil"/>
            </w:tcBorders>
          </w:tcPr>
          <w:p w14:paraId="34FF116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(0.72)</w:t>
            </w:r>
          </w:p>
        </w:tc>
        <w:tc>
          <w:tcPr>
            <w:tcW w:w="1656" w:type="dxa"/>
            <w:tcBorders>
              <w:top w:val="nil"/>
              <w:left w:val="nil"/>
              <w:bottom w:val="nil"/>
              <w:right w:val="nil"/>
            </w:tcBorders>
          </w:tcPr>
          <w:p w14:paraId="384A4CC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(0.95)</w:t>
            </w:r>
          </w:p>
        </w:tc>
      </w:tr>
      <w:tr w:rsidR="00780385" w:rsidRPr="00B15A51" w14:paraId="4B962A8D" w14:textId="77777777" w:rsidTr="00F16287">
        <w:tc>
          <w:tcPr>
            <w:tcW w:w="2136" w:type="dxa"/>
            <w:tcBorders>
              <w:top w:val="nil"/>
              <w:left w:val="nil"/>
              <w:bottom w:val="nil"/>
              <w:right w:val="nil"/>
            </w:tcBorders>
          </w:tcPr>
          <w:p w14:paraId="24AAFEC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FC55E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881A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13558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54F7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87961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D757CA4" w14:textId="77777777" w:rsidTr="00F16287">
        <w:tc>
          <w:tcPr>
            <w:tcW w:w="2136" w:type="dxa"/>
            <w:tcBorders>
              <w:top w:val="nil"/>
              <w:left w:val="nil"/>
              <w:bottom w:val="nil"/>
              <w:right w:val="nil"/>
            </w:tcBorders>
          </w:tcPr>
          <w:p w14:paraId="5AEB4B9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0FC0076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0.0296</w:t>
            </w:r>
          </w:p>
        </w:tc>
        <w:tc>
          <w:tcPr>
            <w:tcW w:w="1656" w:type="dxa"/>
            <w:tcBorders>
              <w:top w:val="nil"/>
              <w:left w:val="nil"/>
              <w:bottom w:val="nil"/>
              <w:right w:val="nil"/>
            </w:tcBorders>
          </w:tcPr>
          <w:p w14:paraId="54E88D3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0.0284</w:t>
            </w:r>
          </w:p>
        </w:tc>
        <w:tc>
          <w:tcPr>
            <w:tcW w:w="1656" w:type="dxa"/>
            <w:tcBorders>
              <w:top w:val="nil"/>
              <w:left w:val="nil"/>
              <w:bottom w:val="nil"/>
              <w:right w:val="nil"/>
            </w:tcBorders>
          </w:tcPr>
          <w:p w14:paraId="787EB43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0.0150</w:t>
            </w:r>
          </w:p>
        </w:tc>
        <w:tc>
          <w:tcPr>
            <w:tcW w:w="1656" w:type="dxa"/>
            <w:tcBorders>
              <w:top w:val="nil"/>
              <w:left w:val="nil"/>
              <w:bottom w:val="nil"/>
              <w:right w:val="nil"/>
            </w:tcBorders>
          </w:tcPr>
          <w:p w14:paraId="2FD5CE5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-0.00999</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3859F0B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0.00493</w:t>
            </w:r>
          </w:p>
        </w:tc>
      </w:tr>
      <w:tr w:rsidR="00780385" w:rsidRPr="00B15A51" w14:paraId="4C0DB8B7" w14:textId="77777777" w:rsidTr="00F16287">
        <w:tc>
          <w:tcPr>
            <w:tcW w:w="2136" w:type="dxa"/>
            <w:tcBorders>
              <w:top w:val="nil"/>
              <w:left w:val="nil"/>
              <w:bottom w:val="nil"/>
              <w:right w:val="nil"/>
            </w:tcBorders>
          </w:tcPr>
          <w:p w14:paraId="4F3B94B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4208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(1.57)</w:t>
            </w:r>
          </w:p>
        </w:tc>
        <w:tc>
          <w:tcPr>
            <w:tcW w:w="1656" w:type="dxa"/>
            <w:tcBorders>
              <w:top w:val="nil"/>
              <w:left w:val="nil"/>
              <w:bottom w:val="nil"/>
              <w:right w:val="nil"/>
            </w:tcBorders>
          </w:tcPr>
          <w:p w14:paraId="6E2150F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(1.95)</w:t>
            </w:r>
          </w:p>
        </w:tc>
        <w:tc>
          <w:tcPr>
            <w:tcW w:w="1656" w:type="dxa"/>
            <w:tcBorders>
              <w:top w:val="nil"/>
              <w:left w:val="nil"/>
              <w:bottom w:val="nil"/>
              <w:right w:val="nil"/>
            </w:tcBorders>
          </w:tcPr>
          <w:p w14:paraId="0F2BA66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(0.76)</w:t>
            </w:r>
          </w:p>
        </w:tc>
        <w:tc>
          <w:tcPr>
            <w:tcW w:w="1656" w:type="dxa"/>
            <w:tcBorders>
              <w:top w:val="nil"/>
              <w:left w:val="nil"/>
              <w:bottom w:val="nil"/>
              <w:right w:val="nil"/>
            </w:tcBorders>
          </w:tcPr>
          <w:p w14:paraId="189B06A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(-2.17)</w:t>
            </w:r>
          </w:p>
        </w:tc>
        <w:tc>
          <w:tcPr>
            <w:tcW w:w="1656" w:type="dxa"/>
            <w:tcBorders>
              <w:top w:val="nil"/>
              <w:left w:val="nil"/>
              <w:bottom w:val="nil"/>
              <w:right w:val="nil"/>
            </w:tcBorders>
          </w:tcPr>
          <w:p w14:paraId="0E5ACA4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(1.63)</w:t>
            </w:r>
          </w:p>
        </w:tc>
      </w:tr>
      <w:tr w:rsidR="00780385" w:rsidRPr="00B15A51" w14:paraId="6028D25C" w14:textId="77777777" w:rsidTr="00F16287">
        <w:tc>
          <w:tcPr>
            <w:tcW w:w="2136" w:type="dxa"/>
            <w:tcBorders>
              <w:top w:val="nil"/>
              <w:left w:val="nil"/>
              <w:bottom w:val="nil"/>
              <w:right w:val="nil"/>
            </w:tcBorders>
          </w:tcPr>
          <w:p w14:paraId="4574188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DEAB6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630BA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3C39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3463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A1F2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2877B3DB" w14:textId="77777777" w:rsidTr="00F16287">
        <w:tc>
          <w:tcPr>
            <w:tcW w:w="2136" w:type="dxa"/>
            <w:tcBorders>
              <w:top w:val="nil"/>
              <w:left w:val="nil"/>
              <w:bottom w:val="nil"/>
              <w:right w:val="nil"/>
            </w:tcBorders>
          </w:tcPr>
          <w:p w14:paraId="191AF50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3A37E79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-0.0251</w:t>
            </w:r>
          </w:p>
        </w:tc>
        <w:tc>
          <w:tcPr>
            <w:tcW w:w="1656" w:type="dxa"/>
            <w:tcBorders>
              <w:top w:val="nil"/>
              <w:left w:val="nil"/>
              <w:bottom w:val="nil"/>
              <w:right w:val="nil"/>
            </w:tcBorders>
          </w:tcPr>
          <w:p w14:paraId="0DBB521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-0.00175</w:t>
            </w:r>
          </w:p>
        </w:tc>
        <w:tc>
          <w:tcPr>
            <w:tcW w:w="1656" w:type="dxa"/>
            <w:tcBorders>
              <w:top w:val="nil"/>
              <w:left w:val="nil"/>
              <w:bottom w:val="nil"/>
              <w:right w:val="nil"/>
            </w:tcBorders>
          </w:tcPr>
          <w:p w14:paraId="6649CAF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-0.0139</w:t>
            </w:r>
          </w:p>
        </w:tc>
        <w:tc>
          <w:tcPr>
            <w:tcW w:w="1656" w:type="dxa"/>
            <w:tcBorders>
              <w:top w:val="nil"/>
              <w:left w:val="nil"/>
              <w:bottom w:val="nil"/>
              <w:right w:val="nil"/>
            </w:tcBorders>
          </w:tcPr>
          <w:p w14:paraId="37FD75C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0.00326</w:t>
            </w:r>
          </w:p>
        </w:tc>
        <w:tc>
          <w:tcPr>
            <w:tcW w:w="1656" w:type="dxa"/>
            <w:tcBorders>
              <w:top w:val="nil"/>
              <w:left w:val="nil"/>
              <w:bottom w:val="nil"/>
              <w:right w:val="nil"/>
            </w:tcBorders>
          </w:tcPr>
          <w:p w14:paraId="119BFE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-0.000704</w:t>
            </w:r>
          </w:p>
        </w:tc>
      </w:tr>
      <w:tr w:rsidR="00780385" w:rsidRPr="00B15A51" w14:paraId="21F56F92" w14:textId="77777777" w:rsidTr="00F16287">
        <w:tc>
          <w:tcPr>
            <w:tcW w:w="2136" w:type="dxa"/>
            <w:tcBorders>
              <w:top w:val="nil"/>
              <w:left w:val="nil"/>
              <w:bottom w:val="nil"/>
              <w:right w:val="nil"/>
            </w:tcBorders>
          </w:tcPr>
          <w:p w14:paraId="133B90E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32DE8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(-1.44)</w:t>
            </w:r>
          </w:p>
        </w:tc>
        <w:tc>
          <w:tcPr>
            <w:tcW w:w="1656" w:type="dxa"/>
            <w:tcBorders>
              <w:top w:val="nil"/>
              <w:left w:val="nil"/>
              <w:bottom w:val="nil"/>
              <w:right w:val="nil"/>
            </w:tcBorders>
          </w:tcPr>
          <w:p w14:paraId="0D9007D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w:t>
            </w:r>
          </w:p>
        </w:tc>
        <w:tc>
          <w:tcPr>
            <w:tcW w:w="1656" w:type="dxa"/>
            <w:tcBorders>
              <w:top w:val="nil"/>
              <w:left w:val="nil"/>
              <w:bottom w:val="nil"/>
              <w:right w:val="nil"/>
            </w:tcBorders>
          </w:tcPr>
          <w:p w14:paraId="69895D1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(-0.71)</w:t>
            </w:r>
          </w:p>
        </w:tc>
        <w:tc>
          <w:tcPr>
            <w:tcW w:w="1656" w:type="dxa"/>
            <w:tcBorders>
              <w:top w:val="nil"/>
              <w:left w:val="nil"/>
              <w:bottom w:val="nil"/>
              <w:right w:val="nil"/>
            </w:tcBorders>
          </w:tcPr>
          <w:p w14:paraId="55C5AFC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(0.93)</w:t>
            </w:r>
          </w:p>
        </w:tc>
        <w:tc>
          <w:tcPr>
            <w:tcW w:w="1656" w:type="dxa"/>
            <w:tcBorders>
              <w:top w:val="nil"/>
              <w:left w:val="nil"/>
              <w:bottom w:val="nil"/>
              <w:right w:val="nil"/>
            </w:tcBorders>
          </w:tcPr>
          <w:p w14:paraId="1BF5060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(-0.23)</w:t>
            </w:r>
          </w:p>
        </w:tc>
      </w:tr>
      <w:tr w:rsidR="00780385" w:rsidRPr="00B15A51" w14:paraId="7CDA26DC" w14:textId="77777777" w:rsidTr="00F16287">
        <w:tc>
          <w:tcPr>
            <w:tcW w:w="2136" w:type="dxa"/>
            <w:tcBorders>
              <w:top w:val="nil"/>
              <w:left w:val="nil"/>
              <w:bottom w:val="nil"/>
              <w:right w:val="nil"/>
            </w:tcBorders>
          </w:tcPr>
          <w:p w14:paraId="5FC607E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294CC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72784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7D38C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F7DCD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121C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35054A00" w14:textId="77777777" w:rsidTr="00F16287">
        <w:tc>
          <w:tcPr>
            <w:tcW w:w="2136" w:type="dxa"/>
            <w:tcBorders>
              <w:top w:val="nil"/>
              <w:left w:val="nil"/>
              <w:bottom w:val="nil"/>
              <w:right w:val="nil"/>
            </w:tcBorders>
          </w:tcPr>
          <w:p w14:paraId="5811B60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3A80871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0.00925</w:t>
            </w:r>
          </w:p>
        </w:tc>
        <w:tc>
          <w:tcPr>
            <w:tcW w:w="1656" w:type="dxa"/>
            <w:tcBorders>
              <w:top w:val="nil"/>
              <w:left w:val="nil"/>
              <w:bottom w:val="nil"/>
              <w:right w:val="nil"/>
            </w:tcBorders>
          </w:tcPr>
          <w:p w14:paraId="6FCBCD8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0.00164</w:t>
            </w:r>
          </w:p>
        </w:tc>
        <w:tc>
          <w:tcPr>
            <w:tcW w:w="1656" w:type="dxa"/>
            <w:tcBorders>
              <w:top w:val="nil"/>
              <w:left w:val="nil"/>
              <w:bottom w:val="nil"/>
              <w:right w:val="nil"/>
            </w:tcBorders>
          </w:tcPr>
          <w:p w14:paraId="7897BEA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-0.00435</w:t>
            </w:r>
          </w:p>
        </w:tc>
        <w:tc>
          <w:tcPr>
            <w:tcW w:w="1656" w:type="dxa"/>
            <w:tcBorders>
              <w:top w:val="nil"/>
              <w:left w:val="nil"/>
              <w:bottom w:val="nil"/>
              <w:right w:val="nil"/>
            </w:tcBorders>
          </w:tcPr>
          <w:p w14:paraId="70790E9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-0.00954</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F308FB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0.00805</w:t>
            </w:r>
            <w:r w:rsidRPr="00B15A51">
              <w:rPr>
                <w:rFonts w:ascii="Times New Roman" w:hAnsi="Times New Roman" w:cs="Times New Roman"/>
                <w:sz w:val="16"/>
                <w:szCs w:val="16"/>
                <w:vertAlign w:val="superscript"/>
              </w:rPr>
              <w:t>*</w:t>
            </w:r>
          </w:p>
        </w:tc>
      </w:tr>
      <w:tr w:rsidR="00780385" w:rsidRPr="00B15A51" w14:paraId="63A472E5" w14:textId="77777777" w:rsidTr="00F16287">
        <w:tc>
          <w:tcPr>
            <w:tcW w:w="2136" w:type="dxa"/>
            <w:tcBorders>
              <w:top w:val="nil"/>
              <w:left w:val="nil"/>
              <w:bottom w:val="nil"/>
              <w:right w:val="nil"/>
            </w:tcBorders>
          </w:tcPr>
          <w:p w14:paraId="26F4AD9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B4D15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(0.54)</w:t>
            </w:r>
          </w:p>
        </w:tc>
        <w:tc>
          <w:tcPr>
            <w:tcW w:w="1656" w:type="dxa"/>
            <w:tcBorders>
              <w:top w:val="nil"/>
              <w:left w:val="nil"/>
              <w:bottom w:val="nil"/>
              <w:right w:val="nil"/>
            </w:tcBorders>
          </w:tcPr>
          <w:p w14:paraId="1AD02C7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w:t>
            </w:r>
          </w:p>
        </w:tc>
        <w:tc>
          <w:tcPr>
            <w:tcW w:w="1656" w:type="dxa"/>
            <w:tcBorders>
              <w:top w:val="nil"/>
              <w:left w:val="nil"/>
              <w:bottom w:val="nil"/>
              <w:right w:val="nil"/>
            </w:tcBorders>
          </w:tcPr>
          <w:p w14:paraId="3F46584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(-0.26)</w:t>
            </w:r>
          </w:p>
        </w:tc>
        <w:tc>
          <w:tcPr>
            <w:tcW w:w="1656" w:type="dxa"/>
            <w:tcBorders>
              <w:top w:val="nil"/>
              <w:left w:val="nil"/>
              <w:bottom w:val="nil"/>
              <w:right w:val="nil"/>
            </w:tcBorders>
          </w:tcPr>
          <w:p w14:paraId="08B5521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(-2.49)</w:t>
            </w:r>
          </w:p>
        </w:tc>
        <w:tc>
          <w:tcPr>
            <w:tcW w:w="1656" w:type="dxa"/>
            <w:tcBorders>
              <w:top w:val="nil"/>
              <w:left w:val="nil"/>
              <w:bottom w:val="nil"/>
              <w:right w:val="nil"/>
            </w:tcBorders>
          </w:tcPr>
          <w:p w14:paraId="2F1C16D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(2.07)</w:t>
            </w:r>
          </w:p>
        </w:tc>
      </w:tr>
      <w:tr w:rsidR="00780385" w:rsidRPr="00B15A51" w14:paraId="210E5B6F" w14:textId="77777777" w:rsidTr="00F16287">
        <w:tc>
          <w:tcPr>
            <w:tcW w:w="2136" w:type="dxa"/>
            <w:tcBorders>
              <w:top w:val="nil"/>
              <w:left w:val="nil"/>
              <w:bottom w:val="nil"/>
              <w:right w:val="nil"/>
            </w:tcBorders>
          </w:tcPr>
          <w:p w14:paraId="36D897A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3EC10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80F25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D5BD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19A42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BAF32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43CC65C" w14:textId="77777777" w:rsidTr="00F16287">
        <w:tc>
          <w:tcPr>
            <w:tcW w:w="2136" w:type="dxa"/>
            <w:tcBorders>
              <w:top w:val="nil"/>
              <w:left w:val="nil"/>
              <w:bottom w:val="nil"/>
              <w:right w:val="nil"/>
            </w:tcBorders>
          </w:tcPr>
          <w:p w14:paraId="3ED6835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467AA9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-0.0117</w:t>
            </w:r>
          </w:p>
        </w:tc>
        <w:tc>
          <w:tcPr>
            <w:tcW w:w="1656" w:type="dxa"/>
            <w:tcBorders>
              <w:top w:val="nil"/>
              <w:left w:val="nil"/>
              <w:bottom w:val="nil"/>
              <w:right w:val="nil"/>
            </w:tcBorders>
          </w:tcPr>
          <w:p w14:paraId="6AC0CE3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-0.00377</w:t>
            </w:r>
          </w:p>
        </w:tc>
        <w:tc>
          <w:tcPr>
            <w:tcW w:w="1656" w:type="dxa"/>
            <w:tcBorders>
              <w:top w:val="nil"/>
              <w:left w:val="nil"/>
              <w:bottom w:val="nil"/>
              <w:right w:val="nil"/>
            </w:tcBorders>
          </w:tcPr>
          <w:p w14:paraId="01B42E5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0.00735</w:t>
            </w:r>
          </w:p>
        </w:tc>
        <w:tc>
          <w:tcPr>
            <w:tcW w:w="1656" w:type="dxa"/>
            <w:tcBorders>
              <w:top w:val="nil"/>
              <w:left w:val="nil"/>
              <w:bottom w:val="nil"/>
              <w:right w:val="nil"/>
            </w:tcBorders>
          </w:tcPr>
          <w:p w14:paraId="7862539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-0.00847</w:t>
            </w:r>
          </w:p>
        </w:tc>
        <w:tc>
          <w:tcPr>
            <w:tcW w:w="1656" w:type="dxa"/>
            <w:tcBorders>
              <w:top w:val="nil"/>
              <w:left w:val="nil"/>
              <w:bottom w:val="nil"/>
              <w:right w:val="nil"/>
            </w:tcBorders>
          </w:tcPr>
          <w:p w14:paraId="6F2E749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-0.0109</w:t>
            </w:r>
            <w:r w:rsidRPr="00B15A51">
              <w:rPr>
                <w:rFonts w:ascii="Times New Roman" w:hAnsi="Times New Roman" w:cs="Times New Roman"/>
                <w:sz w:val="16"/>
                <w:szCs w:val="16"/>
                <w:vertAlign w:val="superscript"/>
              </w:rPr>
              <w:t>*</w:t>
            </w:r>
          </w:p>
        </w:tc>
      </w:tr>
      <w:tr w:rsidR="00780385" w:rsidRPr="00B15A51" w14:paraId="4E8432AC" w14:textId="77777777" w:rsidTr="00F16287">
        <w:tc>
          <w:tcPr>
            <w:tcW w:w="2136" w:type="dxa"/>
            <w:tcBorders>
              <w:top w:val="nil"/>
              <w:left w:val="nil"/>
              <w:bottom w:val="nil"/>
              <w:right w:val="nil"/>
            </w:tcBorders>
          </w:tcPr>
          <w:p w14:paraId="0A92A61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AA50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(-0.74)</w:t>
            </w:r>
          </w:p>
        </w:tc>
        <w:tc>
          <w:tcPr>
            <w:tcW w:w="1656" w:type="dxa"/>
            <w:tcBorders>
              <w:top w:val="nil"/>
              <w:left w:val="nil"/>
              <w:bottom w:val="nil"/>
              <w:right w:val="nil"/>
            </w:tcBorders>
          </w:tcPr>
          <w:p w14:paraId="489B0F1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(-0.30)</w:t>
            </w:r>
          </w:p>
        </w:tc>
        <w:tc>
          <w:tcPr>
            <w:tcW w:w="1656" w:type="dxa"/>
            <w:tcBorders>
              <w:top w:val="nil"/>
              <w:left w:val="nil"/>
              <w:bottom w:val="nil"/>
              <w:right w:val="nil"/>
            </w:tcBorders>
          </w:tcPr>
          <w:p w14:paraId="7F9E824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(0.50)</w:t>
            </w:r>
          </w:p>
        </w:tc>
        <w:tc>
          <w:tcPr>
            <w:tcW w:w="1656" w:type="dxa"/>
            <w:tcBorders>
              <w:top w:val="nil"/>
              <w:left w:val="nil"/>
              <w:bottom w:val="nil"/>
              <w:right w:val="nil"/>
            </w:tcBorders>
          </w:tcPr>
          <w:p w14:paraId="7EF8BBF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(-1.84)</w:t>
            </w:r>
          </w:p>
        </w:tc>
        <w:tc>
          <w:tcPr>
            <w:tcW w:w="1656" w:type="dxa"/>
            <w:tcBorders>
              <w:top w:val="nil"/>
              <w:left w:val="nil"/>
              <w:bottom w:val="nil"/>
              <w:right w:val="nil"/>
            </w:tcBorders>
          </w:tcPr>
          <w:p w14:paraId="27504C1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(-2.40)</w:t>
            </w:r>
          </w:p>
        </w:tc>
      </w:tr>
      <w:tr w:rsidR="00780385" w:rsidRPr="00B15A51" w14:paraId="7B8D7EF6" w14:textId="77777777" w:rsidTr="00F16287">
        <w:tc>
          <w:tcPr>
            <w:tcW w:w="2136" w:type="dxa"/>
            <w:tcBorders>
              <w:top w:val="nil"/>
              <w:left w:val="nil"/>
              <w:bottom w:val="nil"/>
              <w:right w:val="nil"/>
            </w:tcBorders>
          </w:tcPr>
          <w:p w14:paraId="4098D74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7ED7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D3E2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53A4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A6C6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C4E8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F5C1484" w14:textId="77777777" w:rsidTr="00F16287">
        <w:tc>
          <w:tcPr>
            <w:tcW w:w="2136" w:type="dxa"/>
            <w:tcBorders>
              <w:top w:val="nil"/>
              <w:left w:val="nil"/>
              <w:bottom w:val="nil"/>
              <w:right w:val="nil"/>
            </w:tcBorders>
          </w:tcPr>
          <w:p w14:paraId="7E4C8F1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Constant</w:t>
            </w:r>
          </w:p>
        </w:tc>
        <w:tc>
          <w:tcPr>
            <w:tcW w:w="1656" w:type="dxa"/>
            <w:tcBorders>
              <w:top w:val="nil"/>
              <w:left w:val="nil"/>
              <w:bottom w:val="nil"/>
              <w:right w:val="nil"/>
            </w:tcBorders>
          </w:tcPr>
          <w:p w14:paraId="5A1B2D2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1.251</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5FA0982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0.682</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2EFAA9C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1.338</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14EF57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0.0560</w:t>
            </w:r>
          </w:p>
        </w:tc>
        <w:tc>
          <w:tcPr>
            <w:tcW w:w="1656" w:type="dxa"/>
            <w:tcBorders>
              <w:top w:val="nil"/>
              <w:left w:val="nil"/>
              <w:bottom w:val="nil"/>
              <w:right w:val="nil"/>
            </w:tcBorders>
          </w:tcPr>
          <w:p w14:paraId="2D2B40A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-0.0561</w:t>
            </w:r>
          </w:p>
        </w:tc>
      </w:tr>
      <w:tr w:rsidR="00780385" w:rsidRPr="00B15A51" w14:paraId="24876843" w14:textId="77777777" w:rsidTr="00F16287">
        <w:tc>
          <w:tcPr>
            <w:tcW w:w="2136" w:type="dxa"/>
            <w:tcBorders>
              <w:top w:val="nil"/>
              <w:left w:val="nil"/>
              <w:bottom w:val="single" w:sz="4" w:space="0" w:color="auto"/>
              <w:right w:val="nil"/>
            </w:tcBorders>
          </w:tcPr>
          <w:p w14:paraId="3A8C019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825DE9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(5.53)</w:t>
            </w:r>
          </w:p>
        </w:tc>
        <w:tc>
          <w:tcPr>
            <w:tcW w:w="1656" w:type="dxa"/>
            <w:tcBorders>
              <w:top w:val="nil"/>
              <w:left w:val="nil"/>
              <w:bottom w:val="single" w:sz="4" w:space="0" w:color="auto"/>
              <w:right w:val="nil"/>
            </w:tcBorders>
          </w:tcPr>
          <w:p w14:paraId="4FD90D7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(3.03)</w:t>
            </w:r>
          </w:p>
        </w:tc>
        <w:tc>
          <w:tcPr>
            <w:tcW w:w="1656" w:type="dxa"/>
            <w:tcBorders>
              <w:top w:val="nil"/>
              <w:left w:val="nil"/>
              <w:bottom w:val="single" w:sz="4" w:space="0" w:color="auto"/>
              <w:right w:val="nil"/>
            </w:tcBorders>
          </w:tcPr>
          <w:p w14:paraId="54E55F9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(4.60)</w:t>
            </w:r>
          </w:p>
        </w:tc>
        <w:tc>
          <w:tcPr>
            <w:tcW w:w="1656" w:type="dxa"/>
            <w:tcBorders>
              <w:top w:val="nil"/>
              <w:left w:val="nil"/>
              <w:bottom w:val="single" w:sz="4" w:space="0" w:color="auto"/>
              <w:right w:val="nil"/>
            </w:tcBorders>
          </w:tcPr>
          <w:p w14:paraId="7E9054B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(0.28)</w:t>
            </w:r>
          </w:p>
        </w:tc>
        <w:tc>
          <w:tcPr>
            <w:tcW w:w="1656" w:type="dxa"/>
            <w:tcBorders>
              <w:top w:val="nil"/>
              <w:left w:val="nil"/>
              <w:bottom w:val="single" w:sz="4" w:space="0" w:color="auto"/>
              <w:right w:val="nil"/>
            </w:tcBorders>
          </w:tcPr>
          <w:p w14:paraId="020F6AF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(-0.28)</w:t>
            </w:r>
          </w:p>
        </w:tc>
      </w:tr>
      <w:tr w:rsidR="00780385" w:rsidRPr="00B15A51" w14:paraId="7CD27D85" w14:textId="77777777" w:rsidTr="00F16287">
        <w:tc>
          <w:tcPr>
            <w:tcW w:w="2136" w:type="dxa"/>
            <w:tcBorders>
              <w:top w:val="nil"/>
              <w:left w:val="nil"/>
              <w:bottom w:val="single" w:sz="4" w:space="0" w:color="auto"/>
              <w:right w:val="nil"/>
            </w:tcBorders>
          </w:tcPr>
          <w:p w14:paraId="79B7A6B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58372D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6ED8F94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14DFA62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62F526B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2326</w:t>
            </w:r>
          </w:p>
        </w:tc>
        <w:tc>
          <w:tcPr>
            <w:tcW w:w="1656" w:type="dxa"/>
            <w:tcBorders>
              <w:top w:val="nil"/>
              <w:left w:val="nil"/>
              <w:bottom w:val="single" w:sz="4" w:space="0" w:color="auto"/>
              <w:right w:val="nil"/>
            </w:tcBorders>
          </w:tcPr>
          <w:p w14:paraId="71DB157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2825</w:t>
            </w:r>
          </w:p>
        </w:tc>
      </w:tr>
    </w:tbl>
    <w:p w14:paraId="32263FB1" w14:textId="77777777" w:rsidR="00780385" w:rsidRPr="00B15A51" w:rsidRDefault="00780385" w:rsidP="00780385">
      <w:pPr>
        <w:widowControl w:val="0"/>
        <w:autoSpaceDE w:val="0"/>
        <w:autoSpaceDN w:val="0"/>
        <w:adjustRightInd w:val="0"/>
        <w:spacing w:after="0" w:line="240" w:lineRule="auto"/>
        <w:rPr>
          <w:rFonts w:ascii="Times New Roman" w:hAnsi="Times New Roman" w:cs="Times New Roman"/>
          <w:sz w:val="12"/>
          <w:szCs w:val="12"/>
        </w:rPr>
      </w:pPr>
      <w:r w:rsidRPr="00B15A51">
        <w:rPr>
          <w:rFonts w:ascii="Times New Roman" w:hAnsi="Times New Roman" w:cs="Times New Roman"/>
          <w:i/>
          <w:iCs/>
          <w:sz w:val="12"/>
          <w:szCs w:val="12"/>
        </w:rPr>
        <w:t>t</w:t>
      </w:r>
      <w:r w:rsidRPr="00B15A51">
        <w:rPr>
          <w:rFonts w:ascii="Times New Roman" w:hAnsi="Times New Roman" w:cs="Times New Roman"/>
          <w:sz w:val="12"/>
          <w:szCs w:val="12"/>
        </w:rPr>
        <w:t xml:space="preserve"> statistics in parentheses</w:t>
      </w:r>
    </w:p>
    <w:p w14:paraId="00664431" w14:textId="77777777" w:rsidR="00780385" w:rsidRPr="00B15A51" w:rsidRDefault="00780385" w:rsidP="00780385">
      <w:pPr>
        <w:widowControl w:val="0"/>
        <w:autoSpaceDE w:val="0"/>
        <w:autoSpaceDN w:val="0"/>
        <w:adjustRightInd w:val="0"/>
        <w:spacing w:after="0" w:line="240" w:lineRule="auto"/>
        <w:rPr>
          <w:rFonts w:ascii="Times New Roman" w:hAnsi="Times New Roman" w:cs="Times New Roman"/>
          <w:sz w:val="12"/>
          <w:szCs w:val="12"/>
        </w:rPr>
      </w:pPr>
      <w:r w:rsidRPr="00B15A51">
        <w:rPr>
          <w:rFonts w:ascii="Times New Roman" w:hAnsi="Times New Roman" w:cs="Times New Roman"/>
          <w:sz w:val="12"/>
          <w:szCs w:val="12"/>
          <w:vertAlign w:val="superscript"/>
        </w:rPr>
        <w:t>*</w:t>
      </w:r>
      <w:r w:rsidRPr="00B15A51">
        <w:rPr>
          <w:rFonts w:ascii="Times New Roman" w:hAnsi="Times New Roman" w:cs="Times New Roman"/>
          <w:sz w:val="12"/>
          <w:szCs w:val="12"/>
        </w:rPr>
        <w:t xml:space="preserve"> </w:t>
      </w:r>
      <w:r w:rsidRPr="00B15A51">
        <w:rPr>
          <w:rFonts w:ascii="Times New Roman" w:hAnsi="Times New Roman" w:cs="Times New Roman"/>
          <w:i/>
          <w:iCs/>
          <w:sz w:val="12"/>
          <w:szCs w:val="12"/>
        </w:rPr>
        <w:t>p</w:t>
      </w:r>
      <w:r w:rsidRPr="00B15A51">
        <w:rPr>
          <w:rFonts w:ascii="Times New Roman" w:hAnsi="Times New Roman" w:cs="Times New Roman"/>
          <w:sz w:val="12"/>
          <w:szCs w:val="12"/>
        </w:rPr>
        <w:t xml:space="preserve"> &lt; 0.05, </w:t>
      </w:r>
      <w:r w:rsidRPr="00B15A51">
        <w:rPr>
          <w:rFonts w:ascii="Times New Roman" w:hAnsi="Times New Roman" w:cs="Times New Roman"/>
          <w:sz w:val="12"/>
          <w:szCs w:val="12"/>
          <w:vertAlign w:val="superscript"/>
        </w:rPr>
        <w:t>**</w:t>
      </w:r>
      <w:r w:rsidRPr="00B15A51">
        <w:rPr>
          <w:rFonts w:ascii="Times New Roman" w:hAnsi="Times New Roman" w:cs="Times New Roman"/>
          <w:sz w:val="12"/>
          <w:szCs w:val="12"/>
        </w:rPr>
        <w:t xml:space="preserve"> </w:t>
      </w:r>
      <w:r w:rsidRPr="00B15A51">
        <w:rPr>
          <w:rFonts w:ascii="Times New Roman" w:hAnsi="Times New Roman" w:cs="Times New Roman"/>
          <w:i/>
          <w:iCs/>
          <w:sz w:val="12"/>
          <w:szCs w:val="12"/>
        </w:rPr>
        <w:t>p</w:t>
      </w:r>
      <w:r w:rsidRPr="00B15A51">
        <w:rPr>
          <w:rFonts w:ascii="Times New Roman" w:hAnsi="Times New Roman" w:cs="Times New Roman"/>
          <w:sz w:val="12"/>
          <w:szCs w:val="12"/>
        </w:rPr>
        <w:t xml:space="preserve"> &lt; 0.01, </w:t>
      </w:r>
      <w:r w:rsidRPr="00B15A51">
        <w:rPr>
          <w:rFonts w:ascii="Times New Roman" w:hAnsi="Times New Roman" w:cs="Times New Roman"/>
          <w:sz w:val="12"/>
          <w:szCs w:val="12"/>
          <w:vertAlign w:val="superscript"/>
        </w:rPr>
        <w:t>***</w:t>
      </w:r>
      <w:r w:rsidRPr="00B15A51">
        <w:rPr>
          <w:rFonts w:ascii="Times New Roman" w:hAnsi="Times New Roman" w:cs="Times New Roman"/>
          <w:sz w:val="12"/>
          <w:szCs w:val="12"/>
        </w:rPr>
        <w:t xml:space="preserve"> </w:t>
      </w:r>
      <w:r w:rsidRPr="00B15A51">
        <w:rPr>
          <w:rFonts w:ascii="Times New Roman" w:hAnsi="Times New Roman" w:cs="Times New Roman"/>
          <w:i/>
          <w:iCs/>
          <w:sz w:val="12"/>
          <w:szCs w:val="12"/>
        </w:rPr>
        <w:t>p</w:t>
      </w:r>
      <w:r w:rsidRPr="00B15A51">
        <w:rPr>
          <w:rFonts w:ascii="Times New Roman" w:hAnsi="Times New Roman" w:cs="Times New Roman"/>
          <w:sz w:val="12"/>
          <w:szCs w:val="12"/>
        </w:rPr>
        <w:t xml:space="preserve"> &lt; 0.001</w:t>
      </w:r>
    </w:p>
    <w:p w14:paraId="6E52CBF0" w14:textId="77777777" w:rsidR="00780385" w:rsidRPr="00B15A51" w:rsidRDefault="00780385" w:rsidP="00780385">
      <w:pPr>
        <w:widowControl w:val="0"/>
        <w:autoSpaceDE w:val="0"/>
        <w:autoSpaceDN w:val="0"/>
        <w:adjustRightInd w:val="0"/>
        <w:spacing w:after="0" w:line="240" w:lineRule="auto"/>
        <w:rPr>
          <w:rFonts w:ascii="Times New Roman" w:hAnsi="Times New Roman" w:cs="Times New Roman"/>
          <w:sz w:val="16"/>
          <w:szCs w:val="16"/>
        </w:rPr>
      </w:pPr>
    </w:p>
    <w:p w14:paraId="16F968E2" w14:textId="77777777" w:rsidR="007D321A" w:rsidRPr="008D2CAC" w:rsidRDefault="007D321A" w:rsidP="007D321A">
      <w:pPr>
        <w:widowControl w:val="0"/>
        <w:autoSpaceDE w:val="0"/>
        <w:autoSpaceDN w:val="0"/>
        <w:adjustRightInd w:val="0"/>
        <w:spacing w:after="0" w:line="240" w:lineRule="auto"/>
        <w:rPr>
          <w:rFonts w:ascii="Times New Roman" w:hAnsi="Times New Roman" w:cs="Times New Roman"/>
          <w:sz w:val="14"/>
          <w:szCs w:val="14"/>
          <w:highlight w:val="yellow"/>
        </w:rPr>
      </w:pPr>
    </w:p>
    <w:p w14:paraId="3C7AC886" w14:textId="4266A2B9" w:rsidR="007D321A" w:rsidRPr="00F662BF" w:rsidRDefault="007D321A" w:rsidP="005F7BDB">
      <w:r w:rsidRPr="00F86166">
        <w:t>It is also possible to implement lagged independent variables in an ordinal logit and regular logit model, albeit at the cost of the inability to add crucial fixed effects. Results for coefficients are displayed in Table</w:t>
      </w:r>
      <w:r w:rsidR="00035AB9" w:rsidRPr="00F86166">
        <w:t xml:space="preserve"> </w:t>
      </w:r>
      <w:r w:rsidR="00A2548E">
        <w:t>9</w:t>
      </w:r>
      <w:r w:rsidR="00A51EF0" w:rsidRPr="00F86166">
        <w:t>;</w:t>
      </w:r>
      <w:r w:rsidRPr="00F86166">
        <w:t xml:space="preserve"> current computing resources </w:t>
      </w:r>
      <w:r w:rsidRPr="00271E83">
        <w:t xml:space="preserve">available preclude the calculation of marginal effects. </w:t>
      </w:r>
      <w:r w:rsidR="0054076D" w:rsidRPr="00271E83">
        <w:t xml:space="preserve">De jure CBI still </w:t>
      </w:r>
      <w:r w:rsidR="003523C0" w:rsidRPr="00271E83">
        <w:t>is related to</w:t>
      </w:r>
      <w:r w:rsidR="0054076D" w:rsidRPr="00271E83">
        <w:t xml:space="preserve"> a contemporaneous i</w:t>
      </w:r>
      <w:r w:rsidR="003523C0" w:rsidRPr="00271E83">
        <w:t>ncrease in</w:t>
      </w:r>
      <w:r w:rsidR="0054076D" w:rsidRPr="00271E83">
        <w:t xml:space="preserve"> lower house turnover; de facto CBI appears to reduce it. Examining a longer time horizon, </w:t>
      </w:r>
      <w:r w:rsidR="00622F2D" w:rsidRPr="00271E83">
        <w:t xml:space="preserve">de jure CBI </w:t>
      </w:r>
      <w:r w:rsidR="00622F2D" w:rsidRPr="00F662BF">
        <w:t xml:space="preserve">still very clearly reduces head of government turnover 8 years out, and increases the chance of instability events at 3, 6, and 8 years. </w:t>
      </w:r>
      <w:r w:rsidR="00256EDA" w:rsidRPr="00F662BF">
        <w:t xml:space="preserve">De facto CBI </w:t>
      </w:r>
      <w:r w:rsidR="00DF5D86" w:rsidRPr="00F662BF">
        <w:t xml:space="preserve">has impacts at </w:t>
      </w:r>
      <w:r w:rsidR="00DF5D86" w:rsidRPr="00F662BF">
        <w:lastRenderedPageBreak/>
        <w:t xml:space="preserve">2 years, </w:t>
      </w:r>
      <w:r w:rsidR="00F662BF" w:rsidRPr="00F662BF">
        <w:t>8</w:t>
      </w:r>
      <w:r w:rsidR="00DF5D86" w:rsidRPr="00F662BF">
        <w:t xml:space="preserve"> years, and 9 years.</w:t>
      </w:r>
      <w:r w:rsidR="00256EDA" w:rsidRPr="00F662BF">
        <w:t xml:space="preserve"> </w:t>
      </w:r>
      <w:r w:rsidR="00670B74" w:rsidRPr="00F662BF">
        <w:t>Fixed exchange rates appear to possibly reduce head of state turnover contemporaneously</w:t>
      </w:r>
      <w:r w:rsidR="00F662BF" w:rsidRPr="00F662BF">
        <w:t xml:space="preserve"> in the de jure specification (with a small t-value)</w:t>
      </w:r>
      <w:r w:rsidR="00670B74" w:rsidRPr="00F662BF">
        <w:t>, but most</w:t>
      </w:r>
      <w:r w:rsidR="001822BF" w:rsidRPr="00F662BF">
        <w:t xml:space="preserve"> impact</w:t>
      </w:r>
      <w:r w:rsidR="00670B74" w:rsidRPr="00F662BF">
        <w:t>s</w:t>
      </w:r>
      <w:r w:rsidR="001822BF" w:rsidRPr="00F662BF">
        <w:t xml:space="preserve"> </w:t>
      </w:r>
      <w:r w:rsidR="00670B74" w:rsidRPr="00F662BF">
        <w:t>vanish</w:t>
      </w:r>
      <w:r w:rsidR="001822BF" w:rsidRPr="00F662BF">
        <w:t>.</w:t>
      </w:r>
    </w:p>
    <w:p w14:paraId="7C9E4006" w14:textId="6C32BE0B" w:rsidR="00F465E2" w:rsidRPr="00AD0B94" w:rsidRDefault="00F465E2" w:rsidP="005F7BDB">
      <w:r w:rsidRPr="00F662BF">
        <w:t xml:space="preserve">Table </w:t>
      </w:r>
      <w:r w:rsidR="00A2548E">
        <w:t>9</w:t>
      </w:r>
      <w:r w:rsidR="00AC4C3B" w:rsidRPr="00F662BF">
        <w:t>:</w:t>
      </w:r>
      <w:r w:rsidR="00DE50C4" w:rsidRPr="00F662BF">
        <w:t xml:space="preserve"> Lagged Independent Variables, Ord</w:t>
      </w:r>
      <w:r w:rsidR="00DE50C4" w:rsidRPr="00AD0B94">
        <w:t>inal Logit and Logit Specification</w:t>
      </w:r>
      <w:r w:rsidR="00BD7D80" w:rsidRPr="00AD0B94">
        <w:t xml:space="preserve"> Coefficients</w:t>
      </w:r>
      <w:r w:rsidR="00DE50C4" w:rsidRPr="00AD0B94">
        <w:t>, Random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tblGrid>
      <w:tr w:rsidR="003D3DCA" w:rsidRPr="00F86166" w14:paraId="5AC68F49" w14:textId="77777777" w:rsidTr="00F16287">
        <w:tc>
          <w:tcPr>
            <w:tcW w:w="2136" w:type="dxa"/>
            <w:tcBorders>
              <w:top w:val="single" w:sz="4" w:space="0" w:color="auto"/>
              <w:left w:val="nil"/>
              <w:bottom w:val="nil"/>
              <w:right w:val="nil"/>
            </w:tcBorders>
          </w:tcPr>
          <w:p w14:paraId="435DB044"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single" w:sz="4" w:space="0" w:color="auto"/>
              <w:left w:val="nil"/>
              <w:bottom w:val="nil"/>
              <w:right w:val="nil"/>
            </w:tcBorders>
          </w:tcPr>
          <w:p w14:paraId="7C400900"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w:t>
            </w:r>
          </w:p>
        </w:tc>
        <w:tc>
          <w:tcPr>
            <w:tcW w:w="1656" w:type="dxa"/>
            <w:tcBorders>
              <w:top w:val="single" w:sz="4" w:space="0" w:color="auto"/>
              <w:left w:val="nil"/>
              <w:bottom w:val="nil"/>
              <w:right w:val="nil"/>
            </w:tcBorders>
          </w:tcPr>
          <w:p w14:paraId="3FA63F35"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w:t>
            </w:r>
          </w:p>
        </w:tc>
        <w:tc>
          <w:tcPr>
            <w:tcW w:w="1656" w:type="dxa"/>
            <w:tcBorders>
              <w:top w:val="single" w:sz="4" w:space="0" w:color="auto"/>
              <w:left w:val="nil"/>
              <w:bottom w:val="nil"/>
              <w:right w:val="nil"/>
            </w:tcBorders>
          </w:tcPr>
          <w:p w14:paraId="67D3B7FB"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(3)</w:t>
            </w:r>
          </w:p>
        </w:tc>
        <w:tc>
          <w:tcPr>
            <w:tcW w:w="1656" w:type="dxa"/>
            <w:tcBorders>
              <w:top w:val="single" w:sz="4" w:space="0" w:color="auto"/>
              <w:left w:val="nil"/>
              <w:bottom w:val="nil"/>
              <w:right w:val="nil"/>
            </w:tcBorders>
          </w:tcPr>
          <w:p w14:paraId="40460F52"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(4)</w:t>
            </w:r>
          </w:p>
        </w:tc>
      </w:tr>
      <w:tr w:rsidR="003D3DCA" w:rsidRPr="00F86166" w14:paraId="534DFED5" w14:textId="77777777" w:rsidTr="00F16287">
        <w:tc>
          <w:tcPr>
            <w:tcW w:w="2136" w:type="dxa"/>
            <w:tcBorders>
              <w:top w:val="nil"/>
              <w:left w:val="nil"/>
              <w:bottom w:val="nil"/>
              <w:right w:val="nil"/>
            </w:tcBorders>
          </w:tcPr>
          <w:p w14:paraId="0E73BCD6"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9202501"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Head of Govt. Turnover</w:t>
            </w:r>
          </w:p>
        </w:tc>
        <w:tc>
          <w:tcPr>
            <w:tcW w:w="1656" w:type="dxa"/>
            <w:tcBorders>
              <w:top w:val="nil"/>
              <w:left w:val="nil"/>
              <w:bottom w:val="nil"/>
              <w:right w:val="nil"/>
            </w:tcBorders>
          </w:tcPr>
          <w:p w14:paraId="313840E0"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Head of State Turnover</w:t>
            </w:r>
          </w:p>
        </w:tc>
        <w:tc>
          <w:tcPr>
            <w:tcW w:w="1656" w:type="dxa"/>
            <w:tcBorders>
              <w:top w:val="nil"/>
              <w:left w:val="nil"/>
              <w:bottom w:val="nil"/>
              <w:right w:val="nil"/>
            </w:tcBorders>
          </w:tcPr>
          <w:p w14:paraId="561D9CFA"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Lower House Turnover</w:t>
            </w:r>
          </w:p>
        </w:tc>
        <w:tc>
          <w:tcPr>
            <w:tcW w:w="1656" w:type="dxa"/>
            <w:tcBorders>
              <w:top w:val="nil"/>
              <w:left w:val="nil"/>
              <w:bottom w:val="nil"/>
              <w:right w:val="nil"/>
            </w:tcBorders>
          </w:tcPr>
          <w:p w14:paraId="491C0739"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Instability Event Indicator</w:t>
            </w:r>
          </w:p>
        </w:tc>
      </w:tr>
      <w:tr w:rsidR="003D3DCA" w:rsidRPr="00F86166" w14:paraId="3CA29CA1" w14:textId="77777777" w:rsidTr="00F16287">
        <w:tc>
          <w:tcPr>
            <w:tcW w:w="2136" w:type="dxa"/>
            <w:tcBorders>
              <w:top w:val="single" w:sz="4" w:space="0" w:color="auto"/>
              <w:left w:val="nil"/>
              <w:bottom w:val="nil"/>
              <w:right w:val="nil"/>
            </w:tcBorders>
          </w:tcPr>
          <w:p w14:paraId="72360525" w14:textId="1B664D74"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single" w:sz="4" w:space="0" w:color="auto"/>
              <w:left w:val="nil"/>
              <w:bottom w:val="nil"/>
              <w:right w:val="nil"/>
            </w:tcBorders>
          </w:tcPr>
          <w:p w14:paraId="1D705F7E"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7B0C32C5"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1E04B325"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3559446B"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3D3DCA" w:rsidRPr="00F86166" w14:paraId="058F6486" w14:textId="77777777" w:rsidTr="00F16287">
        <w:tc>
          <w:tcPr>
            <w:tcW w:w="2136" w:type="dxa"/>
            <w:tcBorders>
              <w:top w:val="nil"/>
              <w:left w:val="nil"/>
              <w:bottom w:val="nil"/>
              <w:right w:val="nil"/>
            </w:tcBorders>
          </w:tcPr>
          <w:p w14:paraId="455FAB93"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lang w:val="fr-BE"/>
              </w:rPr>
            </w:pPr>
            <w:r w:rsidRPr="00F86166">
              <w:rPr>
                <w:rFonts w:ascii="Times New Roman" w:hAnsi="Times New Roman" w:cs="Times New Roman"/>
                <w:sz w:val="18"/>
                <w:szCs w:val="18"/>
                <w:lang w:val="fr-BE"/>
              </w:rPr>
              <w:t>De Jure CBI (CNW Index)</w:t>
            </w:r>
          </w:p>
        </w:tc>
        <w:tc>
          <w:tcPr>
            <w:tcW w:w="1656" w:type="dxa"/>
            <w:tcBorders>
              <w:top w:val="nil"/>
              <w:left w:val="nil"/>
              <w:bottom w:val="nil"/>
              <w:right w:val="nil"/>
            </w:tcBorders>
          </w:tcPr>
          <w:p w14:paraId="0245ED24"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0.792</w:t>
            </w:r>
          </w:p>
        </w:tc>
        <w:tc>
          <w:tcPr>
            <w:tcW w:w="1656" w:type="dxa"/>
            <w:tcBorders>
              <w:top w:val="nil"/>
              <w:left w:val="nil"/>
              <w:bottom w:val="nil"/>
              <w:right w:val="nil"/>
            </w:tcBorders>
          </w:tcPr>
          <w:p w14:paraId="4FA71D2C"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2.687</w:t>
            </w:r>
          </w:p>
        </w:tc>
        <w:tc>
          <w:tcPr>
            <w:tcW w:w="1656" w:type="dxa"/>
            <w:tcBorders>
              <w:top w:val="nil"/>
              <w:left w:val="nil"/>
              <w:bottom w:val="nil"/>
              <w:right w:val="nil"/>
            </w:tcBorders>
          </w:tcPr>
          <w:p w14:paraId="59170970"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3.022</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63D1E01B"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2.098</w:t>
            </w:r>
          </w:p>
        </w:tc>
      </w:tr>
      <w:tr w:rsidR="003D3DCA" w:rsidRPr="00F86166" w14:paraId="2C0AF518" w14:textId="77777777" w:rsidTr="00F16287">
        <w:tc>
          <w:tcPr>
            <w:tcW w:w="2136" w:type="dxa"/>
            <w:tcBorders>
              <w:top w:val="nil"/>
              <w:left w:val="nil"/>
              <w:bottom w:val="nil"/>
              <w:right w:val="nil"/>
            </w:tcBorders>
          </w:tcPr>
          <w:p w14:paraId="69100DB1"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7EA352A"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(0.59)</w:t>
            </w:r>
          </w:p>
        </w:tc>
        <w:tc>
          <w:tcPr>
            <w:tcW w:w="1656" w:type="dxa"/>
            <w:tcBorders>
              <w:top w:val="nil"/>
              <w:left w:val="nil"/>
              <w:bottom w:val="nil"/>
              <w:right w:val="nil"/>
            </w:tcBorders>
          </w:tcPr>
          <w:p w14:paraId="5F065B61"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(1.43)</w:t>
            </w:r>
          </w:p>
        </w:tc>
        <w:tc>
          <w:tcPr>
            <w:tcW w:w="1656" w:type="dxa"/>
            <w:tcBorders>
              <w:top w:val="nil"/>
              <w:left w:val="nil"/>
              <w:bottom w:val="nil"/>
              <w:right w:val="nil"/>
            </w:tcBorders>
          </w:tcPr>
          <w:p w14:paraId="11EC9140"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(2.34)</w:t>
            </w:r>
          </w:p>
        </w:tc>
        <w:tc>
          <w:tcPr>
            <w:tcW w:w="1656" w:type="dxa"/>
            <w:tcBorders>
              <w:top w:val="nil"/>
              <w:left w:val="nil"/>
              <w:bottom w:val="nil"/>
              <w:right w:val="nil"/>
            </w:tcBorders>
          </w:tcPr>
          <w:p w14:paraId="3B8D0523"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(1.63)</w:t>
            </w:r>
          </w:p>
        </w:tc>
      </w:tr>
      <w:tr w:rsidR="003D3DCA" w:rsidRPr="00F86166" w14:paraId="5FE8CEE6" w14:textId="77777777" w:rsidTr="00F16287">
        <w:tc>
          <w:tcPr>
            <w:tcW w:w="2136" w:type="dxa"/>
            <w:tcBorders>
              <w:top w:val="nil"/>
              <w:left w:val="nil"/>
              <w:bottom w:val="nil"/>
              <w:right w:val="nil"/>
            </w:tcBorders>
          </w:tcPr>
          <w:p w14:paraId="3B696A58"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6217687"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CCCFA99"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EB6AC74"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102B510"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654262B8" w14:textId="77777777" w:rsidTr="00F16287">
        <w:tc>
          <w:tcPr>
            <w:tcW w:w="2136" w:type="dxa"/>
            <w:tcBorders>
              <w:top w:val="nil"/>
              <w:left w:val="nil"/>
              <w:bottom w:val="nil"/>
              <w:right w:val="nil"/>
            </w:tcBorders>
          </w:tcPr>
          <w:p w14:paraId="01562E38"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Exchange Rate Classification (RR inverted, higher = more fixed)</w:t>
            </w:r>
          </w:p>
        </w:tc>
        <w:tc>
          <w:tcPr>
            <w:tcW w:w="1656" w:type="dxa"/>
            <w:tcBorders>
              <w:top w:val="nil"/>
              <w:left w:val="nil"/>
              <w:bottom w:val="nil"/>
              <w:right w:val="nil"/>
            </w:tcBorders>
          </w:tcPr>
          <w:p w14:paraId="6237BF0F"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-0.114</w:t>
            </w:r>
          </w:p>
        </w:tc>
        <w:tc>
          <w:tcPr>
            <w:tcW w:w="1656" w:type="dxa"/>
            <w:tcBorders>
              <w:top w:val="nil"/>
              <w:left w:val="nil"/>
              <w:bottom w:val="nil"/>
              <w:right w:val="nil"/>
            </w:tcBorders>
          </w:tcPr>
          <w:p w14:paraId="0FA97C71"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-0.167</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7417BFC2"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-0.00365</w:t>
            </w:r>
          </w:p>
        </w:tc>
        <w:tc>
          <w:tcPr>
            <w:tcW w:w="1656" w:type="dxa"/>
            <w:tcBorders>
              <w:top w:val="nil"/>
              <w:left w:val="nil"/>
              <w:bottom w:val="nil"/>
              <w:right w:val="nil"/>
            </w:tcBorders>
          </w:tcPr>
          <w:p w14:paraId="4E2464F8"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0.0297</w:t>
            </w:r>
          </w:p>
        </w:tc>
      </w:tr>
      <w:tr w:rsidR="003D3DCA" w:rsidRPr="00F86166" w14:paraId="5596E4D4" w14:textId="77777777" w:rsidTr="00F16287">
        <w:tc>
          <w:tcPr>
            <w:tcW w:w="2136" w:type="dxa"/>
            <w:tcBorders>
              <w:top w:val="nil"/>
              <w:left w:val="nil"/>
              <w:bottom w:val="nil"/>
              <w:right w:val="nil"/>
            </w:tcBorders>
          </w:tcPr>
          <w:p w14:paraId="3ED22AE0"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FC39AC9"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(-1.93)</w:t>
            </w:r>
          </w:p>
        </w:tc>
        <w:tc>
          <w:tcPr>
            <w:tcW w:w="1656" w:type="dxa"/>
            <w:tcBorders>
              <w:top w:val="nil"/>
              <w:left w:val="nil"/>
              <w:bottom w:val="nil"/>
              <w:right w:val="nil"/>
            </w:tcBorders>
          </w:tcPr>
          <w:p w14:paraId="2E15C878"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(-2.04)</w:t>
            </w:r>
          </w:p>
        </w:tc>
        <w:tc>
          <w:tcPr>
            <w:tcW w:w="1656" w:type="dxa"/>
            <w:tcBorders>
              <w:top w:val="nil"/>
              <w:left w:val="nil"/>
              <w:bottom w:val="nil"/>
              <w:right w:val="nil"/>
            </w:tcBorders>
          </w:tcPr>
          <w:p w14:paraId="14B866F5"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(-0.06)</w:t>
            </w:r>
          </w:p>
        </w:tc>
        <w:tc>
          <w:tcPr>
            <w:tcW w:w="1656" w:type="dxa"/>
            <w:tcBorders>
              <w:top w:val="nil"/>
              <w:left w:val="nil"/>
              <w:bottom w:val="nil"/>
              <w:right w:val="nil"/>
            </w:tcBorders>
          </w:tcPr>
          <w:p w14:paraId="015283CC"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(0.58)</w:t>
            </w:r>
          </w:p>
        </w:tc>
      </w:tr>
      <w:tr w:rsidR="003D3DCA" w:rsidRPr="00F86166" w14:paraId="15C1BB58" w14:textId="77777777" w:rsidTr="00F16287">
        <w:tc>
          <w:tcPr>
            <w:tcW w:w="2136" w:type="dxa"/>
            <w:tcBorders>
              <w:top w:val="nil"/>
              <w:left w:val="nil"/>
              <w:bottom w:val="nil"/>
              <w:right w:val="nil"/>
            </w:tcBorders>
          </w:tcPr>
          <w:p w14:paraId="18D569F1"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E4E0815"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298FD0D"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2309305"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C85029A"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65EB0D14" w14:textId="77777777" w:rsidTr="00F16287">
        <w:tc>
          <w:tcPr>
            <w:tcW w:w="2136" w:type="dxa"/>
            <w:tcBorders>
              <w:top w:val="nil"/>
              <w:left w:val="nil"/>
              <w:bottom w:val="nil"/>
              <w:right w:val="nil"/>
            </w:tcBorders>
          </w:tcPr>
          <w:p w14:paraId="443CD9F0"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roofErr w:type="spellStart"/>
            <w:r w:rsidRPr="00F86166">
              <w:rPr>
                <w:rFonts w:ascii="Times New Roman" w:hAnsi="Times New Roman" w:cs="Times New Roman"/>
                <w:sz w:val="18"/>
                <w:szCs w:val="18"/>
              </w:rPr>
              <w:t>L.De</w:t>
            </w:r>
            <w:proofErr w:type="spellEnd"/>
            <w:r w:rsidRPr="00F86166">
              <w:rPr>
                <w:rFonts w:ascii="Times New Roman" w:hAnsi="Times New Roman" w:cs="Times New Roman"/>
                <w:sz w:val="18"/>
                <w:szCs w:val="18"/>
              </w:rPr>
              <w:t xml:space="preserve"> Jure CBI (CNW Index)</w:t>
            </w:r>
          </w:p>
        </w:tc>
        <w:tc>
          <w:tcPr>
            <w:tcW w:w="1656" w:type="dxa"/>
            <w:tcBorders>
              <w:top w:val="nil"/>
              <w:left w:val="nil"/>
              <w:bottom w:val="nil"/>
              <w:right w:val="nil"/>
            </w:tcBorders>
          </w:tcPr>
          <w:p w14:paraId="6D81A42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1.656</w:t>
            </w:r>
          </w:p>
        </w:tc>
        <w:tc>
          <w:tcPr>
            <w:tcW w:w="1656" w:type="dxa"/>
            <w:tcBorders>
              <w:top w:val="nil"/>
              <w:left w:val="nil"/>
              <w:bottom w:val="nil"/>
              <w:right w:val="nil"/>
            </w:tcBorders>
          </w:tcPr>
          <w:p w14:paraId="21834F73"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-0.0812</w:t>
            </w:r>
          </w:p>
        </w:tc>
        <w:tc>
          <w:tcPr>
            <w:tcW w:w="1656" w:type="dxa"/>
            <w:tcBorders>
              <w:top w:val="nil"/>
              <w:left w:val="nil"/>
              <w:bottom w:val="nil"/>
              <w:right w:val="nil"/>
            </w:tcBorders>
          </w:tcPr>
          <w:p w14:paraId="458BBC2E"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-2.046</w:t>
            </w:r>
          </w:p>
        </w:tc>
        <w:tc>
          <w:tcPr>
            <w:tcW w:w="1656" w:type="dxa"/>
            <w:tcBorders>
              <w:top w:val="nil"/>
              <w:left w:val="nil"/>
              <w:bottom w:val="nil"/>
              <w:right w:val="nil"/>
            </w:tcBorders>
          </w:tcPr>
          <w:p w14:paraId="1CBEFC8A"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-0.435</w:t>
            </w:r>
          </w:p>
        </w:tc>
      </w:tr>
      <w:tr w:rsidR="003D3DCA" w:rsidRPr="00F86166" w14:paraId="30ED1D39" w14:textId="77777777" w:rsidTr="00F16287">
        <w:tc>
          <w:tcPr>
            <w:tcW w:w="2136" w:type="dxa"/>
            <w:tcBorders>
              <w:top w:val="nil"/>
              <w:left w:val="nil"/>
              <w:bottom w:val="nil"/>
              <w:right w:val="nil"/>
            </w:tcBorders>
          </w:tcPr>
          <w:p w14:paraId="05619508"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B9F0271"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(0.92)</w:t>
            </w:r>
          </w:p>
        </w:tc>
        <w:tc>
          <w:tcPr>
            <w:tcW w:w="1656" w:type="dxa"/>
            <w:tcBorders>
              <w:top w:val="nil"/>
              <w:left w:val="nil"/>
              <w:bottom w:val="nil"/>
              <w:right w:val="nil"/>
            </w:tcBorders>
          </w:tcPr>
          <w:p w14:paraId="6E2D54CE"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(-0.04)</w:t>
            </w:r>
          </w:p>
        </w:tc>
        <w:tc>
          <w:tcPr>
            <w:tcW w:w="1656" w:type="dxa"/>
            <w:tcBorders>
              <w:top w:val="nil"/>
              <w:left w:val="nil"/>
              <w:bottom w:val="nil"/>
              <w:right w:val="nil"/>
            </w:tcBorders>
          </w:tcPr>
          <w:p w14:paraId="5C1B6609"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(-1.15)</w:t>
            </w:r>
          </w:p>
        </w:tc>
        <w:tc>
          <w:tcPr>
            <w:tcW w:w="1656" w:type="dxa"/>
            <w:tcBorders>
              <w:top w:val="nil"/>
              <w:left w:val="nil"/>
              <w:bottom w:val="nil"/>
              <w:right w:val="nil"/>
            </w:tcBorders>
          </w:tcPr>
          <w:p w14:paraId="22264335"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(-0.54)</w:t>
            </w:r>
          </w:p>
        </w:tc>
      </w:tr>
      <w:tr w:rsidR="003D3DCA" w:rsidRPr="00F86166" w14:paraId="34E7D24B" w14:textId="77777777" w:rsidTr="00F16287">
        <w:tc>
          <w:tcPr>
            <w:tcW w:w="2136" w:type="dxa"/>
            <w:tcBorders>
              <w:top w:val="nil"/>
              <w:left w:val="nil"/>
              <w:bottom w:val="nil"/>
              <w:right w:val="nil"/>
            </w:tcBorders>
          </w:tcPr>
          <w:p w14:paraId="1386ECCD"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A3726D3"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0D948E3"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ACE1D4E"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0472875"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4F937942" w14:textId="77777777" w:rsidTr="00F16287">
        <w:tc>
          <w:tcPr>
            <w:tcW w:w="2136" w:type="dxa"/>
            <w:tcBorders>
              <w:top w:val="nil"/>
              <w:left w:val="nil"/>
              <w:bottom w:val="nil"/>
              <w:right w:val="nil"/>
            </w:tcBorders>
          </w:tcPr>
          <w:p w14:paraId="3C7B4D28"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lang w:val="fr-BE"/>
              </w:rPr>
            </w:pPr>
            <w:r w:rsidRPr="00F86166">
              <w:rPr>
                <w:rFonts w:ascii="Times New Roman" w:hAnsi="Times New Roman" w:cs="Times New Roman"/>
                <w:sz w:val="18"/>
                <w:szCs w:val="18"/>
                <w:lang w:val="fr-BE"/>
              </w:rPr>
              <w:t>L2.De Jure CBI (CNW Index)</w:t>
            </w:r>
          </w:p>
        </w:tc>
        <w:tc>
          <w:tcPr>
            <w:tcW w:w="1656" w:type="dxa"/>
            <w:tcBorders>
              <w:top w:val="nil"/>
              <w:left w:val="nil"/>
              <w:bottom w:val="nil"/>
              <w:right w:val="nil"/>
            </w:tcBorders>
          </w:tcPr>
          <w:p w14:paraId="614BBD10"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-2.494</w:t>
            </w:r>
          </w:p>
        </w:tc>
        <w:tc>
          <w:tcPr>
            <w:tcW w:w="1656" w:type="dxa"/>
            <w:tcBorders>
              <w:top w:val="nil"/>
              <w:left w:val="nil"/>
              <w:bottom w:val="nil"/>
              <w:right w:val="nil"/>
            </w:tcBorders>
          </w:tcPr>
          <w:p w14:paraId="31A0FE3B"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0.480</w:t>
            </w:r>
          </w:p>
        </w:tc>
        <w:tc>
          <w:tcPr>
            <w:tcW w:w="1656" w:type="dxa"/>
            <w:tcBorders>
              <w:top w:val="nil"/>
              <w:left w:val="nil"/>
              <w:bottom w:val="nil"/>
              <w:right w:val="nil"/>
            </w:tcBorders>
          </w:tcPr>
          <w:p w14:paraId="0845FB19"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-0.165</w:t>
            </w:r>
          </w:p>
        </w:tc>
        <w:tc>
          <w:tcPr>
            <w:tcW w:w="1656" w:type="dxa"/>
            <w:tcBorders>
              <w:top w:val="nil"/>
              <w:left w:val="nil"/>
              <w:bottom w:val="nil"/>
              <w:right w:val="nil"/>
            </w:tcBorders>
          </w:tcPr>
          <w:p w14:paraId="7FBEA381"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0.247</w:t>
            </w:r>
          </w:p>
        </w:tc>
      </w:tr>
      <w:tr w:rsidR="003D3DCA" w:rsidRPr="00F86166" w14:paraId="64CC8907" w14:textId="77777777" w:rsidTr="00F16287">
        <w:tc>
          <w:tcPr>
            <w:tcW w:w="2136" w:type="dxa"/>
            <w:tcBorders>
              <w:top w:val="nil"/>
              <w:left w:val="nil"/>
              <w:bottom w:val="nil"/>
              <w:right w:val="nil"/>
            </w:tcBorders>
          </w:tcPr>
          <w:p w14:paraId="679FBA4E"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5BB40A9"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(-1.61)</w:t>
            </w:r>
          </w:p>
        </w:tc>
        <w:tc>
          <w:tcPr>
            <w:tcW w:w="1656" w:type="dxa"/>
            <w:tcBorders>
              <w:top w:val="nil"/>
              <w:left w:val="nil"/>
              <w:bottom w:val="nil"/>
              <w:right w:val="nil"/>
            </w:tcBorders>
          </w:tcPr>
          <w:p w14:paraId="2BAC9D0A"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(0.27)</w:t>
            </w:r>
          </w:p>
        </w:tc>
        <w:tc>
          <w:tcPr>
            <w:tcW w:w="1656" w:type="dxa"/>
            <w:tcBorders>
              <w:top w:val="nil"/>
              <w:left w:val="nil"/>
              <w:bottom w:val="nil"/>
              <w:right w:val="nil"/>
            </w:tcBorders>
          </w:tcPr>
          <w:p w14:paraId="18115609"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(-0.09)</w:t>
            </w:r>
          </w:p>
        </w:tc>
        <w:tc>
          <w:tcPr>
            <w:tcW w:w="1656" w:type="dxa"/>
            <w:tcBorders>
              <w:top w:val="nil"/>
              <w:left w:val="nil"/>
              <w:bottom w:val="nil"/>
              <w:right w:val="nil"/>
            </w:tcBorders>
          </w:tcPr>
          <w:p w14:paraId="6C1E6318"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(0.22)</w:t>
            </w:r>
          </w:p>
        </w:tc>
      </w:tr>
      <w:tr w:rsidR="003D3DCA" w:rsidRPr="00F86166" w14:paraId="1B4A0B11" w14:textId="77777777" w:rsidTr="00F16287">
        <w:tc>
          <w:tcPr>
            <w:tcW w:w="2136" w:type="dxa"/>
            <w:tcBorders>
              <w:top w:val="nil"/>
              <w:left w:val="nil"/>
              <w:bottom w:val="nil"/>
              <w:right w:val="nil"/>
            </w:tcBorders>
          </w:tcPr>
          <w:p w14:paraId="15B1AE62"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C7B9B19"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CFA0273"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E3CAC9F"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8B74E78"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20D672FD" w14:textId="77777777" w:rsidTr="00F16287">
        <w:tc>
          <w:tcPr>
            <w:tcW w:w="2136" w:type="dxa"/>
            <w:tcBorders>
              <w:top w:val="nil"/>
              <w:left w:val="nil"/>
              <w:bottom w:val="nil"/>
              <w:right w:val="nil"/>
            </w:tcBorders>
          </w:tcPr>
          <w:p w14:paraId="02974ADE"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lang w:val="fr-BE"/>
              </w:rPr>
            </w:pPr>
            <w:r w:rsidRPr="00F86166">
              <w:rPr>
                <w:rFonts w:ascii="Times New Roman" w:hAnsi="Times New Roman" w:cs="Times New Roman"/>
                <w:sz w:val="18"/>
                <w:szCs w:val="18"/>
                <w:lang w:val="fr-BE"/>
              </w:rPr>
              <w:t>L3.De Jure CBI (CNW Index)</w:t>
            </w:r>
          </w:p>
        </w:tc>
        <w:tc>
          <w:tcPr>
            <w:tcW w:w="1656" w:type="dxa"/>
            <w:tcBorders>
              <w:top w:val="nil"/>
              <w:left w:val="nil"/>
              <w:bottom w:val="nil"/>
              <w:right w:val="nil"/>
            </w:tcBorders>
          </w:tcPr>
          <w:p w14:paraId="011FE944"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-0.519</w:t>
            </w:r>
          </w:p>
        </w:tc>
        <w:tc>
          <w:tcPr>
            <w:tcW w:w="1656" w:type="dxa"/>
            <w:tcBorders>
              <w:top w:val="nil"/>
              <w:left w:val="nil"/>
              <w:bottom w:val="nil"/>
              <w:right w:val="nil"/>
            </w:tcBorders>
          </w:tcPr>
          <w:p w14:paraId="4044752D"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-3.090</w:t>
            </w:r>
          </w:p>
        </w:tc>
        <w:tc>
          <w:tcPr>
            <w:tcW w:w="1656" w:type="dxa"/>
            <w:tcBorders>
              <w:top w:val="nil"/>
              <w:left w:val="nil"/>
              <w:bottom w:val="nil"/>
              <w:right w:val="nil"/>
            </w:tcBorders>
          </w:tcPr>
          <w:p w14:paraId="1D5014EA"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-0.598</w:t>
            </w:r>
          </w:p>
        </w:tc>
        <w:tc>
          <w:tcPr>
            <w:tcW w:w="1656" w:type="dxa"/>
            <w:tcBorders>
              <w:top w:val="nil"/>
              <w:left w:val="nil"/>
              <w:bottom w:val="nil"/>
              <w:right w:val="nil"/>
            </w:tcBorders>
          </w:tcPr>
          <w:p w14:paraId="243F0603"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4.351</w:t>
            </w:r>
            <w:r w:rsidRPr="00F86166">
              <w:rPr>
                <w:rFonts w:ascii="Times New Roman" w:hAnsi="Times New Roman" w:cs="Times New Roman"/>
                <w:sz w:val="18"/>
                <w:szCs w:val="18"/>
                <w:vertAlign w:val="superscript"/>
              </w:rPr>
              <w:t>***</w:t>
            </w:r>
          </w:p>
        </w:tc>
      </w:tr>
      <w:tr w:rsidR="003D3DCA" w:rsidRPr="00F86166" w14:paraId="33B4D91E" w14:textId="77777777" w:rsidTr="00F16287">
        <w:tc>
          <w:tcPr>
            <w:tcW w:w="2136" w:type="dxa"/>
            <w:tcBorders>
              <w:top w:val="nil"/>
              <w:left w:val="nil"/>
              <w:bottom w:val="nil"/>
              <w:right w:val="nil"/>
            </w:tcBorders>
          </w:tcPr>
          <w:p w14:paraId="5E061BD7"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B66EF55"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(-0.32)</w:t>
            </w:r>
          </w:p>
        </w:tc>
        <w:tc>
          <w:tcPr>
            <w:tcW w:w="1656" w:type="dxa"/>
            <w:tcBorders>
              <w:top w:val="nil"/>
              <w:left w:val="nil"/>
              <w:bottom w:val="nil"/>
              <w:right w:val="nil"/>
            </w:tcBorders>
          </w:tcPr>
          <w:p w14:paraId="26F85CC2"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(-1.51)</w:t>
            </w:r>
          </w:p>
        </w:tc>
        <w:tc>
          <w:tcPr>
            <w:tcW w:w="1656" w:type="dxa"/>
            <w:tcBorders>
              <w:top w:val="nil"/>
              <w:left w:val="nil"/>
              <w:bottom w:val="nil"/>
              <w:right w:val="nil"/>
            </w:tcBorders>
          </w:tcPr>
          <w:p w14:paraId="210B3FE4"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(-0.34)</w:t>
            </w:r>
          </w:p>
        </w:tc>
        <w:tc>
          <w:tcPr>
            <w:tcW w:w="1656" w:type="dxa"/>
            <w:tcBorders>
              <w:top w:val="nil"/>
              <w:left w:val="nil"/>
              <w:bottom w:val="nil"/>
              <w:right w:val="nil"/>
            </w:tcBorders>
          </w:tcPr>
          <w:p w14:paraId="479ED742"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(3.54)</w:t>
            </w:r>
          </w:p>
        </w:tc>
      </w:tr>
      <w:tr w:rsidR="003D3DCA" w:rsidRPr="00F86166" w14:paraId="458E0546" w14:textId="77777777" w:rsidTr="00F16287">
        <w:tc>
          <w:tcPr>
            <w:tcW w:w="2136" w:type="dxa"/>
            <w:tcBorders>
              <w:top w:val="nil"/>
              <w:left w:val="nil"/>
              <w:bottom w:val="nil"/>
              <w:right w:val="nil"/>
            </w:tcBorders>
          </w:tcPr>
          <w:p w14:paraId="3BFA1B15"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4EDBD8A"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F8D007F"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F58C5CD"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BA9361F"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64609EF1" w14:textId="77777777" w:rsidTr="00F16287">
        <w:tc>
          <w:tcPr>
            <w:tcW w:w="2136" w:type="dxa"/>
            <w:tcBorders>
              <w:top w:val="nil"/>
              <w:left w:val="nil"/>
              <w:bottom w:val="nil"/>
              <w:right w:val="nil"/>
            </w:tcBorders>
          </w:tcPr>
          <w:p w14:paraId="746D293D"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lang w:val="fr-BE"/>
              </w:rPr>
            </w:pPr>
            <w:r w:rsidRPr="00F86166">
              <w:rPr>
                <w:rFonts w:ascii="Times New Roman" w:hAnsi="Times New Roman" w:cs="Times New Roman"/>
                <w:sz w:val="18"/>
                <w:szCs w:val="18"/>
                <w:lang w:val="fr-BE"/>
              </w:rPr>
              <w:t>L4.De Jure CBI (CNW Index)</w:t>
            </w:r>
          </w:p>
        </w:tc>
        <w:tc>
          <w:tcPr>
            <w:tcW w:w="1656" w:type="dxa"/>
            <w:tcBorders>
              <w:top w:val="nil"/>
              <w:left w:val="nil"/>
              <w:bottom w:val="nil"/>
              <w:right w:val="nil"/>
            </w:tcBorders>
          </w:tcPr>
          <w:p w14:paraId="1AD40F0F"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2.025</w:t>
            </w:r>
          </w:p>
        </w:tc>
        <w:tc>
          <w:tcPr>
            <w:tcW w:w="1656" w:type="dxa"/>
            <w:tcBorders>
              <w:top w:val="nil"/>
              <w:left w:val="nil"/>
              <w:bottom w:val="nil"/>
              <w:right w:val="nil"/>
            </w:tcBorders>
          </w:tcPr>
          <w:p w14:paraId="54527CB4"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1.853</w:t>
            </w:r>
          </w:p>
        </w:tc>
        <w:tc>
          <w:tcPr>
            <w:tcW w:w="1656" w:type="dxa"/>
            <w:tcBorders>
              <w:top w:val="nil"/>
              <w:left w:val="nil"/>
              <w:bottom w:val="nil"/>
              <w:right w:val="nil"/>
            </w:tcBorders>
          </w:tcPr>
          <w:p w14:paraId="7B86DF73"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0.302</w:t>
            </w:r>
          </w:p>
        </w:tc>
        <w:tc>
          <w:tcPr>
            <w:tcW w:w="1656" w:type="dxa"/>
            <w:tcBorders>
              <w:top w:val="nil"/>
              <w:left w:val="nil"/>
              <w:bottom w:val="nil"/>
              <w:right w:val="nil"/>
            </w:tcBorders>
          </w:tcPr>
          <w:p w14:paraId="00374BB9"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-1.026</w:t>
            </w:r>
          </w:p>
        </w:tc>
      </w:tr>
      <w:tr w:rsidR="003D3DCA" w:rsidRPr="00F86166" w14:paraId="6786E8EC" w14:textId="77777777" w:rsidTr="00F16287">
        <w:tc>
          <w:tcPr>
            <w:tcW w:w="2136" w:type="dxa"/>
            <w:tcBorders>
              <w:top w:val="nil"/>
              <w:left w:val="nil"/>
              <w:bottom w:val="nil"/>
              <w:right w:val="nil"/>
            </w:tcBorders>
          </w:tcPr>
          <w:p w14:paraId="69BE803B"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C4A4940"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(1.09)</w:t>
            </w:r>
          </w:p>
        </w:tc>
        <w:tc>
          <w:tcPr>
            <w:tcW w:w="1656" w:type="dxa"/>
            <w:tcBorders>
              <w:top w:val="nil"/>
              <w:left w:val="nil"/>
              <w:bottom w:val="nil"/>
              <w:right w:val="nil"/>
            </w:tcBorders>
          </w:tcPr>
          <w:p w14:paraId="58E8F2B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(0.75)</w:t>
            </w:r>
          </w:p>
        </w:tc>
        <w:tc>
          <w:tcPr>
            <w:tcW w:w="1656" w:type="dxa"/>
            <w:tcBorders>
              <w:top w:val="nil"/>
              <w:left w:val="nil"/>
              <w:bottom w:val="nil"/>
              <w:right w:val="nil"/>
            </w:tcBorders>
          </w:tcPr>
          <w:p w14:paraId="7BB447D8"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(0.15)</w:t>
            </w:r>
          </w:p>
        </w:tc>
        <w:tc>
          <w:tcPr>
            <w:tcW w:w="1656" w:type="dxa"/>
            <w:tcBorders>
              <w:top w:val="nil"/>
              <w:left w:val="nil"/>
              <w:bottom w:val="nil"/>
              <w:right w:val="nil"/>
            </w:tcBorders>
          </w:tcPr>
          <w:p w14:paraId="4E3522DA"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(-1.60)</w:t>
            </w:r>
          </w:p>
        </w:tc>
      </w:tr>
      <w:tr w:rsidR="003D3DCA" w:rsidRPr="00F86166" w14:paraId="5F963483" w14:textId="77777777" w:rsidTr="00F16287">
        <w:tc>
          <w:tcPr>
            <w:tcW w:w="2136" w:type="dxa"/>
            <w:tcBorders>
              <w:top w:val="nil"/>
              <w:left w:val="nil"/>
              <w:bottom w:val="nil"/>
              <w:right w:val="nil"/>
            </w:tcBorders>
          </w:tcPr>
          <w:p w14:paraId="3DA29CDF"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268E983"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DD2F98B"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1BC10C2"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6DB8BFC"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347B32A2" w14:textId="77777777" w:rsidTr="00F16287">
        <w:tc>
          <w:tcPr>
            <w:tcW w:w="2136" w:type="dxa"/>
            <w:tcBorders>
              <w:top w:val="nil"/>
              <w:left w:val="nil"/>
              <w:bottom w:val="nil"/>
              <w:right w:val="nil"/>
            </w:tcBorders>
          </w:tcPr>
          <w:p w14:paraId="20696A12"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lang w:val="fr-BE"/>
              </w:rPr>
            </w:pPr>
            <w:r w:rsidRPr="00F86166">
              <w:rPr>
                <w:rFonts w:ascii="Times New Roman" w:hAnsi="Times New Roman" w:cs="Times New Roman"/>
                <w:sz w:val="18"/>
                <w:szCs w:val="18"/>
                <w:lang w:val="fr-BE"/>
              </w:rPr>
              <w:t>L5.De Jure CBI (CNW Index)</w:t>
            </w:r>
          </w:p>
        </w:tc>
        <w:tc>
          <w:tcPr>
            <w:tcW w:w="1656" w:type="dxa"/>
            <w:tcBorders>
              <w:top w:val="nil"/>
              <w:left w:val="nil"/>
              <w:bottom w:val="nil"/>
              <w:right w:val="nil"/>
            </w:tcBorders>
          </w:tcPr>
          <w:p w14:paraId="0716FE46"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1.399</w:t>
            </w:r>
          </w:p>
        </w:tc>
        <w:tc>
          <w:tcPr>
            <w:tcW w:w="1656" w:type="dxa"/>
            <w:tcBorders>
              <w:top w:val="nil"/>
              <w:left w:val="nil"/>
              <w:bottom w:val="nil"/>
              <w:right w:val="nil"/>
            </w:tcBorders>
          </w:tcPr>
          <w:p w14:paraId="18256CB8"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1.829</w:t>
            </w:r>
          </w:p>
        </w:tc>
        <w:tc>
          <w:tcPr>
            <w:tcW w:w="1656" w:type="dxa"/>
            <w:tcBorders>
              <w:top w:val="nil"/>
              <w:left w:val="nil"/>
              <w:bottom w:val="nil"/>
              <w:right w:val="nil"/>
            </w:tcBorders>
          </w:tcPr>
          <w:p w14:paraId="6EC8858A"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0.443</w:t>
            </w:r>
          </w:p>
        </w:tc>
        <w:tc>
          <w:tcPr>
            <w:tcW w:w="1656" w:type="dxa"/>
            <w:tcBorders>
              <w:top w:val="nil"/>
              <w:left w:val="nil"/>
              <w:bottom w:val="nil"/>
              <w:right w:val="nil"/>
            </w:tcBorders>
          </w:tcPr>
          <w:p w14:paraId="1DB7EFE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0.730</w:t>
            </w:r>
          </w:p>
        </w:tc>
      </w:tr>
      <w:tr w:rsidR="003D3DCA" w:rsidRPr="00F86166" w14:paraId="08DDFD8E" w14:textId="77777777" w:rsidTr="00F16287">
        <w:tc>
          <w:tcPr>
            <w:tcW w:w="2136" w:type="dxa"/>
            <w:tcBorders>
              <w:top w:val="nil"/>
              <w:left w:val="nil"/>
              <w:bottom w:val="nil"/>
              <w:right w:val="nil"/>
            </w:tcBorders>
          </w:tcPr>
          <w:p w14:paraId="75522FCA"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D004866"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(0.67)</w:t>
            </w:r>
          </w:p>
        </w:tc>
        <w:tc>
          <w:tcPr>
            <w:tcW w:w="1656" w:type="dxa"/>
            <w:tcBorders>
              <w:top w:val="nil"/>
              <w:left w:val="nil"/>
              <w:bottom w:val="nil"/>
              <w:right w:val="nil"/>
            </w:tcBorders>
          </w:tcPr>
          <w:p w14:paraId="3EE6602C"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(0.77)</w:t>
            </w:r>
          </w:p>
        </w:tc>
        <w:tc>
          <w:tcPr>
            <w:tcW w:w="1656" w:type="dxa"/>
            <w:tcBorders>
              <w:top w:val="nil"/>
              <w:left w:val="nil"/>
              <w:bottom w:val="nil"/>
              <w:right w:val="nil"/>
            </w:tcBorders>
          </w:tcPr>
          <w:p w14:paraId="27046036"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(0.24)</w:t>
            </w:r>
          </w:p>
        </w:tc>
        <w:tc>
          <w:tcPr>
            <w:tcW w:w="1656" w:type="dxa"/>
            <w:tcBorders>
              <w:top w:val="nil"/>
              <w:left w:val="nil"/>
              <w:bottom w:val="nil"/>
              <w:right w:val="nil"/>
            </w:tcBorders>
          </w:tcPr>
          <w:p w14:paraId="6DEBC47E"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(1.15)</w:t>
            </w:r>
          </w:p>
        </w:tc>
      </w:tr>
      <w:tr w:rsidR="003D3DCA" w:rsidRPr="00F86166" w14:paraId="2A39DE4A" w14:textId="77777777" w:rsidTr="00F16287">
        <w:tc>
          <w:tcPr>
            <w:tcW w:w="2136" w:type="dxa"/>
            <w:tcBorders>
              <w:top w:val="nil"/>
              <w:left w:val="nil"/>
              <w:bottom w:val="nil"/>
              <w:right w:val="nil"/>
            </w:tcBorders>
          </w:tcPr>
          <w:p w14:paraId="4754D3BA"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C4B67AE"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3D54146"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735E3B5"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96D8951"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28AAC6DE" w14:textId="77777777" w:rsidTr="00F16287">
        <w:tc>
          <w:tcPr>
            <w:tcW w:w="2136" w:type="dxa"/>
            <w:tcBorders>
              <w:top w:val="nil"/>
              <w:left w:val="nil"/>
              <w:bottom w:val="nil"/>
              <w:right w:val="nil"/>
            </w:tcBorders>
          </w:tcPr>
          <w:p w14:paraId="09118C03"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lang w:val="fr-BE"/>
              </w:rPr>
            </w:pPr>
            <w:r w:rsidRPr="00F86166">
              <w:rPr>
                <w:rFonts w:ascii="Times New Roman" w:hAnsi="Times New Roman" w:cs="Times New Roman"/>
                <w:sz w:val="18"/>
                <w:szCs w:val="18"/>
                <w:lang w:val="fr-BE"/>
              </w:rPr>
              <w:t>L6.De Jure CBI (CNW Index)</w:t>
            </w:r>
          </w:p>
        </w:tc>
        <w:tc>
          <w:tcPr>
            <w:tcW w:w="1656" w:type="dxa"/>
            <w:tcBorders>
              <w:top w:val="nil"/>
              <w:left w:val="nil"/>
              <w:bottom w:val="nil"/>
              <w:right w:val="nil"/>
            </w:tcBorders>
          </w:tcPr>
          <w:p w14:paraId="0134FB60"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-2.816</w:t>
            </w:r>
          </w:p>
        </w:tc>
        <w:tc>
          <w:tcPr>
            <w:tcW w:w="1656" w:type="dxa"/>
            <w:tcBorders>
              <w:top w:val="nil"/>
              <w:left w:val="nil"/>
              <w:bottom w:val="nil"/>
              <w:right w:val="nil"/>
            </w:tcBorders>
          </w:tcPr>
          <w:p w14:paraId="689C52C3"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-0.357</w:t>
            </w:r>
          </w:p>
        </w:tc>
        <w:tc>
          <w:tcPr>
            <w:tcW w:w="1656" w:type="dxa"/>
            <w:tcBorders>
              <w:top w:val="nil"/>
              <w:left w:val="nil"/>
              <w:bottom w:val="nil"/>
              <w:right w:val="nil"/>
            </w:tcBorders>
          </w:tcPr>
          <w:p w14:paraId="501FE838"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0.355</w:t>
            </w:r>
          </w:p>
        </w:tc>
        <w:tc>
          <w:tcPr>
            <w:tcW w:w="1656" w:type="dxa"/>
            <w:tcBorders>
              <w:top w:val="nil"/>
              <w:left w:val="nil"/>
              <w:bottom w:val="nil"/>
              <w:right w:val="nil"/>
            </w:tcBorders>
          </w:tcPr>
          <w:p w14:paraId="731C886E"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2.556</w:t>
            </w:r>
            <w:r w:rsidRPr="00F86166">
              <w:rPr>
                <w:rFonts w:ascii="Times New Roman" w:hAnsi="Times New Roman" w:cs="Times New Roman"/>
                <w:sz w:val="18"/>
                <w:szCs w:val="18"/>
                <w:vertAlign w:val="superscript"/>
              </w:rPr>
              <w:t>*</w:t>
            </w:r>
          </w:p>
        </w:tc>
      </w:tr>
      <w:tr w:rsidR="003D3DCA" w:rsidRPr="00F86166" w14:paraId="0305F3F6" w14:textId="77777777" w:rsidTr="00F16287">
        <w:tc>
          <w:tcPr>
            <w:tcW w:w="2136" w:type="dxa"/>
            <w:tcBorders>
              <w:top w:val="nil"/>
              <w:left w:val="nil"/>
              <w:bottom w:val="nil"/>
              <w:right w:val="nil"/>
            </w:tcBorders>
          </w:tcPr>
          <w:p w14:paraId="3A9C037F"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E3EF89B"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(-1.24)</w:t>
            </w:r>
          </w:p>
        </w:tc>
        <w:tc>
          <w:tcPr>
            <w:tcW w:w="1656" w:type="dxa"/>
            <w:tcBorders>
              <w:top w:val="nil"/>
              <w:left w:val="nil"/>
              <w:bottom w:val="nil"/>
              <w:right w:val="nil"/>
            </w:tcBorders>
          </w:tcPr>
          <w:p w14:paraId="20D40124"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(-0.13)</w:t>
            </w:r>
          </w:p>
        </w:tc>
        <w:tc>
          <w:tcPr>
            <w:tcW w:w="1656" w:type="dxa"/>
            <w:tcBorders>
              <w:top w:val="nil"/>
              <w:left w:val="nil"/>
              <w:bottom w:val="nil"/>
              <w:right w:val="nil"/>
            </w:tcBorders>
          </w:tcPr>
          <w:p w14:paraId="003C89B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(0.24)</w:t>
            </w:r>
          </w:p>
        </w:tc>
        <w:tc>
          <w:tcPr>
            <w:tcW w:w="1656" w:type="dxa"/>
            <w:tcBorders>
              <w:top w:val="nil"/>
              <w:left w:val="nil"/>
              <w:bottom w:val="nil"/>
              <w:right w:val="nil"/>
            </w:tcBorders>
          </w:tcPr>
          <w:p w14:paraId="2D7BD778"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(2.21)</w:t>
            </w:r>
          </w:p>
        </w:tc>
      </w:tr>
      <w:tr w:rsidR="003D3DCA" w:rsidRPr="00F86166" w14:paraId="027256A3" w14:textId="77777777" w:rsidTr="00F16287">
        <w:tc>
          <w:tcPr>
            <w:tcW w:w="2136" w:type="dxa"/>
            <w:tcBorders>
              <w:top w:val="nil"/>
              <w:left w:val="nil"/>
              <w:bottom w:val="nil"/>
              <w:right w:val="nil"/>
            </w:tcBorders>
          </w:tcPr>
          <w:p w14:paraId="166CCC4F"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6E69F0F"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870E14F"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D806BE3"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2B7DBA7"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2E0507E1" w14:textId="77777777" w:rsidTr="00F16287">
        <w:tc>
          <w:tcPr>
            <w:tcW w:w="2136" w:type="dxa"/>
            <w:tcBorders>
              <w:top w:val="nil"/>
              <w:left w:val="nil"/>
              <w:bottom w:val="nil"/>
              <w:right w:val="nil"/>
            </w:tcBorders>
          </w:tcPr>
          <w:p w14:paraId="77724AD5"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lang w:val="fr-BE"/>
              </w:rPr>
            </w:pPr>
            <w:r w:rsidRPr="00F86166">
              <w:rPr>
                <w:rFonts w:ascii="Times New Roman" w:hAnsi="Times New Roman" w:cs="Times New Roman"/>
                <w:sz w:val="18"/>
                <w:szCs w:val="18"/>
                <w:lang w:val="fr-BE"/>
              </w:rPr>
              <w:t>L7.De Jure CBI (CNW Index)</w:t>
            </w:r>
          </w:p>
        </w:tc>
        <w:tc>
          <w:tcPr>
            <w:tcW w:w="1656" w:type="dxa"/>
            <w:tcBorders>
              <w:top w:val="nil"/>
              <w:left w:val="nil"/>
              <w:bottom w:val="nil"/>
              <w:right w:val="nil"/>
            </w:tcBorders>
          </w:tcPr>
          <w:p w14:paraId="76ADC03E"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2.930</w:t>
            </w:r>
          </w:p>
        </w:tc>
        <w:tc>
          <w:tcPr>
            <w:tcW w:w="1656" w:type="dxa"/>
            <w:tcBorders>
              <w:top w:val="nil"/>
              <w:left w:val="nil"/>
              <w:bottom w:val="nil"/>
              <w:right w:val="nil"/>
            </w:tcBorders>
          </w:tcPr>
          <w:p w14:paraId="02B50CD4"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-2.042</w:t>
            </w:r>
          </w:p>
        </w:tc>
        <w:tc>
          <w:tcPr>
            <w:tcW w:w="1656" w:type="dxa"/>
            <w:tcBorders>
              <w:top w:val="nil"/>
              <w:left w:val="nil"/>
              <w:bottom w:val="nil"/>
              <w:right w:val="nil"/>
            </w:tcBorders>
          </w:tcPr>
          <w:p w14:paraId="76B9CFB1"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1.184</w:t>
            </w:r>
          </w:p>
        </w:tc>
        <w:tc>
          <w:tcPr>
            <w:tcW w:w="1656" w:type="dxa"/>
            <w:tcBorders>
              <w:top w:val="nil"/>
              <w:left w:val="nil"/>
              <w:bottom w:val="nil"/>
              <w:right w:val="nil"/>
            </w:tcBorders>
          </w:tcPr>
          <w:p w14:paraId="5161BFB9"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0.986</w:t>
            </w:r>
          </w:p>
        </w:tc>
      </w:tr>
      <w:tr w:rsidR="003D3DCA" w:rsidRPr="00F86166" w14:paraId="604C47F5" w14:textId="77777777" w:rsidTr="00F16287">
        <w:tc>
          <w:tcPr>
            <w:tcW w:w="2136" w:type="dxa"/>
            <w:tcBorders>
              <w:top w:val="nil"/>
              <w:left w:val="nil"/>
              <w:bottom w:val="nil"/>
              <w:right w:val="nil"/>
            </w:tcBorders>
          </w:tcPr>
          <w:p w14:paraId="120C1D41"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5CB0A45"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(1.29)</w:t>
            </w:r>
          </w:p>
        </w:tc>
        <w:tc>
          <w:tcPr>
            <w:tcW w:w="1656" w:type="dxa"/>
            <w:tcBorders>
              <w:top w:val="nil"/>
              <w:left w:val="nil"/>
              <w:bottom w:val="nil"/>
              <w:right w:val="nil"/>
            </w:tcBorders>
          </w:tcPr>
          <w:p w14:paraId="0955FA19"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(-0.64)</w:t>
            </w:r>
          </w:p>
        </w:tc>
        <w:tc>
          <w:tcPr>
            <w:tcW w:w="1656" w:type="dxa"/>
            <w:tcBorders>
              <w:top w:val="nil"/>
              <w:left w:val="nil"/>
              <w:bottom w:val="nil"/>
              <w:right w:val="nil"/>
            </w:tcBorders>
          </w:tcPr>
          <w:p w14:paraId="42683C7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(0.65)</w:t>
            </w:r>
          </w:p>
        </w:tc>
        <w:tc>
          <w:tcPr>
            <w:tcW w:w="1656" w:type="dxa"/>
            <w:tcBorders>
              <w:top w:val="nil"/>
              <w:left w:val="nil"/>
              <w:bottom w:val="nil"/>
              <w:right w:val="nil"/>
            </w:tcBorders>
          </w:tcPr>
          <w:p w14:paraId="33E4819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(1.38)</w:t>
            </w:r>
          </w:p>
        </w:tc>
      </w:tr>
      <w:tr w:rsidR="003D3DCA" w:rsidRPr="00F86166" w14:paraId="0AFC9832" w14:textId="77777777" w:rsidTr="00F16287">
        <w:tc>
          <w:tcPr>
            <w:tcW w:w="2136" w:type="dxa"/>
            <w:tcBorders>
              <w:top w:val="nil"/>
              <w:left w:val="nil"/>
              <w:bottom w:val="nil"/>
              <w:right w:val="nil"/>
            </w:tcBorders>
          </w:tcPr>
          <w:p w14:paraId="6971747E"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08EF498"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74A377F"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53FD988"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D88FA70"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0C8D0FC0" w14:textId="77777777" w:rsidTr="00F16287">
        <w:tc>
          <w:tcPr>
            <w:tcW w:w="2136" w:type="dxa"/>
            <w:tcBorders>
              <w:top w:val="nil"/>
              <w:left w:val="nil"/>
              <w:bottom w:val="nil"/>
              <w:right w:val="nil"/>
            </w:tcBorders>
          </w:tcPr>
          <w:p w14:paraId="1767733C"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lang w:val="fr-BE"/>
              </w:rPr>
            </w:pPr>
            <w:r w:rsidRPr="00F86166">
              <w:rPr>
                <w:rFonts w:ascii="Times New Roman" w:hAnsi="Times New Roman" w:cs="Times New Roman"/>
                <w:sz w:val="18"/>
                <w:szCs w:val="18"/>
                <w:lang w:val="fr-BE"/>
              </w:rPr>
              <w:t>L8.De Jure CBI (CNW Index)</w:t>
            </w:r>
          </w:p>
        </w:tc>
        <w:tc>
          <w:tcPr>
            <w:tcW w:w="1656" w:type="dxa"/>
            <w:tcBorders>
              <w:top w:val="nil"/>
              <w:left w:val="nil"/>
              <w:bottom w:val="nil"/>
              <w:right w:val="nil"/>
            </w:tcBorders>
          </w:tcPr>
          <w:p w14:paraId="76BC79B1"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-4.537</w:t>
            </w:r>
          </w:p>
        </w:tc>
        <w:tc>
          <w:tcPr>
            <w:tcW w:w="1656" w:type="dxa"/>
            <w:tcBorders>
              <w:top w:val="nil"/>
              <w:left w:val="nil"/>
              <w:bottom w:val="nil"/>
              <w:right w:val="nil"/>
            </w:tcBorders>
          </w:tcPr>
          <w:p w14:paraId="379584A5"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-0.221</w:t>
            </w:r>
          </w:p>
        </w:tc>
        <w:tc>
          <w:tcPr>
            <w:tcW w:w="1656" w:type="dxa"/>
            <w:tcBorders>
              <w:top w:val="nil"/>
              <w:left w:val="nil"/>
              <w:bottom w:val="nil"/>
              <w:right w:val="nil"/>
            </w:tcBorders>
          </w:tcPr>
          <w:p w14:paraId="7E0E85D4"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0.569</w:t>
            </w:r>
          </w:p>
        </w:tc>
        <w:tc>
          <w:tcPr>
            <w:tcW w:w="1656" w:type="dxa"/>
            <w:tcBorders>
              <w:top w:val="nil"/>
              <w:left w:val="nil"/>
              <w:bottom w:val="nil"/>
              <w:right w:val="nil"/>
            </w:tcBorders>
          </w:tcPr>
          <w:p w14:paraId="0E3118B2"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5.286</w:t>
            </w:r>
            <w:r w:rsidRPr="00F86166">
              <w:rPr>
                <w:rFonts w:ascii="Times New Roman" w:hAnsi="Times New Roman" w:cs="Times New Roman"/>
                <w:sz w:val="18"/>
                <w:szCs w:val="18"/>
                <w:vertAlign w:val="superscript"/>
              </w:rPr>
              <w:t>**</w:t>
            </w:r>
          </w:p>
        </w:tc>
      </w:tr>
      <w:tr w:rsidR="003D3DCA" w:rsidRPr="00F86166" w14:paraId="6ADA7255" w14:textId="77777777" w:rsidTr="00F16287">
        <w:tc>
          <w:tcPr>
            <w:tcW w:w="2136" w:type="dxa"/>
            <w:tcBorders>
              <w:top w:val="nil"/>
              <w:left w:val="nil"/>
              <w:bottom w:val="nil"/>
              <w:right w:val="nil"/>
            </w:tcBorders>
          </w:tcPr>
          <w:p w14:paraId="1AA1FD3D"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37CC162"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(-1.95)</w:t>
            </w:r>
          </w:p>
        </w:tc>
        <w:tc>
          <w:tcPr>
            <w:tcW w:w="1656" w:type="dxa"/>
            <w:tcBorders>
              <w:top w:val="nil"/>
              <w:left w:val="nil"/>
              <w:bottom w:val="nil"/>
              <w:right w:val="nil"/>
            </w:tcBorders>
          </w:tcPr>
          <w:p w14:paraId="7413BD9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(-0.06)</w:t>
            </w:r>
          </w:p>
        </w:tc>
        <w:tc>
          <w:tcPr>
            <w:tcW w:w="1656" w:type="dxa"/>
            <w:tcBorders>
              <w:top w:val="nil"/>
              <w:left w:val="nil"/>
              <w:bottom w:val="nil"/>
              <w:right w:val="nil"/>
            </w:tcBorders>
          </w:tcPr>
          <w:p w14:paraId="345D46C3"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(0.33)</w:t>
            </w:r>
          </w:p>
        </w:tc>
        <w:tc>
          <w:tcPr>
            <w:tcW w:w="1656" w:type="dxa"/>
            <w:tcBorders>
              <w:top w:val="nil"/>
              <w:left w:val="nil"/>
              <w:bottom w:val="nil"/>
              <w:right w:val="nil"/>
            </w:tcBorders>
          </w:tcPr>
          <w:p w14:paraId="797078E2"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(2.65)</w:t>
            </w:r>
          </w:p>
        </w:tc>
      </w:tr>
      <w:tr w:rsidR="003D3DCA" w:rsidRPr="00F86166" w14:paraId="327F3E83" w14:textId="77777777" w:rsidTr="00F16287">
        <w:tc>
          <w:tcPr>
            <w:tcW w:w="2136" w:type="dxa"/>
            <w:tcBorders>
              <w:top w:val="nil"/>
              <w:left w:val="nil"/>
              <w:bottom w:val="nil"/>
              <w:right w:val="nil"/>
            </w:tcBorders>
          </w:tcPr>
          <w:p w14:paraId="59610703"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A56D9B9"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0EB9407"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89ABA45"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2E8A7EF"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6C04DC66" w14:textId="77777777" w:rsidTr="00F16287">
        <w:tc>
          <w:tcPr>
            <w:tcW w:w="2136" w:type="dxa"/>
            <w:tcBorders>
              <w:top w:val="nil"/>
              <w:left w:val="nil"/>
              <w:bottom w:val="nil"/>
              <w:right w:val="nil"/>
            </w:tcBorders>
          </w:tcPr>
          <w:p w14:paraId="568DF465"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lang w:val="fr-BE"/>
              </w:rPr>
            </w:pPr>
            <w:r w:rsidRPr="00F86166">
              <w:rPr>
                <w:rFonts w:ascii="Times New Roman" w:hAnsi="Times New Roman" w:cs="Times New Roman"/>
                <w:sz w:val="18"/>
                <w:szCs w:val="18"/>
                <w:lang w:val="fr-BE"/>
              </w:rPr>
              <w:t>L9.De Jure CBI (CNW Index)</w:t>
            </w:r>
          </w:p>
        </w:tc>
        <w:tc>
          <w:tcPr>
            <w:tcW w:w="1656" w:type="dxa"/>
            <w:tcBorders>
              <w:top w:val="nil"/>
              <w:left w:val="nil"/>
              <w:bottom w:val="nil"/>
              <w:right w:val="nil"/>
            </w:tcBorders>
          </w:tcPr>
          <w:p w14:paraId="1EE59824"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0.815</w:t>
            </w:r>
          </w:p>
        </w:tc>
        <w:tc>
          <w:tcPr>
            <w:tcW w:w="1656" w:type="dxa"/>
            <w:tcBorders>
              <w:top w:val="nil"/>
              <w:left w:val="nil"/>
              <w:bottom w:val="nil"/>
              <w:right w:val="nil"/>
            </w:tcBorders>
          </w:tcPr>
          <w:p w14:paraId="690A618F"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2.408</w:t>
            </w:r>
          </w:p>
        </w:tc>
        <w:tc>
          <w:tcPr>
            <w:tcW w:w="1656" w:type="dxa"/>
            <w:tcBorders>
              <w:top w:val="nil"/>
              <w:left w:val="nil"/>
              <w:bottom w:val="nil"/>
              <w:right w:val="nil"/>
            </w:tcBorders>
          </w:tcPr>
          <w:p w14:paraId="4E4DABE6"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-1.964</w:t>
            </w:r>
          </w:p>
        </w:tc>
        <w:tc>
          <w:tcPr>
            <w:tcW w:w="1656" w:type="dxa"/>
            <w:tcBorders>
              <w:top w:val="nil"/>
              <w:left w:val="nil"/>
              <w:bottom w:val="nil"/>
              <w:right w:val="nil"/>
            </w:tcBorders>
          </w:tcPr>
          <w:p w14:paraId="14C8878D"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2.741</w:t>
            </w:r>
          </w:p>
        </w:tc>
      </w:tr>
      <w:tr w:rsidR="003D3DCA" w:rsidRPr="00F86166" w14:paraId="6FC0D889" w14:textId="77777777" w:rsidTr="00F16287">
        <w:tc>
          <w:tcPr>
            <w:tcW w:w="2136" w:type="dxa"/>
            <w:tcBorders>
              <w:top w:val="nil"/>
              <w:left w:val="nil"/>
              <w:bottom w:val="nil"/>
              <w:right w:val="nil"/>
            </w:tcBorders>
          </w:tcPr>
          <w:p w14:paraId="11882D65"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0422461"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(0.40)</w:t>
            </w:r>
          </w:p>
        </w:tc>
        <w:tc>
          <w:tcPr>
            <w:tcW w:w="1656" w:type="dxa"/>
            <w:tcBorders>
              <w:top w:val="nil"/>
              <w:left w:val="nil"/>
              <w:bottom w:val="nil"/>
              <w:right w:val="nil"/>
            </w:tcBorders>
          </w:tcPr>
          <w:p w14:paraId="747A68EA"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(1.13)</w:t>
            </w:r>
          </w:p>
        </w:tc>
        <w:tc>
          <w:tcPr>
            <w:tcW w:w="1656" w:type="dxa"/>
            <w:tcBorders>
              <w:top w:val="nil"/>
              <w:left w:val="nil"/>
              <w:bottom w:val="nil"/>
              <w:right w:val="nil"/>
            </w:tcBorders>
          </w:tcPr>
          <w:p w14:paraId="1717C462"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(-1.39)</w:t>
            </w:r>
          </w:p>
        </w:tc>
        <w:tc>
          <w:tcPr>
            <w:tcW w:w="1656" w:type="dxa"/>
            <w:tcBorders>
              <w:top w:val="nil"/>
              <w:left w:val="nil"/>
              <w:bottom w:val="nil"/>
              <w:right w:val="nil"/>
            </w:tcBorders>
          </w:tcPr>
          <w:p w14:paraId="05D5A252"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(1.67)</w:t>
            </w:r>
          </w:p>
        </w:tc>
      </w:tr>
      <w:tr w:rsidR="003D3DCA" w:rsidRPr="00F86166" w14:paraId="7DE4FEE1" w14:textId="77777777" w:rsidTr="00F16287">
        <w:tc>
          <w:tcPr>
            <w:tcW w:w="2136" w:type="dxa"/>
            <w:tcBorders>
              <w:top w:val="nil"/>
              <w:left w:val="nil"/>
              <w:bottom w:val="nil"/>
              <w:right w:val="nil"/>
            </w:tcBorders>
          </w:tcPr>
          <w:p w14:paraId="543FFB2D"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593CD7B"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23EC340"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CD52061"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747F092"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2E2F08D4" w14:textId="77777777" w:rsidTr="00F16287">
        <w:tc>
          <w:tcPr>
            <w:tcW w:w="2136" w:type="dxa"/>
            <w:tcBorders>
              <w:top w:val="nil"/>
              <w:left w:val="nil"/>
              <w:bottom w:val="nil"/>
              <w:right w:val="nil"/>
            </w:tcBorders>
          </w:tcPr>
          <w:p w14:paraId="551308E1"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lang w:val="fr-BE"/>
              </w:rPr>
            </w:pPr>
            <w:r w:rsidRPr="00F86166">
              <w:rPr>
                <w:rFonts w:ascii="Times New Roman" w:hAnsi="Times New Roman" w:cs="Times New Roman"/>
                <w:sz w:val="18"/>
                <w:szCs w:val="18"/>
                <w:lang w:val="fr-BE"/>
              </w:rPr>
              <w:t>L10.De Jure CBI (CNW Index)</w:t>
            </w:r>
          </w:p>
        </w:tc>
        <w:tc>
          <w:tcPr>
            <w:tcW w:w="1656" w:type="dxa"/>
            <w:tcBorders>
              <w:top w:val="nil"/>
              <w:left w:val="nil"/>
              <w:bottom w:val="nil"/>
              <w:right w:val="nil"/>
            </w:tcBorders>
          </w:tcPr>
          <w:p w14:paraId="5648856A"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1.485</w:t>
            </w:r>
          </w:p>
        </w:tc>
        <w:tc>
          <w:tcPr>
            <w:tcW w:w="1656" w:type="dxa"/>
            <w:tcBorders>
              <w:top w:val="nil"/>
              <w:left w:val="nil"/>
              <w:bottom w:val="nil"/>
              <w:right w:val="nil"/>
            </w:tcBorders>
          </w:tcPr>
          <w:p w14:paraId="37332001"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-1.321</w:t>
            </w:r>
          </w:p>
        </w:tc>
        <w:tc>
          <w:tcPr>
            <w:tcW w:w="1656" w:type="dxa"/>
            <w:tcBorders>
              <w:top w:val="nil"/>
              <w:left w:val="nil"/>
              <w:bottom w:val="nil"/>
              <w:right w:val="nil"/>
            </w:tcBorders>
          </w:tcPr>
          <w:p w14:paraId="3F5FA0CD"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0.359</w:t>
            </w:r>
          </w:p>
        </w:tc>
        <w:tc>
          <w:tcPr>
            <w:tcW w:w="1656" w:type="dxa"/>
            <w:tcBorders>
              <w:top w:val="nil"/>
              <w:left w:val="nil"/>
              <w:bottom w:val="nil"/>
              <w:right w:val="nil"/>
            </w:tcBorders>
          </w:tcPr>
          <w:p w14:paraId="52A8BB8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-0.0426</w:t>
            </w:r>
          </w:p>
        </w:tc>
      </w:tr>
      <w:tr w:rsidR="003D3DCA" w:rsidRPr="00F86166" w14:paraId="39559383" w14:textId="77777777" w:rsidTr="00F16287">
        <w:tc>
          <w:tcPr>
            <w:tcW w:w="2136" w:type="dxa"/>
            <w:tcBorders>
              <w:top w:val="nil"/>
              <w:left w:val="nil"/>
              <w:bottom w:val="nil"/>
              <w:right w:val="nil"/>
            </w:tcBorders>
          </w:tcPr>
          <w:p w14:paraId="5D727E3D"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C61C01B"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(1.12)</w:t>
            </w:r>
          </w:p>
        </w:tc>
        <w:tc>
          <w:tcPr>
            <w:tcW w:w="1656" w:type="dxa"/>
            <w:tcBorders>
              <w:top w:val="nil"/>
              <w:left w:val="nil"/>
              <w:bottom w:val="nil"/>
              <w:right w:val="nil"/>
            </w:tcBorders>
          </w:tcPr>
          <w:p w14:paraId="1D138C66"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(-0.95)</w:t>
            </w:r>
          </w:p>
        </w:tc>
        <w:tc>
          <w:tcPr>
            <w:tcW w:w="1656" w:type="dxa"/>
            <w:tcBorders>
              <w:top w:val="nil"/>
              <w:left w:val="nil"/>
              <w:bottom w:val="nil"/>
              <w:right w:val="nil"/>
            </w:tcBorders>
          </w:tcPr>
          <w:p w14:paraId="11FDEE90"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(0.35)</w:t>
            </w:r>
          </w:p>
        </w:tc>
        <w:tc>
          <w:tcPr>
            <w:tcW w:w="1656" w:type="dxa"/>
            <w:tcBorders>
              <w:top w:val="nil"/>
              <w:left w:val="nil"/>
              <w:bottom w:val="nil"/>
              <w:right w:val="nil"/>
            </w:tcBorders>
          </w:tcPr>
          <w:p w14:paraId="55B5C50E"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(-0.02)</w:t>
            </w:r>
          </w:p>
        </w:tc>
      </w:tr>
      <w:tr w:rsidR="003D3DCA" w:rsidRPr="00F86166" w14:paraId="275A9A85" w14:textId="77777777" w:rsidTr="00F16287">
        <w:tc>
          <w:tcPr>
            <w:tcW w:w="2136" w:type="dxa"/>
            <w:tcBorders>
              <w:top w:val="nil"/>
              <w:left w:val="nil"/>
              <w:bottom w:val="nil"/>
              <w:right w:val="nil"/>
            </w:tcBorders>
          </w:tcPr>
          <w:p w14:paraId="2308D1DF"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4682437"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A422167"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6085AEF"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9957FF4"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45B42C35" w14:textId="77777777" w:rsidTr="00F16287">
        <w:tc>
          <w:tcPr>
            <w:tcW w:w="2136" w:type="dxa"/>
            <w:tcBorders>
              <w:top w:val="nil"/>
              <w:left w:val="nil"/>
              <w:bottom w:val="nil"/>
              <w:right w:val="nil"/>
            </w:tcBorders>
          </w:tcPr>
          <w:p w14:paraId="59E6A2DA"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roofErr w:type="spellStart"/>
            <w:r w:rsidRPr="00F86166">
              <w:rPr>
                <w:rFonts w:ascii="Times New Roman" w:hAnsi="Times New Roman" w:cs="Times New Roman"/>
                <w:sz w:val="18"/>
                <w:szCs w:val="18"/>
              </w:rPr>
              <w:t>L.Exchange</w:t>
            </w:r>
            <w:proofErr w:type="spellEnd"/>
            <w:r w:rsidRPr="00F86166">
              <w:rPr>
                <w:rFonts w:ascii="Times New Roman" w:hAnsi="Times New Roman" w:cs="Times New Roman"/>
                <w:sz w:val="18"/>
                <w:szCs w:val="18"/>
              </w:rPr>
              <w:t xml:space="preserve"> Rate </w:t>
            </w:r>
            <w:r w:rsidRPr="00F86166">
              <w:rPr>
                <w:rFonts w:ascii="Times New Roman" w:hAnsi="Times New Roman" w:cs="Times New Roman"/>
                <w:sz w:val="18"/>
                <w:szCs w:val="18"/>
              </w:rPr>
              <w:lastRenderedPageBreak/>
              <w:t>Classification (RR inverted, higher = more fixed)</w:t>
            </w:r>
          </w:p>
        </w:tc>
        <w:tc>
          <w:tcPr>
            <w:tcW w:w="1656" w:type="dxa"/>
            <w:tcBorders>
              <w:top w:val="nil"/>
              <w:left w:val="nil"/>
              <w:bottom w:val="nil"/>
              <w:right w:val="nil"/>
            </w:tcBorders>
          </w:tcPr>
          <w:p w14:paraId="00026A6D"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lastRenderedPageBreak/>
              <w:t>0.0809</w:t>
            </w:r>
          </w:p>
        </w:tc>
        <w:tc>
          <w:tcPr>
            <w:tcW w:w="1656" w:type="dxa"/>
            <w:tcBorders>
              <w:top w:val="nil"/>
              <w:left w:val="nil"/>
              <w:bottom w:val="nil"/>
              <w:right w:val="nil"/>
            </w:tcBorders>
          </w:tcPr>
          <w:p w14:paraId="77B99A48"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0.109</w:t>
            </w:r>
          </w:p>
        </w:tc>
        <w:tc>
          <w:tcPr>
            <w:tcW w:w="1656" w:type="dxa"/>
            <w:tcBorders>
              <w:top w:val="nil"/>
              <w:left w:val="nil"/>
              <w:bottom w:val="nil"/>
              <w:right w:val="nil"/>
            </w:tcBorders>
          </w:tcPr>
          <w:p w14:paraId="2660AF53"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-0.0100</w:t>
            </w:r>
          </w:p>
        </w:tc>
        <w:tc>
          <w:tcPr>
            <w:tcW w:w="1656" w:type="dxa"/>
            <w:tcBorders>
              <w:top w:val="nil"/>
              <w:left w:val="nil"/>
              <w:bottom w:val="nil"/>
              <w:right w:val="nil"/>
            </w:tcBorders>
          </w:tcPr>
          <w:p w14:paraId="6632CB75"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0.0244</w:t>
            </w:r>
          </w:p>
        </w:tc>
      </w:tr>
      <w:tr w:rsidR="003D3DCA" w:rsidRPr="00F86166" w14:paraId="7EFAA03B" w14:textId="77777777" w:rsidTr="00F16287">
        <w:tc>
          <w:tcPr>
            <w:tcW w:w="2136" w:type="dxa"/>
            <w:tcBorders>
              <w:top w:val="nil"/>
              <w:left w:val="nil"/>
              <w:bottom w:val="nil"/>
              <w:right w:val="nil"/>
            </w:tcBorders>
          </w:tcPr>
          <w:p w14:paraId="2C10CBE4"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B6AAD1E"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(1.00)</w:t>
            </w:r>
          </w:p>
        </w:tc>
        <w:tc>
          <w:tcPr>
            <w:tcW w:w="1656" w:type="dxa"/>
            <w:tcBorders>
              <w:top w:val="nil"/>
              <w:left w:val="nil"/>
              <w:bottom w:val="nil"/>
              <w:right w:val="nil"/>
            </w:tcBorders>
          </w:tcPr>
          <w:p w14:paraId="66800FB8"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(1.04)</w:t>
            </w:r>
          </w:p>
        </w:tc>
        <w:tc>
          <w:tcPr>
            <w:tcW w:w="1656" w:type="dxa"/>
            <w:tcBorders>
              <w:top w:val="nil"/>
              <w:left w:val="nil"/>
              <w:bottom w:val="nil"/>
              <w:right w:val="nil"/>
            </w:tcBorders>
          </w:tcPr>
          <w:p w14:paraId="59E7EC0B"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(-0.16)</w:t>
            </w:r>
          </w:p>
        </w:tc>
        <w:tc>
          <w:tcPr>
            <w:tcW w:w="1656" w:type="dxa"/>
            <w:tcBorders>
              <w:top w:val="nil"/>
              <w:left w:val="nil"/>
              <w:bottom w:val="nil"/>
              <w:right w:val="nil"/>
            </w:tcBorders>
          </w:tcPr>
          <w:p w14:paraId="315758E9"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(1.23)</w:t>
            </w:r>
          </w:p>
        </w:tc>
      </w:tr>
      <w:tr w:rsidR="003D3DCA" w:rsidRPr="00F86166" w14:paraId="503E74B3" w14:textId="77777777" w:rsidTr="00F16287">
        <w:tc>
          <w:tcPr>
            <w:tcW w:w="2136" w:type="dxa"/>
            <w:tcBorders>
              <w:top w:val="nil"/>
              <w:left w:val="nil"/>
              <w:bottom w:val="nil"/>
              <w:right w:val="nil"/>
            </w:tcBorders>
          </w:tcPr>
          <w:p w14:paraId="6FE20379"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CAC2587"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3288D87"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5CA3395"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929B62A"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707DCE95" w14:textId="77777777" w:rsidTr="00F16287">
        <w:tc>
          <w:tcPr>
            <w:tcW w:w="2136" w:type="dxa"/>
            <w:tcBorders>
              <w:top w:val="nil"/>
              <w:left w:val="nil"/>
              <w:bottom w:val="nil"/>
              <w:right w:val="nil"/>
            </w:tcBorders>
          </w:tcPr>
          <w:p w14:paraId="070FD238"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L2.Exchange Rate Classification (RR inverted, higher = more fixed)</w:t>
            </w:r>
          </w:p>
        </w:tc>
        <w:tc>
          <w:tcPr>
            <w:tcW w:w="1656" w:type="dxa"/>
            <w:tcBorders>
              <w:top w:val="nil"/>
              <w:left w:val="nil"/>
              <w:bottom w:val="nil"/>
              <w:right w:val="nil"/>
            </w:tcBorders>
          </w:tcPr>
          <w:p w14:paraId="050063FF"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-0.0505</w:t>
            </w:r>
          </w:p>
        </w:tc>
        <w:tc>
          <w:tcPr>
            <w:tcW w:w="1656" w:type="dxa"/>
            <w:tcBorders>
              <w:top w:val="nil"/>
              <w:left w:val="nil"/>
              <w:bottom w:val="nil"/>
              <w:right w:val="nil"/>
            </w:tcBorders>
          </w:tcPr>
          <w:p w14:paraId="7B08E335"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-0.0870</w:t>
            </w:r>
          </w:p>
        </w:tc>
        <w:tc>
          <w:tcPr>
            <w:tcW w:w="1656" w:type="dxa"/>
            <w:tcBorders>
              <w:top w:val="nil"/>
              <w:left w:val="nil"/>
              <w:bottom w:val="nil"/>
              <w:right w:val="nil"/>
            </w:tcBorders>
          </w:tcPr>
          <w:p w14:paraId="1F01639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0.0286</w:t>
            </w:r>
          </w:p>
        </w:tc>
        <w:tc>
          <w:tcPr>
            <w:tcW w:w="1656" w:type="dxa"/>
            <w:tcBorders>
              <w:top w:val="nil"/>
              <w:left w:val="nil"/>
              <w:bottom w:val="nil"/>
              <w:right w:val="nil"/>
            </w:tcBorders>
          </w:tcPr>
          <w:p w14:paraId="13564ABC"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0.0185</w:t>
            </w:r>
          </w:p>
        </w:tc>
      </w:tr>
      <w:tr w:rsidR="003D3DCA" w:rsidRPr="00F86166" w14:paraId="06E9E63D" w14:textId="77777777" w:rsidTr="00F16287">
        <w:tc>
          <w:tcPr>
            <w:tcW w:w="2136" w:type="dxa"/>
            <w:tcBorders>
              <w:top w:val="nil"/>
              <w:left w:val="nil"/>
              <w:bottom w:val="nil"/>
              <w:right w:val="nil"/>
            </w:tcBorders>
          </w:tcPr>
          <w:p w14:paraId="256B247D"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A639AB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(-0.79)</w:t>
            </w:r>
          </w:p>
        </w:tc>
        <w:tc>
          <w:tcPr>
            <w:tcW w:w="1656" w:type="dxa"/>
            <w:tcBorders>
              <w:top w:val="nil"/>
              <w:left w:val="nil"/>
              <w:bottom w:val="nil"/>
              <w:right w:val="nil"/>
            </w:tcBorders>
          </w:tcPr>
          <w:p w14:paraId="7A332702"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(-1.15)</w:t>
            </w:r>
          </w:p>
        </w:tc>
        <w:tc>
          <w:tcPr>
            <w:tcW w:w="1656" w:type="dxa"/>
            <w:tcBorders>
              <w:top w:val="nil"/>
              <w:left w:val="nil"/>
              <w:bottom w:val="nil"/>
              <w:right w:val="nil"/>
            </w:tcBorders>
          </w:tcPr>
          <w:p w14:paraId="176C715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(0.63)</w:t>
            </w:r>
          </w:p>
        </w:tc>
        <w:tc>
          <w:tcPr>
            <w:tcW w:w="1656" w:type="dxa"/>
            <w:tcBorders>
              <w:top w:val="nil"/>
              <w:left w:val="nil"/>
              <w:bottom w:val="nil"/>
              <w:right w:val="nil"/>
            </w:tcBorders>
          </w:tcPr>
          <w:p w14:paraId="3644C29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(0.60)</w:t>
            </w:r>
          </w:p>
        </w:tc>
      </w:tr>
      <w:tr w:rsidR="003D3DCA" w:rsidRPr="00F86166" w14:paraId="1D51AFD2" w14:textId="77777777" w:rsidTr="00F16287">
        <w:tc>
          <w:tcPr>
            <w:tcW w:w="2136" w:type="dxa"/>
            <w:tcBorders>
              <w:top w:val="nil"/>
              <w:left w:val="nil"/>
              <w:bottom w:val="nil"/>
              <w:right w:val="nil"/>
            </w:tcBorders>
          </w:tcPr>
          <w:p w14:paraId="56325B4B"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4E541BB"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A179BF1"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6C653CE"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189C4DB"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51A5122A" w14:textId="77777777" w:rsidTr="00F16287">
        <w:tc>
          <w:tcPr>
            <w:tcW w:w="2136" w:type="dxa"/>
            <w:tcBorders>
              <w:top w:val="nil"/>
              <w:left w:val="nil"/>
              <w:bottom w:val="nil"/>
              <w:right w:val="nil"/>
            </w:tcBorders>
          </w:tcPr>
          <w:p w14:paraId="61D2CFD9"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L3.Exchange Rate Classification (RR inverted, higher = more fixed)</w:t>
            </w:r>
          </w:p>
        </w:tc>
        <w:tc>
          <w:tcPr>
            <w:tcW w:w="1656" w:type="dxa"/>
            <w:tcBorders>
              <w:top w:val="nil"/>
              <w:left w:val="nil"/>
              <w:bottom w:val="nil"/>
              <w:right w:val="nil"/>
            </w:tcBorders>
          </w:tcPr>
          <w:p w14:paraId="6F7CA4E3"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0.0185</w:t>
            </w:r>
          </w:p>
        </w:tc>
        <w:tc>
          <w:tcPr>
            <w:tcW w:w="1656" w:type="dxa"/>
            <w:tcBorders>
              <w:top w:val="nil"/>
              <w:left w:val="nil"/>
              <w:bottom w:val="nil"/>
              <w:right w:val="nil"/>
            </w:tcBorders>
          </w:tcPr>
          <w:p w14:paraId="1BCE93F3"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0.0162</w:t>
            </w:r>
          </w:p>
        </w:tc>
        <w:tc>
          <w:tcPr>
            <w:tcW w:w="1656" w:type="dxa"/>
            <w:tcBorders>
              <w:top w:val="nil"/>
              <w:left w:val="nil"/>
              <w:bottom w:val="nil"/>
              <w:right w:val="nil"/>
            </w:tcBorders>
          </w:tcPr>
          <w:p w14:paraId="5F0E91F0"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-0.0194</w:t>
            </w:r>
          </w:p>
        </w:tc>
        <w:tc>
          <w:tcPr>
            <w:tcW w:w="1656" w:type="dxa"/>
            <w:tcBorders>
              <w:top w:val="nil"/>
              <w:left w:val="nil"/>
              <w:bottom w:val="nil"/>
              <w:right w:val="nil"/>
            </w:tcBorders>
          </w:tcPr>
          <w:p w14:paraId="4D019B06"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-0.0624</w:t>
            </w:r>
          </w:p>
        </w:tc>
      </w:tr>
      <w:tr w:rsidR="003D3DCA" w:rsidRPr="00F86166" w14:paraId="3C261639" w14:textId="77777777" w:rsidTr="00F16287">
        <w:tc>
          <w:tcPr>
            <w:tcW w:w="2136" w:type="dxa"/>
            <w:tcBorders>
              <w:top w:val="nil"/>
              <w:left w:val="nil"/>
              <w:bottom w:val="nil"/>
              <w:right w:val="nil"/>
            </w:tcBorders>
          </w:tcPr>
          <w:p w14:paraId="44B6BF0E"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1CC6835"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(0.30)</w:t>
            </w:r>
          </w:p>
        </w:tc>
        <w:tc>
          <w:tcPr>
            <w:tcW w:w="1656" w:type="dxa"/>
            <w:tcBorders>
              <w:top w:val="nil"/>
              <w:left w:val="nil"/>
              <w:bottom w:val="nil"/>
              <w:right w:val="nil"/>
            </w:tcBorders>
          </w:tcPr>
          <w:p w14:paraId="09C69738"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(0.20)</w:t>
            </w:r>
          </w:p>
        </w:tc>
        <w:tc>
          <w:tcPr>
            <w:tcW w:w="1656" w:type="dxa"/>
            <w:tcBorders>
              <w:top w:val="nil"/>
              <w:left w:val="nil"/>
              <w:bottom w:val="nil"/>
              <w:right w:val="nil"/>
            </w:tcBorders>
          </w:tcPr>
          <w:p w14:paraId="22A3EA48"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(-0.31)</w:t>
            </w:r>
          </w:p>
        </w:tc>
        <w:tc>
          <w:tcPr>
            <w:tcW w:w="1656" w:type="dxa"/>
            <w:tcBorders>
              <w:top w:val="nil"/>
              <w:left w:val="nil"/>
              <w:bottom w:val="nil"/>
              <w:right w:val="nil"/>
            </w:tcBorders>
          </w:tcPr>
          <w:p w14:paraId="055F82B5"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(-1.59)</w:t>
            </w:r>
          </w:p>
        </w:tc>
      </w:tr>
      <w:tr w:rsidR="003D3DCA" w:rsidRPr="00F86166" w14:paraId="0BAE357E" w14:textId="77777777" w:rsidTr="00F16287">
        <w:tc>
          <w:tcPr>
            <w:tcW w:w="2136" w:type="dxa"/>
            <w:tcBorders>
              <w:top w:val="nil"/>
              <w:left w:val="nil"/>
              <w:bottom w:val="nil"/>
              <w:right w:val="nil"/>
            </w:tcBorders>
          </w:tcPr>
          <w:p w14:paraId="1C2F5297"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E802213"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4A82E15"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2FCCD24"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756E579"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6F9E3A15" w14:textId="77777777" w:rsidTr="00F16287">
        <w:tc>
          <w:tcPr>
            <w:tcW w:w="2136" w:type="dxa"/>
            <w:tcBorders>
              <w:top w:val="nil"/>
              <w:left w:val="nil"/>
              <w:bottom w:val="nil"/>
              <w:right w:val="nil"/>
            </w:tcBorders>
          </w:tcPr>
          <w:p w14:paraId="3546D0C8"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L4.Exchange Rate Classification (RR inverted, higher = more fixed)</w:t>
            </w:r>
          </w:p>
        </w:tc>
        <w:tc>
          <w:tcPr>
            <w:tcW w:w="1656" w:type="dxa"/>
            <w:tcBorders>
              <w:top w:val="nil"/>
              <w:left w:val="nil"/>
              <w:bottom w:val="nil"/>
              <w:right w:val="nil"/>
            </w:tcBorders>
          </w:tcPr>
          <w:p w14:paraId="78C4505C"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0.0699</w:t>
            </w:r>
          </w:p>
        </w:tc>
        <w:tc>
          <w:tcPr>
            <w:tcW w:w="1656" w:type="dxa"/>
            <w:tcBorders>
              <w:top w:val="nil"/>
              <w:left w:val="nil"/>
              <w:bottom w:val="nil"/>
              <w:right w:val="nil"/>
            </w:tcBorders>
          </w:tcPr>
          <w:p w14:paraId="1E4BD31C"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0.0998</w:t>
            </w:r>
          </w:p>
        </w:tc>
        <w:tc>
          <w:tcPr>
            <w:tcW w:w="1656" w:type="dxa"/>
            <w:tcBorders>
              <w:top w:val="nil"/>
              <w:left w:val="nil"/>
              <w:bottom w:val="nil"/>
              <w:right w:val="nil"/>
            </w:tcBorders>
          </w:tcPr>
          <w:p w14:paraId="5DEE8C0C"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0.0149</w:t>
            </w:r>
          </w:p>
        </w:tc>
        <w:tc>
          <w:tcPr>
            <w:tcW w:w="1656" w:type="dxa"/>
            <w:tcBorders>
              <w:top w:val="nil"/>
              <w:left w:val="nil"/>
              <w:bottom w:val="nil"/>
              <w:right w:val="nil"/>
            </w:tcBorders>
          </w:tcPr>
          <w:p w14:paraId="237F8F03"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-0.0382</w:t>
            </w:r>
          </w:p>
        </w:tc>
      </w:tr>
      <w:tr w:rsidR="003D3DCA" w:rsidRPr="00F86166" w14:paraId="048EFA51" w14:textId="77777777" w:rsidTr="00F16287">
        <w:tc>
          <w:tcPr>
            <w:tcW w:w="2136" w:type="dxa"/>
            <w:tcBorders>
              <w:top w:val="nil"/>
              <w:left w:val="nil"/>
              <w:bottom w:val="nil"/>
              <w:right w:val="nil"/>
            </w:tcBorders>
          </w:tcPr>
          <w:p w14:paraId="24272939"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D653146"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(1.14)</w:t>
            </w:r>
          </w:p>
        </w:tc>
        <w:tc>
          <w:tcPr>
            <w:tcW w:w="1656" w:type="dxa"/>
            <w:tcBorders>
              <w:top w:val="nil"/>
              <w:left w:val="nil"/>
              <w:bottom w:val="nil"/>
              <w:right w:val="nil"/>
            </w:tcBorders>
          </w:tcPr>
          <w:p w14:paraId="7E1FFB6E"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(1.18)</w:t>
            </w:r>
          </w:p>
        </w:tc>
        <w:tc>
          <w:tcPr>
            <w:tcW w:w="1656" w:type="dxa"/>
            <w:tcBorders>
              <w:top w:val="nil"/>
              <w:left w:val="nil"/>
              <w:bottom w:val="nil"/>
              <w:right w:val="nil"/>
            </w:tcBorders>
          </w:tcPr>
          <w:p w14:paraId="2BFDA339"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(0.30)</w:t>
            </w:r>
          </w:p>
        </w:tc>
        <w:tc>
          <w:tcPr>
            <w:tcW w:w="1656" w:type="dxa"/>
            <w:tcBorders>
              <w:top w:val="nil"/>
              <w:left w:val="nil"/>
              <w:bottom w:val="nil"/>
              <w:right w:val="nil"/>
            </w:tcBorders>
          </w:tcPr>
          <w:p w14:paraId="3C6B89B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(-1.29)</w:t>
            </w:r>
          </w:p>
        </w:tc>
      </w:tr>
      <w:tr w:rsidR="003D3DCA" w:rsidRPr="00F86166" w14:paraId="73CFC056" w14:textId="77777777" w:rsidTr="00F16287">
        <w:tc>
          <w:tcPr>
            <w:tcW w:w="2136" w:type="dxa"/>
            <w:tcBorders>
              <w:top w:val="nil"/>
              <w:left w:val="nil"/>
              <w:bottom w:val="nil"/>
              <w:right w:val="nil"/>
            </w:tcBorders>
          </w:tcPr>
          <w:p w14:paraId="7C2597D1"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93E1513"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DBB6652"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951519F"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FB52816"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0BA74F92" w14:textId="77777777" w:rsidTr="00F16287">
        <w:tc>
          <w:tcPr>
            <w:tcW w:w="2136" w:type="dxa"/>
            <w:tcBorders>
              <w:top w:val="nil"/>
              <w:left w:val="nil"/>
              <w:bottom w:val="nil"/>
              <w:right w:val="nil"/>
            </w:tcBorders>
          </w:tcPr>
          <w:p w14:paraId="0412961C"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L5.Exchange Rate Classification (RR inverted, higher = more fixed)</w:t>
            </w:r>
          </w:p>
        </w:tc>
        <w:tc>
          <w:tcPr>
            <w:tcW w:w="1656" w:type="dxa"/>
            <w:tcBorders>
              <w:top w:val="nil"/>
              <w:left w:val="nil"/>
              <w:bottom w:val="nil"/>
              <w:right w:val="nil"/>
            </w:tcBorders>
          </w:tcPr>
          <w:p w14:paraId="5815752E"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-0.0793</w:t>
            </w:r>
          </w:p>
        </w:tc>
        <w:tc>
          <w:tcPr>
            <w:tcW w:w="1656" w:type="dxa"/>
            <w:tcBorders>
              <w:top w:val="nil"/>
              <w:left w:val="nil"/>
              <w:bottom w:val="nil"/>
              <w:right w:val="nil"/>
            </w:tcBorders>
          </w:tcPr>
          <w:p w14:paraId="4A3D4AB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-0.0761</w:t>
            </w:r>
          </w:p>
        </w:tc>
        <w:tc>
          <w:tcPr>
            <w:tcW w:w="1656" w:type="dxa"/>
            <w:tcBorders>
              <w:top w:val="nil"/>
              <w:left w:val="nil"/>
              <w:bottom w:val="nil"/>
              <w:right w:val="nil"/>
            </w:tcBorders>
          </w:tcPr>
          <w:p w14:paraId="2C6822A0"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0.0495</w:t>
            </w:r>
          </w:p>
        </w:tc>
        <w:tc>
          <w:tcPr>
            <w:tcW w:w="1656" w:type="dxa"/>
            <w:tcBorders>
              <w:top w:val="nil"/>
              <w:left w:val="nil"/>
              <w:bottom w:val="nil"/>
              <w:right w:val="nil"/>
            </w:tcBorders>
          </w:tcPr>
          <w:p w14:paraId="32052D4A"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0.0397</w:t>
            </w:r>
          </w:p>
        </w:tc>
      </w:tr>
      <w:tr w:rsidR="003D3DCA" w:rsidRPr="00F86166" w14:paraId="747F175B" w14:textId="77777777" w:rsidTr="00F16287">
        <w:tc>
          <w:tcPr>
            <w:tcW w:w="2136" w:type="dxa"/>
            <w:tcBorders>
              <w:top w:val="nil"/>
              <w:left w:val="nil"/>
              <w:bottom w:val="nil"/>
              <w:right w:val="nil"/>
            </w:tcBorders>
          </w:tcPr>
          <w:p w14:paraId="2CA445CB"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516479A"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(-1.63)</w:t>
            </w:r>
          </w:p>
        </w:tc>
        <w:tc>
          <w:tcPr>
            <w:tcW w:w="1656" w:type="dxa"/>
            <w:tcBorders>
              <w:top w:val="nil"/>
              <w:left w:val="nil"/>
              <w:bottom w:val="nil"/>
              <w:right w:val="nil"/>
            </w:tcBorders>
          </w:tcPr>
          <w:p w14:paraId="32C5A408"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(-1.09)</w:t>
            </w:r>
          </w:p>
        </w:tc>
        <w:tc>
          <w:tcPr>
            <w:tcW w:w="1656" w:type="dxa"/>
            <w:tcBorders>
              <w:top w:val="nil"/>
              <w:left w:val="nil"/>
              <w:bottom w:val="nil"/>
              <w:right w:val="nil"/>
            </w:tcBorders>
          </w:tcPr>
          <w:p w14:paraId="63328C83"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(0.97)</w:t>
            </w:r>
          </w:p>
        </w:tc>
        <w:tc>
          <w:tcPr>
            <w:tcW w:w="1656" w:type="dxa"/>
            <w:tcBorders>
              <w:top w:val="nil"/>
              <w:left w:val="nil"/>
              <w:bottom w:val="nil"/>
              <w:right w:val="nil"/>
            </w:tcBorders>
          </w:tcPr>
          <w:p w14:paraId="254573FA"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(1.55)</w:t>
            </w:r>
          </w:p>
        </w:tc>
      </w:tr>
      <w:tr w:rsidR="003D3DCA" w:rsidRPr="00F86166" w14:paraId="673155DE" w14:textId="77777777" w:rsidTr="00F16287">
        <w:tc>
          <w:tcPr>
            <w:tcW w:w="2136" w:type="dxa"/>
            <w:tcBorders>
              <w:top w:val="nil"/>
              <w:left w:val="nil"/>
              <w:bottom w:val="nil"/>
              <w:right w:val="nil"/>
            </w:tcBorders>
          </w:tcPr>
          <w:p w14:paraId="4AB00095"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D133E27"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64438D5"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24514FA"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F428D3D"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2D1CE9CA" w14:textId="77777777" w:rsidTr="00F16287">
        <w:tc>
          <w:tcPr>
            <w:tcW w:w="2136" w:type="dxa"/>
            <w:tcBorders>
              <w:top w:val="nil"/>
              <w:left w:val="nil"/>
              <w:bottom w:val="nil"/>
              <w:right w:val="nil"/>
            </w:tcBorders>
          </w:tcPr>
          <w:p w14:paraId="6AB81776"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L6.Exchange Rate Classification (RR inverted, higher = more fixed)</w:t>
            </w:r>
          </w:p>
        </w:tc>
        <w:tc>
          <w:tcPr>
            <w:tcW w:w="1656" w:type="dxa"/>
            <w:tcBorders>
              <w:top w:val="nil"/>
              <w:left w:val="nil"/>
              <w:bottom w:val="nil"/>
              <w:right w:val="nil"/>
            </w:tcBorders>
          </w:tcPr>
          <w:p w14:paraId="336906B3"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0.0122</w:t>
            </w:r>
          </w:p>
        </w:tc>
        <w:tc>
          <w:tcPr>
            <w:tcW w:w="1656" w:type="dxa"/>
            <w:tcBorders>
              <w:top w:val="nil"/>
              <w:left w:val="nil"/>
              <w:bottom w:val="nil"/>
              <w:right w:val="nil"/>
            </w:tcBorders>
          </w:tcPr>
          <w:p w14:paraId="5F32CC0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-0.0305</w:t>
            </w:r>
          </w:p>
        </w:tc>
        <w:tc>
          <w:tcPr>
            <w:tcW w:w="1656" w:type="dxa"/>
            <w:tcBorders>
              <w:top w:val="nil"/>
              <w:left w:val="nil"/>
              <w:bottom w:val="nil"/>
              <w:right w:val="nil"/>
            </w:tcBorders>
          </w:tcPr>
          <w:p w14:paraId="3ACA21ED"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-0.0564</w:t>
            </w:r>
          </w:p>
        </w:tc>
        <w:tc>
          <w:tcPr>
            <w:tcW w:w="1656" w:type="dxa"/>
            <w:tcBorders>
              <w:top w:val="nil"/>
              <w:left w:val="nil"/>
              <w:bottom w:val="nil"/>
              <w:right w:val="nil"/>
            </w:tcBorders>
          </w:tcPr>
          <w:p w14:paraId="778464D3"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0.0119</w:t>
            </w:r>
          </w:p>
        </w:tc>
      </w:tr>
      <w:tr w:rsidR="003D3DCA" w:rsidRPr="00F86166" w14:paraId="1B03CCA6" w14:textId="77777777" w:rsidTr="00F16287">
        <w:tc>
          <w:tcPr>
            <w:tcW w:w="2136" w:type="dxa"/>
            <w:tcBorders>
              <w:top w:val="nil"/>
              <w:left w:val="nil"/>
              <w:bottom w:val="nil"/>
              <w:right w:val="nil"/>
            </w:tcBorders>
          </w:tcPr>
          <w:p w14:paraId="4941BD07"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9FD9CCA"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(0.25)</w:t>
            </w:r>
          </w:p>
        </w:tc>
        <w:tc>
          <w:tcPr>
            <w:tcW w:w="1656" w:type="dxa"/>
            <w:tcBorders>
              <w:top w:val="nil"/>
              <w:left w:val="nil"/>
              <w:bottom w:val="nil"/>
              <w:right w:val="nil"/>
            </w:tcBorders>
          </w:tcPr>
          <w:p w14:paraId="1174FD21"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(-0.49)</w:t>
            </w:r>
          </w:p>
        </w:tc>
        <w:tc>
          <w:tcPr>
            <w:tcW w:w="1656" w:type="dxa"/>
            <w:tcBorders>
              <w:top w:val="nil"/>
              <w:left w:val="nil"/>
              <w:bottom w:val="nil"/>
              <w:right w:val="nil"/>
            </w:tcBorders>
          </w:tcPr>
          <w:p w14:paraId="501F8552"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(-0.97)</w:t>
            </w:r>
          </w:p>
        </w:tc>
        <w:tc>
          <w:tcPr>
            <w:tcW w:w="1656" w:type="dxa"/>
            <w:tcBorders>
              <w:top w:val="nil"/>
              <w:left w:val="nil"/>
              <w:bottom w:val="nil"/>
              <w:right w:val="nil"/>
            </w:tcBorders>
          </w:tcPr>
          <w:p w14:paraId="644A8CAE"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(0.49)</w:t>
            </w:r>
          </w:p>
        </w:tc>
      </w:tr>
      <w:tr w:rsidR="003D3DCA" w:rsidRPr="00F86166" w14:paraId="497D9222" w14:textId="77777777" w:rsidTr="00F16287">
        <w:tc>
          <w:tcPr>
            <w:tcW w:w="2136" w:type="dxa"/>
            <w:tcBorders>
              <w:top w:val="nil"/>
              <w:left w:val="nil"/>
              <w:bottom w:val="nil"/>
              <w:right w:val="nil"/>
            </w:tcBorders>
          </w:tcPr>
          <w:p w14:paraId="7BCEC32F"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622DBD5"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2585AA9"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29AEEE5"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CCB9771"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3FC5CECC" w14:textId="77777777" w:rsidTr="00F16287">
        <w:tc>
          <w:tcPr>
            <w:tcW w:w="2136" w:type="dxa"/>
            <w:tcBorders>
              <w:top w:val="nil"/>
              <w:left w:val="nil"/>
              <w:bottom w:val="nil"/>
              <w:right w:val="nil"/>
            </w:tcBorders>
          </w:tcPr>
          <w:p w14:paraId="715BF226"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L7.Exchange Rate Classification (RR inverted, higher = more fixed)</w:t>
            </w:r>
          </w:p>
        </w:tc>
        <w:tc>
          <w:tcPr>
            <w:tcW w:w="1656" w:type="dxa"/>
            <w:tcBorders>
              <w:top w:val="nil"/>
              <w:left w:val="nil"/>
              <w:bottom w:val="nil"/>
              <w:right w:val="nil"/>
            </w:tcBorders>
          </w:tcPr>
          <w:p w14:paraId="6F6586CD"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0.0744</w:t>
            </w:r>
          </w:p>
        </w:tc>
        <w:tc>
          <w:tcPr>
            <w:tcW w:w="1656" w:type="dxa"/>
            <w:tcBorders>
              <w:top w:val="nil"/>
              <w:left w:val="nil"/>
              <w:bottom w:val="nil"/>
              <w:right w:val="nil"/>
            </w:tcBorders>
          </w:tcPr>
          <w:p w14:paraId="24F14F00"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0.0822</w:t>
            </w:r>
          </w:p>
        </w:tc>
        <w:tc>
          <w:tcPr>
            <w:tcW w:w="1656" w:type="dxa"/>
            <w:tcBorders>
              <w:top w:val="nil"/>
              <w:left w:val="nil"/>
              <w:bottom w:val="nil"/>
              <w:right w:val="nil"/>
            </w:tcBorders>
          </w:tcPr>
          <w:p w14:paraId="58707576"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0.0635</w:t>
            </w:r>
          </w:p>
        </w:tc>
        <w:tc>
          <w:tcPr>
            <w:tcW w:w="1656" w:type="dxa"/>
            <w:tcBorders>
              <w:top w:val="nil"/>
              <w:left w:val="nil"/>
              <w:bottom w:val="nil"/>
              <w:right w:val="nil"/>
            </w:tcBorders>
          </w:tcPr>
          <w:p w14:paraId="6D570E20"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-0.0146</w:t>
            </w:r>
          </w:p>
        </w:tc>
      </w:tr>
      <w:tr w:rsidR="003D3DCA" w:rsidRPr="00F86166" w14:paraId="1A95F1A0" w14:textId="77777777" w:rsidTr="00F16287">
        <w:tc>
          <w:tcPr>
            <w:tcW w:w="2136" w:type="dxa"/>
            <w:tcBorders>
              <w:top w:val="nil"/>
              <w:left w:val="nil"/>
              <w:bottom w:val="nil"/>
              <w:right w:val="nil"/>
            </w:tcBorders>
          </w:tcPr>
          <w:p w14:paraId="229B349D"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73E2FF8"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(1.39)</w:t>
            </w:r>
          </w:p>
        </w:tc>
        <w:tc>
          <w:tcPr>
            <w:tcW w:w="1656" w:type="dxa"/>
            <w:tcBorders>
              <w:top w:val="nil"/>
              <w:left w:val="nil"/>
              <w:bottom w:val="nil"/>
              <w:right w:val="nil"/>
            </w:tcBorders>
          </w:tcPr>
          <w:p w14:paraId="67C31B20"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(1.20)</w:t>
            </w:r>
          </w:p>
        </w:tc>
        <w:tc>
          <w:tcPr>
            <w:tcW w:w="1656" w:type="dxa"/>
            <w:tcBorders>
              <w:top w:val="nil"/>
              <w:left w:val="nil"/>
              <w:bottom w:val="nil"/>
              <w:right w:val="nil"/>
            </w:tcBorders>
          </w:tcPr>
          <w:p w14:paraId="42F49941"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(1.27)</w:t>
            </w:r>
          </w:p>
        </w:tc>
        <w:tc>
          <w:tcPr>
            <w:tcW w:w="1656" w:type="dxa"/>
            <w:tcBorders>
              <w:top w:val="nil"/>
              <w:left w:val="nil"/>
              <w:bottom w:val="nil"/>
              <w:right w:val="nil"/>
            </w:tcBorders>
          </w:tcPr>
          <w:p w14:paraId="3CA82B6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(-0.55)</w:t>
            </w:r>
          </w:p>
        </w:tc>
      </w:tr>
      <w:tr w:rsidR="003D3DCA" w:rsidRPr="00F86166" w14:paraId="6C9829FF" w14:textId="77777777" w:rsidTr="00F16287">
        <w:tc>
          <w:tcPr>
            <w:tcW w:w="2136" w:type="dxa"/>
            <w:tcBorders>
              <w:top w:val="nil"/>
              <w:left w:val="nil"/>
              <w:bottom w:val="nil"/>
              <w:right w:val="nil"/>
            </w:tcBorders>
          </w:tcPr>
          <w:p w14:paraId="05634D7D"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DA05707"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B377E3D"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AF2A3B5"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97F1D6A"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7C51FCED" w14:textId="77777777" w:rsidTr="00F16287">
        <w:tc>
          <w:tcPr>
            <w:tcW w:w="2136" w:type="dxa"/>
            <w:tcBorders>
              <w:top w:val="nil"/>
              <w:left w:val="nil"/>
              <w:bottom w:val="nil"/>
              <w:right w:val="nil"/>
            </w:tcBorders>
          </w:tcPr>
          <w:p w14:paraId="24900836"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L8.Exchange Rate Classification (RR inverted, higher = more fixed)</w:t>
            </w:r>
          </w:p>
        </w:tc>
        <w:tc>
          <w:tcPr>
            <w:tcW w:w="1656" w:type="dxa"/>
            <w:tcBorders>
              <w:top w:val="nil"/>
              <w:left w:val="nil"/>
              <w:bottom w:val="nil"/>
              <w:right w:val="nil"/>
            </w:tcBorders>
          </w:tcPr>
          <w:p w14:paraId="4497BABC"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-0.0565</w:t>
            </w:r>
          </w:p>
        </w:tc>
        <w:tc>
          <w:tcPr>
            <w:tcW w:w="1656" w:type="dxa"/>
            <w:tcBorders>
              <w:top w:val="nil"/>
              <w:left w:val="nil"/>
              <w:bottom w:val="nil"/>
              <w:right w:val="nil"/>
            </w:tcBorders>
          </w:tcPr>
          <w:p w14:paraId="0BE3A434"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-0.0314</w:t>
            </w:r>
          </w:p>
        </w:tc>
        <w:tc>
          <w:tcPr>
            <w:tcW w:w="1656" w:type="dxa"/>
            <w:tcBorders>
              <w:top w:val="nil"/>
              <w:left w:val="nil"/>
              <w:bottom w:val="nil"/>
              <w:right w:val="nil"/>
            </w:tcBorders>
          </w:tcPr>
          <w:p w14:paraId="371F1391"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-0.0764</w:t>
            </w:r>
          </w:p>
        </w:tc>
        <w:tc>
          <w:tcPr>
            <w:tcW w:w="1656" w:type="dxa"/>
            <w:tcBorders>
              <w:top w:val="nil"/>
              <w:left w:val="nil"/>
              <w:bottom w:val="nil"/>
              <w:right w:val="nil"/>
            </w:tcBorders>
          </w:tcPr>
          <w:p w14:paraId="3E3E6FC0"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0.0111</w:t>
            </w:r>
          </w:p>
        </w:tc>
      </w:tr>
      <w:tr w:rsidR="003D3DCA" w:rsidRPr="00F86166" w14:paraId="1DDD4E96" w14:textId="77777777" w:rsidTr="00F16287">
        <w:tc>
          <w:tcPr>
            <w:tcW w:w="2136" w:type="dxa"/>
            <w:tcBorders>
              <w:top w:val="nil"/>
              <w:left w:val="nil"/>
              <w:bottom w:val="nil"/>
              <w:right w:val="nil"/>
            </w:tcBorders>
          </w:tcPr>
          <w:p w14:paraId="70610AAD"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5E39558"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(-1.29)</w:t>
            </w:r>
          </w:p>
        </w:tc>
        <w:tc>
          <w:tcPr>
            <w:tcW w:w="1656" w:type="dxa"/>
            <w:tcBorders>
              <w:top w:val="nil"/>
              <w:left w:val="nil"/>
              <w:bottom w:val="nil"/>
              <w:right w:val="nil"/>
            </w:tcBorders>
          </w:tcPr>
          <w:p w14:paraId="16E52C9C"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(-0.59)</w:t>
            </w:r>
          </w:p>
        </w:tc>
        <w:tc>
          <w:tcPr>
            <w:tcW w:w="1656" w:type="dxa"/>
            <w:tcBorders>
              <w:top w:val="nil"/>
              <w:left w:val="nil"/>
              <w:bottom w:val="nil"/>
              <w:right w:val="nil"/>
            </w:tcBorders>
          </w:tcPr>
          <w:p w14:paraId="70ED15C4"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(-1.23)</w:t>
            </w:r>
          </w:p>
        </w:tc>
        <w:tc>
          <w:tcPr>
            <w:tcW w:w="1656" w:type="dxa"/>
            <w:tcBorders>
              <w:top w:val="nil"/>
              <w:left w:val="nil"/>
              <w:bottom w:val="nil"/>
              <w:right w:val="nil"/>
            </w:tcBorders>
          </w:tcPr>
          <w:p w14:paraId="5268E9C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(0.43)</w:t>
            </w:r>
          </w:p>
        </w:tc>
      </w:tr>
      <w:tr w:rsidR="003D3DCA" w:rsidRPr="00F86166" w14:paraId="4E440F50" w14:textId="77777777" w:rsidTr="00F16287">
        <w:tc>
          <w:tcPr>
            <w:tcW w:w="2136" w:type="dxa"/>
            <w:tcBorders>
              <w:top w:val="nil"/>
              <w:left w:val="nil"/>
              <w:bottom w:val="nil"/>
              <w:right w:val="nil"/>
            </w:tcBorders>
          </w:tcPr>
          <w:p w14:paraId="4E1C9B6C"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A834A4A"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9C5BA5E"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18B9EEA"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45C26AA"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3C7C7AA6" w14:textId="77777777" w:rsidTr="00F16287">
        <w:tc>
          <w:tcPr>
            <w:tcW w:w="2136" w:type="dxa"/>
            <w:tcBorders>
              <w:top w:val="nil"/>
              <w:left w:val="nil"/>
              <w:bottom w:val="nil"/>
              <w:right w:val="nil"/>
            </w:tcBorders>
          </w:tcPr>
          <w:p w14:paraId="240C5BD0"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L9.Exchange Rate Classification (RR inverted, higher = more fixed)</w:t>
            </w:r>
          </w:p>
        </w:tc>
        <w:tc>
          <w:tcPr>
            <w:tcW w:w="1656" w:type="dxa"/>
            <w:tcBorders>
              <w:top w:val="nil"/>
              <w:left w:val="nil"/>
              <w:bottom w:val="nil"/>
              <w:right w:val="nil"/>
            </w:tcBorders>
          </w:tcPr>
          <w:p w14:paraId="092AF5AF"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0.0332</w:t>
            </w:r>
          </w:p>
        </w:tc>
        <w:tc>
          <w:tcPr>
            <w:tcW w:w="1656" w:type="dxa"/>
            <w:tcBorders>
              <w:top w:val="nil"/>
              <w:left w:val="nil"/>
              <w:bottom w:val="nil"/>
              <w:right w:val="nil"/>
            </w:tcBorders>
          </w:tcPr>
          <w:p w14:paraId="501FFA1D"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-0.00285</w:t>
            </w:r>
          </w:p>
        </w:tc>
        <w:tc>
          <w:tcPr>
            <w:tcW w:w="1656" w:type="dxa"/>
            <w:tcBorders>
              <w:top w:val="nil"/>
              <w:left w:val="nil"/>
              <w:bottom w:val="nil"/>
              <w:right w:val="nil"/>
            </w:tcBorders>
          </w:tcPr>
          <w:p w14:paraId="75CB0592"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0.00175</w:t>
            </w:r>
          </w:p>
        </w:tc>
        <w:tc>
          <w:tcPr>
            <w:tcW w:w="1656" w:type="dxa"/>
            <w:tcBorders>
              <w:top w:val="nil"/>
              <w:left w:val="nil"/>
              <w:bottom w:val="nil"/>
              <w:right w:val="nil"/>
            </w:tcBorders>
          </w:tcPr>
          <w:p w14:paraId="08A1A67B"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0.0382</w:t>
            </w:r>
          </w:p>
        </w:tc>
      </w:tr>
      <w:tr w:rsidR="003D3DCA" w:rsidRPr="00F86166" w14:paraId="6FC161DF" w14:textId="77777777" w:rsidTr="00F16287">
        <w:tc>
          <w:tcPr>
            <w:tcW w:w="2136" w:type="dxa"/>
            <w:tcBorders>
              <w:top w:val="nil"/>
              <w:left w:val="nil"/>
              <w:bottom w:val="nil"/>
              <w:right w:val="nil"/>
            </w:tcBorders>
          </w:tcPr>
          <w:p w14:paraId="0E7A1477"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C6FCAC1"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(0.77)</w:t>
            </w:r>
          </w:p>
        </w:tc>
        <w:tc>
          <w:tcPr>
            <w:tcW w:w="1656" w:type="dxa"/>
            <w:tcBorders>
              <w:top w:val="nil"/>
              <w:left w:val="nil"/>
              <w:bottom w:val="nil"/>
              <w:right w:val="nil"/>
            </w:tcBorders>
          </w:tcPr>
          <w:p w14:paraId="67C250C9"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(-0.05)</w:t>
            </w:r>
          </w:p>
        </w:tc>
        <w:tc>
          <w:tcPr>
            <w:tcW w:w="1656" w:type="dxa"/>
            <w:tcBorders>
              <w:top w:val="nil"/>
              <w:left w:val="nil"/>
              <w:bottom w:val="nil"/>
              <w:right w:val="nil"/>
            </w:tcBorders>
          </w:tcPr>
          <w:p w14:paraId="24A226D5"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(0.03)</w:t>
            </w:r>
          </w:p>
        </w:tc>
        <w:tc>
          <w:tcPr>
            <w:tcW w:w="1656" w:type="dxa"/>
            <w:tcBorders>
              <w:top w:val="nil"/>
              <w:left w:val="nil"/>
              <w:bottom w:val="nil"/>
              <w:right w:val="nil"/>
            </w:tcBorders>
          </w:tcPr>
          <w:p w14:paraId="7BB87DDC"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(1.38)</w:t>
            </w:r>
          </w:p>
        </w:tc>
      </w:tr>
      <w:tr w:rsidR="003D3DCA" w:rsidRPr="00F86166" w14:paraId="48162031" w14:textId="77777777" w:rsidTr="00F16287">
        <w:tc>
          <w:tcPr>
            <w:tcW w:w="2136" w:type="dxa"/>
            <w:tcBorders>
              <w:top w:val="nil"/>
              <w:left w:val="nil"/>
              <w:bottom w:val="nil"/>
              <w:right w:val="nil"/>
            </w:tcBorders>
          </w:tcPr>
          <w:p w14:paraId="68D49914"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F0171DA"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5798D04"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3239D9C"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8622444"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64CF5716" w14:textId="77777777" w:rsidTr="00F16287">
        <w:tc>
          <w:tcPr>
            <w:tcW w:w="2136" w:type="dxa"/>
            <w:tcBorders>
              <w:top w:val="nil"/>
              <w:left w:val="nil"/>
              <w:bottom w:val="nil"/>
              <w:right w:val="nil"/>
            </w:tcBorders>
          </w:tcPr>
          <w:p w14:paraId="13DDC953"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L10.Exchange Rate Classification (RR inverted, higher = more fixed)</w:t>
            </w:r>
          </w:p>
        </w:tc>
        <w:tc>
          <w:tcPr>
            <w:tcW w:w="1656" w:type="dxa"/>
            <w:tcBorders>
              <w:top w:val="nil"/>
              <w:left w:val="nil"/>
              <w:bottom w:val="nil"/>
              <w:right w:val="nil"/>
            </w:tcBorders>
          </w:tcPr>
          <w:p w14:paraId="3E81409B"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-0.0276</w:t>
            </w:r>
          </w:p>
        </w:tc>
        <w:tc>
          <w:tcPr>
            <w:tcW w:w="1656" w:type="dxa"/>
            <w:tcBorders>
              <w:top w:val="nil"/>
              <w:left w:val="nil"/>
              <w:bottom w:val="nil"/>
              <w:right w:val="nil"/>
            </w:tcBorders>
          </w:tcPr>
          <w:p w14:paraId="7F9850C6"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0.0118</w:t>
            </w:r>
          </w:p>
        </w:tc>
        <w:tc>
          <w:tcPr>
            <w:tcW w:w="1656" w:type="dxa"/>
            <w:tcBorders>
              <w:top w:val="nil"/>
              <w:left w:val="nil"/>
              <w:bottom w:val="nil"/>
              <w:right w:val="nil"/>
            </w:tcBorders>
          </w:tcPr>
          <w:p w14:paraId="115FAD4D"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0.0335</w:t>
            </w:r>
          </w:p>
        </w:tc>
        <w:tc>
          <w:tcPr>
            <w:tcW w:w="1656" w:type="dxa"/>
            <w:tcBorders>
              <w:top w:val="nil"/>
              <w:left w:val="nil"/>
              <w:bottom w:val="nil"/>
              <w:right w:val="nil"/>
            </w:tcBorders>
          </w:tcPr>
          <w:p w14:paraId="1E880FB5"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-0.0239</w:t>
            </w:r>
          </w:p>
        </w:tc>
      </w:tr>
      <w:tr w:rsidR="003D3DCA" w:rsidRPr="00F86166" w14:paraId="5FA6D3D0" w14:textId="77777777" w:rsidTr="00F16287">
        <w:tc>
          <w:tcPr>
            <w:tcW w:w="2136" w:type="dxa"/>
            <w:tcBorders>
              <w:top w:val="nil"/>
              <w:left w:val="nil"/>
              <w:bottom w:val="nil"/>
              <w:right w:val="nil"/>
            </w:tcBorders>
          </w:tcPr>
          <w:p w14:paraId="014CDA03"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C545198"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(-0.75)</w:t>
            </w:r>
          </w:p>
        </w:tc>
        <w:tc>
          <w:tcPr>
            <w:tcW w:w="1656" w:type="dxa"/>
            <w:tcBorders>
              <w:top w:val="nil"/>
              <w:left w:val="nil"/>
              <w:bottom w:val="nil"/>
              <w:right w:val="nil"/>
            </w:tcBorders>
          </w:tcPr>
          <w:p w14:paraId="49CB3060"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(0.22)</w:t>
            </w:r>
          </w:p>
        </w:tc>
        <w:tc>
          <w:tcPr>
            <w:tcW w:w="1656" w:type="dxa"/>
            <w:tcBorders>
              <w:top w:val="nil"/>
              <w:left w:val="nil"/>
              <w:bottom w:val="nil"/>
              <w:right w:val="nil"/>
            </w:tcBorders>
          </w:tcPr>
          <w:p w14:paraId="130BB782"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(0.77)</w:t>
            </w:r>
          </w:p>
        </w:tc>
        <w:tc>
          <w:tcPr>
            <w:tcW w:w="1656" w:type="dxa"/>
            <w:tcBorders>
              <w:top w:val="nil"/>
              <w:left w:val="nil"/>
              <w:bottom w:val="nil"/>
              <w:right w:val="nil"/>
            </w:tcBorders>
          </w:tcPr>
          <w:p w14:paraId="438BA788"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(-0.68)</w:t>
            </w:r>
          </w:p>
        </w:tc>
      </w:tr>
      <w:tr w:rsidR="003D3DCA" w:rsidRPr="00F86166" w14:paraId="2AFD0E67" w14:textId="77777777" w:rsidTr="00F16287">
        <w:tc>
          <w:tcPr>
            <w:tcW w:w="2136" w:type="dxa"/>
            <w:tcBorders>
              <w:top w:val="nil"/>
              <w:left w:val="nil"/>
              <w:bottom w:val="nil"/>
              <w:right w:val="nil"/>
            </w:tcBorders>
          </w:tcPr>
          <w:p w14:paraId="1E18B060"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433163D"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6E8E0F4"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F0AAC5C"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7831658"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r>
      <w:tr w:rsidR="003D3DCA" w:rsidRPr="00F86166" w14:paraId="468E090D" w14:textId="77777777" w:rsidTr="00F16287">
        <w:tc>
          <w:tcPr>
            <w:tcW w:w="2136" w:type="dxa"/>
            <w:tcBorders>
              <w:top w:val="nil"/>
              <w:left w:val="nil"/>
              <w:bottom w:val="nil"/>
              <w:right w:val="nil"/>
            </w:tcBorders>
          </w:tcPr>
          <w:p w14:paraId="491E567D"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Constant</w:t>
            </w:r>
          </w:p>
        </w:tc>
        <w:tc>
          <w:tcPr>
            <w:tcW w:w="1656" w:type="dxa"/>
            <w:tcBorders>
              <w:top w:val="nil"/>
              <w:left w:val="nil"/>
              <w:bottom w:val="nil"/>
              <w:right w:val="nil"/>
            </w:tcBorders>
          </w:tcPr>
          <w:p w14:paraId="2BE8E7C8"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nil"/>
              <w:right w:val="nil"/>
            </w:tcBorders>
          </w:tcPr>
          <w:p w14:paraId="2110AC7D"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nil"/>
              <w:right w:val="nil"/>
            </w:tcBorders>
          </w:tcPr>
          <w:p w14:paraId="17B6002B"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nil"/>
              <w:right w:val="nil"/>
            </w:tcBorders>
          </w:tcPr>
          <w:p w14:paraId="3C313369"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-7.125</w:t>
            </w:r>
            <w:r w:rsidRPr="00F86166">
              <w:rPr>
                <w:rFonts w:ascii="Times New Roman" w:hAnsi="Times New Roman" w:cs="Times New Roman"/>
                <w:sz w:val="18"/>
                <w:szCs w:val="18"/>
                <w:vertAlign w:val="superscript"/>
              </w:rPr>
              <w:t>***</w:t>
            </w:r>
          </w:p>
        </w:tc>
      </w:tr>
      <w:tr w:rsidR="003D3DCA" w:rsidRPr="00F86166" w14:paraId="029CF3C6" w14:textId="77777777" w:rsidTr="00F16287">
        <w:tc>
          <w:tcPr>
            <w:tcW w:w="2136" w:type="dxa"/>
            <w:tcBorders>
              <w:top w:val="nil"/>
              <w:left w:val="nil"/>
              <w:bottom w:val="nil"/>
              <w:right w:val="nil"/>
            </w:tcBorders>
          </w:tcPr>
          <w:p w14:paraId="51FE239E"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DA953D2"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nil"/>
              <w:right w:val="nil"/>
            </w:tcBorders>
          </w:tcPr>
          <w:p w14:paraId="0401569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nil"/>
              <w:right w:val="nil"/>
            </w:tcBorders>
          </w:tcPr>
          <w:p w14:paraId="42639448"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nil"/>
              <w:right w:val="nil"/>
            </w:tcBorders>
          </w:tcPr>
          <w:p w14:paraId="013C5531"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(-5.68)</w:t>
            </w:r>
          </w:p>
        </w:tc>
      </w:tr>
      <w:tr w:rsidR="003D3DCA" w:rsidRPr="00F86166" w14:paraId="0AF76183" w14:textId="77777777" w:rsidTr="00F16287">
        <w:tc>
          <w:tcPr>
            <w:tcW w:w="2136" w:type="dxa"/>
            <w:tcBorders>
              <w:top w:val="single" w:sz="4" w:space="0" w:color="auto"/>
              <w:left w:val="nil"/>
              <w:bottom w:val="nil"/>
              <w:right w:val="nil"/>
            </w:tcBorders>
          </w:tcPr>
          <w:p w14:paraId="5A40A488"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cut1</w:t>
            </w:r>
          </w:p>
        </w:tc>
        <w:tc>
          <w:tcPr>
            <w:tcW w:w="1656" w:type="dxa"/>
            <w:tcBorders>
              <w:top w:val="single" w:sz="4" w:space="0" w:color="auto"/>
              <w:left w:val="nil"/>
              <w:bottom w:val="nil"/>
              <w:right w:val="nil"/>
            </w:tcBorders>
          </w:tcPr>
          <w:p w14:paraId="7CF4E42F"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59E2CA72"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6C7D5C7D"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205228E3"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3D3DCA" w:rsidRPr="00F86166" w14:paraId="4A743BD9" w14:textId="77777777" w:rsidTr="00F16287">
        <w:tc>
          <w:tcPr>
            <w:tcW w:w="2136" w:type="dxa"/>
            <w:tcBorders>
              <w:top w:val="nil"/>
              <w:left w:val="nil"/>
              <w:bottom w:val="nil"/>
              <w:right w:val="nil"/>
            </w:tcBorders>
          </w:tcPr>
          <w:p w14:paraId="4F649849"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lastRenderedPageBreak/>
              <w:t>Constant</w:t>
            </w:r>
          </w:p>
        </w:tc>
        <w:tc>
          <w:tcPr>
            <w:tcW w:w="1656" w:type="dxa"/>
            <w:tcBorders>
              <w:top w:val="nil"/>
              <w:left w:val="nil"/>
              <w:bottom w:val="nil"/>
              <w:right w:val="nil"/>
            </w:tcBorders>
          </w:tcPr>
          <w:p w14:paraId="6132FD1D"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0.627</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7C251E25"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2.525</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37025EC3"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1.162</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70FA394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3D3DCA" w:rsidRPr="00F86166" w14:paraId="75F63F16" w14:textId="77777777" w:rsidTr="00F16287">
        <w:tc>
          <w:tcPr>
            <w:tcW w:w="2136" w:type="dxa"/>
            <w:tcBorders>
              <w:top w:val="nil"/>
              <w:left w:val="nil"/>
              <w:bottom w:val="nil"/>
              <w:right w:val="nil"/>
            </w:tcBorders>
          </w:tcPr>
          <w:p w14:paraId="6828D2C4"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12A885E"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(2.13)</w:t>
            </w:r>
          </w:p>
        </w:tc>
        <w:tc>
          <w:tcPr>
            <w:tcW w:w="1656" w:type="dxa"/>
            <w:tcBorders>
              <w:top w:val="nil"/>
              <w:left w:val="nil"/>
              <w:bottom w:val="nil"/>
              <w:right w:val="nil"/>
            </w:tcBorders>
          </w:tcPr>
          <w:p w14:paraId="57BE257C"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(5.60)</w:t>
            </w:r>
          </w:p>
        </w:tc>
        <w:tc>
          <w:tcPr>
            <w:tcW w:w="1656" w:type="dxa"/>
            <w:tcBorders>
              <w:top w:val="nil"/>
              <w:left w:val="nil"/>
              <w:bottom w:val="nil"/>
              <w:right w:val="nil"/>
            </w:tcBorders>
          </w:tcPr>
          <w:p w14:paraId="34B0EDC0"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(3.71)</w:t>
            </w:r>
          </w:p>
        </w:tc>
        <w:tc>
          <w:tcPr>
            <w:tcW w:w="1656" w:type="dxa"/>
            <w:tcBorders>
              <w:top w:val="nil"/>
              <w:left w:val="nil"/>
              <w:bottom w:val="nil"/>
              <w:right w:val="nil"/>
            </w:tcBorders>
          </w:tcPr>
          <w:p w14:paraId="029DACAE"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3D3DCA" w:rsidRPr="00F86166" w14:paraId="508E9E1A" w14:textId="77777777" w:rsidTr="00F16287">
        <w:tc>
          <w:tcPr>
            <w:tcW w:w="2136" w:type="dxa"/>
            <w:tcBorders>
              <w:top w:val="single" w:sz="4" w:space="0" w:color="auto"/>
              <w:left w:val="nil"/>
              <w:bottom w:val="nil"/>
              <w:right w:val="nil"/>
            </w:tcBorders>
          </w:tcPr>
          <w:p w14:paraId="02DF31D3"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cut2</w:t>
            </w:r>
          </w:p>
        </w:tc>
        <w:tc>
          <w:tcPr>
            <w:tcW w:w="1656" w:type="dxa"/>
            <w:tcBorders>
              <w:top w:val="single" w:sz="4" w:space="0" w:color="auto"/>
              <w:left w:val="nil"/>
              <w:bottom w:val="nil"/>
              <w:right w:val="nil"/>
            </w:tcBorders>
          </w:tcPr>
          <w:p w14:paraId="47871563"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244C577A"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1FC4AC01"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57075D2E"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3D3DCA" w:rsidRPr="00F86166" w14:paraId="5787C395" w14:textId="77777777" w:rsidTr="00F16287">
        <w:tc>
          <w:tcPr>
            <w:tcW w:w="2136" w:type="dxa"/>
            <w:tcBorders>
              <w:top w:val="nil"/>
              <w:left w:val="nil"/>
              <w:bottom w:val="nil"/>
              <w:right w:val="nil"/>
            </w:tcBorders>
          </w:tcPr>
          <w:p w14:paraId="0A5436F9"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Constant</w:t>
            </w:r>
          </w:p>
        </w:tc>
        <w:tc>
          <w:tcPr>
            <w:tcW w:w="1656" w:type="dxa"/>
            <w:tcBorders>
              <w:top w:val="nil"/>
              <w:left w:val="nil"/>
              <w:bottom w:val="nil"/>
              <w:right w:val="nil"/>
            </w:tcBorders>
          </w:tcPr>
          <w:p w14:paraId="5BCD94AB"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1.044</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78CD5662"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3.092</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7877EDE0"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2.535</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2BEDA961"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3D3DCA" w:rsidRPr="00F86166" w14:paraId="142CC8EF" w14:textId="77777777" w:rsidTr="00F16287">
        <w:tc>
          <w:tcPr>
            <w:tcW w:w="2136" w:type="dxa"/>
            <w:tcBorders>
              <w:top w:val="nil"/>
              <w:left w:val="nil"/>
              <w:bottom w:val="nil"/>
              <w:right w:val="nil"/>
            </w:tcBorders>
          </w:tcPr>
          <w:p w14:paraId="0E6700B3"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0929724"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(3.55)</w:t>
            </w:r>
          </w:p>
        </w:tc>
        <w:tc>
          <w:tcPr>
            <w:tcW w:w="1656" w:type="dxa"/>
            <w:tcBorders>
              <w:top w:val="nil"/>
              <w:left w:val="nil"/>
              <w:bottom w:val="nil"/>
              <w:right w:val="nil"/>
            </w:tcBorders>
          </w:tcPr>
          <w:p w14:paraId="32BCF7D3"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(7.00)</w:t>
            </w:r>
          </w:p>
        </w:tc>
        <w:tc>
          <w:tcPr>
            <w:tcW w:w="1656" w:type="dxa"/>
            <w:tcBorders>
              <w:top w:val="nil"/>
              <w:left w:val="nil"/>
              <w:bottom w:val="nil"/>
              <w:right w:val="nil"/>
            </w:tcBorders>
          </w:tcPr>
          <w:p w14:paraId="167C38E4"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(7.42)</w:t>
            </w:r>
          </w:p>
        </w:tc>
        <w:tc>
          <w:tcPr>
            <w:tcW w:w="1656" w:type="dxa"/>
            <w:tcBorders>
              <w:top w:val="nil"/>
              <w:left w:val="nil"/>
              <w:bottom w:val="nil"/>
              <w:right w:val="nil"/>
            </w:tcBorders>
          </w:tcPr>
          <w:p w14:paraId="369F3122"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3D3DCA" w:rsidRPr="00F86166" w14:paraId="6088181C" w14:textId="77777777" w:rsidTr="00F16287">
        <w:tc>
          <w:tcPr>
            <w:tcW w:w="2136" w:type="dxa"/>
            <w:tcBorders>
              <w:top w:val="single" w:sz="4" w:space="0" w:color="auto"/>
              <w:left w:val="nil"/>
              <w:bottom w:val="nil"/>
              <w:right w:val="nil"/>
            </w:tcBorders>
          </w:tcPr>
          <w:p w14:paraId="15253BAA"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sigma2_u</w:t>
            </w:r>
          </w:p>
        </w:tc>
        <w:tc>
          <w:tcPr>
            <w:tcW w:w="1656" w:type="dxa"/>
            <w:tcBorders>
              <w:top w:val="single" w:sz="4" w:space="0" w:color="auto"/>
              <w:left w:val="nil"/>
              <w:bottom w:val="nil"/>
              <w:right w:val="nil"/>
            </w:tcBorders>
          </w:tcPr>
          <w:p w14:paraId="506E9D22"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3E8EF9EB"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0E167AAD"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0F6CEB35"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3D3DCA" w:rsidRPr="00F86166" w14:paraId="56567F85" w14:textId="77777777" w:rsidTr="00F16287">
        <w:tc>
          <w:tcPr>
            <w:tcW w:w="2136" w:type="dxa"/>
            <w:tcBorders>
              <w:top w:val="nil"/>
              <w:left w:val="nil"/>
              <w:bottom w:val="nil"/>
              <w:right w:val="nil"/>
            </w:tcBorders>
          </w:tcPr>
          <w:p w14:paraId="6011CB6D"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Constant</w:t>
            </w:r>
          </w:p>
        </w:tc>
        <w:tc>
          <w:tcPr>
            <w:tcW w:w="1656" w:type="dxa"/>
            <w:tcBorders>
              <w:top w:val="nil"/>
              <w:left w:val="nil"/>
              <w:bottom w:val="nil"/>
              <w:right w:val="nil"/>
            </w:tcBorders>
          </w:tcPr>
          <w:p w14:paraId="25B60BF6"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0.959</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53F59D6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2.933</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10A46BBC"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0.663</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0EC5D3AE"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3D3DCA" w:rsidRPr="00F86166" w14:paraId="7D1D6331" w14:textId="77777777" w:rsidTr="00F16287">
        <w:tc>
          <w:tcPr>
            <w:tcW w:w="2136" w:type="dxa"/>
            <w:tcBorders>
              <w:top w:val="nil"/>
              <w:left w:val="nil"/>
              <w:bottom w:val="nil"/>
              <w:right w:val="nil"/>
            </w:tcBorders>
          </w:tcPr>
          <w:p w14:paraId="4F66EBD4"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A720E0A"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(3.48)</w:t>
            </w:r>
          </w:p>
        </w:tc>
        <w:tc>
          <w:tcPr>
            <w:tcW w:w="1656" w:type="dxa"/>
            <w:tcBorders>
              <w:top w:val="nil"/>
              <w:left w:val="nil"/>
              <w:bottom w:val="nil"/>
              <w:right w:val="nil"/>
            </w:tcBorders>
          </w:tcPr>
          <w:p w14:paraId="4491704C"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(4.10)</w:t>
            </w:r>
          </w:p>
        </w:tc>
        <w:tc>
          <w:tcPr>
            <w:tcW w:w="1656" w:type="dxa"/>
            <w:tcBorders>
              <w:top w:val="nil"/>
              <w:left w:val="nil"/>
              <w:bottom w:val="nil"/>
              <w:right w:val="nil"/>
            </w:tcBorders>
          </w:tcPr>
          <w:p w14:paraId="1A8DE535"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(3.19)</w:t>
            </w:r>
          </w:p>
        </w:tc>
        <w:tc>
          <w:tcPr>
            <w:tcW w:w="1656" w:type="dxa"/>
            <w:tcBorders>
              <w:top w:val="nil"/>
              <w:left w:val="nil"/>
              <w:bottom w:val="nil"/>
              <w:right w:val="nil"/>
            </w:tcBorders>
          </w:tcPr>
          <w:p w14:paraId="509EF4AD"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3D3DCA" w:rsidRPr="00F86166" w14:paraId="744462ED" w14:textId="77777777" w:rsidTr="00F16287">
        <w:tc>
          <w:tcPr>
            <w:tcW w:w="2136" w:type="dxa"/>
            <w:tcBorders>
              <w:top w:val="single" w:sz="4" w:space="0" w:color="auto"/>
              <w:left w:val="nil"/>
              <w:bottom w:val="nil"/>
              <w:right w:val="nil"/>
            </w:tcBorders>
          </w:tcPr>
          <w:p w14:paraId="6B73408A"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w:t>
            </w:r>
          </w:p>
        </w:tc>
        <w:tc>
          <w:tcPr>
            <w:tcW w:w="1656" w:type="dxa"/>
            <w:tcBorders>
              <w:top w:val="single" w:sz="4" w:space="0" w:color="auto"/>
              <w:left w:val="nil"/>
              <w:bottom w:val="nil"/>
              <w:right w:val="nil"/>
            </w:tcBorders>
          </w:tcPr>
          <w:p w14:paraId="3F7FE425"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28603C94"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0F00CB24"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2C7DE199"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3D3DCA" w:rsidRPr="00F86166" w14:paraId="2EE95953" w14:textId="77777777" w:rsidTr="00F16287">
        <w:tc>
          <w:tcPr>
            <w:tcW w:w="2136" w:type="dxa"/>
            <w:tcBorders>
              <w:top w:val="nil"/>
              <w:left w:val="nil"/>
              <w:bottom w:val="nil"/>
              <w:right w:val="nil"/>
            </w:tcBorders>
          </w:tcPr>
          <w:p w14:paraId="7E940EB6"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lnsig2u</w:t>
            </w:r>
          </w:p>
        </w:tc>
        <w:tc>
          <w:tcPr>
            <w:tcW w:w="1656" w:type="dxa"/>
            <w:tcBorders>
              <w:top w:val="nil"/>
              <w:left w:val="nil"/>
              <w:bottom w:val="nil"/>
              <w:right w:val="nil"/>
            </w:tcBorders>
          </w:tcPr>
          <w:p w14:paraId="11055C9F"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nil"/>
              <w:right w:val="nil"/>
            </w:tcBorders>
          </w:tcPr>
          <w:p w14:paraId="15BF0705"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nil"/>
              <w:right w:val="nil"/>
            </w:tcBorders>
          </w:tcPr>
          <w:p w14:paraId="5C7D1AB0"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nil"/>
              <w:right w:val="nil"/>
            </w:tcBorders>
          </w:tcPr>
          <w:p w14:paraId="4675C3E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2.260</w:t>
            </w:r>
            <w:r w:rsidRPr="00F86166">
              <w:rPr>
                <w:rFonts w:ascii="Times New Roman" w:hAnsi="Times New Roman" w:cs="Times New Roman"/>
                <w:sz w:val="18"/>
                <w:szCs w:val="18"/>
                <w:vertAlign w:val="superscript"/>
              </w:rPr>
              <w:t>***</w:t>
            </w:r>
          </w:p>
        </w:tc>
      </w:tr>
      <w:tr w:rsidR="003D3DCA" w:rsidRPr="00F86166" w14:paraId="1DD12EF9" w14:textId="77777777" w:rsidTr="00F16287">
        <w:tc>
          <w:tcPr>
            <w:tcW w:w="2136" w:type="dxa"/>
            <w:tcBorders>
              <w:top w:val="nil"/>
              <w:left w:val="nil"/>
              <w:bottom w:val="single" w:sz="4" w:space="0" w:color="auto"/>
              <w:right w:val="nil"/>
            </w:tcBorders>
          </w:tcPr>
          <w:p w14:paraId="491487EA"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single" w:sz="4" w:space="0" w:color="auto"/>
              <w:right w:val="nil"/>
            </w:tcBorders>
          </w:tcPr>
          <w:p w14:paraId="33AEEFC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single" w:sz="4" w:space="0" w:color="auto"/>
              <w:right w:val="nil"/>
            </w:tcBorders>
          </w:tcPr>
          <w:p w14:paraId="593181FA"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single" w:sz="4" w:space="0" w:color="auto"/>
              <w:right w:val="nil"/>
            </w:tcBorders>
          </w:tcPr>
          <w:p w14:paraId="5B54481C"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single" w:sz="4" w:space="0" w:color="auto"/>
              <w:right w:val="nil"/>
            </w:tcBorders>
          </w:tcPr>
          <w:p w14:paraId="4B5F306A"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(7.07)</w:t>
            </w:r>
          </w:p>
        </w:tc>
      </w:tr>
      <w:tr w:rsidR="003D3DCA" w:rsidRPr="00F86166" w14:paraId="535C0958" w14:textId="77777777" w:rsidTr="00F16287">
        <w:tc>
          <w:tcPr>
            <w:tcW w:w="2136" w:type="dxa"/>
            <w:tcBorders>
              <w:top w:val="nil"/>
              <w:left w:val="nil"/>
              <w:bottom w:val="single" w:sz="4" w:space="0" w:color="auto"/>
              <w:right w:val="nil"/>
            </w:tcBorders>
          </w:tcPr>
          <w:p w14:paraId="7D03BF79" w14:textId="77777777" w:rsidR="003D3DCA" w:rsidRPr="00F86166" w:rsidRDefault="003D3DCA"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Observations</w:t>
            </w:r>
          </w:p>
        </w:tc>
        <w:tc>
          <w:tcPr>
            <w:tcW w:w="1656" w:type="dxa"/>
            <w:tcBorders>
              <w:top w:val="nil"/>
              <w:left w:val="nil"/>
              <w:bottom w:val="single" w:sz="4" w:space="0" w:color="auto"/>
              <w:right w:val="nil"/>
            </w:tcBorders>
          </w:tcPr>
          <w:p w14:paraId="13D58DEE"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969</w:t>
            </w:r>
          </w:p>
        </w:tc>
        <w:tc>
          <w:tcPr>
            <w:tcW w:w="1656" w:type="dxa"/>
            <w:tcBorders>
              <w:top w:val="nil"/>
              <w:left w:val="nil"/>
              <w:bottom w:val="single" w:sz="4" w:space="0" w:color="auto"/>
              <w:right w:val="nil"/>
            </w:tcBorders>
          </w:tcPr>
          <w:p w14:paraId="02B29870"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969</w:t>
            </w:r>
          </w:p>
        </w:tc>
        <w:tc>
          <w:tcPr>
            <w:tcW w:w="1656" w:type="dxa"/>
            <w:tcBorders>
              <w:top w:val="nil"/>
              <w:left w:val="nil"/>
              <w:bottom w:val="single" w:sz="4" w:space="0" w:color="auto"/>
              <w:right w:val="nil"/>
            </w:tcBorders>
          </w:tcPr>
          <w:p w14:paraId="188EC447"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799</w:t>
            </w:r>
          </w:p>
        </w:tc>
        <w:tc>
          <w:tcPr>
            <w:tcW w:w="1656" w:type="dxa"/>
            <w:tcBorders>
              <w:top w:val="nil"/>
              <w:left w:val="nil"/>
              <w:bottom w:val="single" w:sz="4" w:space="0" w:color="auto"/>
              <w:right w:val="nil"/>
            </w:tcBorders>
          </w:tcPr>
          <w:p w14:paraId="380C8521" w14:textId="77777777" w:rsidR="003D3DCA" w:rsidRPr="00F86166" w:rsidRDefault="003D3DCA"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2679</w:t>
            </w:r>
          </w:p>
        </w:tc>
      </w:tr>
    </w:tbl>
    <w:p w14:paraId="0CDF6451" w14:textId="77777777" w:rsidR="00F465E2" w:rsidRPr="00F86166" w:rsidRDefault="00F465E2" w:rsidP="00F465E2">
      <w:pPr>
        <w:widowControl w:val="0"/>
        <w:autoSpaceDE w:val="0"/>
        <w:autoSpaceDN w:val="0"/>
        <w:adjustRightInd w:val="0"/>
        <w:spacing w:after="0" w:line="240" w:lineRule="auto"/>
        <w:rPr>
          <w:rFonts w:ascii="Times New Roman" w:hAnsi="Times New Roman" w:cs="Times New Roman"/>
          <w:sz w:val="14"/>
          <w:szCs w:val="14"/>
        </w:rPr>
      </w:pPr>
      <w:r w:rsidRPr="00F86166">
        <w:rPr>
          <w:rFonts w:ascii="Times New Roman" w:hAnsi="Times New Roman" w:cs="Times New Roman"/>
          <w:i/>
          <w:sz w:val="14"/>
          <w:szCs w:val="14"/>
        </w:rPr>
        <w:t>t</w:t>
      </w:r>
      <w:r w:rsidRPr="00F86166">
        <w:rPr>
          <w:rFonts w:ascii="Times New Roman" w:hAnsi="Times New Roman" w:cs="Times New Roman"/>
          <w:sz w:val="14"/>
          <w:szCs w:val="14"/>
        </w:rPr>
        <w:t xml:space="preserve"> statistics in parentheses</w:t>
      </w:r>
    </w:p>
    <w:p w14:paraId="711827C0" w14:textId="35976C30" w:rsidR="00F465E2" w:rsidRPr="00F86166" w:rsidRDefault="00F465E2" w:rsidP="00B62D54">
      <w:pPr>
        <w:widowControl w:val="0"/>
        <w:autoSpaceDE w:val="0"/>
        <w:autoSpaceDN w:val="0"/>
        <w:adjustRightInd w:val="0"/>
        <w:spacing w:after="0" w:line="240" w:lineRule="auto"/>
        <w:rPr>
          <w:rFonts w:ascii="Times New Roman" w:hAnsi="Times New Roman" w:cs="Times New Roman"/>
          <w:sz w:val="14"/>
          <w:szCs w:val="14"/>
        </w:rPr>
      </w:pPr>
      <w:r w:rsidRPr="00F86166">
        <w:rPr>
          <w:rFonts w:ascii="Times New Roman" w:hAnsi="Times New Roman" w:cs="Times New Roman"/>
          <w:sz w:val="14"/>
          <w:szCs w:val="14"/>
          <w:vertAlign w:val="superscript"/>
        </w:rPr>
        <w:t>*</w:t>
      </w:r>
      <w:r w:rsidRPr="00F86166">
        <w:rPr>
          <w:rFonts w:ascii="Times New Roman" w:hAnsi="Times New Roman" w:cs="Times New Roman"/>
          <w:sz w:val="14"/>
          <w:szCs w:val="14"/>
        </w:rPr>
        <w:t xml:space="preserve"> </w:t>
      </w:r>
      <w:r w:rsidRPr="00F86166">
        <w:rPr>
          <w:rFonts w:ascii="Times New Roman" w:hAnsi="Times New Roman" w:cs="Times New Roman"/>
          <w:i/>
          <w:sz w:val="14"/>
          <w:szCs w:val="14"/>
        </w:rPr>
        <w:t>p</w:t>
      </w:r>
      <w:r w:rsidRPr="00F86166">
        <w:rPr>
          <w:rFonts w:ascii="Times New Roman" w:hAnsi="Times New Roman" w:cs="Times New Roman"/>
          <w:sz w:val="14"/>
          <w:szCs w:val="14"/>
        </w:rPr>
        <w:t xml:space="preserve"> &lt; 0.05, </w:t>
      </w:r>
      <w:r w:rsidRPr="00F86166">
        <w:rPr>
          <w:rFonts w:ascii="Times New Roman" w:hAnsi="Times New Roman" w:cs="Times New Roman"/>
          <w:sz w:val="14"/>
          <w:szCs w:val="14"/>
          <w:vertAlign w:val="superscript"/>
        </w:rPr>
        <w:t>**</w:t>
      </w:r>
      <w:r w:rsidRPr="00F86166">
        <w:rPr>
          <w:rFonts w:ascii="Times New Roman" w:hAnsi="Times New Roman" w:cs="Times New Roman"/>
          <w:sz w:val="14"/>
          <w:szCs w:val="14"/>
        </w:rPr>
        <w:t xml:space="preserve"> </w:t>
      </w:r>
      <w:r w:rsidRPr="00F86166">
        <w:rPr>
          <w:rFonts w:ascii="Times New Roman" w:hAnsi="Times New Roman" w:cs="Times New Roman"/>
          <w:i/>
          <w:sz w:val="14"/>
          <w:szCs w:val="14"/>
        </w:rPr>
        <w:t>p</w:t>
      </w:r>
      <w:r w:rsidRPr="00F86166">
        <w:rPr>
          <w:rFonts w:ascii="Times New Roman" w:hAnsi="Times New Roman" w:cs="Times New Roman"/>
          <w:sz w:val="14"/>
          <w:szCs w:val="14"/>
        </w:rPr>
        <w:t xml:space="preserve"> &lt; 0.01, </w:t>
      </w:r>
      <w:r w:rsidRPr="00F86166">
        <w:rPr>
          <w:rFonts w:ascii="Times New Roman" w:hAnsi="Times New Roman" w:cs="Times New Roman"/>
          <w:sz w:val="14"/>
          <w:szCs w:val="14"/>
          <w:vertAlign w:val="superscript"/>
        </w:rPr>
        <w:t>***</w:t>
      </w:r>
      <w:r w:rsidRPr="00F86166">
        <w:rPr>
          <w:rFonts w:ascii="Times New Roman" w:hAnsi="Times New Roman" w:cs="Times New Roman"/>
          <w:sz w:val="14"/>
          <w:szCs w:val="14"/>
        </w:rPr>
        <w:t xml:space="preserve"> </w:t>
      </w:r>
      <w:r w:rsidRPr="00F86166">
        <w:rPr>
          <w:rFonts w:ascii="Times New Roman" w:hAnsi="Times New Roman" w:cs="Times New Roman"/>
          <w:i/>
          <w:sz w:val="14"/>
          <w:szCs w:val="14"/>
        </w:rPr>
        <w:t>p</w:t>
      </w:r>
      <w:r w:rsidRPr="00F86166">
        <w:rPr>
          <w:rFonts w:ascii="Times New Roman" w:hAnsi="Times New Roman" w:cs="Times New Roman"/>
          <w:sz w:val="14"/>
          <w:szCs w:val="14"/>
        </w:rPr>
        <w:t xml:space="preserve"> &lt; 0.001</w:t>
      </w:r>
    </w:p>
    <w:p w14:paraId="0D1E3705" w14:textId="77777777" w:rsidR="00DF5CDE" w:rsidRPr="00F86166" w:rsidRDefault="00DF5CDE" w:rsidP="003D3DCA">
      <w:pPr>
        <w:widowControl w:val="0"/>
        <w:autoSpaceDE w:val="0"/>
        <w:autoSpaceDN w:val="0"/>
        <w:adjustRightInd w:val="0"/>
        <w:spacing w:after="0" w:line="240" w:lineRule="auto"/>
        <w:rPr>
          <w:rFonts w:ascii="Times New Roman" w:hAnsi="Times New Roman" w:cs="Times New Roman"/>
          <w:sz w:val="14"/>
          <w:szCs w:val="14"/>
        </w:rPr>
      </w:pPr>
    </w:p>
    <w:tbl>
      <w:tblPr>
        <w:tblW w:w="0" w:type="auto"/>
        <w:tblLayout w:type="fixed"/>
        <w:tblLook w:val="0000" w:firstRow="0" w:lastRow="0" w:firstColumn="0" w:lastColumn="0" w:noHBand="0" w:noVBand="0"/>
      </w:tblPr>
      <w:tblGrid>
        <w:gridCol w:w="2136"/>
        <w:gridCol w:w="1656"/>
        <w:gridCol w:w="1656"/>
        <w:gridCol w:w="1656"/>
        <w:gridCol w:w="1656"/>
      </w:tblGrid>
      <w:tr w:rsidR="00DF5CDE" w:rsidRPr="00F86166" w14:paraId="5158E3C8" w14:textId="77777777" w:rsidTr="00F16287">
        <w:tc>
          <w:tcPr>
            <w:tcW w:w="2136" w:type="dxa"/>
            <w:tcBorders>
              <w:top w:val="single" w:sz="4" w:space="0" w:color="auto"/>
              <w:left w:val="nil"/>
              <w:bottom w:val="nil"/>
              <w:right w:val="nil"/>
            </w:tcBorders>
          </w:tcPr>
          <w:p w14:paraId="0C180E9D"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single" w:sz="4" w:space="0" w:color="auto"/>
              <w:left w:val="nil"/>
              <w:bottom w:val="nil"/>
              <w:right w:val="nil"/>
            </w:tcBorders>
          </w:tcPr>
          <w:p w14:paraId="11F55B4E"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w:t>
            </w:r>
          </w:p>
        </w:tc>
        <w:tc>
          <w:tcPr>
            <w:tcW w:w="1656" w:type="dxa"/>
            <w:tcBorders>
              <w:top w:val="single" w:sz="4" w:space="0" w:color="auto"/>
              <w:left w:val="nil"/>
              <w:bottom w:val="nil"/>
              <w:right w:val="nil"/>
            </w:tcBorders>
          </w:tcPr>
          <w:p w14:paraId="0CBC70A4"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w:t>
            </w:r>
          </w:p>
        </w:tc>
        <w:tc>
          <w:tcPr>
            <w:tcW w:w="1656" w:type="dxa"/>
            <w:tcBorders>
              <w:top w:val="single" w:sz="4" w:space="0" w:color="auto"/>
              <w:left w:val="nil"/>
              <w:bottom w:val="nil"/>
              <w:right w:val="nil"/>
            </w:tcBorders>
          </w:tcPr>
          <w:p w14:paraId="343A0AFC"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(3)</w:t>
            </w:r>
          </w:p>
        </w:tc>
        <w:tc>
          <w:tcPr>
            <w:tcW w:w="1656" w:type="dxa"/>
            <w:tcBorders>
              <w:top w:val="single" w:sz="4" w:space="0" w:color="auto"/>
              <w:left w:val="nil"/>
              <w:bottom w:val="nil"/>
              <w:right w:val="nil"/>
            </w:tcBorders>
          </w:tcPr>
          <w:p w14:paraId="31C4435C"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(4)</w:t>
            </w:r>
          </w:p>
        </w:tc>
      </w:tr>
      <w:tr w:rsidR="00DF5CDE" w:rsidRPr="00F86166" w14:paraId="155A9A53" w14:textId="77777777" w:rsidTr="00F16287">
        <w:tc>
          <w:tcPr>
            <w:tcW w:w="2136" w:type="dxa"/>
            <w:tcBorders>
              <w:top w:val="nil"/>
              <w:left w:val="nil"/>
              <w:bottom w:val="nil"/>
              <w:right w:val="nil"/>
            </w:tcBorders>
          </w:tcPr>
          <w:p w14:paraId="5A2754CF"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1ED6B4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Head of Govt. Turnover</w:t>
            </w:r>
          </w:p>
        </w:tc>
        <w:tc>
          <w:tcPr>
            <w:tcW w:w="1656" w:type="dxa"/>
            <w:tcBorders>
              <w:top w:val="nil"/>
              <w:left w:val="nil"/>
              <w:bottom w:val="nil"/>
              <w:right w:val="nil"/>
            </w:tcBorders>
          </w:tcPr>
          <w:p w14:paraId="7C397A13"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Head of State Turnover</w:t>
            </w:r>
          </w:p>
        </w:tc>
        <w:tc>
          <w:tcPr>
            <w:tcW w:w="1656" w:type="dxa"/>
            <w:tcBorders>
              <w:top w:val="nil"/>
              <w:left w:val="nil"/>
              <w:bottom w:val="nil"/>
              <w:right w:val="nil"/>
            </w:tcBorders>
          </w:tcPr>
          <w:p w14:paraId="440D31B3"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Lower House Turnover</w:t>
            </w:r>
          </w:p>
        </w:tc>
        <w:tc>
          <w:tcPr>
            <w:tcW w:w="1656" w:type="dxa"/>
            <w:tcBorders>
              <w:top w:val="nil"/>
              <w:left w:val="nil"/>
              <w:bottom w:val="nil"/>
              <w:right w:val="nil"/>
            </w:tcBorders>
          </w:tcPr>
          <w:p w14:paraId="4938712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Instability Event Indicator</w:t>
            </w:r>
          </w:p>
        </w:tc>
      </w:tr>
      <w:tr w:rsidR="00DF5CDE" w:rsidRPr="00F86166" w14:paraId="43135389" w14:textId="77777777" w:rsidTr="00F16287">
        <w:tc>
          <w:tcPr>
            <w:tcW w:w="2136" w:type="dxa"/>
            <w:tcBorders>
              <w:top w:val="single" w:sz="4" w:space="0" w:color="auto"/>
              <w:left w:val="nil"/>
              <w:bottom w:val="nil"/>
              <w:right w:val="nil"/>
            </w:tcBorders>
          </w:tcPr>
          <w:p w14:paraId="4FDF26DC" w14:textId="14430519"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single" w:sz="4" w:space="0" w:color="auto"/>
              <w:left w:val="nil"/>
              <w:bottom w:val="nil"/>
              <w:right w:val="nil"/>
            </w:tcBorders>
          </w:tcPr>
          <w:p w14:paraId="3EE2B56A"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1A568824"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04B17E63"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284A3D03"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DF5CDE" w:rsidRPr="00F86166" w14:paraId="46FC6598" w14:textId="77777777" w:rsidTr="00F16287">
        <w:tc>
          <w:tcPr>
            <w:tcW w:w="2136" w:type="dxa"/>
            <w:tcBorders>
              <w:top w:val="nil"/>
              <w:left w:val="nil"/>
              <w:bottom w:val="nil"/>
              <w:right w:val="nil"/>
            </w:tcBorders>
          </w:tcPr>
          <w:p w14:paraId="5778987E"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(Lack of) Irregular CB Governor Turnover (higher = more de facto CBI)</w:t>
            </w:r>
          </w:p>
        </w:tc>
        <w:tc>
          <w:tcPr>
            <w:tcW w:w="1656" w:type="dxa"/>
            <w:tcBorders>
              <w:top w:val="nil"/>
              <w:left w:val="nil"/>
              <w:bottom w:val="nil"/>
              <w:right w:val="nil"/>
            </w:tcBorders>
          </w:tcPr>
          <w:p w14:paraId="487EFEE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-0.348</w:t>
            </w:r>
          </w:p>
        </w:tc>
        <w:tc>
          <w:tcPr>
            <w:tcW w:w="1656" w:type="dxa"/>
            <w:tcBorders>
              <w:top w:val="nil"/>
              <w:left w:val="nil"/>
              <w:bottom w:val="nil"/>
              <w:right w:val="nil"/>
            </w:tcBorders>
          </w:tcPr>
          <w:p w14:paraId="4B06AC2E"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-0.158</w:t>
            </w:r>
          </w:p>
        </w:tc>
        <w:tc>
          <w:tcPr>
            <w:tcW w:w="1656" w:type="dxa"/>
            <w:tcBorders>
              <w:top w:val="nil"/>
              <w:left w:val="nil"/>
              <w:bottom w:val="nil"/>
              <w:right w:val="nil"/>
            </w:tcBorders>
          </w:tcPr>
          <w:p w14:paraId="5A0831A2"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-0.587</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0764F44A"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0.132</w:t>
            </w:r>
          </w:p>
        </w:tc>
      </w:tr>
      <w:tr w:rsidR="00DF5CDE" w:rsidRPr="00F86166" w14:paraId="1974BD29" w14:textId="77777777" w:rsidTr="00F16287">
        <w:tc>
          <w:tcPr>
            <w:tcW w:w="2136" w:type="dxa"/>
            <w:tcBorders>
              <w:top w:val="nil"/>
              <w:left w:val="nil"/>
              <w:bottom w:val="nil"/>
              <w:right w:val="nil"/>
            </w:tcBorders>
          </w:tcPr>
          <w:p w14:paraId="5BD24039"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BF6B9E7"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(-1.82)</w:t>
            </w:r>
          </w:p>
        </w:tc>
        <w:tc>
          <w:tcPr>
            <w:tcW w:w="1656" w:type="dxa"/>
            <w:tcBorders>
              <w:top w:val="nil"/>
              <w:left w:val="nil"/>
              <w:bottom w:val="nil"/>
              <w:right w:val="nil"/>
            </w:tcBorders>
          </w:tcPr>
          <w:p w14:paraId="33469BA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(-0.67)</w:t>
            </w:r>
          </w:p>
        </w:tc>
        <w:tc>
          <w:tcPr>
            <w:tcW w:w="1656" w:type="dxa"/>
            <w:tcBorders>
              <w:top w:val="nil"/>
              <w:left w:val="nil"/>
              <w:bottom w:val="nil"/>
              <w:right w:val="nil"/>
            </w:tcBorders>
          </w:tcPr>
          <w:p w14:paraId="36CEFDA3"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(-2.67)</w:t>
            </w:r>
          </w:p>
        </w:tc>
        <w:tc>
          <w:tcPr>
            <w:tcW w:w="1656" w:type="dxa"/>
            <w:tcBorders>
              <w:top w:val="nil"/>
              <w:left w:val="nil"/>
              <w:bottom w:val="nil"/>
              <w:right w:val="nil"/>
            </w:tcBorders>
          </w:tcPr>
          <w:p w14:paraId="3DE51C20"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(0.99)</w:t>
            </w:r>
          </w:p>
        </w:tc>
      </w:tr>
      <w:tr w:rsidR="00DF5CDE" w:rsidRPr="00F86166" w14:paraId="5C8E2CE6" w14:textId="77777777" w:rsidTr="00F16287">
        <w:tc>
          <w:tcPr>
            <w:tcW w:w="2136" w:type="dxa"/>
            <w:tcBorders>
              <w:top w:val="nil"/>
              <w:left w:val="nil"/>
              <w:bottom w:val="nil"/>
              <w:right w:val="nil"/>
            </w:tcBorders>
          </w:tcPr>
          <w:p w14:paraId="2E8996F3"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F70C5EF"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46663F9"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71634ED"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9F95066"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358D0441" w14:textId="77777777" w:rsidTr="00F16287">
        <w:tc>
          <w:tcPr>
            <w:tcW w:w="2136" w:type="dxa"/>
            <w:tcBorders>
              <w:top w:val="nil"/>
              <w:left w:val="nil"/>
              <w:bottom w:val="nil"/>
              <w:right w:val="nil"/>
            </w:tcBorders>
          </w:tcPr>
          <w:p w14:paraId="555D5735"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Exchange Rate Classification (RR inverted, higher = more fixed)</w:t>
            </w:r>
          </w:p>
        </w:tc>
        <w:tc>
          <w:tcPr>
            <w:tcW w:w="1656" w:type="dxa"/>
            <w:tcBorders>
              <w:top w:val="nil"/>
              <w:left w:val="nil"/>
              <w:bottom w:val="nil"/>
              <w:right w:val="nil"/>
            </w:tcBorders>
          </w:tcPr>
          <w:p w14:paraId="78E77C6B"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-0.0127</w:t>
            </w:r>
          </w:p>
        </w:tc>
        <w:tc>
          <w:tcPr>
            <w:tcW w:w="1656" w:type="dxa"/>
            <w:tcBorders>
              <w:top w:val="nil"/>
              <w:left w:val="nil"/>
              <w:bottom w:val="nil"/>
              <w:right w:val="nil"/>
            </w:tcBorders>
          </w:tcPr>
          <w:p w14:paraId="639D11DA"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-0.0611</w:t>
            </w:r>
          </w:p>
        </w:tc>
        <w:tc>
          <w:tcPr>
            <w:tcW w:w="1656" w:type="dxa"/>
            <w:tcBorders>
              <w:top w:val="nil"/>
              <w:left w:val="nil"/>
              <w:bottom w:val="nil"/>
              <w:right w:val="nil"/>
            </w:tcBorders>
          </w:tcPr>
          <w:p w14:paraId="1BC2B123"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0.0407</w:t>
            </w:r>
          </w:p>
        </w:tc>
        <w:tc>
          <w:tcPr>
            <w:tcW w:w="1656" w:type="dxa"/>
            <w:tcBorders>
              <w:top w:val="nil"/>
              <w:left w:val="nil"/>
              <w:bottom w:val="nil"/>
              <w:right w:val="nil"/>
            </w:tcBorders>
          </w:tcPr>
          <w:p w14:paraId="1712567F"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0.0640</w:t>
            </w:r>
          </w:p>
        </w:tc>
      </w:tr>
      <w:tr w:rsidR="00DF5CDE" w:rsidRPr="00F86166" w14:paraId="7310288C" w14:textId="77777777" w:rsidTr="00F16287">
        <w:tc>
          <w:tcPr>
            <w:tcW w:w="2136" w:type="dxa"/>
            <w:tcBorders>
              <w:top w:val="nil"/>
              <w:left w:val="nil"/>
              <w:bottom w:val="nil"/>
              <w:right w:val="nil"/>
            </w:tcBorders>
          </w:tcPr>
          <w:p w14:paraId="7DE8FB57"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DFF2E9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(-0.29)</w:t>
            </w:r>
          </w:p>
        </w:tc>
        <w:tc>
          <w:tcPr>
            <w:tcW w:w="1656" w:type="dxa"/>
            <w:tcBorders>
              <w:top w:val="nil"/>
              <w:left w:val="nil"/>
              <w:bottom w:val="nil"/>
              <w:right w:val="nil"/>
            </w:tcBorders>
          </w:tcPr>
          <w:p w14:paraId="71AC408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(-0.91)</w:t>
            </w:r>
          </w:p>
        </w:tc>
        <w:tc>
          <w:tcPr>
            <w:tcW w:w="1656" w:type="dxa"/>
            <w:tcBorders>
              <w:top w:val="nil"/>
              <w:left w:val="nil"/>
              <w:bottom w:val="nil"/>
              <w:right w:val="nil"/>
            </w:tcBorders>
          </w:tcPr>
          <w:p w14:paraId="78349937"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(0.85)</w:t>
            </w:r>
          </w:p>
        </w:tc>
        <w:tc>
          <w:tcPr>
            <w:tcW w:w="1656" w:type="dxa"/>
            <w:tcBorders>
              <w:top w:val="nil"/>
              <w:left w:val="nil"/>
              <w:bottom w:val="nil"/>
              <w:right w:val="nil"/>
            </w:tcBorders>
          </w:tcPr>
          <w:p w14:paraId="14E6BDE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(1.75)</w:t>
            </w:r>
          </w:p>
        </w:tc>
      </w:tr>
      <w:tr w:rsidR="00DF5CDE" w:rsidRPr="00F86166" w14:paraId="2D7D99FE" w14:textId="77777777" w:rsidTr="00F16287">
        <w:tc>
          <w:tcPr>
            <w:tcW w:w="2136" w:type="dxa"/>
            <w:tcBorders>
              <w:top w:val="nil"/>
              <w:left w:val="nil"/>
              <w:bottom w:val="nil"/>
              <w:right w:val="nil"/>
            </w:tcBorders>
          </w:tcPr>
          <w:p w14:paraId="4DF076B3"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D0683FA"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E01C438"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4D16D3D"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1588F48"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097EFD54" w14:textId="77777777" w:rsidTr="00F16287">
        <w:tc>
          <w:tcPr>
            <w:tcW w:w="2136" w:type="dxa"/>
            <w:tcBorders>
              <w:top w:val="nil"/>
              <w:left w:val="nil"/>
              <w:bottom w:val="nil"/>
              <w:right w:val="nil"/>
            </w:tcBorders>
          </w:tcPr>
          <w:p w14:paraId="46898123"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L.(Lack of) Irregular CB Governor Turnover (higher = more de facto CBI)</w:t>
            </w:r>
          </w:p>
        </w:tc>
        <w:tc>
          <w:tcPr>
            <w:tcW w:w="1656" w:type="dxa"/>
            <w:tcBorders>
              <w:top w:val="nil"/>
              <w:left w:val="nil"/>
              <w:bottom w:val="nil"/>
              <w:right w:val="nil"/>
            </w:tcBorders>
          </w:tcPr>
          <w:p w14:paraId="242BE9B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0.00631</w:t>
            </w:r>
          </w:p>
        </w:tc>
        <w:tc>
          <w:tcPr>
            <w:tcW w:w="1656" w:type="dxa"/>
            <w:tcBorders>
              <w:top w:val="nil"/>
              <w:left w:val="nil"/>
              <w:bottom w:val="nil"/>
              <w:right w:val="nil"/>
            </w:tcBorders>
          </w:tcPr>
          <w:p w14:paraId="43B1EEB1"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0.182</w:t>
            </w:r>
          </w:p>
        </w:tc>
        <w:tc>
          <w:tcPr>
            <w:tcW w:w="1656" w:type="dxa"/>
            <w:tcBorders>
              <w:top w:val="nil"/>
              <w:left w:val="nil"/>
              <w:bottom w:val="nil"/>
              <w:right w:val="nil"/>
            </w:tcBorders>
          </w:tcPr>
          <w:p w14:paraId="1C1ED4A5"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-0.00124</w:t>
            </w:r>
          </w:p>
        </w:tc>
        <w:tc>
          <w:tcPr>
            <w:tcW w:w="1656" w:type="dxa"/>
            <w:tcBorders>
              <w:top w:val="nil"/>
              <w:left w:val="nil"/>
              <w:bottom w:val="nil"/>
              <w:right w:val="nil"/>
            </w:tcBorders>
          </w:tcPr>
          <w:p w14:paraId="65D07756"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0.334</w:t>
            </w:r>
            <w:r w:rsidRPr="00F86166">
              <w:rPr>
                <w:rFonts w:ascii="Times New Roman" w:hAnsi="Times New Roman" w:cs="Times New Roman"/>
                <w:sz w:val="18"/>
                <w:szCs w:val="18"/>
                <w:vertAlign w:val="superscript"/>
              </w:rPr>
              <w:t>*</w:t>
            </w:r>
          </w:p>
        </w:tc>
      </w:tr>
      <w:tr w:rsidR="00DF5CDE" w:rsidRPr="00F86166" w14:paraId="095FDD1D" w14:textId="77777777" w:rsidTr="00F16287">
        <w:tc>
          <w:tcPr>
            <w:tcW w:w="2136" w:type="dxa"/>
            <w:tcBorders>
              <w:top w:val="nil"/>
              <w:left w:val="nil"/>
              <w:bottom w:val="nil"/>
              <w:right w:val="nil"/>
            </w:tcBorders>
          </w:tcPr>
          <w:p w14:paraId="67C9463F"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F98CAB6"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(0.03)</w:t>
            </w:r>
          </w:p>
        </w:tc>
        <w:tc>
          <w:tcPr>
            <w:tcW w:w="1656" w:type="dxa"/>
            <w:tcBorders>
              <w:top w:val="nil"/>
              <w:left w:val="nil"/>
              <w:bottom w:val="nil"/>
              <w:right w:val="nil"/>
            </w:tcBorders>
          </w:tcPr>
          <w:p w14:paraId="13A56A35"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(0.71)</w:t>
            </w:r>
          </w:p>
        </w:tc>
        <w:tc>
          <w:tcPr>
            <w:tcW w:w="1656" w:type="dxa"/>
            <w:tcBorders>
              <w:top w:val="nil"/>
              <w:left w:val="nil"/>
              <w:bottom w:val="nil"/>
              <w:right w:val="nil"/>
            </w:tcBorders>
          </w:tcPr>
          <w:p w14:paraId="4BE82EAC"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(-0.01)</w:t>
            </w:r>
          </w:p>
        </w:tc>
        <w:tc>
          <w:tcPr>
            <w:tcW w:w="1656" w:type="dxa"/>
            <w:tcBorders>
              <w:top w:val="nil"/>
              <w:left w:val="nil"/>
              <w:bottom w:val="nil"/>
              <w:right w:val="nil"/>
            </w:tcBorders>
          </w:tcPr>
          <w:p w14:paraId="255357E6"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(2.41)</w:t>
            </w:r>
          </w:p>
        </w:tc>
      </w:tr>
      <w:tr w:rsidR="00DF5CDE" w:rsidRPr="00F86166" w14:paraId="3E330E9A" w14:textId="77777777" w:rsidTr="00F16287">
        <w:tc>
          <w:tcPr>
            <w:tcW w:w="2136" w:type="dxa"/>
            <w:tcBorders>
              <w:top w:val="nil"/>
              <w:left w:val="nil"/>
              <w:bottom w:val="nil"/>
              <w:right w:val="nil"/>
            </w:tcBorders>
          </w:tcPr>
          <w:p w14:paraId="3DB24ABF"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BEA577A"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82AD835"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EB550E1"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CECA999"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1CC36152" w14:textId="77777777" w:rsidTr="00F16287">
        <w:tc>
          <w:tcPr>
            <w:tcW w:w="2136" w:type="dxa"/>
            <w:tcBorders>
              <w:top w:val="nil"/>
              <w:left w:val="nil"/>
              <w:bottom w:val="nil"/>
              <w:right w:val="nil"/>
            </w:tcBorders>
          </w:tcPr>
          <w:p w14:paraId="47C3F061"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L2.(Lack of) Irregular CB Governor Turnover (higher = more de facto CBI)</w:t>
            </w:r>
          </w:p>
        </w:tc>
        <w:tc>
          <w:tcPr>
            <w:tcW w:w="1656" w:type="dxa"/>
            <w:tcBorders>
              <w:top w:val="nil"/>
              <w:left w:val="nil"/>
              <w:bottom w:val="nil"/>
              <w:right w:val="nil"/>
            </w:tcBorders>
          </w:tcPr>
          <w:p w14:paraId="42E98930"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-0.255</w:t>
            </w:r>
          </w:p>
        </w:tc>
        <w:tc>
          <w:tcPr>
            <w:tcW w:w="1656" w:type="dxa"/>
            <w:tcBorders>
              <w:top w:val="nil"/>
              <w:left w:val="nil"/>
              <w:bottom w:val="nil"/>
              <w:right w:val="nil"/>
            </w:tcBorders>
          </w:tcPr>
          <w:p w14:paraId="1440C903"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-0.534</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146C3203"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-0.373</w:t>
            </w:r>
          </w:p>
        </w:tc>
        <w:tc>
          <w:tcPr>
            <w:tcW w:w="1656" w:type="dxa"/>
            <w:tcBorders>
              <w:top w:val="nil"/>
              <w:left w:val="nil"/>
              <w:bottom w:val="nil"/>
              <w:right w:val="nil"/>
            </w:tcBorders>
          </w:tcPr>
          <w:p w14:paraId="15C7603A"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0.287</w:t>
            </w:r>
          </w:p>
        </w:tc>
      </w:tr>
      <w:tr w:rsidR="00DF5CDE" w:rsidRPr="00F86166" w14:paraId="6E759519" w14:textId="77777777" w:rsidTr="00F16287">
        <w:tc>
          <w:tcPr>
            <w:tcW w:w="2136" w:type="dxa"/>
            <w:tcBorders>
              <w:top w:val="nil"/>
              <w:left w:val="nil"/>
              <w:bottom w:val="nil"/>
              <w:right w:val="nil"/>
            </w:tcBorders>
          </w:tcPr>
          <w:p w14:paraId="0E794EE0"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ED390CF"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(-1.27)</w:t>
            </w:r>
          </w:p>
        </w:tc>
        <w:tc>
          <w:tcPr>
            <w:tcW w:w="1656" w:type="dxa"/>
            <w:tcBorders>
              <w:top w:val="nil"/>
              <w:left w:val="nil"/>
              <w:bottom w:val="nil"/>
              <w:right w:val="nil"/>
            </w:tcBorders>
          </w:tcPr>
          <w:p w14:paraId="75674032"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(-2.14)</w:t>
            </w:r>
          </w:p>
        </w:tc>
        <w:tc>
          <w:tcPr>
            <w:tcW w:w="1656" w:type="dxa"/>
            <w:tcBorders>
              <w:top w:val="nil"/>
              <w:left w:val="nil"/>
              <w:bottom w:val="nil"/>
              <w:right w:val="nil"/>
            </w:tcBorders>
          </w:tcPr>
          <w:p w14:paraId="1516A6B1"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(-1.73)</w:t>
            </w:r>
          </w:p>
        </w:tc>
        <w:tc>
          <w:tcPr>
            <w:tcW w:w="1656" w:type="dxa"/>
            <w:tcBorders>
              <w:top w:val="nil"/>
              <w:left w:val="nil"/>
              <w:bottom w:val="nil"/>
              <w:right w:val="nil"/>
            </w:tcBorders>
          </w:tcPr>
          <w:p w14:paraId="210596C4"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(1.89)</w:t>
            </w:r>
          </w:p>
        </w:tc>
      </w:tr>
      <w:tr w:rsidR="00DF5CDE" w:rsidRPr="00F86166" w14:paraId="31AAB52F" w14:textId="77777777" w:rsidTr="00F16287">
        <w:tc>
          <w:tcPr>
            <w:tcW w:w="2136" w:type="dxa"/>
            <w:tcBorders>
              <w:top w:val="nil"/>
              <w:left w:val="nil"/>
              <w:bottom w:val="nil"/>
              <w:right w:val="nil"/>
            </w:tcBorders>
          </w:tcPr>
          <w:p w14:paraId="2FE5CD41"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E00031E"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1845AD6"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D9D7B6A"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D9469C7"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272184D9" w14:textId="77777777" w:rsidTr="00F16287">
        <w:tc>
          <w:tcPr>
            <w:tcW w:w="2136" w:type="dxa"/>
            <w:tcBorders>
              <w:top w:val="nil"/>
              <w:left w:val="nil"/>
              <w:bottom w:val="nil"/>
              <w:right w:val="nil"/>
            </w:tcBorders>
          </w:tcPr>
          <w:p w14:paraId="7CF5A742"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L3.(Lack of) Irregular CB Governor Turnover (higher = more de facto CBI)</w:t>
            </w:r>
          </w:p>
        </w:tc>
        <w:tc>
          <w:tcPr>
            <w:tcW w:w="1656" w:type="dxa"/>
            <w:tcBorders>
              <w:top w:val="nil"/>
              <w:left w:val="nil"/>
              <w:bottom w:val="nil"/>
              <w:right w:val="nil"/>
            </w:tcBorders>
          </w:tcPr>
          <w:p w14:paraId="771E9159"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-0.146</w:t>
            </w:r>
          </w:p>
        </w:tc>
        <w:tc>
          <w:tcPr>
            <w:tcW w:w="1656" w:type="dxa"/>
            <w:tcBorders>
              <w:top w:val="nil"/>
              <w:left w:val="nil"/>
              <w:bottom w:val="nil"/>
              <w:right w:val="nil"/>
            </w:tcBorders>
          </w:tcPr>
          <w:p w14:paraId="6ABB05A1"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-0.167</w:t>
            </w:r>
          </w:p>
        </w:tc>
        <w:tc>
          <w:tcPr>
            <w:tcW w:w="1656" w:type="dxa"/>
            <w:tcBorders>
              <w:top w:val="nil"/>
              <w:left w:val="nil"/>
              <w:bottom w:val="nil"/>
              <w:right w:val="nil"/>
            </w:tcBorders>
          </w:tcPr>
          <w:p w14:paraId="23D3ECE6"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-0.285</w:t>
            </w:r>
          </w:p>
        </w:tc>
        <w:tc>
          <w:tcPr>
            <w:tcW w:w="1656" w:type="dxa"/>
            <w:tcBorders>
              <w:top w:val="nil"/>
              <w:left w:val="nil"/>
              <w:bottom w:val="nil"/>
              <w:right w:val="nil"/>
            </w:tcBorders>
          </w:tcPr>
          <w:p w14:paraId="1433ED41"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-0.0000299</w:t>
            </w:r>
          </w:p>
        </w:tc>
      </w:tr>
      <w:tr w:rsidR="00DF5CDE" w:rsidRPr="00F86166" w14:paraId="2892A9AE" w14:textId="77777777" w:rsidTr="00F16287">
        <w:tc>
          <w:tcPr>
            <w:tcW w:w="2136" w:type="dxa"/>
            <w:tcBorders>
              <w:top w:val="nil"/>
              <w:left w:val="nil"/>
              <w:bottom w:val="nil"/>
              <w:right w:val="nil"/>
            </w:tcBorders>
          </w:tcPr>
          <w:p w14:paraId="4BF22F14"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504FF97"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(-0.82)</w:t>
            </w:r>
          </w:p>
        </w:tc>
        <w:tc>
          <w:tcPr>
            <w:tcW w:w="1656" w:type="dxa"/>
            <w:tcBorders>
              <w:top w:val="nil"/>
              <w:left w:val="nil"/>
              <w:bottom w:val="nil"/>
              <w:right w:val="nil"/>
            </w:tcBorders>
          </w:tcPr>
          <w:p w14:paraId="4BCDF7DB"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(-0.69)</w:t>
            </w:r>
          </w:p>
        </w:tc>
        <w:tc>
          <w:tcPr>
            <w:tcW w:w="1656" w:type="dxa"/>
            <w:tcBorders>
              <w:top w:val="nil"/>
              <w:left w:val="nil"/>
              <w:bottom w:val="nil"/>
              <w:right w:val="nil"/>
            </w:tcBorders>
          </w:tcPr>
          <w:p w14:paraId="37AA68A5"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(-1.48)</w:t>
            </w:r>
          </w:p>
        </w:tc>
        <w:tc>
          <w:tcPr>
            <w:tcW w:w="1656" w:type="dxa"/>
            <w:tcBorders>
              <w:top w:val="nil"/>
              <w:left w:val="nil"/>
              <w:bottom w:val="nil"/>
              <w:right w:val="nil"/>
            </w:tcBorders>
          </w:tcPr>
          <w:p w14:paraId="1F7D64D9"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(-0.00)</w:t>
            </w:r>
          </w:p>
        </w:tc>
      </w:tr>
      <w:tr w:rsidR="00DF5CDE" w:rsidRPr="00F86166" w14:paraId="04F428A9" w14:textId="77777777" w:rsidTr="00F16287">
        <w:tc>
          <w:tcPr>
            <w:tcW w:w="2136" w:type="dxa"/>
            <w:tcBorders>
              <w:top w:val="nil"/>
              <w:left w:val="nil"/>
              <w:bottom w:val="nil"/>
              <w:right w:val="nil"/>
            </w:tcBorders>
          </w:tcPr>
          <w:p w14:paraId="1D8451AE"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83E2F0A"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49F80A2"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6166CD6"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55A5177"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3170801A" w14:textId="77777777" w:rsidTr="00F16287">
        <w:tc>
          <w:tcPr>
            <w:tcW w:w="2136" w:type="dxa"/>
            <w:tcBorders>
              <w:top w:val="nil"/>
              <w:left w:val="nil"/>
              <w:bottom w:val="nil"/>
              <w:right w:val="nil"/>
            </w:tcBorders>
          </w:tcPr>
          <w:p w14:paraId="25C89A7C"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L4.(Lack of) Irregular CB Governor Turnover (higher = more de facto CBI)</w:t>
            </w:r>
          </w:p>
        </w:tc>
        <w:tc>
          <w:tcPr>
            <w:tcW w:w="1656" w:type="dxa"/>
            <w:tcBorders>
              <w:top w:val="nil"/>
              <w:left w:val="nil"/>
              <w:bottom w:val="nil"/>
              <w:right w:val="nil"/>
            </w:tcBorders>
          </w:tcPr>
          <w:p w14:paraId="1BDB5EA4"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0.126</w:t>
            </w:r>
          </w:p>
        </w:tc>
        <w:tc>
          <w:tcPr>
            <w:tcW w:w="1656" w:type="dxa"/>
            <w:tcBorders>
              <w:top w:val="nil"/>
              <w:left w:val="nil"/>
              <w:bottom w:val="nil"/>
              <w:right w:val="nil"/>
            </w:tcBorders>
          </w:tcPr>
          <w:p w14:paraId="49CA7A04"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-0.0656</w:t>
            </w:r>
          </w:p>
        </w:tc>
        <w:tc>
          <w:tcPr>
            <w:tcW w:w="1656" w:type="dxa"/>
            <w:tcBorders>
              <w:top w:val="nil"/>
              <w:left w:val="nil"/>
              <w:bottom w:val="nil"/>
              <w:right w:val="nil"/>
            </w:tcBorders>
          </w:tcPr>
          <w:p w14:paraId="77B7CD62"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0.377</w:t>
            </w:r>
          </w:p>
        </w:tc>
        <w:tc>
          <w:tcPr>
            <w:tcW w:w="1656" w:type="dxa"/>
            <w:tcBorders>
              <w:top w:val="nil"/>
              <w:left w:val="nil"/>
              <w:bottom w:val="nil"/>
              <w:right w:val="nil"/>
            </w:tcBorders>
          </w:tcPr>
          <w:p w14:paraId="614F11F3"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0.126</w:t>
            </w:r>
          </w:p>
        </w:tc>
      </w:tr>
      <w:tr w:rsidR="00DF5CDE" w:rsidRPr="00F86166" w14:paraId="30829338" w14:textId="77777777" w:rsidTr="00F16287">
        <w:tc>
          <w:tcPr>
            <w:tcW w:w="2136" w:type="dxa"/>
            <w:tcBorders>
              <w:top w:val="nil"/>
              <w:left w:val="nil"/>
              <w:bottom w:val="nil"/>
              <w:right w:val="nil"/>
            </w:tcBorders>
          </w:tcPr>
          <w:p w14:paraId="43EF43B5"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D053D90"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(0.56)</w:t>
            </w:r>
          </w:p>
        </w:tc>
        <w:tc>
          <w:tcPr>
            <w:tcW w:w="1656" w:type="dxa"/>
            <w:tcBorders>
              <w:top w:val="nil"/>
              <w:left w:val="nil"/>
              <w:bottom w:val="nil"/>
              <w:right w:val="nil"/>
            </w:tcBorders>
          </w:tcPr>
          <w:p w14:paraId="5D1789B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(-0.23)</w:t>
            </w:r>
          </w:p>
        </w:tc>
        <w:tc>
          <w:tcPr>
            <w:tcW w:w="1656" w:type="dxa"/>
            <w:tcBorders>
              <w:top w:val="nil"/>
              <w:left w:val="nil"/>
              <w:bottom w:val="nil"/>
              <w:right w:val="nil"/>
            </w:tcBorders>
          </w:tcPr>
          <w:p w14:paraId="6B0BFBF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(1.83)</w:t>
            </w:r>
          </w:p>
        </w:tc>
        <w:tc>
          <w:tcPr>
            <w:tcW w:w="1656" w:type="dxa"/>
            <w:tcBorders>
              <w:top w:val="nil"/>
              <w:left w:val="nil"/>
              <w:bottom w:val="nil"/>
              <w:right w:val="nil"/>
            </w:tcBorders>
          </w:tcPr>
          <w:p w14:paraId="45CEFB11"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(0.83)</w:t>
            </w:r>
          </w:p>
        </w:tc>
      </w:tr>
      <w:tr w:rsidR="00DF5CDE" w:rsidRPr="00F86166" w14:paraId="12C8E052" w14:textId="77777777" w:rsidTr="00F16287">
        <w:tc>
          <w:tcPr>
            <w:tcW w:w="2136" w:type="dxa"/>
            <w:tcBorders>
              <w:top w:val="nil"/>
              <w:left w:val="nil"/>
              <w:bottom w:val="nil"/>
              <w:right w:val="nil"/>
            </w:tcBorders>
          </w:tcPr>
          <w:p w14:paraId="1C568F3B"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FC193A4"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049BFD1"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850621C"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ED093F5"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36970BD7" w14:textId="77777777" w:rsidTr="00F16287">
        <w:tc>
          <w:tcPr>
            <w:tcW w:w="2136" w:type="dxa"/>
            <w:tcBorders>
              <w:top w:val="nil"/>
              <w:left w:val="nil"/>
              <w:bottom w:val="nil"/>
              <w:right w:val="nil"/>
            </w:tcBorders>
          </w:tcPr>
          <w:p w14:paraId="3F5253C0"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L5.(Lack of) Irregular CB Governor Turnover (higher = more de facto CBI)</w:t>
            </w:r>
          </w:p>
        </w:tc>
        <w:tc>
          <w:tcPr>
            <w:tcW w:w="1656" w:type="dxa"/>
            <w:tcBorders>
              <w:top w:val="nil"/>
              <w:left w:val="nil"/>
              <w:bottom w:val="nil"/>
              <w:right w:val="nil"/>
            </w:tcBorders>
          </w:tcPr>
          <w:p w14:paraId="5463BBCC"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0.0601</w:t>
            </w:r>
          </w:p>
        </w:tc>
        <w:tc>
          <w:tcPr>
            <w:tcW w:w="1656" w:type="dxa"/>
            <w:tcBorders>
              <w:top w:val="nil"/>
              <w:left w:val="nil"/>
              <w:bottom w:val="nil"/>
              <w:right w:val="nil"/>
            </w:tcBorders>
          </w:tcPr>
          <w:p w14:paraId="11287327"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-0.187</w:t>
            </w:r>
          </w:p>
        </w:tc>
        <w:tc>
          <w:tcPr>
            <w:tcW w:w="1656" w:type="dxa"/>
            <w:tcBorders>
              <w:top w:val="nil"/>
              <w:left w:val="nil"/>
              <w:bottom w:val="nil"/>
              <w:right w:val="nil"/>
            </w:tcBorders>
          </w:tcPr>
          <w:p w14:paraId="57D6642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0.440</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56CDF75A"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0.113</w:t>
            </w:r>
          </w:p>
        </w:tc>
      </w:tr>
      <w:tr w:rsidR="00DF5CDE" w:rsidRPr="00F86166" w14:paraId="7CD702E2" w14:textId="77777777" w:rsidTr="00F16287">
        <w:tc>
          <w:tcPr>
            <w:tcW w:w="2136" w:type="dxa"/>
            <w:tcBorders>
              <w:top w:val="nil"/>
              <w:left w:val="nil"/>
              <w:bottom w:val="nil"/>
              <w:right w:val="nil"/>
            </w:tcBorders>
          </w:tcPr>
          <w:p w14:paraId="5BAE1045"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FB306C0"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(0.28)</w:t>
            </w:r>
          </w:p>
        </w:tc>
        <w:tc>
          <w:tcPr>
            <w:tcW w:w="1656" w:type="dxa"/>
            <w:tcBorders>
              <w:top w:val="nil"/>
              <w:left w:val="nil"/>
              <w:bottom w:val="nil"/>
              <w:right w:val="nil"/>
            </w:tcBorders>
          </w:tcPr>
          <w:p w14:paraId="5216CBD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(-0.78)</w:t>
            </w:r>
          </w:p>
        </w:tc>
        <w:tc>
          <w:tcPr>
            <w:tcW w:w="1656" w:type="dxa"/>
            <w:tcBorders>
              <w:top w:val="nil"/>
              <w:left w:val="nil"/>
              <w:bottom w:val="nil"/>
              <w:right w:val="nil"/>
            </w:tcBorders>
          </w:tcPr>
          <w:p w14:paraId="4F97CE80"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(2.03)</w:t>
            </w:r>
          </w:p>
        </w:tc>
        <w:tc>
          <w:tcPr>
            <w:tcW w:w="1656" w:type="dxa"/>
            <w:tcBorders>
              <w:top w:val="nil"/>
              <w:left w:val="nil"/>
              <w:bottom w:val="nil"/>
              <w:right w:val="nil"/>
            </w:tcBorders>
          </w:tcPr>
          <w:p w14:paraId="0DD9EFF3"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(0.72)</w:t>
            </w:r>
          </w:p>
        </w:tc>
      </w:tr>
      <w:tr w:rsidR="00DF5CDE" w:rsidRPr="00F86166" w14:paraId="3A500079" w14:textId="77777777" w:rsidTr="00F16287">
        <w:tc>
          <w:tcPr>
            <w:tcW w:w="2136" w:type="dxa"/>
            <w:tcBorders>
              <w:top w:val="nil"/>
              <w:left w:val="nil"/>
              <w:bottom w:val="nil"/>
              <w:right w:val="nil"/>
            </w:tcBorders>
          </w:tcPr>
          <w:p w14:paraId="5F968E7D"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DE52AF3"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BAD8870"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B581A8F"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DFFD30A"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08E26411" w14:textId="77777777" w:rsidTr="00F16287">
        <w:tc>
          <w:tcPr>
            <w:tcW w:w="2136" w:type="dxa"/>
            <w:tcBorders>
              <w:top w:val="nil"/>
              <w:left w:val="nil"/>
              <w:bottom w:val="nil"/>
              <w:right w:val="nil"/>
            </w:tcBorders>
          </w:tcPr>
          <w:p w14:paraId="2A2EF3A1"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 xml:space="preserve">L6.(Lack of) Irregular CB </w:t>
            </w:r>
            <w:r w:rsidRPr="00F86166">
              <w:rPr>
                <w:rFonts w:ascii="Times New Roman" w:hAnsi="Times New Roman" w:cs="Times New Roman"/>
                <w:sz w:val="18"/>
                <w:szCs w:val="18"/>
              </w:rPr>
              <w:lastRenderedPageBreak/>
              <w:t>Governor Turnover (higher = more de facto CBI)</w:t>
            </w:r>
          </w:p>
        </w:tc>
        <w:tc>
          <w:tcPr>
            <w:tcW w:w="1656" w:type="dxa"/>
            <w:tcBorders>
              <w:top w:val="nil"/>
              <w:left w:val="nil"/>
              <w:bottom w:val="nil"/>
              <w:right w:val="nil"/>
            </w:tcBorders>
          </w:tcPr>
          <w:p w14:paraId="664540E0"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lastRenderedPageBreak/>
              <w:t>-0.207</w:t>
            </w:r>
          </w:p>
        </w:tc>
        <w:tc>
          <w:tcPr>
            <w:tcW w:w="1656" w:type="dxa"/>
            <w:tcBorders>
              <w:top w:val="nil"/>
              <w:left w:val="nil"/>
              <w:bottom w:val="nil"/>
              <w:right w:val="nil"/>
            </w:tcBorders>
          </w:tcPr>
          <w:p w14:paraId="09D6C5F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-0.284</w:t>
            </w:r>
          </w:p>
        </w:tc>
        <w:tc>
          <w:tcPr>
            <w:tcW w:w="1656" w:type="dxa"/>
            <w:tcBorders>
              <w:top w:val="nil"/>
              <w:left w:val="nil"/>
              <w:bottom w:val="nil"/>
              <w:right w:val="nil"/>
            </w:tcBorders>
          </w:tcPr>
          <w:p w14:paraId="0F75607C"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-0.186</w:t>
            </w:r>
          </w:p>
        </w:tc>
        <w:tc>
          <w:tcPr>
            <w:tcW w:w="1656" w:type="dxa"/>
            <w:tcBorders>
              <w:top w:val="nil"/>
              <w:left w:val="nil"/>
              <w:bottom w:val="nil"/>
              <w:right w:val="nil"/>
            </w:tcBorders>
          </w:tcPr>
          <w:p w14:paraId="25034107"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0.0587</w:t>
            </w:r>
          </w:p>
        </w:tc>
      </w:tr>
      <w:tr w:rsidR="00DF5CDE" w:rsidRPr="00F86166" w14:paraId="684F564A" w14:textId="77777777" w:rsidTr="00F16287">
        <w:tc>
          <w:tcPr>
            <w:tcW w:w="2136" w:type="dxa"/>
            <w:tcBorders>
              <w:top w:val="nil"/>
              <w:left w:val="nil"/>
              <w:bottom w:val="nil"/>
              <w:right w:val="nil"/>
            </w:tcBorders>
          </w:tcPr>
          <w:p w14:paraId="70258E54"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BD22885"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(-1.18)</w:t>
            </w:r>
          </w:p>
        </w:tc>
        <w:tc>
          <w:tcPr>
            <w:tcW w:w="1656" w:type="dxa"/>
            <w:tcBorders>
              <w:top w:val="nil"/>
              <w:left w:val="nil"/>
              <w:bottom w:val="nil"/>
              <w:right w:val="nil"/>
            </w:tcBorders>
          </w:tcPr>
          <w:p w14:paraId="786967D4"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(-1.20)</w:t>
            </w:r>
          </w:p>
        </w:tc>
        <w:tc>
          <w:tcPr>
            <w:tcW w:w="1656" w:type="dxa"/>
            <w:tcBorders>
              <w:top w:val="nil"/>
              <w:left w:val="nil"/>
              <w:bottom w:val="nil"/>
              <w:right w:val="nil"/>
            </w:tcBorders>
          </w:tcPr>
          <w:p w14:paraId="7EC1376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(-0.88)</w:t>
            </w:r>
          </w:p>
        </w:tc>
        <w:tc>
          <w:tcPr>
            <w:tcW w:w="1656" w:type="dxa"/>
            <w:tcBorders>
              <w:top w:val="nil"/>
              <w:left w:val="nil"/>
              <w:bottom w:val="nil"/>
              <w:right w:val="nil"/>
            </w:tcBorders>
          </w:tcPr>
          <w:p w14:paraId="557799A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(0.38)</w:t>
            </w:r>
          </w:p>
        </w:tc>
      </w:tr>
      <w:tr w:rsidR="00DF5CDE" w:rsidRPr="00F86166" w14:paraId="1AABF151" w14:textId="77777777" w:rsidTr="00F16287">
        <w:tc>
          <w:tcPr>
            <w:tcW w:w="2136" w:type="dxa"/>
            <w:tcBorders>
              <w:top w:val="nil"/>
              <w:left w:val="nil"/>
              <w:bottom w:val="nil"/>
              <w:right w:val="nil"/>
            </w:tcBorders>
          </w:tcPr>
          <w:p w14:paraId="46AE49EC"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756B1EF"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3F4F770"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7C566D2"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B0645AD"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2202CD42" w14:textId="77777777" w:rsidTr="00F16287">
        <w:tc>
          <w:tcPr>
            <w:tcW w:w="2136" w:type="dxa"/>
            <w:tcBorders>
              <w:top w:val="nil"/>
              <w:left w:val="nil"/>
              <w:bottom w:val="nil"/>
              <w:right w:val="nil"/>
            </w:tcBorders>
          </w:tcPr>
          <w:p w14:paraId="51556061"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L7.(Lack of) Irregular CB Governor Turnover (higher = more de facto CBI)</w:t>
            </w:r>
          </w:p>
        </w:tc>
        <w:tc>
          <w:tcPr>
            <w:tcW w:w="1656" w:type="dxa"/>
            <w:tcBorders>
              <w:top w:val="nil"/>
              <w:left w:val="nil"/>
              <w:bottom w:val="nil"/>
              <w:right w:val="nil"/>
            </w:tcBorders>
          </w:tcPr>
          <w:p w14:paraId="535F4CAB"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-0.173</w:t>
            </w:r>
          </w:p>
        </w:tc>
        <w:tc>
          <w:tcPr>
            <w:tcW w:w="1656" w:type="dxa"/>
            <w:tcBorders>
              <w:top w:val="nil"/>
              <w:left w:val="nil"/>
              <w:bottom w:val="nil"/>
              <w:right w:val="nil"/>
            </w:tcBorders>
          </w:tcPr>
          <w:p w14:paraId="0A0D1763"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0.352</w:t>
            </w:r>
          </w:p>
        </w:tc>
        <w:tc>
          <w:tcPr>
            <w:tcW w:w="1656" w:type="dxa"/>
            <w:tcBorders>
              <w:top w:val="nil"/>
              <w:left w:val="nil"/>
              <w:bottom w:val="nil"/>
              <w:right w:val="nil"/>
            </w:tcBorders>
          </w:tcPr>
          <w:p w14:paraId="3346ED95"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-0.342</w:t>
            </w:r>
          </w:p>
        </w:tc>
        <w:tc>
          <w:tcPr>
            <w:tcW w:w="1656" w:type="dxa"/>
            <w:tcBorders>
              <w:top w:val="nil"/>
              <w:left w:val="nil"/>
              <w:bottom w:val="nil"/>
              <w:right w:val="nil"/>
            </w:tcBorders>
          </w:tcPr>
          <w:p w14:paraId="431544F2"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0.128</w:t>
            </w:r>
          </w:p>
        </w:tc>
      </w:tr>
      <w:tr w:rsidR="00DF5CDE" w:rsidRPr="00F86166" w14:paraId="34EE4AD4" w14:textId="77777777" w:rsidTr="00F16287">
        <w:tc>
          <w:tcPr>
            <w:tcW w:w="2136" w:type="dxa"/>
            <w:tcBorders>
              <w:top w:val="nil"/>
              <w:left w:val="nil"/>
              <w:bottom w:val="nil"/>
              <w:right w:val="nil"/>
            </w:tcBorders>
          </w:tcPr>
          <w:p w14:paraId="6089328B"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A64E8F9"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(-0.85)</w:t>
            </w:r>
          </w:p>
        </w:tc>
        <w:tc>
          <w:tcPr>
            <w:tcW w:w="1656" w:type="dxa"/>
            <w:tcBorders>
              <w:top w:val="nil"/>
              <w:left w:val="nil"/>
              <w:bottom w:val="nil"/>
              <w:right w:val="nil"/>
            </w:tcBorders>
          </w:tcPr>
          <w:p w14:paraId="5C4A5034"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(1.52)</w:t>
            </w:r>
          </w:p>
        </w:tc>
        <w:tc>
          <w:tcPr>
            <w:tcW w:w="1656" w:type="dxa"/>
            <w:tcBorders>
              <w:top w:val="nil"/>
              <w:left w:val="nil"/>
              <w:bottom w:val="nil"/>
              <w:right w:val="nil"/>
            </w:tcBorders>
          </w:tcPr>
          <w:p w14:paraId="29F3BA20"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(-1.50)</w:t>
            </w:r>
          </w:p>
        </w:tc>
        <w:tc>
          <w:tcPr>
            <w:tcW w:w="1656" w:type="dxa"/>
            <w:tcBorders>
              <w:top w:val="nil"/>
              <w:left w:val="nil"/>
              <w:bottom w:val="nil"/>
              <w:right w:val="nil"/>
            </w:tcBorders>
          </w:tcPr>
          <w:p w14:paraId="0638324C"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(0.78)</w:t>
            </w:r>
          </w:p>
        </w:tc>
      </w:tr>
      <w:tr w:rsidR="00DF5CDE" w:rsidRPr="00F86166" w14:paraId="44F0D779" w14:textId="77777777" w:rsidTr="00F16287">
        <w:tc>
          <w:tcPr>
            <w:tcW w:w="2136" w:type="dxa"/>
            <w:tcBorders>
              <w:top w:val="nil"/>
              <w:left w:val="nil"/>
              <w:bottom w:val="nil"/>
              <w:right w:val="nil"/>
            </w:tcBorders>
          </w:tcPr>
          <w:p w14:paraId="34B969DA"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81EAAEF"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B906B63"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E74A9A1"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C9C5835"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0FC40283" w14:textId="77777777" w:rsidTr="00F16287">
        <w:tc>
          <w:tcPr>
            <w:tcW w:w="2136" w:type="dxa"/>
            <w:tcBorders>
              <w:top w:val="nil"/>
              <w:left w:val="nil"/>
              <w:bottom w:val="nil"/>
              <w:right w:val="nil"/>
            </w:tcBorders>
          </w:tcPr>
          <w:p w14:paraId="66871E49"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L8.(Lack of) Irregular CB Governor Turnover (higher = more de facto CBI)</w:t>
            </w:r>
          </w:p>
        </w:tc>
        <w:tc>
          <w:tcPr>
            <w:tcW w:w="1656" w:type="dxa"/>
            <w:tcBorders>
              <w:top w:val="nil"/>
              <w:left w:val="nil"/>
              <w:bottom w:val="nil"/>
              <w:right w:val="nil"/>
            </w:tcBorders>
          </w:tcPr>
          <w:p w14:paraId="68A1D4D9"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-0.0401</w:t>
            </w:r>
          </w:p>
        </w:tc>
        <w:tc>
          <w:tcPr>
            <w:tcW w:w="1656" w:type="dxa"/>
            <w:tcBorders>
              <w:top w:val="nil"/>
              <w:left w:val="nil"/>
              <w:bottom w:val="nil"/>
              <w:right w:val="nil"/>
            </w:tcBorders>
          </w:tcPr>
          <w:p w14:paraId="236F6C1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0.537</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049361D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-0.137</w:t>
            </w:r>
          </w:p>
        </w:tc>
        <w:tc>
          <w:tcPr>
            <w:tcW w:w="1656" w:type="dxa"/>
            <w:tcBorders>
              <w:top w:val="nil"/>
              <w:left w:val="nil"/>
              <w:bottom w:val="nil"/>
              <w:right w:val="nil"/>
            </w:tcBorders>
          </w:tcPr>
          <w:p w14:paraId="251E2025"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-0.129</w:t>
            </w:r>
          </w:p>
        </w:tc>
      </w:tr>
      <w:tr w:rsidR="00DF5CDE" w:rsidRPr="00F86166" w14:paraId="4EAA46A3" w14:textId="77777777" w:rsidTr="00F16287">
        <w:tc>
          <w:tcPr>
            <w:tcW w:w="2136" w:type="dxa"/>
            <w:tcBorders>
              <w:top w:val="nil"/>
              <w:left w:val="nil"/>
              <w:bottom w:val="nil"/>
              <w:right w:val="nil"/>
            </w:tcBorders>
          </w:tcPr>
          <w:p w14:paraId="6DA1119C"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72D8C73"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(-0.22)</w:t>
            </w:r>
          </w:p>
        </w:tc>
        <w:tc>
          <w:tcPr>
            <w:tcW w:w="1656" w:type="dxa"/>
            <w:tcBorders>
              <w:top w:val="nil"/>
              <w:left w:val="nil"/>
              <w:bottom w:val="nil"/>
              <w:right w:val="nil"/>
            </w:tcBorders>
          </w:tcPr>
          <w:p w14:paraId="0971FE82"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(2.10)</w:t>
            </w:r>
          </w:p>
        </w:tc>
        <w:tc>
          <w:tcPr>
            <w:tcW w:w="1656" w:type="dxa"/>
            <w:tcBorders>
              <w:top w:val="nil"/>
              <w:left w:val="nil"/>
              <w:bottom w:val="nil"/>
              <w:right w:val="nil"/>
            </w:tcBorders>
          </w:tcPr>
          <w:p w14:paraId="753D75D3"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(-0.64)</w:t>
            </w:r>
          </w:p>
        </w:tc>
        <w:tc>
          <w:tcPr>
            <w:tcW w:w="1656" w:type="dxa"/>
            <w:tcBorders>
              <w:top w:val="nil"/>
              <w:left w:val="nil"/>
              <w:bottom w:val="nil"/>
              <w:right w:val="nil"/>
            </w:tcBorders>
          </w:tcPr>
          <w:p w14:paraId="51DE0D1F"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(-0.92)</w:t>
            </w:r>
          </w:p>
        </w:tc>
      </w:tr>
      <w:tr w:rsidR="00DF5CDE" w:rsidRPr="00F86166" w14:paraId="4E8F90F4" w14:textId="77777777" w:rsidTr="00F16287">
        <w:tc>
          <w:tcPr>
            <w:tcW w:w="2136" w:type="dxa"/>
            <w:tcBorders>
              <w:top w:val="nil"/>
              <w:left w:val="nil"/>
              <w:bottom w:val="nil"/>
              <w:right w:val="nil"/>
            </w:tcBorders>
          </w:tcPr>
          <w:p w14:paraId="7564B606"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3A80A14"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0976B85"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C04A761"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9961AD1"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6CDF6045" w14:textId="77777777" w:rsidTr="00F16287">
        <w:tc>
          <w:tcPr>
            <w:tcW w:w="2136" w:type="dxa"/>
            <w:tcBorders>
              <w:top w:val="nil"/>
              <w:left w:val="nil"/>
              <w:bottom w:val="nil"/>
              <w:right w:val="nil"/>
            </w:tcBorders>
          </w:tcPr>
          <w:p w14:paraId="74B8AFFD"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L9.(Lack of) Irregular CB Governor Turnover (higher = more de facto CBI)</w:t>
            </w:r>
          </w:p>
        </w:tc>
        <w:tc>
          <w:tcPr>
            <w:tcW w:w="1656" w:type="dxa"/>
            <w:tcBorders>
              <w:top w:val="nil"/>
              <w:left w:val="nil"/>
              <w:bottom w:val="nil"/>
              <w:right w:val="nil"/>
            </w:tcBorders>
          </w:tcPr>
          <w:p w14:paraId="6C446475"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-0.182</w:t>
            </w:r>
          </w:p>
        </w:tc>
        <w:tc>
          <w:tcPr>
            <w:tcW w:w="1656" w:type="dxa"/>
            <w:tcBorders>
              <w:top w:val="nil"/>
              <w:left w:val="nil"/>
              <w:bottom w:val="nil"/>
              <w:right w:val="nil"/>
            </w:tcBorders>
          </w:tcPr>
          <w:p w14:paraId="16CEDDE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-0.603</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1923DB6F"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-0.344</w:t>
            </w:r>
          </w:p>
        </w:tc>
        <w:tc>
          <w:tcPr>
            <w:tcW w:w="1656" w:type="dxa"/>
            <w:tcBorders>
              <w:top w:val="nil"/>
              <w:left w:val="nil"/>
              <w:bottom w:val="nil"/>
              <w:right w:val="nil"/>
            </w:tcBorders>
          </w:tcPr>
          <w:p w14:paraId="0FA5F61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-0.00596</w:t>
            </w:r>
          </w:p>
        </w:tc>
      </w:tr>
      <w:tr w:rsidR="00DF5CDE" w:rsidRPr="00F86166" w14:paraId="4ACC3E75" w14:textId="77777777" w:rsidTr="00F16287">
        <w:tc>
          <w:tcPr>
            <w:tcW w:w="2136" w:type="dxa"/>
            <w:tcBorders>
              <w:top w:val="nil"/>
              <w:left w:val="nil"/>
              <w:bottom w:val="nil"/>
              <w:right w:val="nil"/>
            </w:tcBorders>
          </w:tcPr>
          <w:p w14:paraId="507D1793"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9FE3A71"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(-0.81)</w:t>
            </w:r>
          </w:p>
        </w:tc>
        <w:tc>
          <w:tcPr>
            <w:tcW w:w="1656" w:type="dxa"/>
            <w:tcBorders>
              <w:top w:val="nil"/>
              <w:left w:val="nil"/>
              <w:bottom w:val="nil"/>
              <w:right w:val="nil"/>
            </w:tcBorders>
          </w:tcPr>
          <w:p w14:paraId="5914EB4C"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(-2.12)</w:t>
            </w:r>
          </w:p>
        </w:tc>
        <w:tc>
          <w:tcPr>
            <w:tcW w:w="1656" w:type="dxa"/>
            <w:tcBorders>
              <w:top w:val="nil"/>
              <w:left w:val="nil"/>
              <w:bottom w:val="nil"/>
              <w:right w:val="nil"/>
            </w:tcBorders>
          </w:tcPr>
          <w:p w14:paraId="1293B22E"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(-1.65)</w:t>
            </w:r>
          </w:p>
        </w:tc>
        <w:tc>
          <w:tcPr>
            <w:tcW w:w="1656" w:type="dxa"/>
            <w:tcBorders>
              <w:top w:val="nil"/>
              <w:left w:val="nil"/>
              <w:bottom w:val="nil"/>
              <w:right w:val="nil"/>
            </w:tcBorders>
          </w:tcPr>
          <w:p w14:paraId="472753F2"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(-0.04)</w:t>
            </w:r>
          </w:p>
        </w:tc>
      </w:tr>
      <w:tr w:rsidR="00DF5CDE" w:rsidRPr="00F86166" w14:paraId="1318821F" w14:textId="77777777" w:rsidTr="00F16287">
        <w:tc>
          <w:tcPr>
            <w:tcW w:w="2136" w:type="dxa"/>
            <w:tcBorders>
              <w:top w:val="nil"/>
              <w:left w:val="nil"/>
              <w:bottom w:val="nil"/>
              <w:right w:val="nil"/>
            </w:tcBorders>
          </w:tcPr>
          <w:p w14:paraId="1884FCA7"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0DD4698"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3EA0A57"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49B6C45"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995638B"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0526450E" w14:textId="77777777" w:rsidTr="00F16287">
        <w:tc>
          <w:tcPr>
            <w:tcW w:w="2136" w:type="dxa"/>
            <w:tcBorders>
              <w:top w:val="nil"/>
              <w:left w:val="nil"/>
              <w:bottom w:val="nil"/>
              <w:right w:val="nil"/>
            </w:tcBorders>
          </w:tcPr>
          <w:p w14:paraId="2E44A2B3"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L10.(Lack of) Irregular CB Governor Turnover (higher = more de facto CBI)</w:t>
            </w:r>
          </w:p>
        </w:tc>
        <w:tc>
          <w:tcPr>
            <w:tcW w:w="1656" w:type="dxa"/>
            <w:tcBorders>
              <w:top w:val="nil"/>
              <w:left w:val="nil"/>
              <w:bottom w:val="nil"/>
              <w:right w:val="nil"/>
            </w:tcBorders>
          </w:tcPr>
          <w:p w14:paraId="1A2272CA"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-0.0976</w:t>
            </w:r>
          </w:p>
        </w:tc>
        <w:tc>
          <w:tcPr>
            <w:tcW w:w="1656" w:type="dxa"/>
            <w:tcBorders>
              <w:top w:val="nil"/>
              <w:left w:val="nil"/>
              <w:bottom w:val="nil"/>
              <w:right w:val="nil"/>
            </w:tcBorders>
          </w:tcPr>
          <w:p w14:paraId="369A66FB"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-0.556</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5C6D7C7B"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-0.286</w:t>
            </w:r>
          </w:p>
        </w:tc>
        <w:tc>
          <w:tcPr>
            <w:tcW w:w="1656" w:type="dxa"/>
            <w:tcBorders>
              <w:top w:val="nil"/>
              <w:left w:val="nil"/>
              <w:bottom w:val="nil"/>
              <w:right w:val="nil"/>
            </w:tcBorders>
          </w:tcPr>
          <w:p w14:paraId="6F4D579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0.0689</w:t>
            </w:r>
          </w:p>
        </w:tc>
      </w:tr>
      <w:tr w:rsidR="00DF5CDE" w:rsidRPr="00F86166" w14:paraId="5F466B26" w14:textId="77777777" w:rsidTr="00F16287">
        <w:tc>
          <w:tcPr>
            <w:tcW w:w="2136" w:type="dxa"/>
            <w:tcBorders>
              <w:top w:val="nil"/>
              <w:left w:val="nil"/>
              <w:bottom w:val="nil"/>
              <w:right w:val="nil"/>
            </w:tcBorders>
          </w:tcPr>
          <w:p w14:paraId="2833CDAE"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6664A66"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(-0.47)</w:t>
            </w:r>
          </w:p>
        </w:tc>
        <w:tc>
          <w:tcPr>
            <w:tcW w:w="1656" w:type="dxa"/>
            <w:tcBorders>
              <w:top w:val="nil"/>
              <w:left w:val="nil"/>
              <w:bottom w:val="nil"/>
              <w:right w:val="nil"/>
            </w:tcBorders>
          </w:tcPr>
          <w:p w14:paraId="7D41221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(-2.07)</w:t>
            </w:r>
          </w:p>
        </w:tc>
        <w:tc>
          <w:tcPr>
            <w:tcW w:w="1656" w:type="dxa"/>
            <w:tcBorders>
              <w:top w:val="nil"/>
              <w:left w:val="nil"/>
              <w:bottom w:val="nil"/>
              <w:right w:val="nil"/>
            </w:tcBorders>
          </w:tcPr>
          <w:p w14:paraId="46C6A46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(-1.44)</w:t>
            </w:r>
          </w:p>
        </w:tc>
        <w:tc>
          <w:tcPr>
            <w:tcW w:w="1656" w:type="dxa"/>
            <w:tcBorders>
              <w:top w:val="nil"/>
              <w:left w:val="nil"/>
              <w:bottom w:val="nil"/>
              <w:right w:val="nil"/>
            </w:tcBorders>
          </w:tcPr>
          <w:p w14:paraId="4D9EC70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(0.50)</w:t>
            </w:r>
          </w:p>
        </w:tc>
      </w:tr>
      <w:tr w:rsidR="00DF5CDE" w:rsidRPr="00F86166" w14:paraId="713631E6" w14:textId="77777777" w:rsidTr="00F16287">
        <w:tc>
          <w:tcPr>
            <w:tcW w:w="2136" w:type="dxa"/>
            <w:tcBorders>
              <w:top w:val="nil"/>
              <w:left w:val="nil"/>
              <w:bottom w:val="nil"/>
              <w:right w:val="nil"/>
            </w:tcBorders>
          </w:tcPr>
          <w:p w14:paraId="2B898A91"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6959685"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3BC4ED9"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A29AF34"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C332599"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3732A8A8" w14:textId="77777777" w:rsidTr="00F16287">
        <w:tc>
          <w:tcPr>
            <w:tcW w:w="2136" w:type="dxa"/>
            <w:tcBorders>
              <w:top w:val="nil"/>
              <w:left w:val="nil"/>
              <w:bottom w:val="nil"/>
              <w:right w:val="nil"/>
            </w:tcBorders>
          </w:tcPr>
          <w:p w14:paraId="47254428"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roofErr w:type="spellStart"/>
            <w:r w:rsidRPr="00F86166">
              <w:rPr>
                <w:rFonts w:ascii="Times New Roman" w:hAnsi="Times New Roman" w:cs="Times New Roman"/>
                <w:sz w:val="18"/>
                <w:szCs w:val="18"/>
              </w:rPr>
              <w:t>L.Exchange</w:t>
            </w:r>
            <w:proofErr w:type="spellEnd"/>
            <w:r w:rsidRPr="00F86166">
              <w:rPr>
                <w:rFonts w:ascii="Times New Roman" w:hAnsi="Times New Roman" w:cs="Times New Roman"/>
                <w:sz w:val="18"/>
                <w:szCs w:val="18"/>
              </w:rPr>
              <w:t xml:space="preserve"> Rate Classification (RR inverted, higher = more fixed)</w:t>
            </w:r>
          </w:p>
        </w:tc>
        <w:tc>
          <w:tcPr>
            <w:tcW w:w="1656" w:type="dxa"/>
            <w:tcBorders>
              <w:top w:val="nil"/>
              <w:left w:val="nil"/>
              <w:bottom w:val="nil"/>
              <w:right w:val="nil"/>
            </w:tcBorders>
          </w:tcPr>
          <w:p w14:paraId="7BB49941"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0.00765</w:t>
            </w:r>
          </w:p>
        </w:tc>
        <w:tc>
          <w:tcPr>
            <w:tcW w:w="1656" w:type="dxa"/>
            <w:tcBorders>
              <w:top w:val="nil"/>
              <w:left w:val="nil"/>
              <w:bottom w:val="nil"/>
              <w:right w:val="nil"/>
            </w:tcBorders>
          </w:tcPr>
          <w:p w14:paraId="5A6853F0"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0.0272</w:t>
            </w:r>
          </w:p>
        </w:tc>
        <w:tc>
          <w:tcPr>
            <w:tcW w:w="1656" w:type="dxa"/>
            <w:tcBorders>
              <w:top w:val="nil"/>
              <w:left w:val="nil"/>
              <w:bottom w:val="nil"/>
              <w:right w:val="nil"/>
            </w:tcBorders>
          </w:tcPr>
          <w:p w14:paraId="6F690BCE"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-0.0396</w:t>
            </w:r>
          </w:p>
        </w:tc>
        <w:tc>
          <w:tcPr>
            <w:tcW w:w="1656" w:type="dxa"/>
            <w:tcBorders>
              <w:top w:val="nil"/>
              <w:left w:val="nil"/>
              <w:bottom w:val="nil"/>
              <w:right w:val="nil"/>
            </w:tcBorders>
          </w:tcPr>
          <w:p w14:paraId="2BF6D413"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0.0311</w:t>
            </w:r>
            <w:r w:rsidRPr="00F86166">
              <w:rPr>
                <w:rFonts w:ascii="Times New Roman" w:hAnsi="Times New Roman" w:cs="Times New Roman"/>
                <w:sz w:val="18"/>
                <w:szCs w:val="18"/>
                <w:vertAlign w:val="superscript"/>
              </w:rPr>
              <w:t>*</w:t>
            </w:r>
          </w:p>
        </w:tc>
      </w:tr>
      <w:tr w:rsidR="00DF5CDE" w:rsidRPr="00F86166" w14:paraId="39BA23C3" w14:textId="77777777" w:rsidTr="00F16287">
        <w:tc>
          <w:tcPr>
            <w:tcW w:w="2136" w:type="dxa"/>
            <w:tcBorders>
              <w:top w:val="nil"/>
              <w:left w:val="nil"/>
              <w:bottom w:val="nil"/>
              <w:right w:val="nil"/>
            </w:tcBorders>
          </w:tcPr>
          <w:p w14:paraId="2D7D0103"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F9C8A9C"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(0.14)</w:t>
            </w:r>
          </w:p>
        </w:tc>
        <w:tc>
          <w:tcPr>
            <w:tcW w:w="1656" w:type="dxa"/>
            <w:tcBorders>
              <w:top w:val="nil"/>
              <w:left w:val="nil"/>
              <w:bottom w:val="nil"/>
              <w:right w:val="nil"/>
            </w:tcBorders>
          </w:tcPr>
          <w:p w14:paraId="237E5731"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(0.28)</w:t>
            </w:r>
          </w:p>
        </w:tc>
        <w:tc>
          <w:tcPr>
            <w:tcW w:w="1656" w:type="dxa"/>
            <w:tcBorders>
              <w:top w:val="nil"/>
              <w:left w:val="nil"/>
              <w:bottom w:val="nil"/>
              <w:right w:val="nil"/>
            </w:tcBorders>
          </w:tcPr>
          <w:p w14:paraId="40E3C872"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(-0.91)</w:t>
            </w:r>
          </w:p>
        </w:tc>
        <w:tc>
          <w:tcPr>
            <w:tcW w:w="1656" w:type="dxa"/>
            <w:tcBorders>
              <w:top w:val="nil"/>
              <w:left w:val="nil"/>
              <w:bottom w:val="nil"/>
              <w:right w:val="nil"/>
            </w:tcBorders>
          </w:tcPr>
          <w:p w14:paraId="7D8D887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(2.07)</w:t>
            </w:r>
          </w:p>
        </w:tc>
      </w:tr>
      <w:tr w:rsidR="00DF5CDE" w:rsidRPr="00F86166" w14:paraId="6710D5CA" w14:textId="77777777" w:rsidTr="00F16287">
        <w:tc>
          <w:tcPr>
            <w:tcW w:w="2136" w:type="dxa"/>
            <w:tcBorders>
              <w:top w:val="nil"/>
              <w:left w:val="nil"/>
              <w:bottom w:val="nil"/>
              <w:right w:val="nil"/>
            </w:tcBorders>
          </w:tcPr>
          <w:p w14:paraId="34FACF86"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4F81FCC"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DE89FF7"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04D8BD1"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9F99689"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72954A3E" w14:textId="77777777" w:rsidTr="00F16287">
        <w:tc>
          <w:tcPr>
            <w:tcW w:w="2136" w:type="dxa"/>
            <w:tcBorders>
              <w:top w:val="nil"/>
              <w:left w:val="nil"/>
              <w:bottom w:val="nil"/>
              <w:right w:val="nil"/>
            </w:tcBorders>
          </w:tcPr>
          <w:p w14:paraId="0BE6A64A"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L2.Exchange Rate Classification (RR inverted, higher = more fixed)</w:t>
            </w:r>
          </w:p>
        </w:tc>
        <w:tc>
          <w:tcPr>
            <w:tcW w:w="1656" w:type="dxa"/>
            <w:tcBorders>
              <w:top w:val="nil"/>
              <w:left w:val="nil"/>
              <w:bottom w:val="nil"/>
              <w:right w:val="nil"/>
            </w:tcBorders>
          </w:tcPr>
          <w:p w14:paraId="2A861AAF"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-0.00483</w:t>
            </w:r>
          </w:p>
        </w:tc>
        <w:tc>
          <w:tcPr>
            <w:tcW w:w="1656" w:type="dxa"/>
            <w:tcBorders>
              <w:top w:val="nil"/>
              <w:left w:val="nil"/>
              <w:bottom w:val="nil"/>
              <w:right w:val="nil"/>
            </w:tcBorders>
          </w:tcPr>
          <w:p w14:paraId="75BA6F15"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-0.0419</w:t>
            </w:r>
          </w:p>
        </w:tc>
        <w:tc>
          <w:tcPr>
            <w:tcW w:w="1656" w:type="dxa"/>
            <w:tcBorders>
              <w:top w:val="nil"/>
              <w:left w:val="nil"/>
              <w:bottom w:val="nil"/>
              <w:right w:val="nil"/>
            </w:tcBorders>
          </w:tcPr>
          <w:p w14:paraId="0C446BB9"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0.0158</w:t>
            </w:r>
          </w:p>
        </w:tc>
        <w:tc>
          <w:tcPr>
            <w:tcW w:w="1656" w:type="dxa"/>
            <w:tcBorders>
              <w:top w:val="nil"/>
              <w:left w:val="nil"/>
              <w:bottom w:val="nil"/>
              <w:right w:val="nil"/>
            </w:tcBorders>
          </w:tcPr>
          <w:p w14:paraId="37E54BAF"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0.0379</w:t>
            </w:r>
            <w:r w:rsidRPr="00F86166">
              <w:rPr>
                <w:rFonts w:ascii="Times New Roman" w:hAnsi="Times New Roman" w:cs="Times New Roman"/>
                <w:sz w:val="18"/>
                <w:szCs w:val="18"/>
                <w:vertAlign w:val="superscript"/>
              </w:rPr>
              <w:t>*</w:t>
            </w:r>
          </w:p>
        </w:tc>
      </w:tr>
      <w:tr w:rsidR="00DF5CDE" w:rsidRPr="00F86166" w14:paraId="173B3B22" w14:textId="77777777" w:rsidTr="00F16287">
        <w:tc>
          <w:tcPr>
            <w:tcW w:w="2136" w:type="dxa"/>
            <w:tcBorders>
              <w:top w:val="nil"/>
              <w:left w:val="nil"/>
              <w:bottom w:val="nil"/>
              <w:right w:val="nil"/>
            </w:tcBorders>
          </w:tcPr>
          <w:p w14:paraId="644E2C46"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6056E1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(-0.08)</w:t>
            </w:r>
          </w:p>
        </w:tc>
        <w:tc>
          <w:tcPr>
            <w:tcW w:w="1656" w:type="dxa"/>
            <w:tcBorders>
              <w:top w:val="nil"/>
              <w:left w:val="nil"/>
              <w:bottom w:val="nil"/>
              <w:right w:val="nil"/>
            </w:tcBorders>
          </w:tcPr>
          <w:p w14:paraId="395D6171"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(-0.55)</w:t>
            </w:r>
          </w:p>
        </w:tc>
        <w:tc>
          <w:tcPr>
            <w:tcW w:w="1656" w:type="dxa"/>
            <w:tcBorders>
              <w:top w:val="nil"/>
              <w:left w:val="nil"/>
              <w:bottom w:val="nil"/>
              <w:right w:val="nil"/>
            </w:tcBorders>
          </w:tcPr>
          <w:p w14:paraId="4E6FF3E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(0.41)</w:t>
            </w:r>
          </w:p>
        </w:tc>
        <w:tc>
          <w:tcPr>
            <w:tcW w:w="1656" w:type="dxa"/>
            <w:tcBorders>
              <w:top w:val="nil"/>
              <w:left w:val="nil"/>
              <w:bottom w:val="nil"/>
              <w:right w:val="nil"/>
            </w:tcBorders>
          </w:tcPr>
          <w:p w14:paraId="37ECEC8A"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(2.01)</w:t>
            </w:r>
          </w:p>
        </w:tc>
      </w:tr>
      <w:tr w:rsidR="00DF5CDE" w:rsidRPr="00F86166" w14:paraId="18A36957" w14:textId="77777777" w:rsidTr="00F16287">
        <w:tc>
          <w:tcPr>
            <w:tcW w:w="2136" w:type="dxa"/>
            <w:tcBorders>
              <w:top w:val="nil"/>
              <w:left w:val="nil"/>
              <w:bottom w:val="nil"/>
              <w:right w:val="nil"/>
            </w:tcBorders>
          </w:tcPr>
          <w:p w14:paraId="56584863"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3DDF148"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47E1F89"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58CB671"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23FE790"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5361D166" w14:textId="77777777" w:rsidTr="00F16287">
        <w:tc>
          <w:tcPr>
            <w:tcW w:w="2136" w:type="dxa"/>
            <w:tcBorders>
              <w:top w:val="nil"/>
              <w:left w:val="nil"/>
              <w:bottom w:val="nil"/>
              <w:right w:val="nil"/>
            </w:tcBorders>
          </w:tcPr>
          <w:p w14:paraId="500CE2FB"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L3.Exchange Rate Classification (RR inverted, higher = more fixed)</w:t>
            </w:r>
          </w:p>
        </w:tc>
        <w:tc>
          <w:tcPr>
            <w:tcW w:w="1656" w:type="dxa"/>
            <w:tcBorders>
              <w:top w:val="nil"/>
              <w:left w:val="nil"/>
              <w:bottom w:val="nil"/>
              <w:right w:val="nil"/>
            </w:tcBorders>
          </w:tcPr>
          <w:p w14:paraId="196C8FC0"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-0.0513</w:t>
            </w:r>
          </w:p>
        </w:tc>
        <w:tc>
          <w:tcPr>
            <w:tcW w:w="1656" w:type="dxa"/>
            <w:tcBorders>
              <w:top w:val="nil"/>
              <w:left w:val="nil"/>
              <w:bottom w:val="nil"/>
              <w:right w:val="nil"/>
            </w:tcBorders>
          </w:tcPr>
          <w:p w14:paraId="74D3870C"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0.0209</w:t>
            </w:r>
          </w:p>
        </w:tc>
        <w:tc>
          <w:tcPr>
            <w:tcW w:w="1656" w:type="dxa"/>
            <w:tcBorders>
              <w:top w:val="nil"/>
              <w:left w:val="nil"/>
              <w:bottom w:val="nil"/>
              <w:right w:val="nil"/>
            </w:tcBorders>
          </w:tcPr>
          <w:p w14:paraId="71F0D071"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-0.0120</w:t>
            </w:r>
          </w:p>
        </w:tc>
        <w:tc>
          <w:tcPr>
            <w:tcW w:w="1656" w:type="dxa"/>
            <w:tcBorders>
              <w:top w:val="nil"/>
              <w:left w:val="nil"/>
              <w:bottom w:val="nil"/>
              <w:right w:val="nil"/>
            </w:tcBorders>
          </w:tcPr>
          <w:p w14:paraId="3E796D45"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-0.0252</w:t>
            </w:r>
          </w:p>
        </w:tc>
      </w:tr>
      <w:tr w:rsidR="00DF5CDE" w:rsidRPr="00F86166" w14:paraId="1E122F38" w14:textId="77777777" w:rsidTr="00F16287">
        <w:tc>
          <w:tcPr>
            <w:tcW w:w="2136" w:type="dxa"/>
            <w:tcBorders>
              <w:top w:val="nil"/>
              <w:left w:val="nil"/>
              <w:bottom w:val="nil"/>
              <w:right w:val="nil"/>
            </w:tcBorders>
          </w:tcPr>
          <w:p w14:paraId="6AAB0E05"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F45B919"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(-0.93)</w:t>
            </w:r>
          </w:p>
        </w:tc>
        <w:tc>
          <w:tcPr>
            <w:tcW w:w="1656" w:type="dxa"/>
            <w:tcBorders>
              <w:top w:val="nil"/>
              <w:left w:val="nil"/>
              <w:bottom w:val="nil"/>
              <w:right w:val="nil"/>
            </w:tcBorders>
          </w:tcPr>
          <w:p w14:paraId="70DAC16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(0.35)</w:t>
            </w:r>
          </w:p>
        </w:tc>
        <w:tc>
          <w:tcPr>
            <w:tcW w:w="1656" w:type="dxa"/>
            <w:tcBorders>
              <w:top w:val="nil"/>
              <w:left w:val="nil"/>
              <w:bottom w:val="nil"/>
              <w:right w:val="nil"/>
            </w:tcBorders>
          </w:tcPr>
          <w:p w14:paraId="133A9E02"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(-0.20)</w:t>
            </w:r>
          </w:p>
        </w:tc>
        <w:tc>
          <w:tcPr>
            <w:tcW w:w="1656" w:type="dxa"/>
            <w:tcBorders>
              <w:top w:val="nil"/>
              <w:left w:val="nil"/>
              <w:bottom w:val="nil"/>
              <w:right w:val="nil"/>
            </w:tcBorders>
          </w:tcPr>
          <w:p w14:paraId="4ACC6381"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(-1.11)</w:t>
            </w:r>
          </w:p>
        </w:tc>
      </w:tr>
      <w:tr w:rsidR="00DF5CDE" w:rsidRPr="00F86166" w14:paraId="700A4A70" w14:textId="77777777" w:rsidTr="00F16287">
        <w:tc>
          <w:tcPr>
            <w:tcW w:w="2136" w:type="dxa"/>
            <w:tcBorders>
              <w:top w:val="nil"/>
              <w:left w:val="nil"/>
              <w:bottom w:val="nil"/>
              <w:right w:val="nil"/>
            </w:tcBorders>
          </w:tcPr>
          <w:p w14:paraId="3AAA4BA4"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2249351"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03461DE"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49B5A84"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6EC3DC3"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544EF209" w14:textId="77777777" w:rsidTr="00F16287">
        <w:tc>
          <w:tcPr>
            <w:tcW w:w="2136" w:type="dxa"/>
            <w:tcBorders>
              <w:top w:val="nil"/>
              <w:left w:val="nil"/>
              <w:bottom w:val="nil"/>
              <w:right w:val="nil"/>
            </w:tcBorders>
          </w:tcPr>
          <w:p w14:paraId="55D69A68"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L4.Exchange Rate Classification (RR inverted, higher = more fixed)</w:t>
            </w:r>
          </w:p>
        </w:tc>
        <w:tc>
          <w:tcPr>
            <w:tcW w:w="1656" w:type="dxa"/>
            <w:tcBorders>
              <w:top w:val="nil"/>
              <w:left w:val="nil"/>
              <w:bottom w:val="nil"/>
              <w:right w:val="nil"/>
            </w:tcBorders>
          </w:tcPr>
          <w:p w14:paraId="24EE5B07"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0.0747</w:t>
            </w:r>
          </w:p>
        </w:tc>
        <w:tc>
          <w:tcPr>
            <w:tcW w:w="1656" w:type="dxa"/>
            <w:tcBorders>
              <w:top w:val="nil"/>
              <w:left w:val="nil"/>
              <w:bottom w:val="nil"/>
              <w:right w:val="nil"/>
            </w:tcBorders>
          </w:tcPr>
          <w:p w14:paraId="6726EDD0"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0.0924</w:t>
            </w:r>
          </w:p>
        </w:tc>
        <w:tc>
          <w:tcPr>
            <w:tcW w:w="1656" w:type="dxa"/>
            <w:tcBorders>
              <w:top w:val="nil"/>
              <w:left w:val="nil"/>
              <w:bottom w:val="nil"/>
              <w:right w:val="nil"/>
            </w:tcBorders>
          </w:tcPr>
          <w:p w14:paraId="5B7E2F55"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0.0372</w:t>
            </w:r>
          </w:p>
        </w:tc>
        <w:tc>
          <w:tcPr>
            <w:tcW w:w="1656" w:type="dxa"/>
            <w:tcBorders>
              <w:top w:val="nil"/>
              <w:left w:val="nil"/>
              <w:bottom w:val="nil"/>
              <w:right w:val="nil"/>
            </w:tcBorders>
          </w:tcPr>
          <w:p w14:paraId="12EAC9DE"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0.0121</w:t>
            </w:r>
          </w:p>
        </w:tc>
      </w:tr>
      <w:tr w:rsidR="00DF5CDE" w:rsidRPr="00F86166" w14:paraId="7220F9B6" w14:textId="77777777" w:rsidTr="00F16287">
        <w:tc>
          <w:tcPr>
            <w:tcW w:w="2136" w:type="dxa"/>
            <w:tcBorders>
              <w:top w:val="nil"/>
              <w:left w:val="nil"/>
              <w:bottom w:val="nil"/>
              <w:right w:val="nil"/>
            </w:tcBorders>
          </w:tcPr>
          <w:p w14:paraId="73A8196F"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2E4B32F"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(1.40)</w:t>
            </w:r>
          </w:p>
        </w:tc>
        <w:tc>
          <w:tcPr>
            <w:tcW w:w="1656" w:type="dxa"/>
            <w:tcBorders>
              <w:top w:val="nil"/>
              <w:left w:val="nil"/>
              <w:bottom w:val="nil"/>
              <w:right w:val="nil"/>
            </w:tcBorders>
          </w:tcPr>
          <w:p w14:paraId="6ABACF4A"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(1.57)</w:t>
            </w:r>
          </w:p>
        </w:tc>
        <w:tc>
          <w:tcPr>
            <w:tcW w:w="1656" w:type="dxa"/>
            <w:tcBorders>
              <w:top w:val="nil"/>
              <w:left w:val="nil"/>
              <w:bottom w:val="nil"/>
              <w:right w:val="nil"/>
            </w:tcBorders>
          </w:tcPr>
          <w:p w14:paraId="1BAF3316"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(0.66)</w:t>
            </w:r>
          </w:p>
        </w:tc>
        <w:tc>
          <w:tcPr>
            <w:tcW w:w="1656" w:type="dxa"/>
            <w:tcBorders>
              <w:top w:val="nil"/>
              <w:left w:val="nil"/>
              <w:bottom w:val="nil"/>
              <w:right w:val="nil"/>
            </w:tcBorders>
          </w:tcPr>
          <w:p w14:paraId="2B47875E"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(0.61)</w:t>
            </w:r>
          </w:p>
        </w:tc>
      </w:tr>
      <w:tr w:rsidR="00DF5CDE" w:rsidRPr="00F86166" w14:paraId="7BF67FE5" w14:textId="77777777" w:rsidTr="00F16287">
        <w:tc>
          <w:tcPr>
            <w:tcW w:w="2136" w:type="dxa"/>
            <w:tcBorders>
              <w:top w:val="nil"/>
              <w:left w:val="nil"/>
              <w:bottom w:val="nil"/>
              <w:right w:val="nil"/>
            </w:tcBorders>
          </w:tcPr>
          <w:p w14:paraId="7618AFC7"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C1C5E74"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760570A"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5F7FEBD"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5F465EA"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3AAA6E32" w14:textId="77777777" w:rsidTr="00F16287">
        <w:tc>
          <w:tcPr>
            <w:tcW w:w="2136" w:type="dxa"/>
            <w:tcBorders>
              <w:top w:val="nil"/>
              <w:left w:val="nil"/>
              <w:bottom w:val="nil"/>
              <w:right w:val="nil"/>
            </w:tcBorders>
          </w:tcPr>
          <w:p w14:paraId="3A9575BE"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L5.Exchange Rate Classification (RR inverted, higher = more fixed)</w:t>
            </w:r>
          </w:p>
        </w:tc>
        <w:tc>
          <w:tcPr>
            <w:tcW w:w="1656" w:type="dxa"/>
            <w:tcBorders>
              <w:top w:val="nil"/>
              <w:left w:val="nil"/>
              <w:bottom w:val="nil"/>
              <w:right w:val="nil"/>
            </w:tcBorders>
          </w:tcPr>
          <w:p w14:paraId="12D2D61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-0.0198</w:t>
            </w:r>
          </w:p>
        </w:tc>
        <w:tc>
          <w:tcPr>
            <w:tcW w:w="1656" w:type="dxa"/>
            <w:tcBorders>
              <w:top w:val="nil"/>
              <w:left w:val="nil"/>
              <w:bottom w:val="nil"/>
              <w:right w:val="nil"/>
            </w:tcBorders>
          </w:tcPr>
          <w:p w14:paraId="3D6CD314"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-0.0166</w:t>
            </w:r>
          </w:p>
        </w:tc>
        <w:tc>
          <w:tcPr>
            <w:tcW w:w="1656" w:type="dxa"/>
            <w:tcBorders>
              <w:top w:val="nil"/>
              <w:left w:val="nil"/>
              <w:bottom w:val="nil"/>
              <w:right w:val="nil"/>
            </w:tcBorders>
          </w:tcPr>
          <w:p w14:paraId="12EA771E"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0.0641</w:t>
            </w:r>
          </w:p>
        </w:tc>
        <w:tc>
          <w:tcPr>
            <w:tcW w:w="1656" w:type="dxa"/>
            <w:tcBorders>
              <w:top w:val="nil"/>
              <w:left w:val="nil"/>
              <w:bottom w:val="nil"/>
              <w:right w:val="nil"/>
            </w:tcBorders>
          </w:tcPr>
          <w:p w14:paraId="47E86D00"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0.0538</w:t>
            </w:r>
            <w:r w:rsidRPr="00F86166">
              <w:rPr>
                <w:rFonts w:ascii="Times New Roman" w:hAnsi="Times New Roman" w:cs="Times New Roman"/>
                <w:sz w:val="18"/>
                <w:szCs w:val="18"/>
                <w:vertAlign w:val="superscript"/>
              </w:rPr>
              <w:t>**</w:t>
            </w:r>
          </w:p>
        </w:tc>
      </w:tr>
      <w:tr w:rsidR="00DF5CDE" w:rsidRPr="00F86166" w14:paraId="127365AB" w14:textId="77777777" w:rsidTr="00F16287">
        <w:tc>
          <w:tcPr>
            <w:tcW w:w="2136" w:type="dxa"/>
            <w:tcBorders>
              <w:top w:val="nil"/>
              <w:left w:val="nil"/>
              <w:bottom w:val="nil"/>
              <w:right w:val="nil"/>
            </w:tcBorders>
          </w:tcPr>
          <w:p w14:paraId="37523BCC"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8CCCD76"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(-0.44)</w:t>
            </w:r>
          </w:p>
        </w:tc>
        <w:tc>
          <w:tcPr>
            <w:tcW w:w="1656" w:type="dxa"/>
            <w:tcBorders>
              <w:top w:val="nil"/>
              <w:left w:val="nil"/>
              <w:bottom w:val="nil"/>
              <w:right w:val="nil"/>
            </w:tcBorders>
          </w:tcPr>
          <w:p w14:paraId="13F3053B"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(-0.30)</w:t>
            </w:r>
          </w:p>
        </w:tc>
        <w:tc>
          <w:tcPr>
            <w:tcW w:w="1656" w:type="dxa"/>
            <w:tcBorders>
              <w:top w:val="nil"/>
              <w:left w:val="nil"/>
              <w:bottom w:val="nil"/>
              <w:right w:val="nil"/>
            </w:tcBorders>
          </w:tcPr>
          <w:p w14:paraId="6D1C685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(1.33)</w:t>
            </w:r>
          </w:p>
        </w:tc>
        <w:tc>
          <w:tcPr>
            <w:tcW w:w="1656" w:type="dxa"/>
            <w:tcBorders>
              <w:top w:val="nil"/>
              <w:left w:val="nil"/>
              <w:bottom w:val="nil"/>
              <w:right w:val="nil"/>
            </w:tcBorders>
          </w:tcPr>
          <w:p w14:paraId="75DBF5D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(3.06)</w:t>
            </w:r>
          </w:p>
        </w:tc>
      </w:tr>
      <w:tr w:rsidR="00DF5CDE" w:rsidRPr="00F86166" w14:paraId="40AA0FB6" w14:textId="77777777" w:rsidTr="00F16287">
        <w:tc>
          <w:tcPr>
            <w:tcW w:w="2136" w:type="dxa"/>
            <w:tcBorders>
              <w:top w:val="nil"/>
              <w:left w:val="nil"/>
              <w:bottom w:val="nil"/>
              <w:right w:val="nil"/>
            </w:tcBorders>
          </w:tcPr>
          <w:p w14:paraId="701010E2"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3649E0C"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60FF439"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D18FB96"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2786AE7"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3E2A6357" w14:textId="77777777" w:rsidTr="00F16287">
        <w:tc>
          <w:tcPr>
            <w:tcW w:w="2136" w:type="dxa"/>
            <w:tcBorders>
              <w:top w:val="nil"/>
              <w:left w:val="nil"/>
              <w:bottom w:val="nil"/>
              <w:right w:val="nil"/>
            </w:tcBorders>
          </w:tcPr>
          <w:p w14:paraId="57299341"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 xml:space="preserve">L6.Exchange Rate Classification (RR inverted, higher = more </w:t>
            </w:r>
            <w:r w:rsidRPr="00F86166">
              <w:rPr>
                <w:rFonts w:ascii="Times New Roman" w:hAnsi="Times New Roman" w:cs="Times New Roman"/>
                <w:sz w:val="18"/>
                <w:szCs w:val="18"/>
              </w:rPr>
              <w:lastRenderedPageBreak/>
              <w:t>fixed)</w:t>
            </w:r>
          </w:p>
        </w:tc>
        <w:tc>
          <w:tcPr>
            <w:tcW w:w="1656" w:type="dxa"/>
            <w:tcBorders>
              <w:top w:val="nil"/>
              <w:left w:val="nil"/>
              <w:bottom w:val="nil"/>
              <w:right w:val="nil"/>
            </w:tcBorders>
          </w:tcPr>
          <w:p w14:paraId="7103122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lastRenderedPageBreak/>
              <w:t>-0.0158</w:t>
            </w:r>
          </w:p>
        </w:tc>
        <w:tc>
          <w:tcPr>
            <w:tcW w:w="1656" w:type="dxa"/>
            <w:tcBorders>
              <w:top w:val="nil"/>
              <w:left w:val="nil"/>
              <w:bottom w:val="nil"/>
              <w:right w:val="nil"/>
            </w:tcBorders>
          </w:tcPr>
          <w:p w14:paraId="1DDC77C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-0.142</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2DECC346"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-0.0567</w:t>
            </w:r>
          </w:p>
        </w:tc>
        <w:tc>
          <w:tcPr>
            <w:tcW w:w="1656" w:type="dxa"/>
            <w:tcBorders>
              <w:top w:val="nil"/>
              <w:left w:val="nil"/>
              <w:bottom w:val="nil"/>
              <w:right w:val="nil"/>
            </w:tcBorders>
          </w:tcPr>
          <w:p w14:paraId="6F0C1910"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0.0134</w:t>
            </w:r>
          </w:p>
        </w:tc>
      </w:tr>
      <w:tr w:rsidR="00DF5CDE" w:rsidRPr="00F86166" w14:paraId="3C61FE24" w14:textId="77777777" w:rsidTr="00F16287">
        <w:tc>
          <w:tcPr>
            <w:tcW w:w="2136" w:type="dxa"/>
            <w:tcBorders>
              <w:top w:val="nil"/>
              <w:left w:val="nil"/>
              <w:bottom w:val="nil"/>
              <w:right w:val="nil"/>
            </w:tcBorders>
          </w:tcPr>
          <w:p w14:paraId="7B31C310"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F154170"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(-0.30)</w:t>
            </w:r>
          </w:p>
        </w:tc>
        <w:tc>
          <w:tcPr>
            <w:tcW w:w="1656" w:type="dxa"/>
            <w:tcBorders>
              <w:top w:val="nil"/>
              <w:left w:val="nil"/>
              <w:bottom w:val="nil"/>
              <w:right w:val="nil"/>
            </w:tcBorders>
          </w:tcPr>
          <w:p w14:paraId="2D7C2CA5"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(-2.11)</w:t>
            </w:r>
          </w:p>
        </w:tc>
        <w:tc>
          <w:tcPr>
            <w:tcW w:w="1656" w:type="dxa"/>
            <w:tcBorders>
              <w:top w:val="nil"/>
              <w:left w:val="nil"/>
              <w:bottom w:val="nil"/>
              <w:right w:val="nil"/>
            </w:tcBorders>
          </w:tcPr>
          <w:p w14:paraId="0FC9904F"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(-0.98)</w:t>
            </w:r>
          </w:p>
        </w:tc>
        <w:tc>
          <w:tcPr>
            <w:tcW w:w="1656" w:type="dxa"/>
            <w:tcBorders>
              <w:top w:val="nil"/>
              <w:left w:val="nil"/>
              <w:bottom w:val="nil"/>
              <w:right w:val="nil"/>
            </w:tcBorders>
          </w:tcPr>
          <w:p w14:paraId="42B1DC6C"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(0.76)</w:t>
            </w:r>
          </w:p>
        </w:tc>
      </w:tr>
      <w:tr w:rsidR="00DF5CDE" w:rsidRPr="00F86166" w14:paraId="4C3139DD" w14:textId="77777777" w:rsidTr="00F16287">
        <w:tc>
          <w:tcPr>
            <w:tcW w:w="2136" w:type="dxa"/>
            <w:tcBorders>
              <w:top w:val="nil"/>
              <w:left w:val="nil"/>
              <w:bottom w:val="nil"/>
              <w:right w:val="nil"/>
            </w:tcBorders>
          </w:tcPr>
          <w:p w14:paraId="165F7BEE"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8220C8F"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D48C581"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BCDD3DB"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2456B46"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5C2E389C" w14:textId="77777777" w:rsidTr="00F16287">
        <w:tc>
          <w:tcPr>
            <w:tcW w:w="2136" w:type="dxa"/>
            <w:tcBorders>
              <w:top w:val="nil"/>
              <w:left w:val="nil"/>
              <w:bottom w:val="nil"/>
              <w:right w:val="nil"/>
            </w:tcBorders>
          </w:tcPr>
          <w:p w14:paraId="1785C089"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L7.Exchange Rate Classification (RR inverted, higher = more fixed)</w:t>
            </w:r>
          </w:p>
        </w:tc>
        <w:tc>
          <w:tcPr>
            <w:tcW w:w="1656" w:type="dxa"/>
            <w:tcBorders>
              <w:top w:val="nil"/>
              <w:left w:val="nil"/>
              <w:bottom w:val="nil"/>
              <w:right w:val="nil"/>
            </w:tcBorders>
          </w:tcPr>
          <w:p w14:paraId="0137F4CE"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0.0863</w:t>
            </w:r>
          </w:p>
        </w:tc>
        <w:tc>
          <w:tcPr>
            <w:tcW w:w="1656" w:type="dxa"/>
            <w:tcBorders>
              <w:top w:val="nil"/>
              <w:left w:val="nil"/>
              <w:bottom w:val="nil"/>
              <w:right w:val="nil"/>
            </w:tcBorders>
          </w:tcPr>
          <w:p w14:paraId="5AB73CAE"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0.112</w:t>
            </w:r>
          </w:p>
        </w:tc>
        <w:tc>
          <w:tcPr>
            <w:tcW w:w="1656" w:type="dxa"/>
            <w:tcBorders>
              <w:top w:val="nil"/>
              <w:left w:val="nil"/>
              <w:bottom w:val="nil"/>
              <w:right w:val="nil"/>
            </w:tcBorders>
          </w:tcPr>
          <w:p w14:paraId="429FC1BE"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0.0600</w:t>
            </w:r>
          </w:p>
        </w:tc>
        <w:tc>
          <w:tcPr>
            <w:tcW w:w="1656" w:type="dxa"/>
            <w:tcBorders>
              <w:top w:val="nil"/>
              <w:left w:val="nil"/>
              <w:bottom w:val="nil"/>
              <w:right w:val="nil"/>
            </w:tcBorders>
          </w:tcPr>
          <w:p w14:paraId="05D875DC"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0.0231</w:t>
            </w:r>
          </w:p>
        </w:tc>
      </w:tr>
      <w:tr w:rsidR="00DF5CDE" w:rsidRPr="00F86166" w14:paraId="679C9775" w14:textId="77777777" w:rsidTr="00F16287">
        <w:tc>
          <w:tcPr>
            <w:tcW w:w="2136" w:type="dxa"/>
            <w:tcBorders>
              <w:top w:val="nil"/>
              <w:left w:val="nil"/>
              <w:bottom w:val="nil"/>
              <w:right w:val="nil"/>
            </w:tcBorders>
          </w:tcPr>
          <w:p w14:paraId="743EA1A5"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21CC2324"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(1.77)</w:t>
            </w:r>
          </w:p>
        </w:tc>
        <w:tc>
          <w:tcPr>
            <w:tcW w:w="1656" w:type="dxa"/>
            <w:tcBorders>
              <w:top w:val="nil"/>
              <w:left w:val="nil"/>
              <w:bottom w:val="nil"/>
              <w:right w:val="nil"/>
            </w:tcBorders>
          </w:tcPr>
          <w:p w14:paraId="2F6CDAA5"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(1.88)</w:t>
            </w:r>
          </w:p>
        </w:tc>
        <w:tc>
          <w:tcPr>
            <w:tcW w:w="1656" w:type="dxa"/>
            <w:tcBorders>
              <w:top w:val="nil"/>
              <w:left w:val="nil"/>
              <w:bottom w:val="nil"/>
              <w:right w:val="nil"/>
            </w:tcBorders>
          </w:tcPr>
          <w:p w14:paraId="7E0CB91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(1.08)</w:t>
            </w:r>
          </w:p>
        </w:tc>
        <w:tc>
          <w:tcPr>
            <w:tcW w:w="1656" w:type="dxa"/>
            <w:tcBorders>
              <w:top w:val="nil"/>
              <w:left w:val="nil"/>
              <w:bottom w:val="nil"/>
              <w:right w:val="nil"/>
            </w:tcBorders>
          </w:tcPr>
          <w:p w14:paraId="4926912F"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(1.40)</w:t>
            </w:r>
          </w:p>
        </w:tc>
      </w:tr>
      <w:tr w:rsidR="00DF5CDE" w:rsidRPr="00F86166" w14:paraId="5E8943BA" w14:textId="77777777" w:rsidTr="00F16287">
        <w:tc>
          <w:tcPr>
            <w:tcW w:w="2136" w:type="dxa"/>
            <w:tcBorders>
              <w:top w:val="nil"/>
              <w:left w:val="nil"/>
              <w:bottom w:val="nil"/>
              <w:right w:val="nil"/>
            </w:tcBorders>
          </w:tcPr>
          <w:p w14:paraId="7D6B461B"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76D7B83"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E281440"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29DB5EA"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758A39B"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2E01EFAB" w14:textId="77777777" w:rsidTr="00F16287">
        <w:tc>
          <w:tcPr>
            <w:tcW w:w="2136" w:type="dxa"/>
            <w:tcBorders>
              <w:top w:val="nil"/>
              <w:left w:val="nil"/>
              <w:bottom w:val="nil"/>
              <w:right w:val="nil"/>
            </w:tcBorders>
          </w:tcPr>
          <w:p w14:paraId="52F82F47"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L8.Exchange Rate Classification (RR inverted, higher = more fixed)</w:t>
            </w:r>
          </w:p>
        </w:tc>
        <w:tc>
          <w:tcPr>
            <w:tcW w:w="1656" w:type="dxa"/>
            <w:tcBorders>
              <w:top w:val="nil"/>
              <w:left w:val="nil"/>
              <w:bottom w:val="nil"/>
              <w:right w:val="nil"/>
            </w:tcBorders>
          </w:tcPr>
          <w:p w14:paraId="163AA889"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-0.0597</w:t>
            </w:r>
          </w:p>
        </w:tc>
        <w:tc>
          <w:tcPr>
            <w:tcW w:w="1656" w:type="dxa"/>
            <w:tcBorders>
              <w:top w:val="nil"/>
              <w:left w:val="nil"/>
              <w:bottom w:val="nil"/>
              <w:right w:val="nil"/>
            </w:tcBorders>
          </w:tcPr>
          <w:p w14:paraId="63605F44"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-0.00102</w:t>
            </w:r>
          </w:p>
        </w:tc>
        <w:tc>
          <w:tcPr>
            <w:tcW w:w="1656" w:type="dxa"/>
            <w:tcBorders>
              <w:top w:val="nil"/>
              <w:left w:val="nil"/>
              <w:bottom w:val="nil"/>
              <w:right w:val="nil"/>
            </w:tcBorders>
          </w:tcPr>
          <w:p w14:paraId="0333A932"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-0.0549</w:t>
            </w:r>
          </w:p>
        </w:tc>
        <w:tc>
          <w:tcPr>
            <w:tcW w:w="1656" w:type="dxa"/>
            <w:tcBorders>
              <w:top w:val="nil"/>
              <w:left w:val="nil"/>
              <w:bottom w:val="nil"/>
              <w:right w:val="nil"/>
            </w:tcBorders>
          </w:tcPr>
          <w:p w14:paraId="6FEE8F72"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-0.00760</w:t>
            </w:r>
          </w:p>
        </w:tc>
      </w:tr>
      <w:tr w:rsidR="00DF5CDE" w:rsidRPr="00F86166" w14:paraId="3426CB6D" w14:textId="77777777" w:rsidTr="00F16287">
        <w:tc>
          <w:tcPr>
            <w:tcW w:w="2136" w:type="dxa"/>
            <w:tcBorders>
              <w:top w:val="nil"/>
              <w:left w:val="nil"/>
              <w:bottom w:val="nil"/>
              <w:right w:val="nil"/>
            </w:tcBorders>
          </w:tcPr>
          <w:p w14:paraId="1B544937"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B899182"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(-1.40)</w:t>
            </w:r>
          </w:p>
        </w:tc>
        <w:tc>
          <w:tcPr>
            <w:tcW w:w="1656" w:type="dxa"/>
            <w:tcBorders>
              <w:top w:val="nil"/>
              <w:left w:val="nil"/>
              <w:bottom w:val="nil"/>
              <w:right w:val="nil"/>
            </w:tcBorders>
          </w:tcPr>
          <w:p w14:paraId="379FE97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(-0.02)</w:t>
            </w:r>
          </w:p>
        </w:tc>
        <w:tc>
          <w:tcPr>
            <w:tcW w:w="1656" w:type="dxa"/>
            <w:tcBorders>
              <w:top w:val="nil"/>
              <w:left w:val="nil"/>
              <w:bottom w:val="nil"/>
              <w:right w:val="nil"/>
            </w:tcBorders>
          </w:tcPr>
          <w:p w14:paraId="0CCD4245"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(-0.96)</w:t>
            </w:r>
          </w:p>
        </w:tc>
        <w:tc>
          <w:tcPr>
            <w:tcW w:w="1656" w:type="dxa"/>
            <w:tcBorders>
              <w:top w:val="nil"/>
              <w:left w:val="nil"/>
              <w:bottom w:val="nil"/>
              <w:right w:val="nil"/>
            </w:tcBorders>
          </w:tcPr>
          <w:p w14:paraId="39740D16"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(-0.42)</w:t>
            </w:r>
          </w:p>
        </w:tc>
      </w:tr>
      <w:tr w:rsidR="00DF5CDE" w:rsidRPr="00F86166" w14:paraId="5356730B" w14:textId="77777777" w:rsidTr="00F16287">
        <w:tc>
          <w:tcPr>
            <w:tcW w:w="2136" w:type="dxa"/>
            <w:tcBorders>
              <w:top w:val="nil"/>
              <w:left w:val="nil"/>
              <w:bottom w:val="nil"/>
              <w:right w:val="nil"/>
            </w:tcBorders>
          </w:tcPr>
          <w:p w14:paraId="4F56E48C"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38AA16E"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85FD93F"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01E0905"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B4CFB6D"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1444317A" w14:textId="77777777" w:rsidTr="00F16287">
        <w:tc>
          <w:tcPr>
            <w:tcW w:w="2136" w:type="dxa"/>
            <w:tcBorders>
              <w:top w:val="nil"/>
              <w:left w:val="nil"/>
              <w:bottom w:val="nil"/>
              <w:right w:val="nil"/>
            </w:tcBorders>
          </w:tcPr>
          <w:p w14:paraId="36883CF2"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L9.Exchange Rate Classification (RR inverted, higher = more fixed)</w:t>
            </w:r>
          </w:p>
        </w:tc>
        <w:tc>
          <w:tcPr>
            <w:tcW w:w="1656" w:type="dxa"/>
            <w:tcBorders>
              <w:top w:val="nil"/>
              <w:left w:val="nil"/>
              <w:bottom w:val="nil"/>
              <w:right w:val="nil"/>
            </w:tcBorders>
          </w:tcPr>
          <w:p w14:paraId="2396E27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0.0105</w:t>
            </w:r>
          </w:p>
        </w:tc>
        <w:tc>
          <w:tcPr>
            <w:tcW w:w="1656" w:type="dxa"/>
            <w:tcBorders>
              <w:top w:val="nil"/>
              <w:left w:val="nil"/>
              <w:bottom w:val="nil"/>
              <w:right w:val="nil"/>
            </w:tcBorders>
          </w:tcPr>
          <w:p w14:paraId="6E7B8F54"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-0.00895</w:t>
            </w:r>
          </w:p>
        </w:tc>
        <w:tc>
          <w:tcPr>
            <w:tcW w:w="1656" w:type="dxa"/>
            <w:tcBorders>
              <w:top w:val="nil"/>
              <w:left w:val="nil"/>
              <w:bottom w:val="nil"/>
              <w:right w:val="nil"/>
            </w:tcBorders>
          </w:tcPr>
          <w:p w14:paraId="15367305"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-0.0375</w:t>
            </w:r>
          </w:p>
        </w:tc>
        <w:tc>
          <w:tcPr>
            <w:tcW w:w="1656" w:type="dxa"/>
            <w:tcBorders>
              <w:top w:val="nil"/>
              <w:left w:val="nil"/>
              <w:bottom w:val="nil"/>
              <w:right w:val="nil"/>
            </w:tcBorders>
          </w:tcPr>
          <w:p w14:paraId="64E730B3"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0.0447</w:t>
            </w:r>
            <w:r w:rsidRPr="00F86166">
              <w:rPr>
                <w:rFonts w:ascii="Times New Roman" w:hAnsi="Times New Roman" w:cs="Times New Roman"/>
                <w:sz w:val="18"/>
                <w:szCs w:val="18"/>
                <w:vertAlign w:val="superscript"/>
              </w:rPr>
              <w:t>*</w:t>
            </w:r>
          </w:p>
        </w:tc>
      </w:tr>
      <w:tr w:rsidR="00DF5CDE" w:rsidRPr="00F86166" w14:paraId="1C8EA467" w14:textId="77777777" w:rsidTr="00F16287">
        <w:tc>
          <w:tcPr>
            <w:tcW w:w="2136" w:type="dxa"/>
            <w:tcBorders>
              <w:top w:val="nil"/>
              <w:left w:val="nil"/>
              <w:bottom w:val="nil"/>
              <w:right w:val="nil"/>
            </w:tcBorders>
          </w:tcPr>
          <w:p w14:paraId="172ABEC2"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DE4DD1C"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(0.25)</w:t>
            </w:r>
          </w:p>
        </w:tc>
        <w:tc>
          <w:tcPr>
            <w:tcW w:w="1656" w:type="dxa"/>
            <w:tcBorders>
              <w:top w:val="nil"/>
              <w:left w:val="nil"/>
              <w:bottom w:val="nil"/>
              <w:right w:val="nil"/>
            </w:tcBorders>
          </w:tcPr>
          <w:p w14:paraId="300363B3"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(-0.18)</w:t>
            </w:r>
          </w:p>
        </w:tc>
        <w:tc>
          <w:tcPr>
            <w:tcW w:w="1656" w:type="dxa"/>
            <w:tcBorders>
              <w:top w:val="nil"/>
              <w:left w:val="nil"/>
              <w:bottom w:val="nil"/>
              <w:right w:val="nil"/>
            </w:tcBorders>
          </w:tcPr>
          <w:p w14:paraId="0D148C6B"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(-0.80)</w:t>
            </w:r>
          </w:p>
        </w:tc>
        <w:tc>
          <w:tcPr>
            <w:tcW w:w="1656" w:type="dxa"/>
            <w:tcBorders>
              <w:top w:val="nil"/>
              <w:left w:val="nil"/>
              <w:bottom w:val="nil"/>
              <w:right w:val="nil"/>
            </w:tcBorders>
          </w:tcPr>
          <w:p w14:paraId="685B95CC"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(2.01)</w:t>
            </w:r>
          </w:p>
        </w:tc>
      </w:tr>
      <w:tr w:rsidR="00DF5CDE" w:rsidRPr="00F86166" w14:paraId="22E22C53" w14:textId="77777777" w:rsidTr="00F16287">
        <w:tc>
          <w:tcPr>
            <w:tcW w:w="2136" w:type="dxa"/>
            <w:tcBorders>
              <w:top w:val="nil"/>
              <w:left w:val="nil"/>
              <w:bottom w:val="nil"/>
              <w:right w:val="nil"/>
            </w:tcBorders>
          </w:tcPr>
          <w:p w14:paraId="2745CF79"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3C351672"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5BAAE3D0"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5F27895"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208B3B1"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55B447BD" w14:textId="77777777" w:rsidTr="00F16287">
        <w:tc>
          <w:tcPr>
            <w:tcW w:w="2136" w:type="dxa"/>
            <w:tcBorders>
              <w:top w:val="nil"/>
              <w:left w:val="nil"/>
              <w:bottom w:val="nil"/>
              <w:right w:val="nil"/>
            </w:tcBorders>
          </w:tcPr>
          <w:p w14:paraId="59CB2746"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L10.Exchange Rate Classification (RR inverted, higher = more fixed)</w:t>
            </w:r>
          </w:p>
        </w:tc>
        <w:tc>
          <w:tcPr>
            <w:tcW w:w="1656" w:type="dxa"/>
            <w:tcBorders>
              <w:top w:val="nil"/>
              <w:left w:val="nil"/>
              <w:bottom w:val="nil"/>
              <w:right w:val="nil"/>
            </w:tcBorders>
          </w:tcPr>
          <w:p w14:paraId="61AE7EF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-0.0221</w:t>
            </w:r>
          </w:p>
        </w:tc>
        <w:tc>
          <w:tcPr>
            <w:tcW w:w="1656" w:type="dxa"/>
            <w:tcBorders>
              <w:top w:val="nil"/>
              <w:left w:val="nil"/>
              <w:bottom w:val="nil"/>
              <w:right w:val="nil"/>
            </w:tcBorders>
          </w:tcPr>
          <w:p w14:paraId="7E49E86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-0.00897</w:t>
            </w:r>
          </w:p>
        </w:tc>
        <w:tc>
          <w:tcPr>
            <w:tcW w:w="1656" w:type="dxa"/>
            <w:tcBorders>
              <w:top w:val="nil"/>
              <w:left w:val="nil"/>
              <w:bottom w:val="nil"/>
              <w:right w:val="nil"/>
            </w:tcBorders>
          </w:tcPr>
          <w:p w14:paraId="746692DC"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0.0352</w:t>
            </w:r>
          </w:p>
        </w:tc>
        <w:tc>
          <w:tcPr>
            <w:tcW w:w="1656" w:type="dxa"/>
            <w:tcBorders>
              <w:top w:val="nil"/>
              <w:left w:val="nil"/>
              <w:bottom w:val="nil"/>
              <w:right w:val="nil"/>
            </w:tcBorders>
          </w:tcPr>
          <w:p w14:paraId="1E1CE61A"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-0.0769</w:t>
            </w:r>
            <w:r w:rsidRPr="00F86166">
              <w:rPr>
                <w:rFonts w:ascii="Times New Roman" w:hAnsi="Times New Roman" w:cs="Times New Roman"/>
                <w:sz w:val="18"/>
                <w:szCs w:val="18"/>
                <w:vertAlign w:val="superscript"/>
              </w:rPr>
              <w:t>**</w:t>
            </w:r>
          </w:p>
        </w:tc>
      </w:tr>
      <w:tr w:rsidR="00DF5CDE" w:rsidRPr="00F86166" w14:paraId="7CF6C3F3" w14:textId="77777777" w:rsidTr="00F16287">
        <w:tc>
          <w:tcPr>
            <w:tcW w:w="2136" w:type="dxa"/>
            <w:tcBorders>
              <w:top w:val="nil"/>
              <w:left w:val="nil"/>
              <w:bottom w:val="nil"/>
              <w:right w:val="nil"/>
            </w:tcBorders>
          </w:tcPr>
          <w:p w14:paraId="003104C4"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3908447"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(-0.57)</w:t>
            </w:r>
          </w:p>
        </w:tc>
        <w:tc>
          <w:tcPr>
            <w:tcW w:w="1656" w:type="dxa"/>
            <w:tcBorders>
              <w:top w:val="nil"/>
              <w:left w:val="nil"/>
              <w:bottom w:val="nil"/>
              <w:right w:val="nil"/>
            </w:tcBorders>
          </w:tcPr>
          <w:p w14:paraId="0A2F9707"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(-0.21)</w:t>
            </w:r>
          </w:p>
        </w:tc>
        <w:tc>
          <w:tcPr>
            <w:tcW w:w="1656" w:type="dxa"/>
            <w:tcBorders>
              <w:top w:val="nil"/>
              <w:left w:val="nil"/>
              <w:bottom w:val="nil"/>
              <w:right w:val="nil"/>
            </w:tcBorders>
          </w:tcPr>
          <w:p w14:paraId="5EC19360"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(0.90)</w:t>
            </w:r>
          </w:p>
        </w:tc>
        <w:tc>
          <w:tcPr>
            <w:tcW w:w="1656" w:type="dxa"/>
            <w:tcBorders>
              <w:top w:val="nil"/>
              <w:left w:val="nil"/>
              <w:bottom w:val="nil"/>
              <w:right w:val="nil"/>
            </w:tcBorders>
          </w:tcPr>
          <w:p w14:paraId="433FADAE"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(-2.87)</w:t>
            </w:r>
          </w:p>
        </w:tc>
      </w:tr>
      <w:tr w:rsidR="00DF5CDE" w:rsidRPr="00F86166" w14:paraId="389499EE" w14:textId="77777777" w:rsidTr="00F16287">
        <w:tc>
          <w:tcPr>
            <w:tcW w:w="2136" w:type="dxa"/>
            <w:tcBorders>
              <w:top w:val="nil"/>
              <w:left w:val="nil"/>
              <w:bottom w:val="nil"/>
              <w:right w:val="nil"/>
            </w:tcBorders>
          </w:tcPr>
          <w:p w14:paraId="21C83605"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8CD114B"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0E1D3BEC"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12907FC3"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C822A11"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r>
      <w:tr w:rsidR="00DF5CDE" w:rsidRPr="00F86166" w14:paraId="11B1939A" w14:textId="77777777" w:rsidTr="00F16287">
        <w:tc>
          <w:tcPr>
            <w:tcW w:w="2136" w:type="dxa"/>
            <w:tcBorders>
              <w:top w:val="nil"/>
              <w:left w:val="nil"/>
              <w:bottom w:val="nil"/>
              <w:right w:val="nil"/>
            </w:tcBorders>
          </w:tcPr>
          <w:p w14:paraId="37E20B70"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Constant</w:t>
            </w:r>
          </w:p>
        </w:tc>
        <w:tc>
          <w:tcPr>
            <w:tcW w:w="1656" w:type="dxa"/>
            <w:tcBorders>
              <w:top w:val="nil"/>
              <w:left w:val="nil"/>
              <w:bottom w:val="nil"/>
              <w:right w:val="nil"/>
            </w:tcBorders>
          </w:tcPr>
          <w:p w14:paraId="75DDA891"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nil"/>
              <w:right w:val="nil"/>
            </w:tcBorders>
          </w:tcPr>
          <w:p w14:paraId="5398BD8F"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nil"/>
              <w:right w:val="nil"/>
            </w:tcBorders>
          </w:tcPr>
          <w:p w14:paraId="25ACEC9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nil"/>
              <w:right w:val="nil"/>
            </w:tcBorders>
          </w:tcPr>
          <w:p w14:paraId="75FD4E4B"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-2.275</w:t>
            </w:r>
            <w:r w:rsidRPr="00F86166">
              <w:rPr>
                <w:rFonts w:ascii="Times New Roman" w:hAnsi="Times New Roman" w:cs="Times New Roman"/>
                <w:sz w:val="18"/>
                <w:szCs w:val="18"/>
                <w:vertAlign w:val="superscript"/>
              </w:rPr>
              <w:t>*</w:t>
            </w:r>
          </w:p>
        </w:tc>
      </w:tr>
      <w:tr w:rsidR="00DF5CDE" w:rsidRPr="00F86166" w14:paraId="198D0B96" w14:textId="77777777" w:rsidTr="00F16287">
        <w:tc>
          <w:tcPr>
            <w:tcW w:w="2136" w:type="dxa"/>
            <w:tcBorders>
              <w:top w:val="nil"/>
              <w:left w:val="nil"/>
              <w:bottom w:val="nil"/>
              <w:right w:val="nil"/>
            </w:tcBorders>
          </w:tcPr>
          <w:p w14:paraId="64783443"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7279ECD1"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nil"/>
              <w:right w:val="nil"/>
            </w:tcBorders>
          </w:tcPr>
          <w:p w14:paraId="4A7EFF24"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nil"/>
              <w:right w:val="nil"/>
            </w:tcBorders>
          </w:tcPr>
          <w:p w14:paraId="050EF39B"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nil"/>
              <w:right w:val="nil"/>
            </w:tcBorders>
          </w:tcPr>
          <w:p w14:paraId="29A42786"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(-2.47)</w:t>
            </w:r>
          </w:p>
        </w:tc>
      </w:tr>
      <w:tr w:rsidR="00DF5CDE" w:rsidRPr="00F86166" w14:paraId="205ED961" w14:textId="77777777" w:rsidTr="00F16287">
        <w:tc>
          <w:tcPr>
            <w:tcW w:w="2136" w:type="dxa"/>
            <w:tcBorders>
              <w:top w:val="single" w:sz="4" w:space="0" w:color="auto"/>
              <w:left w:val="nil"/>
              <w:bottom w:val="nil"/>
              <w:right w:val="nil"/>
            </w:tcBorders>
          </w:tcPr>
          <w:p w14:paraId="53022D0B"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cut1</w:t>
            </w:r>
          </w:p>
        </w:tc>
        <w:tc>
          <w:tcPr>
            <w:tcW w:w="1656" w:type="dxa"/>
            <w:tcBorders>
              <w:top w:val="single" w:sz="4" w:space="0" w:color="auto"/>
              <w:left w:val="nil"/>
              <w:bottom w:val="nil"/>
              <w:right w:val="nil"/>
            </w:tcBorders>
          </w:tcPr>
          <w:p w14:paraId="1586D7A4"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710B5D7B"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5C0E2CA5"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26D3A49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DF5CDE" w:rsidRPr="00F86166" w14:paraId="484819D7" w14:textId="77777777" w:rsidTr="00F16287">
        <w:tc>
          <w:tcPr>
            <w:tcW w:w="2136" w:type="dxa"/>
            <w:tcBorders>
              <w:top w:val="nil"/>
              <w:left w:val="nil"/>
              <w:bottom w:val="nil"/>
              <w:right w:val="nil"/>
            </w:tcBorders>
          </w:tcPr>
          <w:p w14:paraId="71C61682"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Constant</w:t>
            </w:r>
          </w:p>
        </w:tc>
        <w:tc>
          <w:tcPr>
            <w:tcW w:w="1656" w:type="dxa"/>
            <w:tcBorders>
              <w:top w:val="nil"/>
              <w:left w:val="nil"/>
              <w:bottom w:val="nil"/>
              <w:right w:val="nil"/>
            </w:tcBorders>
          </w:tcPr>
          <w:p w14:paraId="575A62E0"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-0.639</w:t>
            </w:r>
          </w:p>
        </w:tc>
        <w:tc>
          <w:tcPr>
            <w:tcW w:w="1656" w:type="dxa"/>
            <w:tcBorders>
              <w:top w:val="nil"/>
              <w:left w:val="nil"/>
              <w:bottom w:val="nil"/>
              <w:right w:val="nil"/>
            </w:tcBorders>
          </w:tcPr>
          <w:p w14:paraId="419009B6"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0.280</w:t>
            </w:r>
          </w:p>
        </w:tc>
        <w:tc>
          <w:tcPr>
            <w:tcW w:w="1656" w:type="dxa"/>
            <w:tcBorders>
              <w:top w:val="nil"/>
              <w:left w:val="nil"/>
              <w:bottom w:val="nil"/>
              <w:right w:val="nil"/>
            </w:tcBorders>
          </w:tcPr>
          <w:p w14:paraId="4DD158E4"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-0.949</w:t>
            </w:r>
          </w:p>
        </w:tc>
        <w:tc>
          <w:tcPr>
            <w:tcW w:w="1656" w:type="dxa"/>
            <w:tcBorders>
              <w:top w:val="nil"/>
              <w:left w:val="nil"/>
              <w:bottom w:val="nil"/>
              <w:right w:val="nil"/>
            </w:tcBorders>
          </w:tcPr>
          <w:p w14:paraId="734C117F"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DF5CDE" w:rsidRPr="00F86166" w14:paraId="7DAA750D" w14:textId="77777777" w:rsidTr="00F16287">
        <w:tc>
          <w:tcPr>
            <w:tcW w:w="2136" w:type="dxa"/>
            <w:tcBorders>
              <w:top w:val="nil"/>
              <w:left w:val="nil"/>
              <w:bottom w:val="nil"/>
              <w:right w:val="nil"/>
            </w:tcBorders>
          </w:tcPr>
          <w:p w14:paraId="11142BBE"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DDEDB4F"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(-1.31)</w:t>
            </w:r>
          </w:p>
        </w:tc>
        <w:tc>
          <w:tcPr>
            <w:tcW w:w="1656" w:type="dxa"/>
            <w:tcBorders>
              <w:top w:val="nil"/>
              <w:left w:val="nil"/>
              <w:bottom w:val="nil"/>
              <w:right w:val="nil"/>
            </w:tcBorders>
          </w:tcPr>
          <w:p w14:paraId="799043E2"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(0.36)</w:t>
            </w:r>
          </w:p>
        </w:tc>
        <w:tc>
          <w:tcPr>
            <w:tcW w:w="1656" w:type="dxa"/>
            <w:tcBorders>
              <w:top w:val="nil"/>
              <w:left w:val="nil"/>
              <w:bottom w:val="nil"/>
              <w:right w:val="nil"/>
            </w:tcBorders>
          </w:tcPr>
          <w:p w14:paraId="2E891B4E"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(-1.81)</w:t>
            </w:r>
          </w:p>
        </w:tc>
        <w:tc>
          <w:tcPr>
            <w:tcW w:w="1656" w:type="dxa"/>
            <w:tcBorders>
              <w:top w:val="nil"/>
              <w:left w:val="nil"/>
              <w:bottom w:val="nil"/>
              <w:right w:val="nil"/>
            </w:tcBorders>
          </w:tcPr>
          <w:p w14:paraId="5CE94FE2"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DF5CDE" w:rsidRPr="00F86166" w14:paraId="72227600" w14:textId="77777777" w:rsidTr="00F16287">
        <w:tc>
          <w:tcPr>
            <w:tcW w:w="2136" w:type="dxa"/>
            <w:tcBorders>
              <w:top w:val="single" w:sz="4" w:space="0" w:color="auto"/>
              <w:left w:val="nil"/>
              <w:bottom w:val="nil"/>
              <w:right w:val="nil"/>
            </w:tcBorders>
          </w:tcPr>
          <w:p w14:paraId="0F597FC4"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cut2</w:t>
            </w:r>
          </w:p>
        </w:tc>
        <w:tc>
          <w:tcPr>
            <w:tcW w:w="1656" w:type="dxa"/>
            <w:tcBorders>
              <w:top w:val="single" w:sz="4" w:space="0" w:color="auto"/>
              <w:left w:val="nil"/>
              <w:bottom w:val="nil"/>
              <w:right w:val="nil"/>
            </w:tcBorders>
          </w:tcPr>
          <w:p w14:paraId="7787486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1BF1C58E"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25349129"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6CB18AB0"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DF5CDE" w:rsidRPr="00F86166" w14:paraId="13887F05" w14:textId="77777777" w:rsidTr="00F16287">
        <w:tc>
          <w:tcPr>
            <w:tcW w:w="2136" w:type="dxa"/>
            <w:tcBorders>
              <w:top w:val="nil"/>
              <w:left w:val="nil"/>
              <w:bottom w:val="nil"/>
              <w:right w:val="nil"/>
            </w:tcBorders>
          </w:tcPr>
          <w:p w14:paraId="2F15C5C7"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Constant</w:t>
            </w:r>
          </w:p>
        </w:tc>
        <w:tc>
          <w:tcPr>
            <w:tcW w:w="1656" w:type="dxa"/>
            <w:tcBorders>
              <w:top w:val="nil"/>
              <w:left w:val="nil"/>
              <w:bottom w:val="nil"/>
              <w:right w:val="nil"/>
            </w:tcBorders>
          </w:tcPr>
          <w:p w14:paraId="71512CCC"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-0.220</w:t>
            </w:r>
          </w:p>
        </w:tc>
        <w:tc>
          <w:tcPr>
            <w:tcW w:w="1656" w:type="dxa"/>
            <w:tcBorders>
              <w:top w:val="nil"/>
              <w:left w:val="nil"/>
              <w:bottom w:val="nil"/>
              <w:right w:val="nil"/>
            </w:tcBorders>
          </w:tcPr>
          <w:p w14:paraId="52306F37"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0.819</w:t>
            </w:r>
          </w:p>
        </w:tc>
        <w:tc>
          <w:tcPr>
            <w:tcW w:w="1656" w:type="dxa"/>
            <w:tcBorders>
              <w:top w:val="nil"/>
              <w:left w:val="nil"/>
              <w:bottom w:val="nil"/>
              <w:right w:val="nil"/>
            </w:tcBorders>
          </w:tcPr>
          <w:p w14:paraId="27277A6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0.295</w:t>
            </w:r>
          </w:p>
        </w:tc>
        <w:tc>
          <w:tcPr>
            <w:tcW w:w="1656" w:type="dxa"/>
            <w:tcBorders>
              <w:top w:val="nil"/>
              <w:left w:val="nil"/>
              <w:bottom w:val="nil"/>
              <w:right w:val="nil"/>
            </w:tcBorders>
          </w:tcPr>
          <w:p w14:paraId="308FB110"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DF5CDE" w:rsidRPr="00F86166" w14:paraId="2FBF28A6" w14:textId="77777777" w:rsidTr="00F16287">
        <w:tc>
          <w:tcPr>
            <w:tcW w:w="2136" w:type="dxa"/>
            <w:tcBorders>
              <w:top w:val="nil"/>
              <w:left w:val="nil"/>
              <w:bottom w:val="nil"/>
              <w:right w:val="nil"/>
            </w:tcBorders>
          </w:tcPr>
          <w:p w14:paraId="767D8BE0"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496BFEE5"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(-0.46)</w:t>
            </w:r>
          </w:p>
        </w:tc>
        <w:tc>
          <w:tcPr>
            <w:tcW w:w="1656" w:type="dxa"/>
            <w:tcBorders>
              <w:top w:val="nil"/>
              <w:left w:val="nil"/>
              <w:bottom w:val="nil"/>
              <w:right w:val="nil"/>
            </w:tcBorders>
          </w:tcPr>
          <w:p w14:paraId="4F1E6E0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(1.05)</w:t>
            </w:r>
          </w:p>
        </w:tc>
        <w:tc>
          <w:tcPr>
            <w:tcW w:w="1656" w:type="dxa"/>
            <w:tcBorders>
              <w:top w:val="nil"/>
              <w:left w:val="nil"/>
              <w:bottom w:val="nil"/>
              <w:right w:val="nil"/>
            </w:tcBorders>
          </w:tcPr>
          <w:p w14:paraId="5D7016C0"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(0.56)</w:t>
            </w:r>
          </w:p>
        </w:tc>
        <w:tc>
          <w:tcPr>
            <w:tcW w:w="1656" w:type="dxa"/>
            <w:tcBorders>
              <w:top w:val="nil"/>
              <w:left w:val="nil"/>
              <w:bottom w:val="nil"/>
              <w:right w:val="nil"/>
            </w:tcBorders>
          </w:tcPr>
          <w:p w14:paraId="3025A88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DF5CDE" w:rsidRPr="00F86166" w14:paraId="358DAABC" w14:textId="77777777" w:rsidTr="00F16287">
        <w:tc>
          <w:tcPr>
            <w:tcW w:w="2136" w:type="dxa"/>
            <w:tcBorders>
              <w:top w:val="single" w:sz="4" w:space="0" w:color="auto"/>
              <w:left w:val="nil"/>
              <w:bottom w:val="nil"/>
              <w:right w:val="nil"/>
            </w:tcBorders>
          </w:tcPr>
          <w:p w14:paraId="53872778"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sigma2_u</w:t>
            </w:r>
          </w:p>
        </w:tc>
        <w:tc>
          <w:tcPr>
            <w:tcW w:w="1656" w:type="dxa"/>
            <w:tcBorders>
              <w:top w:val="single" w:sz="4" w:space="0" w:color="auto"/>
              <w:left w:val="nil"/>
              <w:bottom w:val="nil"/>
              <w:right w:val="nil"/>
            </w:tcBorders>
          </w:tcPr>
          <w:p w14:paraId="0302052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7F8C8BD8"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4DDDE624"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54D2C99F"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DF5CDE" w:rsidRPr="00F86166" w14:paraId="0E45C912" w14:textId="77777777" w:rsidTr="00F16287">
        <w:tc>
          <w:tcPr>
            <w:tcW w:w="2136" w:type="dxa"/>
            <w:tcBorders>
              <w:top w:val="nil"/>
              <w:left w:val="nil"/>
              <w:bottom w:val="nil"/>
              <w:right w:val="nil"/>
            </w:tcBorders>
          </w:tcPr>
          <w:p w14:paraId="16DBBD33"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Constant</w:t>
            </w:r>
          </w:p>
        </w:tc>
        <w:tc>
          <w:tcPr>
            <w:tcW w:w="1656" w:type="dxa"/>
            <w:tcBorders>
              <w:top w:val="nil"/>
              <w:left w:val="nil"/>
              <w:bottom w:val="nil"/>
              <w:right w:val="nil"/>
            </w:tcBorders>
          </w:tcPr>
          <w:p w14:paraId="06F60B46"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0.930</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281B2352"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2.806</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3426BEAE"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0.768</w:t>
            </w:r>
            <w:r w:rsidRPr="00F86166">
              <w:rPr>
                <w:rFonts w:ascii="Times New Roman" w:hAnsi="Times New Roman" w:cs="Times New Roman"/>
                <w:sz w:val="18"/>
                <w:szCs w:val="18"/>
                <w:vertAlign w:val="superscript"/>
              </w:rPr>
              <w:t>***</w:t>
            </w:r>
          </w:p>
        </w:tc>
        <w:tc>
          <w:tcPr>
            <w:tcW w:w="1656" w:type="dxa"/>
            <w:tcBorders>
              <w:top w:val="nil"/>
              <w:left w:val="nil"/>
              <w:bottom w:val="nil"/>
              <w:right w:val="nil"/>
            </w:tcBorders>
          </w:tcPr>
          <w:p w14:paraId="4D6DF466"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DF5CDE" w:rsidRPr="00F86166" w14:paraId="04904918" w14:textId="77777777" w:rsidTr="00F16287">
        <w:tc>
          <w:tcPr>
            <w:tcW w:w="2136" w:type="dxa"/>
            <w:tcBorders>
              <w:top w:val="nil"/>
              <w:left w:val="nil"/>
              <w:bottom w:val="nil"/>
              <w:right w:val="nil"/>
            </w:tcBorders>
          </w:tcPr>
          <w:p w14:paraId="263F6D1D"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nil"/>
              <w:right w:val="nil"/>
            </w:tcBorders>
          </w:tcPr>
          <w:p w14:paraId="6A49C680"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(3.62)</w:t>
            </w:r>
          </w:p>
        </w:tc>
        <w:tc>
          <w:tcPr>
            <w:tcW w:w="1656" w:type="dxa"/>
            <w:tcBorders>
              <w:top w:val="nil"/>
              <w:left w:val="nil"/>
              <w:bottom w:val="nil"/>
              <w:right w:val="nil"/>
            </w:tcBorders>
          </w:tcPr>
          <w:p w14:paraId="2B511BF4"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(4.07)</w:t>
            </w:r>
          </w:p>
        </w:tc>
        <w:tc>
          <w:tcPr>
            <w:tcW w:w="1656" w:type="dxa"/>
            <w:tcBorders>
              <w:top w:val="nil"/>
              <w:left w:val="nil"/>
              <w:bottom w:val="nil"/>
              <w:right w:val="nil"/>
            </w:tcBorders>
          </w:tcPr>
          <w:p w14:paraId="61AA385B"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(3.74)</w:t>
            </w:r>
          </w:p>
        </w:tc>
        <w:tc>
          <w:tcPr>
            <w:tcW w:w="1656" w:type="dxa"/>
            <w:tcBorders>
              <w:top w:val="nil"/>
              <w:left w:val="nil"/>
              <w:bottom w:val="nil"/>
              <w:right w:val="nil"/>
            </w:tcBorders>
          </w:tcPr>
          <w:p w14:paraId="5A40D74B"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DF5CDE" w:rsidRPr="00F86166" w14:paraId="5C30A5B4" w14:textId="77777777" w:rsidTr="00F16287">
        <w:tc>
          <w:tcPr>
            <w:tcW w:w="2136" w:type="dxa"/>
            <w:tcBorders>
              <w:top w:val="single" w:sz="4" w:space="0" w:color="auto"/>
              <w:left w:val="nil"/>
              <w:bottom w:val="nil"/>
              <w:right w:val="nil"/>
            </w:tcBorders>
          </w:tcPr>
          <w:p w14:paraId="2E50BFF6"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w:t>
            </w:r>
          </w:p>
        </w:tc>
        <w:tc>
          <w:tcPr>
            <w:tcW w:w="1656" w:type="dxa"/>
            <w:tcBorders>
              <w:top w:val="single" w:sz="4" w:space="0" w:color="auto"/>
              <w:left w:val="nil"/>
              <w:bottom w:val="nil"/>
              <w:right w:val="nil"/>
            </w:tcBorders>
          </w:tcPr>
          <w:p w14:paraId="6AE11A94"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58C59447"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2ED65304"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single" w:sz="4" w:space="0" w:color="auto"/>
              <w:left w:val="nil"/>
              <w:bottom w:val="nil"/>
              <w:right w:val="nil"/>
            </w:tcBorders>
          </w:tcPr>
          <w:p w14:paraId="6F3B9784"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r>
      <w:tr w:rsidR="00DF5CDE" w:rsidRPr="00F86166" w14:paraId="76133F4F" w14:textId="77777777" w:rsidTr="00F16287">
        <w:tc>
          <w:tcPr>
            <w:tcW w:w="2136" w:type="dxa"/>
            <w:tcBorders>
              <w:top w:val="nil"/>
              <w:left w:val="nil"/>
              <w:bottom w:val="nil"/>
              <w:right w:val="nil"/>
            </w:tcBorders>
          </w:tcPr>
          <w:p w14:paraId="5151C2E1"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lnsig2u</w:t>
            </w:r>
          </w:p>
        </w:tc>
        <w:tc>
          <w:tcPr>
            <w:tcW w:w="1656" w:type="dxa"/>
            <w:tcBorders>
              <w:top w:val="nil"/>
              <w:left w:val="nil"/>
              <w:bottom w:val="nil"/>
              <w:right w:val="nil"/>
            </w:tcBorders>
          </w:tcPr>
          <w:p w14:paraId="48AE1F6F"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nil"/>
              <w:right w:val="nil"/>
            </w:tcBorders>
          </w:tcPr>
          <w:p w14:paraId="5AF8BC2A"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nil"/>
              <w:right w:val="nil"/>
            </w:tcBorders>
          </w:tcPr>
          <w:p w14:paraId="1357851B"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nil"/>
              <w:right w:val="nil"/>
            </w:tcBorders>
          </w:tcPr>
          <w:p w14:paraId="1F9A1B3A"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0.908</w:t>
            </w:r>
            <w:r w:rsidRPr="00F86166">
              <w:rPr>
                <w:rFonts w:ascii="Times New Roman" w:hAnsi="Times New Roman" w:cs="Times New Roman"/>
                <w:sz w:val="18"/>
                <w:szCs w:val="18"/>
                <w:vertAlign w:val="superscript"/>
              </w:rPr>
              <w:t>***</w:t>
            </w:r>
          </w:p>
        </w:tc>
      </w:tr>
      <w:tr w:rsidR="00DF5CDE" w:rsidRPr="00F86166" w14:paraId="27AB808A" w14:textId="77777777" w:rsidTr="00F16287">
        <w:tc>
          <w:tcPr>
            <w:tcW w:w="2136" w:type="dxa"/>
            <w:tcBorders>
              <w:top w:val="nil"/>
              <w:left w:val="nil"/>
              <w:bottom w:val="single" w:sz="4" w:space="0" w:color="auto"/>
              <w:right w:val="nil"/>
            </w:tcBorders>
          </w:tcPr>
          <w:p w14:paraId="5B709F3A"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p>
        </w:tc>
        <w:tc>
          <w:tcPr>
            <w:tcW w:w="1656" w:type="dxa"/>
            <w:tcBorders>
              <w:top w:val="nil"/>
              <w:left w:val="nil"/>
              <w:bottom w:val="single" w:sz="4" w:space="0" w:color="auto"/>
              <w:right w:val="nil"/>
            </w:tcBorders>
          </w:tcPr>
          <w:p w14:paraId="0A9952B5"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single" w:sz="4" w:space="0" w:color="auto"/>
              <w:right w:val="nil"/>
            </w:tcBorders>
          </w:tcPr>
          <w:p w14:paraId="3706AD0A"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single" w:sz="4" w:space="0" w:color="auto"/>
              <w:right w:val="nil"/>
            </w:tcBorders>
          </w:tcPr>
          <w:p w14:paraId="162936D2"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p>
        </w:tc>
        <w:tc>
          <w:tcPr>
            <w:tcW w:w="1656" w:type="dxa"/>
            <w:tcBorders>
              <w:top w:val="nil"/>
              <w:left w:val="nil"/>
              <w:bottom w:val="single" w:sz="4" w:space="0" w:color="auto"/>
              <w:right w:val="nil"/>
            </w:tcBorders>
          </w:tcPr>
          <w:p w14:paraId="4628D621"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(3.37)</w:t>
            </w:r>
          </w:p>
        </w:tc>
      </w:tr>
      <w:tr w:rsidR="00DF5CDE" w:rsidRPr="00F86166" w14:paraId="5BF2FAFF" w14:textId="77777777" w:rsidTr="00F16287">
        <w:tc>
          <w:tcPr>
            <w:tcW w:w="2136" w:type="dxa"/>
            <w:tcBorders>
              <w:top w:val="nil"/>
              <w:left w:val="nil"/>
              <w:bottom w:val="single" w:sz="4" w:space="0" w:color="auto"/>
              <w:right w:val="nil"/>
            </w:tcBorders>
          </w:tcPr>
          <w:p w14:paraId="796EEBB8" w14:textId="77777777" w:rsidR="00DF5CDE" w:rsidRPr="00F86166" w:rsidRDefault="00DF5CDE" w:rsidP="00F16287">
            <w:pPr>
              <w:widowControl w:val="0"/>
              <w:autoSpaceDE w:val="0"/>
              <w:autoSpaceDN w:val="0"/>
              <w:adjustRightInd w:val="0"/>
              <w:spacing w:after="0" w:line="240" w:lineRule="auto"/>
              <w:rPr>
                <w:rFonts w:ascii="Times New Roman" w:hAnsi="Times New Roman" w:cs="Times New Roman"/>
                <w:sz w:val="18"/>
                <w:szCs w:val="18"/>
              </w:rPr>
            </w:pPr>
            <w:r w:rsidRPr="00F86166">
              <w:rPr>
                <w:rFonts w:ascii="Times New Roman" w:hAnsi="Times New Roman" w:cs="Times New Roman"/>
                <w:sz w:val="18"/>
                <w:szCs w:val="18"/>
              </w:rPr>
              <w:t>Observations</w:t>
            </w:r>
          </w:p>
        </w:tc>
        <w:tc>
          <w:tcPr>
            <w:tcW w:w="1656" w:type="dxa"/>
            <w:tcBorders>
              <w:top w:val="nil"/>
              <w:left w:val="nil"/>
              <w:bottom w:val="single" w:sz="4" w:space="0" w:color="auto"/>
              <w:right w:val="nil"/>
            </w:tcBorders>
          </w:tcPr>
          <w:p w14:paraId="2F55FDE3"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1184</w:t>
            </w:r>
          </w:p>
        </w:tc>
        <w:tc>
          <w:tcPr>
            <w:tcW w:w="1656" w:type="dxa"/>
            <w:tcBorders>
              <w:top w:val="nil"/>
              <w:left w:val="nil"/>
              <w:bottom w:val="single" w:sz="4" w:space="0" w:color="auto"/>
              <w:right w:val="nil"/>
            </w:tcBorders>
          </w:tcPr>
          <w:p w14:paraId="10F9B3AD"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1184</w:t>
            </w:r>
          </w:p>
        </w:tc>
        <w:tc>
          <w:tcPr>
            <w:tcW w:w="1656" w:type="dxa"/>
            <w:tcBorders>
              <w:top w:val="nil"/>
              <w:left w:val="nil"/>
              <w:bottom w:val="single" w:sz="4" w:space="0" w:color="auto"/>
              <w:right w:val="nil"/>
            </w:tcBorders>
          </w:tcPr>
          <w:p w14:paraId="566EAEE4"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966</w:t>
            </w:r>
          </w:p>
        </w:tc>
        <w:tc>
          <w:tcPr>
            <w:tcW w:w="1656" w:type="dxa"/>
            <w:tcBorders>
              <w:top w:val="nil"/>
              <w:left w:val="nil"/>
              <w:bottom w:val="single" w:sz="4" w:space="0" w:color="auto"/>
              <w:right w:val="nil"/>
            </w:tcBorders>
          </w:tcPr>
          <w:p w14:paraId="6F383FC2" w14:textId="77777777" w:rsidR="00DF5CDE" w:rsidRPr="00F86166" w:rsidRDefault="00DF5CDE" w:rsidP="00F16287">
            <w:pPr>
              <w:widowControl w:val="0"/>
              <w:autoSpaceDE w:val="0"/>
              <w:autoSpaceDN w:val="0"/>
              <w:adjustRightInd w:val="0"/>
              <w:spacing w:after="0" w:line="240" w:lineRule="auto"/>
              <w:jc w:val="center"/>
              <w:rPr>
                <w:rFonts w:ascii="Times New Roman" w:hAnsi="Times New Roman" w:cs="Times New Roman"/>
                <w:sz w:val="18"/>
                <w:szCs w:val="18"/>
              </w:rPr>
            </w:pPr>
            <w:r w:rsidRPr="00F86166">
              <w:rPr>
                <w:rFonts w:ascii="Times New Roman" w:hAnsi="Times New Roman" w:cs="Times New Roman"/>
                <w:sz w:val="18"/>
                <w:szCs w:val="18"/>
              </w:rPr>
              <w:t>2825</w:t>
            </w:r>
          </w:p>
        </w:tc>
      </w:tr>
    </w:tbl>
    <w:p w14:paraId="1393FCDB" w14:textId="77777777" w:rsidR="00DF5CDE" w:rsidRPr="00F86166" w:rsidRDefault="00DF5CDE" w:rsidP="00DF5CDE">
      <w:pPr>
        <w:widowControl w:val="0"/>
        <w:autoSpaceDE w:val="0"/>
        <w:autoSpaceDN w:val="0"/>
        <w:adjustRightInd w:val="0"/>
        <w:spacing w:after="0" w:line="240" w:lineRule="auto"/>
        <w:rPr>
          <w:rFonts w:ascii="Times New Roman" w:hAnsi="Times New Roman" w:cs="Times New Roman"/>
          <w:sz w:val="14"/>
          <w:szCs w:val="14"/>
        </w:rPr>
      </w:pPr>
      <w:r w:rsidRPr="00F86166">
        <w:rPr>
          <w:rFonts w:ascii="Times New Roman" w:hAnsi="Times New Roman" w:cs="Times New Roman"/>
          <w:i/>
          <w:iCs/>
          <w:sz w:val="14"/>
          <w:szCs w:val="14"/>
        </w:rPr>
        <w:t>t</w:t>
      </w:r>
      <w:r w:rsidRPr="00F86166">
        <w:rPr>
          <w:rFonts w:ascii="Times New Roman" w:hAnsi="Times New Roman" w:cs="Times New Roman"/>
          <w:sz w:val="14"/>
          <w:szCs w:val="14"/>
        </w:rPr>
        <w:t xml:space="preserve"> statistics in parentheses</w:t>
      </w:r>
    </w:p>
    <w:p w14:paraId="0C4B3BA5" w14:textId="52C1C7A3" w:rsidR="00DF5CDE" w:rsidRPr="00F86166" w:rsidRDefault="00DF5CDE" w:rsidP="00DF5CDE">
      <w:pPr>
        <w:widowControl w:val="0"/>
        <w:autoSpaceDE w:val="0"/>
        <w:autoSpaceDN w:val="0"/>
        <w:adjustRightInd w:val="0"/>
        <w:spacing w:after="0" w:line="240" w:lineRule="auto"/>
        <w:rPr>
          <w:rFonts w:ascii="Times New Roman" w:hAnsi="Times New Roman" w:cs="Times New Roman"/>
          <w:sz w:val="14"/>
          <w:szCs w:val="14"/>
        </w:rPr>
      </w:pPr>
      <w:r w:rsidRPr="00F86166">
        <w:rPr>
          <w:rFonts w:ascii="Times New Roman" w:hAnsi="Times New Roman" w:cs="Times New Roman"/>
          <w:sz w:val="14"/>
          <w:szCs w:val="14"/>
          <w:vertAlign w:val="superscript"/>
        </w:rPr>
        <w:t>*</w:t>
      </w:r>
      <w:r w:rsidRPr="00F86166">
        <w:rPr>
          <w:rFonts w:ascii="Times New Roman" w:hAnsi="Times New Roman" w:cs="Times New Roman"/>
          <w:sz w:val="14"/>
          <w:szCs w:val="14"/>
        </w:rPr>
        <w:t xml:space="preserve"> </w:t>
      </w:r>
      <w:r w:rsidRPr="00F86166">
        <w:rPr>
          <w:rFonts w:ascii="Times New Roman" w:hAnsi="Times New Roman" w:cs="Times New Roman"/>
          <w:i/>
          <w:iCs/>
          <w:sz w:val="14"/>
          <w:szCs w:val="14"/>
        </w:rPr>
        <w:t>p</w:t>
      </w:r>
      <w:r w:rsidRPr="00F86166">
        <w:rPr>
          <w:rFonts w:ascii="Times New Roman" w:hAnsi="Times New Roman" w:cs="Times New Roman"/>
          <w:sz w:val="14"/>
          <w:szCs w:val="14"/>
        </w:rPr>
        <w:t xml:space="preserve"> &lt; 0.05, </w:t>
      </w:r>
      <w:r w:rsidRPr="00F86166">
        <w:rPr>
          <w:rFonts w:ascii="Times New Roman" w:hAnsi="Times New Roman" w:cs="Times New Roman"/>
          <w:sz w:val="14"/>
          <w:szCs w:val="14"/>
          <w:vertAlign w:val="superscript"/>
        </w:rPr>
        <w:t>**</w:t>
      </w:r>
      <w:r w:rsidRPr="00F86166">
        <w:rPr>
          <w:rFonts w:ascii="Times New Roman" w:hAnsi="Times New Roman" w:cs="Times New Roman"/>
          <w:sz w:val="14"/>
          <w:szCs w:val="14"/>
        </w:rPr>
        <w:t xml:space="preserve"> </w:t>
      </w:r>
      <w:r w:rsidRPr="00F86166">
        <w:rPr>
          <w:rFonts w:ascii="Times New Roman" w:hAnsi="Times New Roman" w:cs="Times New Roman"/>
          <w:i/>
          <w:iCs/>
          <w:sz w:val="14"/>
          <w:szCs w:val="14"/>
        </w:rPr>
        <w:t>p</w:t>
      </w:r>
      <w:r w:rsidRPr="00F86166">
        <w:rPr>
          <w:rFonts w:ascii="Times New Roman" w:hAnsi="Times New Roman" w:cs="Times New Roman"/>
          <w:sz w:val="14"/>
          <w:szCs w:val="14"/>
        </w:rPr>
        <w:t xml:space="preserve"> &lt; 0.01, </w:t>
      </w:r>
      <w:r w:rsidRPr="00F86166">
        <w:rPr>
          <w:rFonts w:ascii="Times New Roman" w:hAnsi="Times New Roman" w:cs="Times New Roman"/>
          <w:sz w:val="14"/>
          <w:szCs w:val="14"/>
          <w:vertAlign w:val="superscript"/>
        </w:rPr>
        <w:t>***</w:t>
      </w:r>
      <w:r w:rsidRPr="00F86166">
        <w:rPr>
          <w:rFonts w:ascii="Times New Roman" w:hAnsi="Times New Roman" w:cs="Times New Roman"/>
          <w:sz w:val="14"/>
          <w:szCs w:val="14"/>
        </w:rPr>
        <w:t xml:space="preserve"> </w:t>
      </w:r>
      <w:r w:rsidRPr="00F86166">
        <w:rPr>
          <w:rFonts w:ascii="Times New Roman" w:hAnsi="Times New Roman" w:cs="Times New Roman"/>
          <w:i/>
          <w:iCs/>
          <w:sz w:val="14"/>
          <w:szCs w:val="14"/>
        </w:rPr>
        <w:t>p</w:t>
      </w:r>
      <w:r w:rsidRPr="00F86166">
        <w:rPr>
          <w:rFonts w:ascii="Times New Roman" w:hAnsi="Times New Roman" w:cs="Times New Roman"/>
          <w:sz w:val="14"/>
          <w:szCs w:val="14"/>
        </w:rPr>
        <w:t xml:space="preserve"> &lt; 0.001</w:t>
      </w:r>
    </w:p>
    <w:p w14:paraId="08ED3911" w14:textId="584BBAD8" w:rsidR="003D3DCA" w:rsidRDefault="003D3DCA" w:rsidP="006E4646"/>
    <w:p w14:paraId="0608542C" w14:textId="3129A828" w:rsidR="006E4646" w:rsidRDefault="00CA3442" w:rsidP="006E4646">
      <w:r>
        <w:t>Finally, it is also possible</w:t>
      </w:r>
      <w:r w:rsidR="003B5582">
        <w:t xml:space="preserve"> to introduce</w:t>
      </w:r>
      <w:r>
        <w:t xml:space="preserve"> interaction terms between central bank independence and fixed rates into the lagged models.</w:t>
      </w:r>
      <w:r w:rsidR="00820BED">
        <w:t xml:space="preserve"> </w:t>
      </w:r>
      <w:r>
        <w:t>The results are shown _______.</w:t>
      </w:r>
    </w:p>
    <w:p w14:paraId="2624DCC7" w14:textId="4B774703" w:rsidR="00471587" w:rsidRDefault="00A01FE0" w:rsidP="006E4646">
      <w:r>
        <w:t xml:space="preserve">De jure CBI immediately increases instability events, </w:t>
      </w:r>
      <w:r w:rsidR="00D84E10">
        <w:t>and effects appear to be similar to those originally considered</w:t>
      </w:r>
      <w:r w:rsidR="000D0661">
        <w:t xml:space="preserve"> without the interaction term. Fixed rates by themselves appear to decrease turnover, particularly for the lower house</w:t>
      </w:r>
      <w:r w:rsidR="00F3433B">
        <w:t>. The combination of de jure CBI and fixed rates tends to increase turnover in the near term.</w:t>
      </w:r>
      <w:r w:rsidR="0033373E">
        <w:t xml:space="preserve"> </w:t>
      </w:r>
      <w:r w:rsidR="0033373E" w:rsidRPr="00212952">
        <w:rPr>
          <w:highlight w:val="yellow"/>
        </w:rPr>
        <w:t xml:space="preserve">In this case, it appears that evidence that fixed rates increase turnover </w:t>
      </w:r>
      <w:r w:rsidR="00212952" w:rsidRPr="00212952">
        <w:rPr>
          <w:highlight w:val="yellow"/>
        </w:rPr>
        <w:t>can be traced to the interaction.</w:t>
      </w:r>
      <w:r w:rsidR="00827901">
        <w:t xml:space="preserve"> It </w:t>
      </w:r>
      <w:r w:rsidR="00256721">
        <w:t>is the backing of a sufficiently independent central bank (by law) which constrains rate policy, with turnover consequences.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2C4432" w:rsidRPr="00CC7538" w14:paraId="13376FCE" w14:textId="77777777" w:rsidTr="00015B88">
        <w:tc>
          <w:tcPr>
            <w:tcW w:w="2136" w:type="dxa"/>
            <w:tcBorders>
              <w:top w:val="single" w:sz="4" w:space="0" w:color="auto"/>
              <w:left w:val="nil"/>
              <w:bottom w:val="nil"/>
              <w:right w:val="nil"/>
            </w:tcBorders>
          </w:tcPr>
          <w:p w14:paraId="2649A81F"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single" w:sz="4" w:space="0" w:color="auto"/>
              <w:left w:val="nil"/>
              <w:bottom w:val="nil"/>
              <w:right w:val="nil"/>
            </w:tcBorders>
          </w:tcPr>
          <w:p w14:paraId="72C37138"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w:t>
            </w:r>
          </w:p>
        </w:tc>
        <w:tc>
          <w:tcPr>
            <w:tcW w:w="1656" w:type="dxa"/>
            <w:tcBorders>
              <w:top w:val="single" w:sz="4" w:space="0" w:color="auto"/>
              <w:left w:val="nil"/>
              <w:bottom w:val="nil"/>
              <w:right w:val="nil"/>
            </w:tcBorders>
          </w:tcPr>
          <w:p w14:paraId="4EDB67E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w:t>
            </w:r>
          </w:p>
        </w:tc>
        <w:tc>
          <w:tcPr>
            <w:tcW w:w="1656" w:type="dxa"/>
            <w:tcBorders>
              <w:top w:val="single" w:sz="4" w:space="0" w:color="auto"/>
              <w:left w:val="nil"/>
              <w:bottom w:val="nil"/>
              <w:right w:val="nil"/>
            </w:tcBorders>
          </w:tcPr>
          <w:p w14:paraId="522D0A5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(3)</w:t>
            </w:r>
          </w:p>
        </w:tc>
        <w:tc>
          <w:tcPr>
            <w:tcW w:w="1656" w:type="dxa"/>
            <w:tcBorders>
              <w:top w:val="single" w:sz="4" w:space="0" w:color="auto"/>
              <w:left w:val="nil"/>
              <w:bottom w:val="nil"/>
              <w:right w:val="nil"/>
            </w:tcBorders>
          </w:tcPr>
          <w:p w14:paraId="24F373A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(4)</w:t>
            </w:r>
          </w:p>
        </w:tc>
        <w:tc>
          <w:tcPr>
            <w:tcW w:w="1656" w:type="dxa"/>
            <w:tcBorders>
              <w:top w:val="single" w:sz="4" w:space="0" w:color="auto"/>
              <w:left w:val="nil"/>
              <w:bottom w:val="nil"/>
              <w:right w:val="nil"/>
            </w:tcBorders>
          </w:tcPr>
          <w:p w14:paraId="2AA83CF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(5)</w:t>
            </w:r>
          </w:p>
        </w:tc>
      </w:tr>
      <w:tr w:rsidR="002C4432" w:rsidRPr="00CC7538" w14:paraId="35A2388B" w14:textId="77777777" w:rsidTr="00015B88">
        <w:tc>
          <w:tcPr>
            <w:tcW w:w="2136" w:type="dxa"/>
            <w:tcBorders>
              <w:top w:val="nil"/>
              <w:left w:val="nil"/>
              <w:bottom w:val="nil"/>
              <w:right w:val="nil"/>
            </w:tcBorders>
          </w:tcPr>
          <w:p w14:paraId="50C8DB6C"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49690C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Head of Govt. Turnover</w:t>
            </w:r>
          </w:p>
        </w:tc>
        <w:tc>
          <w:tcPr>
            <w:tcW w:w="1656" w:type="dxa"/>
            <w:tcBorders>
              <w:top w:val="nil"/>
              <w:left w:val="nil"/>
              <w:bottom w:val="nil"/>
              <w:right w:val="nil"/>
            </w:tcBorders>
          </w:tcPr>
          <w:p w14:paraId="5F3E0F1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Head of State Turnover</w:t>
            </w:r>
          </w:p>
        </w:tc>
        <w:tc>
          <w:tcPr>
            <w:tcW w:w="1656" w:type="dxa"/>
            <w:tcBorders>
              <w:top w:val="nil"/>
              <w:left w:val="nil"/>
              <w:bottom w:val="nil"/>
              <w:right w:val="nil"/>
            </w:tcBorders>
          </w:tcPr>
          <w:p w14:paraId="6AD6DB6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Lower House Turnover</w:t>
            </w:r>
          </w:p>
        </w:tc>
        <w:tc>
          <w:tcPr>
            <w:tcW w:w="1656" w:type="dxa"/>
            <w:tcBorders>
              <w:top w:val="nil"/>
              <w:left w:val="nil"/>
              <w:bottom w:val="nil"/>
              <w:right w:val="nil"/>
            </w:tcBorders>
          </w:tcPr>
          <w:p w14:paraId="4FABA84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 xml:space="preserve">WB Political Stability </w:t>
            </w:r>
            <w:r w:rsidRPr="00CC7538">
              <w:rPr>
                <w:rFonts w:ascii="Times New Roman" w:hAnsi="Times New Roman" w:cs="Times New Roman"/>
                <w:sz w:val="20"/>
                <w:szCs w:val="20"/>
              </w:rPr>
              <w:lastRenderedPageBreak/>
              <w:t>(Absence of Violence)</w:t>
            </w:r>
          </w:p>
        </w:tc>
        <w:tc>
          <w:tcPr>
            <w:tcW w:w="1656" w:type="dxa"/>
            <w:tcBorders>
              <w:top w:val="nil"/>
              <w:left w:val="nil"/>
              <w:bottom w:val="nil"/>
              <w:right w:val="nil"/>
            </w:tcBorders>
          </w:tcPr>
          <w:p w14:paraId="0764807F"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lastRenderedPageBreak/>
              <w:t>Instability Event Indicator</w:t>
            </w:r>
          </w:p>
        </w:tc>
      </w:tr>
      <w:tr w:rsidR="002C4432" w:rsidRPr="00CC7538" w14:paraId="3EA1D270" w14:textId="77777777" w:rsidTr="00015B88">
        <w:tc>
          <w:tcPr>
            <w:tcW w:w="2136" w:type="dxa"/>
            <w:tcBorders>
              <w:top w:val="single" w:sz="4" w:space="0" w:color="auto"/>
              <w:left w:val="nil"/>
              <w:bottom w:val="nil"/>
              <w:right w:val="nil"/>
            </w:tcBorders>
          </w:tcPr>
          <w:p w14:paraId="2B5FED0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De Jure CBI (CNW Index)</w:t>
            </w:r>
          </w:p>
        </w:tc>
        <w:tc>
          <w:tcPr>
            <w:tcW w:w="1656" w:type="dxa"/>
            <w:tcBorders>
              <w:top w:val="single" w:sz="4" w:space="0" w:color="auto"/>
              <w:left w:val="nil"/>
              <w:bottom w:val="nil"/>
              <w:right w:val="nil"/>
            </w:tcBorders>
          </w:tcPr>
          <w:p w14:paraId="1A144EA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0.679</w:t>
            </w:r>
          </w:p>
        </w:tc>
        <w:tc>
          <w:tcPr>
            <w:tcW w:w="1656" w:type="dxa"/>
            <w:tcBorders>
              <w:top w:val="single" w:sz="4" w:space="0" w:color="auto"/>
              <w:left w:val="nil"/>
              <w:bottom w:val="nil"/>
              <w:right w:val="nil"/>
            </w:tcBorders>
          </w:tcPr>
          <w:p w14:paraId="1819355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-0.429</w:t>
            </w:r>
          </w:p>
        </w:tc>
        <w:tc>
          <w:tcPr>
            <w:tcW w:w="1656" w:type="dxa"/>
            <w:tcBorders>
              <w:top w:val="single" w:sz="4" w:space="0" w:color="auto"/>
              <w:left w:val="nil"/>
              <w:bottom w:val="nil"/>
              <w:right w:val="nil"/>
            </w:tcBorders>
          </w:tcPr>
          <w:p w14:paraId="1A20A6BF"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1.209</w:t>
            </w:r>
          </w:p>
        </w:tc>
        <w:tc>
          <w:tcPr>
            <w:tcW w:w="1656" w:type="dxa"/>
            <w:tcBorders>
              <w:top w:val="single" w:sz="4" w:space="0" w:color="auto"/>
              <w:left w:val="nil"/>
              <w:bottom w:val="nil"/>
              <w:right w:val="nil"/>
            </w:tcBorders>
          </w:tcPr>
          <w:p w14:paraId="71A9BA2F"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-0.545</w:t>
            </w:r>
          </w:p>
        </w:tc>
        <w:tc>
          <w:tcPr>
            <w:tcW w:w="1656" w:type="dxa"/>
            <w:tcBorders>
              <w:top w:val="single" w:sz="4" w:space="0" w:color="auto"/>
              <w:left w:val="nil"/>
              <w:bottom w:val="nil"/>
              <w:right w:val="nil"/>
            </w:tcBorders>
          </w:tcPr>
          <w:p w14:paraId="1758A43F"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0.574</w:t>
            </w:r>
            <w:r w:rsidRPr="00CC7538">
              <w:rPr>
                <w:rFonts w:ascii="Times New Roman" w:hAnsi="Times New Roman" w:cs="Times New Roman"/>
                <w:sz w:val="20"/>
                <w:szCs w:val="20"/>
                <w:vertAlign w:val="superscript"/>
              </w:rPr>
              <w:t>*</w:t>
            </w:r>
          </w:p>
        </w:tc>
      </w:tr>
      <w:tr w:rsidR="002C4432" w:rsidRPr="00CC7538" w14:paraId="01E8115B" w14:textId="77777777" w:rsidTr="00015B88">
        <w:tc>
          <w:tcPr>
            <w:tcW w:w="2136" w:type="dxa"/>
            <w:tcBorders>
              <w:top w:val="nil"/>
              <w:left w:val="nil"/>
              <w:bottom w:val="nil"/>
              <w:right w:val="nil"/>
            </w:tcBorders>
          </w:tcPr>
          <w:p w14:paraId="6112EC7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E05E8D8"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(0.75)</w:t>
            </w:r>
          </w:p>
        </w:tc>
        <w:tc>
          <w:tcPr>
            <w:tcW w:w="1656" w:type="dxa"/>
            <w:tcBorders>
              <w:top w:val="nil"/>
              <w:left w:val="nil"/>
              <w:bottom w:val="nil"/>
              <w:right w:val="nil"/>
            </w:tcBorders>
          </w:tcPr>
          <w:p w14:paraId="33C283F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(-0.70)</w:t>
            </w:r>
          </w:p>
        </w:tc>
        <w:tc>
          <w:tcPr>
            <w:tcW w:w="1656" w:type="dxa"/>
            <w:tcBorders>
              <w:top w:val="nil"/>
              <w:left w:val="nil"/>
              <w:bottom w:val="nil"/>
              <w:right w:val="nil"/>
            </w:tcBorders>
          </w:tcPr>
          <w:p w14:paraId="484E0209"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(1.93)</w:t>
            </w:r>
          </w:p>
        </w:tc>
        <w:tc>
          <w:tcPr>
            <w:tcW w:w="1656" w:type="dxa"/>
            <w:tcBorders>
              <w:top w:val="nil"/>
              <w:left w:val="nil"/>
              <w:bottom w:val="nil"/>
              <w:right w:val="nil"/>
            </w:tcBorders>
          </w:tcPr>
          <w:p w14:paraId="73B0E28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(-1.47)</w:t>
            </w:r>
          </w:p>
        </w:tc>
        <w:tc>
          <w:tcPr>
            <w:tcW w:w="1656" w:type="dxa"/>
            <w:tcBorders>
              <w:top w:val="nil"/>
              <w:left w:val="nil"/>
              <w:bottom w:val="nil"/>
              <w:right w:val="nil"/>
            </w:tcBorders>
          </w:tcPr>
          <w:p w14:paraId="63EFCF1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(2.17)</w:t>
            </w:r>
          </w:p>
        </w:tc>
      </w:tr>
      <w:tr w:rsidR="002C4432" w:rsidRPr="00CC7538" w14:paraId="7763EF63" w14:textId="77777777" w:rsidTr="00015B88">
        <w:tc>
          <w:tcPr>
            <w:tcW w:w="2136" w:type="dxa"/>
            <w:tcBorders>
              <w:top w:val="nil"/>
              <w:left w:val="nil"/>
              <w:bottom w:val="nil"/>
              <w:right w:val="nil"/>
            </w:tcBorders>
          </w:tcPr>
          <w:p w14:paraId="3EEE706E"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C5BF16C"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E49955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7F269D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9D445E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F89E005"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5836F872" w14:textId="77777777" w:rsidTr="00015B88">
        <w:tc>
          <w:tcPr>
            <w:tcW w:w="2136" w:type="dxa"/>
            <w:tcBorders>
              <w:top w:val="nil"/>
              <w:left w:val="nil"/>
              <w:bottom w:val="nil"/>
              <w:right w:val="nil"/>
            </w:tcBorders>
          </w:tcPr>
          <w:p w14:paraId="4FE3A56C"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Exchange Rate Classification (RR inverted, higher = more fixed)</w:t>
            </w:r>
          </w:p>
        </w:tc>
        <w:tc>
          <w:tcPr>
            <w:tcW w:w="1656" w:type="dxa"/>
            <w:tcBorders>
              <w:top w:val="nil"/>
              <w:left w:val="nil"/>
              <w:bottom w:val="nil"/>
              <w:right w:val="nil"/>
            </w:tcBorders>
          </w:tcPr>
          <w:p w14:paraId="6B4DEED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-0.0299</w:t>
            </w:r>
          </w:p>
        </w:tc>
        <w:tc>
          <w:tcPr>
            <w:tcW w:w="1656" w:type="dxa"/>
            <w:tcBorders>
              <w:top w:val="nil"/>
              <w:left w:val="nil"/>
              <w:bottom w:val="nil"/>
              <w:right w:val="nil"/>
            </w:tcBorders>
          </w:tcPr>
          <w:p w14:paraId="27D04FF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-0.0979</w:t>
            </w:r>
            <w:r w:rsidRPr="00CC7538">
              <w:rPr>
                <w:rFonts w:ascii="Times New Roman" w:hAnsi="Times New Roman" w:cs="Times New Roman"/>
                <w:sz w:val="20"/>
                <w:szCs w:val="20"/>
                <w:vertAlign w:val="superscript"/>
              </w:rPr>
              <w:t>*</w:t>
            </w:r>
          </w:p>
        </w:tc>
        <w:tc>
          <w:tcPr>
            <w:tcW w:w="1656" w:type="dxa"/>
            <w:tcBorders>
              <w:top w:val="nil"/>
              <w:left w:val="nil"/>
              <w:bottom w:val="nil"/>
              <w:right w:val="nil"/>
            </w:tcBorders>
          </w:tcPr>
          <w:p w14:paraId="7D98E130"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-0.0126</w:t>
            </w:r>
          </w:p>
        </w:tc>
        <w:tc>
          <w:tcPr>
            <w:tcW w:w="1656" w:type="dxa"/>
            <w:tcBorders>
              <w:top w:val="nil"/>
              <w:left w:val="nil"/>
              <w:bottom w:val="nil"/>
              <w:right w:val="nil"/>
            </w:tcBorders>
          </w:tcPr>
          <w:p w14:paraId="6D03F78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0.000336</w:t>
            </w:r>
          </w:p>
        </w:tc>
        <w:tc>
          <w:tcPr>
            <w:tcW w:w="1656" w:type="dxa"/>
            <w:tcBorders>
              <w:top w:val="nil"/>
              <w:left w:val="nil"/>
              <w:bottom w:val="nil"/>
              <w:right w:val="nil"/>
            </w:tcBorders>
          </w:tcPr>
          <w:p w14:paraId="4C3CEC0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0.0256</w:t>
            </w:r>
          </w:p>
        </w:tc>
      </w:tr>
      <w:tr w:rsidR="002C4432" w:rsidRPr="00CC7538" w14:paraId="25C27F97" w14:textId="77777777" w:rsidTr="00015B88">
        <w:tc>
          <w:tcPr>
            <w:tcW w:w="2136" w:type="dxa"/>
            <w:tcBorders>
              <w:top w:val="nil"/>
              <w:left w:val="nil"/>
              <w:bottom w:val="nil"/>
              <w:right w:val="nil"/>
            </w:tcBorders>
          </w:tcPr>
          <w:p w14:paraId="4FE60095"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5B145C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(-0.59)</w:t>
            </w:r>
          </w:p>
        </w:tc>
        <w:tc>
          <w:tcPr>
            <w:tcW w:w="1656" w:type="dxa"/>
            <w:tcBorders>
              <w:top w:val="nil"/>
              <w:left w:val="nil"/>
              <w:bottom w:val="nil"/>
              <w:right w:val="nil"/>
            </w:tcBorders>
          </w:tcPr>
          <w:p w14:paraId="3CCF6BA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(-2.30)</w:t>
            </w:r>
          </w:p>
        </w:tc>
        <w:tc>
          <w:tcPr>
            <w:tcW w:w="1656" w:type="dxa"/>
            <w:tcBorders>
              <w:top w:val="nil"/>
              <w:left w:val="nil"/>
              <w:bottom w:val="nil"/>
              <w:right w:val="nil"/>
            </w:tcBorders>
          </w:tcPr>
          <w:p w14:paraId="7C6145D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(-0.21)</w:t>
            </w:r>
          </w:p>
        </w:tc>
        <w:tc>
          <w:tcPr>
            <w:tcW w:w="1656" w:type="dxa"/>
            <w:tcBorders>
              <w:top w:val="nil"/>
              <w:left w:val="nil"/>
              <w:bottom w:val="nil"/>
              <w:right w:val="nil"/>
            </w:tcBorders>
          </w:tcPr>
          <w:p w14:paraId="3AC081E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(0.02)</w:t>
            </w:r>
          </w:p>
        </w:tc>
        <w:tc>
          <w:tcPr>
            <w:tcW w:w="1656" w:type="dxa"/>
            <w:tcBorders>
              <w:top w:val="nil"/>
              <w:left w:val="nil"/>
              <w:bottom w:val="nil"/>
              <w:right w:val="nil"/>
            </w:tcBorders>
          </w:tcPr>
          <w:p w14:paraId="064525A9"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(1.65)</w:t>
            </w:r>
          </w:p>
        </w:tc>
      </w:tr>
      <w:tr w:rsidR="002C4432" w:rsidRPr="00CC7538" w14:paraId="4FB066C7" w14:textId="77777777" w:rsidTr="00015B88">
        <w:tc>
          <w:tcPr>
            <w:tcW w:w="2136" w:type="dxa"/>
            <w:tcBorders>
              <w:top w:val="nil"/>
              <w:left w:val="nil"/>
              <w:bottom w:val="nil"/>
              <w:right w:val="nil"/>
            </w:tcBorders>
          </w:tcPr>
          <w:p w14:paraId="31A58A5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6B9E8B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5210FD8"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0698BC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C239DD1"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D6A3CEE"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3E0D2BA7" w14:textId="77777777" w:rsidTr="00015B88">
        <w:tc>
          <w:tcPr>
            <w:tcW w:w="2136" w:type="dxa"/>
            <w:tcBorders>
              <w:top w:val="nil"/>
              <w:left w:val="nil"/>
              <w:bottom w:val="nil"/>
              <w:right w:val="nil"/>
            </w:tcBorders>
          </w:tcPr>
          <w:p w14:paraId="3D63C4D9"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De Jure CBI * More Fixed Rate</w:t>
            </w:r>
          </w:p>
        </w:tc>
        <w:tc>
          <w:tcPr>
            <w:tcW w:w="1656" w:type="dxa"/>
            <w:tcBorders>
              <w:top w:val="nil"/>
              <w:left w:val="nil"/>
              <w:bottom w:val="nil"/>
              <w:right w:val="nil"/>
            </w:tcBorders>
          </w:tcPr>
          <w:p w14:paraId="37838988"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-0.0386</w:t>
            </w:r>
          </w:p>
        </w:tc>
        <w:tc>
          <w:tcPr>
            <w:tcW w:w="1656" w:type="dxa"/>
            <w:tcBorders>
              <w:top w:val="nil"/>
              <w:left w:val="nil"/>
              <w:bottom w:val="nil"/>
              <w:right w:val="nil"/>
            </w:tcBorders>
          </w:tcPr>
          <w:p w14:paraId="4C3FF1EF"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0.106</w:t>
            </w:r>
          </w:p>
        </w:tc>
        <w:tc>
          <w:tcPr>
            <w:tcW w:w="1656" w:type="dxa"/>
            <w:tcBorders>
              <w:top w:val="nil"/>
              <w:left w:val="nil"/>
              <w:bottom w:val="nil"/>
              <w:right w:val="nil"/>
            </w:tcBorders>
          </w:tcPr>
          <w:p w14:paraId="4C313B4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-0.0257</w:t>
            </w:r>
          </w:p>
        </w:tc>
        <w:tc>
          <w:tcPr>
            <w:tcW w:w="1656" w:type="dxa"/>
            <w:tcBorders>
              <w:top w:val="nil"/>
              <w:left w:val="nil"/>
              <w:bottom w:val="nil"/>
              <w:right w:val="nil"/>
            </w:tcBorders>
          </w:tcPr>
          <w:p w14:paraId="17BB403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0.00366</w:t>
            </w:r>
          </w:p>
        </w:tc>
        <w:tc>
          <w:tcPr>
            <w:tcW w:w="1656" w:type="dxa"/>
            <w:tcBorders>
              <w:top w:val="nil"/>
              <w:left w:val="nil"/>
              <w:bottom w:val="nil"/>
              <w:right w:val="nil"/>
            </w:tcBorders>
          </w:tcPr>
          <w:p w14:paraId="059B9E1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-0.0455</w:t>
            </w:r>
          </w:p>
        </w:tc>
      </w:tr>
      <w:tr w:rsidR="002C4432" w:rsidRPr="00CC7538" w14:paraId="413D0DBB" w14:textId="77777777" w:rsidTr="00015B88">
        <w:tc>
          <w:tcPr>
            <w:tcW w:w="2136" w:type="dxa"/>
            <w:tcBorders>
              <w:top w:val="nil"/>
              <w:left w:val="nil"/>
              <w:bottom w:val="nil"/>
              <w:right w:val="nil"/>
            </w:tcBorders>
          </w:tcPr>
          <w:p w14:paraId="1A50883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E85E0E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(-0.45)</w:t>
            </w:r>
          </w:p>
        </w:tc>
        <w:tc>
          <w:tcPr>
            <w:tcW w:w="1656" w:type="dxa"/>
            <w:tcBorders>
              <w:top w:val="nil"/>
              <w:left w:val="nil"/>
              <w:bottom w:val="nil"/>
              <w:right w:val="nil"/>
            </w:tcBorders>
          </w:tcPr>
          <w:p w14:paraId="11119F4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(1.51)</w:t>
            </w:r>
          </w:p>
        </w:tc>
        <w:tc>
          <w:tcPr>
            <w:tcW w:w="1656" w:type="dxa"/>
            <w:tcBorders>
              <w:top w:val="nil"/>
              <w:left w:val="nil"/>
              <w:bottom w:val="nil"/>
              <w:right w:val="nil"/>
            </w:tcBorders>
          </w:tcPr>
          <w:p w14:paraId="6C17A0A8"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(-0.25)</w:t>
            </w:r>
          </w:p>
        </w:tc>
        <w:tc>
          <w:tcPr>
            <w:tcW w:w="1656" w:type="dxa"/>
            <w:tcBorders>
              <w:top w:val="nil"/>
              <w:left w:val="nil"/>
              <w:bottom w:val="nil"/>
              <w:right w:val="nil"/>
            </w:tcBorders>
          </w:tcPr>
          <w:p w14:paraId="617B4CA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(0.11)</w:t>
            </w:r>
          </w:p>
        </w:tc>
        <w:tc>
          <w:tcPr>
            <w:tcW w:w="1656" w:type="dxa"/>
            <w:tcBorders>
              <w:top w:val="nil"/>
              <w:left w:val="nil"/>
              <w:bottom w:val="nil"/>
              <w:right w:val="nil"/>
            </w:tcBorders>
          </w:tcPr>
          <w:p w14:paraId="5237C99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(-1.87)</w:t>
            </w:r>
          </w:p>
        </w:tc>
      </w:tr>
      <w:tr w:rsidR="002C4432" w:rsidRPr="00CC7538" w14:paraId="11412CF8" w14:textId="77777777" w:rsidTr="00015B88">
        <w:tc>
          <w:tcPr>
            <w:tcW w:w="2136" w:type="dxa"/>
            <w:tcBorders>
              <w:top w:val="nil"/>
              <w:left w:val="nil"/>
              <w:bottom w:val="nil"/>
              <w:right w:val="nil"/>
            </w:tcBorders>
          </w:tcPr>
          <w:p w14:paraId="5E44860A"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5D715F0"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77145AC"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F8A94C7"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27A6019"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BC575B2"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54C917B1" w14:textId="77777777" w:rsidTr="00015B88">
        <w:tc>
          <w:tcPr>
            <w:tcW w:w="2136" w:type="dxa"/>
            <w:tcBorders>
              <w:top w:val="nil"/>
              <w:left w:val="nil"/>
              <w:bottom w:val="nil"/>
              <w:right w:val="nil"/>
            </w:tcBorders>
          </w:tcPr>
          <w:p w14:paraId="0C66F0F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roofErr w:type="spellStart"/>
            <w:r w:rsidRPr="00CC7538">
              <w:rPr>
                <w:rFonts w:ascii="Times New Roman" w:hAnsi="Times New Roman" w:cs="Times New Roman"/>
                <w:sz w:val="20"/>
                <w:szCs w:val="20"/>
              </w:rPr>
              <w:t>L.De</w:t>
            </w:r>
            <w:proofErr w:type="spellEnd"/>
            <w:r w:rsidRPr="00CC7538">
              <w:rPr>
                <w:rFonts w:ascii="Times New Roman" w:hAnsi="Times New Roman" w:cs="Times New Roman"/>
                <w:sz w:val="20"/>
                <w:szCs w:val="20"/>
              </w:rPr>
              <w:t xml:space="preserve"> Jure CBI (CNW Index)</w:t>
            </w:r>
          </w:p>
        </w:tc>
        <w:tc>
          <w:tcPr>
            <w:tcW w:w="1656" w:type="dxa"/>
            <w:tcBorders>
              <w:top w:val="nil"/>
              <w:left w:val="nil"/>
              <w:bottom w:val="nil"/>
              <w:right w:val="nil"/>
            </w:tcBorders>
          </w:tcPr>
          <w:p w14:paraId="64365F5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1.350</w:t>
            </w:r>
          </w:p>
        </w:tc>
        <w:tc>
          <w:tcPr>
            <w:tcW w:w="1656" w:type="dxa"/>
            <w:tcBorders>
              <w:top w:val="nil"/>
              <w:left w:val="nil"/>
              <w:bottom w:val="nil"/>
              <w:right w:val="nil"/>
            </w:tcBorders>
          </w:tcPr>
          <w:p w14:paraId="14F5386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1.732</w:t>
            </w:r>
            <w:r w:rsidRPr="00CC7538">
              <w:rPr>
                <w:rFonts w:ascii="Times New Roman" w:hAnsi="Times New Roman" w:cs="Times New Roman"/>
                <w:sz w:val="20"/>
                <w:szCs w:val="20"/>
                <w:vertAlign w:val="superscript"/>
              </w:rPr>
              <w:t>*</w:t>
            </w:r>
          </w:p>
        </w:tc>
        <w:tc>
          <w:tcPr>
            <w:tcW w:w="1656" w:type="dxa"/>
            <w:tcBorders>
              <w:top w:val="nil"/>
              <w:left w:val="nil"/>
              <w:bottom w:val="nil"/>
              <w:right w:val="nil"/>
            </w:tcBorders>
          </w:tcPr>
          <w:p w14:paraId="1E814AB8"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-0.514</w:t>
            </w:r>
          </w:p>
        </w:tc>
        <w:tc>
          <w:tcPr>
            <w:tcW w:w="1656" w:type="dxa"/>
            <w:tcBorders>
              <w:top w:val="nil"/>
              <w:left w:val="nil"/>
              <w:bottom w:val="nil"/>
              <w:right w:val="nil"/>
            </w:tcBorders>
          </w:tcPr>
          <w:p w14:paraId="611C280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0.0249</w:t>
            </w:r>
          </w:p>
        </w:tc>
        <w:tc>
          <w:tcPr>
            <w:tcW w:w="1656" w:type="dxa"/>
            <w:tcBorders>
              <w:top w:val="nil"/>
              <w:left w:val="nil"/>
              <w:bottom w:val="nil"/>
              <w:right w:val="nil"/>
            </w:tcBorders>
          </w:tcPr>
          <w:p w14:paraId="103823F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-0.127</w:t>
            </w:r>
          </w:p>
        </w:tc>
      </w:tr>
      <w:tr w:rsidR="002C4432" w:rsidRPr="00CC7538" w14:paraId="7C6582CF" w14:textId="77777777" w:rsidTr="00015B88">
        <w:tc>
          <w:tcPr>
            <w:tcW w:w="2136" w:type="dxa"/>
            <w:tcBorders>
              <w:top w:val="nil"/>
              <w:left w:val="nil"/>
              <w:bottom w:val="nil"/>
              <w:right w:val="nil"/>
            </w:tcBorders>
          </w:tcPr>
          <w:p w14:paraId="419ED46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546DA2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(1.17)</w:t>
            </w:r>
          </w:p>
        </w:tc>
        <w:tc>
          <w:tcPr>
            <w:tcW w:w="1656" w:type="dxa"/>
            <w:tcBorders>
              <w:top w:val="nil"/>
              <w:left w:val="nil"/>
              <w:bottom w:val="nil"/>
              <w:right w:val="nil"/>
            </w:tcBorders>
          </w:tcPr>
          <w:p w14:paraId="0A2C754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(2.01)</w:t>
            </w:r>
          </w:p>
        </w:tc>
        <w:tc>
          <w:tcPr>
            <w:tcW w:w="1656" w:type="dxa"/>
            <w:tcBorders>
              <w:top w:val="nil"/>
              <w:left w:val="nil"/>
              <w:bottom w:val="nil"/>
              <w:right w:val="nil"/>
            </w:tcBorders>
          </w:tcPr>
          <w:p w14:paraId="669C97A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(-0.54)</w:t>
            </w:r>
          </w:p>
        </w:tc>
        <w:tc>
          <w:tcPr>
            <w:tcW w:w="1656" w:type="dxa"/>
            <w:tcBorders>
              <w:top w:val="nil"/>
              <w:left w:val="nil"/>
              <w:bottom w:val="nil"/>
              <w:right w:val="nil"/>
            </w:tcBorders>
          </w:tcPr>
          <w:p w14:paraId="2072167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(0.07)</w:t>
            </w:r>
          </w:p>
        </w:tc>
        <w:tc>
          <w:tcPr>
            <w:tcW w:w="1656" w:type="dxa"/>
            <w:tcBorders>
              <w:top w:val="nil"/>
              <w:left w:val="nil"/>
              <w:bottom w:val="nil"/>
              <w:right w:val="nil"/>
            </w:tcBorders>
          </w:tcPr>
          <w:p w14:paraId="53D3B8C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(-0.78)</w:t>
            </w:r>
          </w:p>
        </w:tc>
      </w:tr>
      <w:tr w:rsidR="002C4432" w:rsidRPr="00CC7538" w14:paraId="7B7CBABA" w14:textId="77777777" w:rsidTr="00015B88">
        <w:tc>
          <w:tcPr>
            <w:tcW w:w="2136" w:type="dxa"/>
            <w:tcBorders>
              <w:top w:val="nil"/>
              <w:left w:val="nil"/>
              <w:bottom w:val="nil"/>
              <w:right w:val="nil"/>
            </w:tcBorders>
          </w:tcPr>
          <w:p w14:paraId="5D584671"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E93580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5A42157"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49FCD90"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19DE7AE"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1CDB3EF"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4E6E0C52" w14:textId="77777777" w:rsidTr="00015B88">
        <w:tc>
          <w:tcPr>
            <w:tcW w:w="2136" w:type="dxa"/>
            <w:tcBorders>
              <w:top w:val="nil"/>
              <w:left w:val="nil"/>
              <w:bottom w:val="nil"/>
              <w:right w:val="nil"/>
            </w:tcBorders>
          </w:tcPr>
          <w:p w14:paraId="7B1468C7"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L2.De Jure CBI (CNW Index)</w:t>
            </w:r>
          </w:p>
        </w:tc>
        <w:tc>
          <w:tcPr>
            <w:tcW w:w="1656" w:type="dxa"/>
            <w:tcBorders>
              <w:top w:val="nil"/>
              <w:left w:val="nil"/>
              <w:bottom w:val="nil"/>
              <w:right w:val="nil"/>
            </w:tcBorders>
          </w:tcPr>
          <w:p w14:paraId="59049A3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-2.381</w:t>
            </w:r>
          </w:p>
        </w:tc>
        <w:tc>
          <w:tcPr>
            <w:tcW w:w="1656" w:type="dxa"/>
            <w:tcBorders>
              <w:top w:val="nil"/>
              <w:left w:val="nil"/>
              <w:bottom w:val="nil"/>
              <w:right w:val="nil"/>
            </w:tcBorders>
          </w:tcPr>
          <w:p w14:paraId="209C4C67"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-1.713</w:t>
            </w:r>
          </w:p>
        </w:tc>
        <w:tc>
          <w:tcPr>
            <w:tcW w:w="1656" w:type="dxa"/>
            <w:tcBorders>
              <w:top w:val="nil"/>
              <w:left w:val="nil"/>
              <w:bottom w:val="nil"/>
              <w:right w:val="nil"/>
            </w:tcBorders>
          </w:tcPr>
          <w:p w14:paraId="272BD5E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0.343</w:t>
            </w:r>
          </w:p>
        </w:tc>
        <w:tc>
          <w:tcPr>
            <w:tcW w:w="1656" w:type="dxa"/>
            <w:tcBorders>
              <w:top w:val="nil"/>
              <w:left w:val="nil"/>
              <w:bottom w:val="nil"/>
              <w:right w:val="nil"/>
            </w:tcBorders>
          </w:tcPr>
          <w:p w14:paraId="57B9A129"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0.231</w:t>
            </w:r>
          </w:p>
        </w:tc>
        <w:tc>
          <w:tcPr>
            <w:tcW w:w="1656" w:type="dxa"/>
            <w:tcBorders>
              <w:top w:val="nil"/>
              <w:left w:val="nil"/>
              <w:bottom w:val="nil"/>
              <w:right w:val="nil"/>
            </w:tcBorders>
          </w:tcPr>
          <w:p w14:paraId="07687C1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-0.248</w:t>
            </w:r>
          </w:p>
        </w:tc>
      </w:tr>
      <w:tr w:rsidR="002C4432" w:rsidRPr="00CC7538" w14:paraId="0B40DA39" w14:textId="77777777" w:rsidTr="00015B88">
        <w:tc>
          <w:tcPr>
            <w:tcW w:w="2136" w:type="dxa"/>
            <w:tcBorders>
              <w:top w:val="nil"/>
              <w:left w:val="nil"/>
              <w:bottom w:val="nil"/>
              <w:right w:val="nil"/>
            </w:tcBorders>
          </w:tcPr>
          <w:p w14:paraId="6EDB90EF"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8541748"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(-1.77)</w:t>
            </w:r>
          </w:p>
        </w:tc>
        <w:tc>
          <w:tcPr>
            <w:tcW w:w="1656" w:type="dxa"/>
            <w:tcBorders>
              <w:top w:val="nil"/>
              <w:left w:val="nil"/>
              <w:bottom w:val="nil"/>
              <w:right w:val="nil"/>
            </w:tcBorders>
          </w:tcPr>
          <w:p w14:paraId="4D0E2C1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(-1.73)</w:t>
            </w:r>
          </w:p>
        </w:tc>
        <w:tc>
          <w:tcPr>
            <w:tcW w:w="1656" w:type="dxa"/>
            <w:tcBorders>
              <w:top w:val="nil"/>
              <w:left w:val="nil"/>
              <w:bottom w:val="nil"/>
              <w:right w:val="nil"/>
            </w:tcBorders>
          </w:tcPr>
          <w:p w14:paraId="33BEC088"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(0.34)</w:t>
            </w:r>
          </w:p>
        </w:tc>
        <w:tc>
          <w:tcPr>
            <w:tcW w:w="1656" w:type="dxa"/>
            <w:tcBorders>
              <w:top w:val="nil"/>
              <w:left w:val="nil"/>
              <w:bottom w:val="nil"/>
              <w:right w:val="nil"/>
            </w:tcBorders>
          </w:tcPr>
          <w:p w14:paraId="37ECE82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(0.91)</w:t>
            </w:r>
          </w:p>
        </w:tc>
        <w:tc>
          <w:tcPr>
            <w:tcW w:w="1656" w:type="dxa"/>
            <w:tcBorders>
              <w:top w:val="nil"/>
              <w:left w:val="nil"/>
              <w:bottom w:val="nil"/>
              <w:right w:val="nil"/>
            </w:tcBorders>
          </w:tcPr>
          <w:p w14:paraId="1692728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(-0.92)</w:t>
            </w:r>
          </w:p>
        </w:tc>
      </w:tr>
      <w:tr w:rsidR="002C4432" w:rsidRPr="00CC7538" w14:paraId="3F530D69" w14:textId="77777777" w:rsidTr="00015B88">
        <w:tc>
          <w:tcPr>
            <w:tcW w:w="2136" w:type="dxa"/>
            <w:tcBorders>
              <w:top w:val="nil"/>
              <w:left w:val="nil"/>
              <w:bottom w:val="nil"/>
              <w:right w:val="nil"/>
            </w:tcBorders>
          </w:tcPr>
          <w:p w14:paraId="52007820"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70D3F09"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2382D30"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02A5A16"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3CEDB0F"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1B6727E"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03A48724" w14:textId="77777777" w:rsidTr="00015B88">
        <w:tc>
          <w:tcPr>
            <w:tcW w:w="2136" w:type="dxa"/>
            <w:tcBorders>
              <w:top w:val="nil"/>
              <w:left w:val="nil"/>
              <w:bottom w:val="nil"/>
              <w:right w:val="nil"/>
            </w:tcBorders>
          </w:tcPr>
          <w:p w14:paraId="7036537A"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L3.De Jure CBI (CNW Index)</w:t>
            </w:r>
          </w:p>
        </w:tc>
        <w:tc>
          <w:tcPr>
            <w:tcW w:w="1656" w:type="dxa"/>
            <w:tcBorders>
              <w:top w:val="nil"/>
              <w:left w:val="nil"/>
              <w:bottom w:val="nil"/>
              <w:right w:val="nil"/>
            </w:tcBorders>
          </w:tcPr>
          <w:p w14:paraId="6F2D637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-0.276</w:t>
            </w:r>
          </w:p>
        </w:tc>
        <w:tc>
          <w:tcPr>
            <w:tcW w:w="1656" w:type="dxa"/>
            <w:tcBorders>
              <w:top w:val="nil"/>
              <w:left w:val="nil"/>
              <w:bottom w:val="nil"/>
              <w:right w:val="nil"/>
            </w:tcBorders>
          </w:tcPr>
          <w:p w14:paraId="3B4D6E5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-0.269</w:t>
            </w:r>
          </w:p>
        </w:tc>
        <w:tc>
          <w:tcPr>
            <w:tcW w:w="1656" w:type="dxa"/>
            <w:tcBorders>
              <w:top w:val="nil"/>
              <w:left w:val="nil"/>
              <w:bottom w:val="nil"/>
              <w:right w:val="nil"/>
            </w:tcBorders>
          </w:tcPr>
          <w:p w14:paraId="248E328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-1.887</w:t>
            </w:r>
            <w:r w:rsidRPr="00CC7538">
              <w:rPr>
                <w:rFonts w:ascii="Times New Roman" w:hAnsi="Times New Roman" w:cs="Times New Roman"/>
                <w:sz w:val="20"/>
                <w:szCs w:val="20"/>
                <w:vertAlign w:val="superscript"/>
              </w:rPr>
              <w:t>*</w:t>
            </w:r>
          </w:p>
        </w:tc>
        <w:tc>
          <w:tcPr>
            <w:tcW w:w="1656" w:type="dxa"/>
            <w:tcBorders>
              <w:top w:val="nil"/>
              <w:left w:val="nil"/>
              <w:bottom w:val="nil"/>
              <w:right w:val="nil"/>
            </w:tcBorders>
          </w:tcPr>
          <w:p w14:paraId="7E345C38"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-0.0133</w:t>
            </w:r>
          </w:p>
        </w:tc>
        <w:tc>
          <w:tcPr>
            <w:tcW w:w="1656" w:type="dxa"/>
            <w:tcBorders>
              <w:top w:val="nil"/>
              <w:left w:val="nil"/>
              <w:bottom w:val="nil"/>
              <w:right w:val="nil"/>
            </w:tcBorders>
          </w:tcPr>
          <w:p w14:paraId="39C2DCF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0.460</w:t>
            </w:r>
            <w:r w:rsidRPr="00CC7538">
              <w:rPr>
                <w:rFonts w:ascii="Times New Roman" w:hAnsi="Times New Roman" w:cs="Times New Roman"/>
                <w:sz w:val="20"/>
                <w:szCs w:val="20"/>
                <w:vertAlign w:val="superscript"/>
              </w:rPr>
              <w:t>*</w:t>
            </w:r>
          </w:p>
        </w:tc>
      </w:tr>
      <w:tr w:rsidR="002C4432" w:rsidRPr="00CC7538" w14:paraId="1BC525BA" w14:textId="77777777" w:rsidTr="00015B88">
        <w:tc>
          <w:tcPr>
            <w:tcW w:w="2136" w:type="dxa"/>
            <w:tcBorders>
              <w:top w:val="nil"/>
              <w:left w:val="nil"/>
              <w:bottom w:val="nil"/>
              <w:right w:val="nil"/>
            </w:tcBorders>
          </w:tcPr>
          <w:p w14:paraId="59E1308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F0F19E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(-0.26)</w:t>
            </w:r>
          </w:p>
        </w:tc>
        <w:tc>
          <w:tcPr>
            <w:tcW w:w="1656" w:type="dxa"/>
            <w:tcBorders>
              <w:top w:val="nil"/>
              <w:left w:val="nil"/>
              <w:bottom w:val="nil"/>
              <w:right w:val="nil"/>
            </w:tcBorders>
          </w:tcPr>
          <w:p w14:paraId="7160DC7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(-0.32)</w:t>
            </w:r>
          </w:p>
        </w:tc>
        <w:tc>
          <w:tcPr>
            <w:tcW w:w="1656" w:type="dxa"/>
            <w:tcBorders>
              <w:top w:val="nil"/>
              <w:left w:val="nil"/>
              <w:bottom w:val="nil"/>
              <w:right w:val="nil"/>
            </w:tcBorders>
          </w:tcPr>
          <w:p w14:paraId="2BF6107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(-2.39)</w:t>
            </w:r>
          </w:p>
        </w:tc>
        <w:tc>
          <w:tcPr>
            <w:tcW w:w="1656" w:type="dxa"/>
            <w:tcBorders>
              <w:top w:val="nil"/>
              <w:left w:val="nil"/>
              <w:bottom w:val="nil"/>
              <w:right w:val="nil"/>
            </w:tcBorders>
          </w:tcPr>
          <w:p w14:paraId="19E2028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(-0.04)</w:t>
            </w:r>
          </w:p>
        </w:tc>
        <w:tc>
          <w:tcPr>
            <w:tcW w:w="1656" w:type="dxa"/>
            <w:tcBorders>
              <w:top w:val="nil"/>
              <w:left w:val="nil"/>
              <w:bottom w:val="nil"/>
              <w:right w:val="nil"/>
            </w:tcBorders>
          </w:tcPr>
          <w:p w14:paraId="0E883E27"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(2.03)</w:t>
            </w:r>
          </w:p>
        </w:tc>
      </w:tr>
      <w:tr w:rsidR="002C4432" w:rsidRPr="00CC7538" w14:paraId="4F62B9E7" w14:textId="77777777" w:rsidTr="00015B88">
        <w:tc>
          <w:tcPr>
            <w:tcW w:w="2136" w:type="dxa"/>
            <w:tcBorders>
              <w:top w:val="nil"/>
              <w:left w:val="nil"/>
              <w:bottom w:val="nil"/>
              <w:right w:val="nil"/>
            </w:tcBorders>
          </w:tcPr>
          <w:p w14:paraId="754515F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668131F"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1B2723E"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5D5703F"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83FCB72"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26CB4D8"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611F91B1" w14:textId="77777777" w:rsidTr="00015B88">
        <w:tc>
          <w:tcPr>
            <w:tcW w:w="2136" w:type="dxa"/>
            <w:tcBorders>
              <w:top w:val="nil"/>
              <w:left w:val="nil"/>
              <w:bottom w:val="nil"/>
              <w:right w:val="nil"/>
            </w:tcBorders>
          </w:tcPr>
          <w:p w14:paraId="1982C171"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L4.De Jure CBI (CNW Index)</w:t>
            </w:r>
          </w:p>
        </w:tc>
        <w:tc>
          <w:tcPr>
            <w:tcW w:w="1656" w:type="dxa"/>
            <w:tcBorders>
              <w:top w:val="nil"/>
              <w:left w:val="nil"/>
              <w:bottom w:val="nil"/>
              <w:right w:val="nil"/>
            </w:tcBorders>
          </w:tcPr>
          <w:p w14:paraId="4843BC7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0.590</w:t>
            </w:r>
          </w:p>
        </w:tc>
        <w:tc>
          <w:tcPr>
            <w:tcW w:w="1656" w:type="dxa"/>
            <w:tcBorders>
              <w:top w:val="nil"/>
              <w:left w:val="nil"/>
              <w:bottom w:val="nil"/>
              <w:right w:val="nil"/>
            </w:tcBorders>
          </w:tcPr>
          <w:p w14:paraId="69A1950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0.525</w:t>
            </w:r>
          </w:p>
        </w:tc>
        <w:tc>
          <w:tcPr>
            <w:tcW w:w="1656" w:type="dxa"/>
            <w:tcBorders>
              <w:top w:val="nil"/>
              <w:left w:val="nil"/>
              <w:bottom w:val="nil"/>
              <w:right w:val="nil"/>
            </w:tcBorders>
          </w:tcPr>
          <w:p w14:paraId="76DEA35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1.045</w:t>
            </w:r>
          </w:p>
        </w:tc>
        <w:tc>
          <w:tcPr>
            <w:tcW w:w="1656" w:type="dxa"/>
            <w:tcBorders>
              <w:top w:val="nil"/>
              <w:left w:val="nil"/>
              <w:bottom w:val="nil"/>
              <w:right w:val="nil"/>
            </w:tcBorders>
          </w:tcPr>
          <w:p w14:paraId="562D98E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-0.0553</w:t>
            </w:r>
          </w:p>
        </w:tc>
        <w:tc>
          <w:tcPr>
            <w:tcW w:w="1656" w:type="dxa"/>
            <w:tcBorders>
              <w:top w:val="nil"/>
              <w:left w:val="nil"/>
              <w:bottom w:val="nil"/>
              <w:right w:val="nil"/>
            </w:tcBorders>
          </w:tcPr>
          <w:p w14:paraId="2E507ED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-0.233</w:t>
            </w:r>
          </w:p>
        </w:tc>
      </w:tr>
      <w:tr w:rsidR="002C4432" w:rsidRPr="00CC7538" w14:paraId="6DE716A1" w14:textId="77777777" w:rsidTr="00015B88">
        <w:tc>
          <w:tcPr>
            <w:tcW w:w="2136" w:type="dxa"/>
            <w:tcBorders>
              <w:top w:val="nil"/>
              <w:left w:val="nil"/>
              <w:bottom w:val="nil"/>
              <w:right w:val="nil"/>
            </w:tcBorders>
          </w:tcPr>
          <w:p w14:paraId="13250FF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FE32AD7"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(0.53)</w:t>
            </w:r>
          </w:p>
        </w:tc>
        <w:tc>
          <w:tcPr>
            <w:tcW w:w="1656" w:type="dxa"/>
            <w:tcBorders>
              <w:top w:val="nil"/>
              <w:left w:val="nil"/>
              <w:bottom w:val="nil"/>
              <w:right w:val="nil"/>
            </w:tcBorders>
          </w:tcPr>
          <w:p w14:paraId="18EF29F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(0.73)</w:t>
            </w:r>
          </w:p>
        </w:tc>
        <w:tc>
          <w:tcPr>
            <w:tcW w:w="1656" w:type="dxa"/>
            <w:tcBorders>
              <w:top w:val="nil"/>
              <w:left w:val="nil"/>
              <w:bottom w:val="nil"/>
              <w:right w:val="nil"/>
            </w:tcBorders>
          </w:tcPr>
          <w:p w14:paraId="2A2A850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(0.67)</w:t>
            </w:r>
          </w:p>
        </w:tc>
        <w:tc>
          <w:tcPr>
            <w:tcW w:w="1656" w:type="dxa"/>
            <w:tcBorders>
              <w:top w:val="nil"/>
              <w:left w:val="nil"/>
              <w:bottom w:val="nil"/>
              <w:right w:val="nil"/>
            </w:tcBorders>
          </w:tcPr>
          <w:p w14:paraId="3C3D7D1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(-0.25)</w:t>
            </w:r>
          </w:p>
        </w:tc>
        <w:tc>
          <w:tcPr>
            <w:tcW w:w="1656" w:type="dxa"/>
            <w:tcBorders>
              <w:top w:val="nil"/>
              <w:left w:val="nil"/>
              <w:bottom w:val="nil"/>
              <w:right w:val="nil"/>
            </w:tcBorders>
          </w:tcPr>
          <w:p w14:paraId="1DF57DC8"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(-1.54)</w:t>
            </w:r>
          </w:p>
        </w:tc>
      </w:tr>
      <w:tr w:rsidR="002C4432" w:rsidRPr="00CC7538" w14:paraId="1E706F8C" w14:textId="77777777" w:rsidTr="00015B88">
        <w:tc>
          <w:tcPr>
            <w:tcW w:w="2136" w:type="dxa"/>
            <w:tcBorders>
              <w:top w:val="nil"/>
              <w:left w:val="nil"/>
              <w:bottom w:val="nil"/>
              <w:right w:val="nil"/>
            </w:tcBorders>
          </w:tcPr>
          <w:p w14:paraId="555C0870"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6BC8488"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9353910"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9DAE49F"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D81580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61A6A6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77F76DF0" w14:textId="77777777" w:rsidTr="00015B88">
        <w:tc>
          <w:tcPr>
            <w:tcW w:w="2136" w:type="dxa"/>
            <w:tcBorders>
              <w:top w:val="nil"/>
              <w:left w:val="nil"/>
              <w:bottom w:val="nil"/>
              <w:right w:val="nil"/>
            </w:tcBorders>
          </w:tcPr>
          <w:p w14:paraId="5A7412F1"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L5.De Jure CBI (CNW Index)</w:t>
            </w:r>
          </w:p>
        </w:tc>
        <w:tc>
          <w:tcPr>
            <w:tcW w:w="1656" w:type="dxa"/>
            <w:tcBorders>
              <w:top w:val="nil"/>
              <w:left w:val="nil"/>
              <w:bottom w:val="nil"/>
              <w:right w:val="nil"/>
            </w:tcBorders>
          </w:tcPr>
          <w:p w14:paraId="3207938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1.656</w:t>
            </w:r>
          </w:p>
        </w:tc>
        <w:tc>
          <w:tcPr>
            <w:tcW w:w="1656" w:type="dxa"/>
            <w:tcBorders>
              <w:top w:val="nil"/>
              <w:left w:val="nil"/>
              <w:bottom w:val="nil"/>
              <w:right w:val="nil"/>
            </w:tcBorders>
          </w:tcPr>
          <w:p w14:paraId="67B34BB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1.096</w:t>
            </w:r>
          </w:p>
        </w:tc>
        <w:tc>
          <w:tcPr>
            <w:tcW w:w="1656" w:type="dxa"/>
            <w:tcBorders>
              <w:top w:val="nil"/>
              <w:left w:val="nil"/>
              <w:bottom w:val="nil"/>
              <w:right w:val="nil"/>
            </w:tcBorders>
          </w:tcPr>
          <w:p w14:paraId="646C11E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0.496</w:t>
            </w:r>
          </w:p>
        </w:tc>
        <w:tc>
          <w:tcPr>
            <w:tcW w:w="1656" w:type="dxa"/>
            <w:tcBorders>
              <w:top w:val="nil"/>
              <w:left w:val="nil"/>
              <w:bottom w:val="nil"/>
              <w:right w:val="nil"/>
            </w:tcBorders>
          </w:tcPr>
          <w:p w14:paraId="20F8B3A0"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0.141</w:t>
            </w:r>
          </w:p>
        </w:tc>
        <w:tc>
          <w:tcPr>
            <w:tcW w:w="1656" w:type="dxa"/>
            <w:tcBorders>
              <w:top w:val="nil"/>
              <w:left w:val="nil"/>
              <w:bottom w:val="nil"/>
              <w:right w:val="nil"/>
            </w:tcBorders>
          </w:tcPr>
          <w:p w14:paraId="000FC4A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-0.0622</w:t>
            </w:r>
          </w:p>
        </w:tc>
      </w:tr>
      <w:tr w:rsidR="002C4432" w:rsidRPr="00CC7538" w14:paraId="469935E4" w14:textId="77777777" w:rsidTr="00015B88">
        <w:tc>
          <w:tcPr>
            <w:tcW w:w="2136" w:type="dxa"/>
            <w:tcBorders>
              <w:top w:val="nil"/>
              <w:left w:val="nil"/>
              <w:bottom w:val="nil"/>
              <w:right w:val="nil"/>
            </w:tcBorders>
          </w:tcPr>
          <w:p w14:paraId="6A41906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04D2BB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(1.42)</w:t>
            </w:r>
          </w:p>
        </w:tc>
        <w:tc>
          <w:tcPr>
            <w:tcW w:w="1656" w:type="dxa"/>
            <w:tcBorders>
              <w:top w:val="nil"/>
              <w:left w:val="nil"/>
              <w:bottom w:val="nil"/>
              <w:right w:val="nil"/>
            </w:tcBorders>
          </w:tcPr>
          <w:p w14:paraId="5B92C7B9"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(1.12)</w:t>
            </w:r>
          </w:p>
        </w:tc>
        <w:tc>
          <w:tcPr>
            <w:tcW w:w="1656" w:type="dxa"/>
            <w:tcBorders>
              <w:top w:val="nil"/>
              <w:left w:val="nil"/>
              <w:bottom w:val="nil"/>
              <w:right w:val="nil"/>
            </w:tcBorders>
          </w:tcPr>
          <w:p w14:paraId="2904DF8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(0.36)</w:t>
            </w:r>
          </w:p>
        </w:tc>
        <w:tc>
          <w:tcPr>
            <w:tcW w:w="1656" w:type="dxa"/>
            <w:tcBorders>
              <w:top w:val="nil"/>
              <w:left w:val="nil"/>
              <w:bottom w:val="nil"/>
              <w:right w:val="nil"/>
            </w:tcBorders>
          </w:tcPr>
          <w:p w14:paraId="3B00C17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(0.71)</w:t>
            </w:r>
          </w:p>
        </w:tc>
        <w:tc>
          <w:tcPr>
            <w:tcW w:w="1656" w:type="dxa"/>
            <w:tcBorders>
              <w:top w:val="nil"/>
              <w:left w:val="nil"/>
              <w:bottom w:val="nil"/>
              <w:right w:val="nil"/>
            </w:tcBorders>
          </w:tcPr>
          <w:p w14:paraId="270A061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(-0.39)</w:t>
            </w:r>
          </w:p>
        </w:tc>
      </w:tr>
      <w:tr w:rsidR="002C4432" w:rsidRPr="00CC7538" w14:paraId="56CC649E" w14:textId="77777777" w:rsidTr="00015B88">
        <w:tc>
          <w:tcPr>
            <w:tcW w:w="2136" w:type="dxa"/>
            <w:tcBorders>
              <w:top w:val="nil"/>
              <w:left w:val="nil"/>
              <w:bottom w:val="nil"/>
              <w:right w:val="nil"/>
            </w:tcBorders>
          </w:tcPr>
          <w:p w14:paraId="7EB53DDF"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A13903F"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B917AA8"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71B5A99"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F6F51B6"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C9E7A7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75DC41F5" w14:textId="77777777" w:rsidTr="00015B88">
        <w:tc>
          <w:tcPr>
            <w:tcW w:w="2136" w:type="dxa"/>
            <w:tcBorders>
              <w:top w:val="nil"/>
              <w:left w:val="nil"/>
              <w:bottom w:val="nil"/>
              <w:right w:val="nil"/>
            </w:tcBorders>
          </w:tcPr>
          <w:p w14:paraId="7A3CEF3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L6.De Jure CBI (CNW Index)</w:t>
            </w:r>
          </w:p>
        </w:tc>
        <w:tc>
          <w:tcPr>
            <w:tcW w:w="1656" w:type="dxa"/>
            <w:tcBorders>
              <w:top w:val="nil"/>
              <w:left w:val="nil"/>
              <w:bottom w:val="nil"/>
              <w:right w:val="nil"/>
            </w:tcBorders>
          </w:tcPr>
          <w:p w14:paraId="0EB3024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-2.585</w:t>
            </w:r>
            <w:r w:rsidRPr="00CC7538">
              <w:rPr>
                <w:rFonts w:ascii="Times New Roman" w:hAnsi="Times New Roman" w:cs="Times New Roman"/>
                <w:sz w:val="20"/>
                <w:szCs w:val="20"/>
                <w:vertAlign w:val="superscript"/>
              </w:rPr>
              <w:t>*</w:t>
            </w:r>
          </w:p>
        </w:tc>
        <w:tc>
          <w:tcPr>
            <w:tcW w:w="1656" w:type="dxa"/>
            <w:tcBorders>
              <w:top w:val="nil"/>
              <w:left w:val="nil"/>
              <w:bottom w:val="nil"/>
              <w:right w:val="nil"/>
            </w:tcBorders>
          </w:tcPr>
          <w:p w14:paraId="046C29A8"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-0.483</w:t>
            </w:r>
          </w:p>
        </w:tc>
        <w:tc>
          <w:tcPr>
            <w:tcW w:w="1656" w:type="dxa"/>
            <w:tcBorders>
              <w:top w:val="nil"/>
              <w:left w:val="nil"/>
              <w:bottom w:val="nil"/>
              <w:right w:val="nil"/>
            </w:tcBorders>
          </w:tcPr>
          <w:p w14:paraId="4486B1C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-0.642</w:t>
            </w:r>
          </w:p>
        </w:tc>
        <w:tc>
          <w:tcPr>
            <w:tcW w:w="1656" w:type="dxa"/>
            <w:tcBorders>
              <w:top w:val="nil"/>
              <w:left w:val="nil"/>
              <w:bottom w:val="nil"/>
              <w:right w:val="nil"/>
            </w:tcBorders>
          </w:tcPr>
          <w:p w14:paraId="7E5FDFE8"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0.0475</w:t>
            </w:r>
          </w:p>
        </w:tc>
        <w:tc>
          <w:tcPr>
            <w:tcW w:w="1656" w:type="dxa"/>
            <w:tcBorders>
              <w:top w:val="nil"/>
              <w:left w:val="nil"/>
              <w:bottom w:val="nil"/>
              <w:right w:val="nil"/>
            </w:tcBorders>
          </w:tcPr>
          <w:p w14:paraId="3F1DD0B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0.411</w:t>
            </w:r>
            <w:r w:rsidRPr="00CC7538">
              <w:rPr>
                <w:rFonts w:ascii="Times New Roman" w:hAnsi="Times New Roman" w:cs="Times New Roman"/>
                <w:sz w:val="20"/>
                <w:szCs w:val="20"/>
                <w:vertAlign w:val="superscript"/>
              </w:rPr>
              <w:t>*</w:t>
            </w:r>
          </w:p>
        </w:tc>
      </w:tr>
      <w:tr w:rsidR="002C4432" w:rsidRPr="00CC7538" w14:paraId="3833FE81" w14:textId="77777777" w:rsidTr="00015B88">
        <w:tc>
          <w:tcPr>
            <w:tcW w:w="2136" w:type="dxa"/>
            <w:tcBorders>
              <w:top w:val="nil"/>
              <w:left w:val="nil"/>
              <w:bottom w:val="nil"/>
              <w:right w:val="nil"/>
            </w:tcBorders>
          </w:tcPr>
          <w:p w14:paraId="1DDB5987"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3065DE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(-2.22)</w:t>
            </w:r>
          </w:p>
        </w:tc>
        <w:tc>
          <w:tcPr>
            <w:tcW w:w="1656" w:type="dxa"/>
            <w:tcBorders>
              <w:top w:val="nil"/>
              <w:left w:val="nil"/>
              <w:bottom w:val="nil"/>
              <w:right w:val="nil"/>
            </w:tcBorders>
          </w:tcPr>
          <w:p w14:paraId="264CE978"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(-0.42)</w:t>
            </w:r>
          </w:p>
        </w:tc>
        <w:tc>
          <w:tcPr>
            <w:tcW w:w="1656" w:type="dxa"/>
            <w:tcBorders>
              <w:top w:val="nil"/>
              <w:left w:val="nil"/>
              <w:bottom w:val="nil"/>
              <w:right w:val="nil"/>
            </w:tcBorders>
          </w:tcPr>
          <w:p w14:paraId="6FA55AD0"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(-0.67)</w:t>
            </w:r>
          </w:p>
        </w:tc>
        <w:tc>
          <w:tcPr>
            <w:tcW w:w="1656" w:type="dxa"/>
            <w:tcBorders>
              <w:top w:val="nil"/>
              <w:left w:val="nil"/>
              <w:bottom w:val="nil"/>
              <w:right w:val="nil"/>
            </w:tcBorders>
          </w:tcPr>
          <w:p w14:paraId="3599D39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(0.26)</w:t>
            </w:r>
          </w:p>
        </w:tc>
        <w:tc>
          <w:tcPr>
            <w:tcW w:w="1656" w:type="dxa"/>
            <w:tcBorders>
              <w:top w:val="nil"/>
              <w:left w:val="nil"/>
              <w:bottom w:val="nil"/>
              <w:right w:val="nil"/>
            </w:tcBorders>
          </w:tcPr>
          <w:p w14:paraId="69568B89"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(2.05)</w:t>
            </w:r>
          </w:p>
        </w:tc>
      </w:tr>
      <w:tr w:rsidR="002C4432" w:rsidRPr="00CC7538" w14:paraId="3FF04285" w14:textId="77777777" w:rsidTr="00015B88">
        <w:tc>
          <w:tcPr>
            <w:tcW w:w="2136" w:type="dxa"/>
            <w:tcBorders>
              <w:top w:val="nil"/>
              <w:left w:val="nil"/>
              <w:bottom w:val="nil"/>
              <w:right w:val="nil"/>
            </w:tcBorders>
          </w:tcPr>
          <w:p w14:paraId="3DB77EBE"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3861DBC"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B2F7F8E"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83D1E4A"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BBFBD19"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5C6351C"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36F8B1F0" w14:textId="77777777" w:rsidTr="00015B88">
        <w:tc>
          <w:tcPr>
            <w:tcW w:w="2136" w:type="dxa"/>
            <w:tcBorders>
              <w:top w:val="nil"/>
              <w:left w:val="nil"/>
              <w:bottom w:val="nil"/>
              <w:right w:val="nil"/>
            </w:tcBorders>
          </w:tcPr>
          <w:p w14:paraId="7F34CFD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L7.De Jure CBI (CNW Index)</w:t>
            </w:r>
          </w:p>
        </w:tc>
        <w:tc>
          <w:tcPr>
            <w:tcW w:w="1656" w:type="dxa"/>
            <w:tcBorders>
              <w:top w:val="nil"/>
              <w:left w:val="nil"/>
              <w:bottom w:val="nil"/>
              <w:right w:val="nil"/>
            </w:tcBorders>
          </w:tcPr>
          <w:p w14:paraId="2817528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2.289</w:t>
            </w:r>
            <w:r w:rsidRPr="00CC7538">
              <w:rPr>
                <w:rFonts w:ascii="Times New Roman" w:hAnsi="Times New Roman" w:cs="Times New Roman"/>
                <w:sz w:val="20"/>
                <w:szCs w:val="20"/>
                <w:vertAlign w:val="superscript"/>
              </w:rPr>
              <w:t>*</w:t>
            </w:r>
          </w:p>
        </w:tc>
        <w:tc>
          <w:tcPr>
            <w:tcW w:w="1656" w:type="dxa"/>
            <w:tcBorders>
              <w:top w:val="nil"/>
              <w:left w:val="nil"/>
              <w:bottom w:val="nil"/>
              <w:right w:val="nil"/>
            </w:tcBorders>
          </w:tcPr>
          <w:p w14:paraId="21C63859"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-0.268</w:t>
            </w:r>
          </w:p>
        </w:tc>
        <w:tc>
          <w:tcPr>
            <w:tcW w:w="1656" w:type="dxa"/>
            <w:tcBorders>
              <w:top w:val="nil"/>
              <w:left w:val="nil"/>
              <w:bottom w:val="nil"/>
              <w:right w:val="nil"/>
            </w:tcBorders>
          </w:tcPr>
          <w:p w14:paraId="4C6C7B5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1.091</w:t>
            </w:r>
          </w:p>
        </w:tc>
        <w:tc>
          <w:tcPr>
            <w:tcW w:w="1656" w:type="dxa"/>
            <w:tcBorders>
              <w:top w:val="nil"/>
              <w:left w:val="nil"/>
              <w:bottom w:val="nil"/>
              <w:right w:val="nil"/>
            </w:tcBorders>
          </w:tcPr>
          <w:p w14:paraId="78C547C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-0.0251</w:t>
            </w:r>
          </w:p>
        </w:tc>
        <w:tc>
          <w:tcPr>
            <w:tcW w:w="1656" w:type="dxa"/>
            <w:tcBorders>
              <w:top w:val="nil"/>
              <w:left w:val="nil"/>
              <w:bottom w:val="nil"/>
              <w:right w:val="nil"/>
            </w:tcBorders>
          </w:tcPr>
          <w:p w14:paraId="435F381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0.0654</w:t>
            </w:r>
          </w:p>
        </w:tc>
      </w:tr>
      <w:tr w:rsidR="002C4432" w:rsidRPr="00CC7538" w14:paraId="75FCA632" w14:textId="77777777" w:rsidTr="00015B88">
        <w:tc>
          <w:tcPr>
            <w:tcW w:w="2136" w:type="dxa"/>
            <w:tcBorders>
              <w:top w:val="nil"/>
              <w:left w:val="nil"/>
              <w:bottom w:val="nil"/>
              <w:right w:val="nil"/>
            </w:tcBorders>
          </w:tcPr>
          <w:p w14:paraId="7DCF1242"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BFC788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(2.12)</w:t>
            </w:r>
          </w:p>
        </w:tc>
        <w:tc>
          <w:tcPr>
            <w:tcW w:w="1656" w:type="dxa"/>
            <w:tcBorders>
              <w:top w:val="nil"/>
              <w:left w:val="nil"/>
              <w:bottom w:val="nil"/>
              <w:right w:val="nil"/>
            </w:tcBorders>
          </w:tcPr>
          <w:p w14:paraId="6FA85A9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(-0.28)</w:t>
            </w:r>
          </w:p>
        </w:tc>
        <w:tc>
          <w:tcPr>
            <w:tcW w:w="1656" w:type="dxa"/>
            <w:tcBorders>
              <w:top w:val="nil"/>
              <w:left w:val="nil"/>
              <w:bottom w:val="nil"/>
              <w:right w:val="nil"/>
            </w:tcBorders>
          </w:tcPr>
          <w:p w14:paraId="28A8F9C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(0.96)</w:t>
            </w:r>
          </w:p>
        </w:tc>
        <w:tc>
          <w:tcPr>
            <w:tcW w:w="1656" w:type="dxa"/>
            <w:tcBorders>
              <w:top w:val="nil"/>
              <w:left w:val="nil"/>
              <w:bottom w:val="nil"/>
              <w:right w:val="nil"/>
            </w:tcBorders>
          </w:tcPr>
          <w:p w14:paraId="7582F85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(-0.17)</w:t>
            </w:r>
          </w:p>
        </w:tc>
        <w:tc>
          <w:tcPr>
            <w:tcW w:w="1656" w:type="dxa"/>
            <w:tcBorders>
              <w:top w:val="nil"/>
              <w:left w:val="nil"/>
              <w:bottom w:val="nil"/>
              <w:right w:val="nil"/>
            </w:tcBorders>
          </w:tcPr>
          <w:p w14:paraId="3C7F2D6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(0.61)</w:t>
            </w:r>
          </w:p>
        </w:tc>
      </w:tr>
      <w:tr w:rsidR="002C4432" w:rsidRPr="00CC7538" w14:paraId="408E36F6" w14:textId="77777777" w:rsidTr="00015B88">
        <w:tc>
          <w:tcPr>
            <w:tcW w:w="2136" w:type="dxa"/>
            <w:tcBorders>
              <w:top w:val="nil"/>
              <w:left w:val="nil"/>
              <w:bottom w:val="nil"/>
              <w:right w:val="nil"/>
            </w:tcBorders>
          </w:tcPr>
          <w:p w14:paraId="7880C2B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EBA34A6"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882CC99"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CEFF301"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C4A5D01"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BDEE1EE"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10CF1457" w14:textId="77777777" w:rsidTr="00015B88">
        <w:tc>
          <w:tcPr>
            <w:tcW w:w="2136" w:type="dxa"/>
            <w:tcBorders>
              <w:top w:val="nil"/>
              <w:left w:val="nil"/>
              <w:bottom w:val="nil"/>
              <w:right w:val="nil"/>
            </w:tcBorders>
          </w:tcPr>
          <w:p w14:paraId="2ADF4A7E"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L8.De Jure CBI (CNW Index)</w:t>
            </w:r>
          </w:p>
        </w:tc>
        <w:tc>
          <w:tcPr>
            <w:tcW w:w="1656" w:type="dxa"/>
            <w:tcBorders>
              <w:top w:val="nil"/>
              <w:left w:val="nil"/>
              <w:bottom w:val="nil"/>
              <w:right w:val="nil"/>
            </w:tcBorders>
          </w:tcPr>
          <w:p w14:paraId="5339966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-1.900</w:t>
            </w:r>
            <w:r w:rsidRPr="00CC7538">
              <w:rPr>
                <w:rFonts w:ascii="Times New Roman" w:hAnsi="Times New Roman" w:cs="Times New Roman"/>
                <w:sz w:val="20"/>
                <w:szCs w:val="20"/>
                <w:vertAlign w:val="superscript"/>
              </w:rPr>
              <w:t>*</w:t>
            </w:r>
          </w:p>
        </w:tc>
        <w:tc>
          <w:tcPr>
            <w:tcW w:w="1656" w:type="dxa"/>
            <w:tcBorders>
              <w:top w:val="nil"/>
              <w:left w:val="nil"/>
              <w:bottom w:val="nil"/>
              <w:right w:val="nil"/>
            </w:tcBorders>
          </w:tcPr>
          <w:p w14:paraId="634C6E1F"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-0.150</w:t>
            </w:r>
          </w:p>
        </w:tc>
        <w:tc>
          <w:tcPr>
            <w:tcW w:w="1656" w:type="dxa"/>
            <w:tcBorders>
              <w:top w:val="nil"/>
              <w:left w:val="nil"/>
              <w:bottom w:val="nil"/>
              <w:right w:val="nil"/>
            </w:tcBorders>
          </w:tcPr>
          <w:p w14:paraId="062980A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-0.205</w:t>
            </w:r>
          </w:p>
        </w:tc>
        <w:tc>
          <w:tcPr>
            <w:tcW w:w="1656" w:type="dxa"/>
            <w:tcBorders>
              <w:top w:val="nil"/>
              <w:left w:val="nil"/>
              <w:bottom w:val="nil"/>
              <w:right w:val="nil"/>
            </w:tcBorders>
          </w:tcPr>
          <w:p w14:paraId="0138E43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0.00183</w:t>
            </w:r>
          </w:p>
        </w:tc>
        <w:tc>
          <w:tcPr>
            <w:tcW w:w="1656" w:type="dxa"/>
            <w:tcBorders>
              <w:top w:val="nil"/>
              <w:left w:val="nil"/>
              <w:bottom w:val="nil"/>
              <w:right w:val="nil"/>
            </w:tcBorders>
          </w:tcPr>
          <w:p w14:paraId="7E97637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0.537</w:t>
            </w:r>
            <w:r w:rsidRPr="00CC7538">
              <w:rPr>
                <w:rFonts w:ascii="Times New Roman" w:hAnsi="Times New Roman" w:cs="Times New Roman"/>
                <w:sz w:val="20"/>
                <w:szCs w:val="20"/>
                <w:vertAlign w:val="superscript"/>
              </w:rPr>
              <w:t>**</w:t>
            </w:r>
          </w:p>
        </w:tc>
      </w:tr>
      <w:tr w:rsidR="002C4432" w:rsidRPr="00CC7538" w14:paraId="07DCDD7A" w14:textId="77777777" w:rsidTr="00015B88">
        <w:tc>
          <w:tcPr>
            <w:tcW w:w="2136" w:type="dxa"/>
            <w:tcBorders>
              <w:top w:val="nil"/>
              <w:left w:val="nil"/>
              <w:bottom w:val="nil"/>
              <w:right w:val="nil"/>
            </w:tcBorders>
          </w:tcPr>
          <w:p w14:paraId="734BF949"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4A761C0"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(-1.99)</w:t>
            </w:r>
          </w:p>
        </w:tc>
        <w:tc>
          <w:tcPr>
            <w:tcW w:w="1656" w:type="dxa"/>
            <w:tcBorders>
              <w:top w:val="nil"/>
              <w:left w:val="nil"/>
              <w:bottom w:val="nil"/>
              <w:right w:val="nil"/>
            </w:tcBorders>
          </w:tcPr>
          <w:p w14:paraId="645DE2E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(-0.17)</w:t>
            </w:r>
          </w:p>
        </w:tc>
        <w:tc>
          <w:tcPr>
            <w:tcW w:w="1656" w:type="dxa"/>
            <w:tcBorders>
              <w:top w:val="nil"/>
              <w:left w:val="nil"/>
              <w:bottom w:val="nil"/>
              <w:right w:val="nil"/>
            </w:tcBorders>
          </w:tcPr>
          <w:p w14:paraId="00D5D3A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(-0.19)</w:t>
            </w:r>
          </w:p>
        </w:tc>
        <w:tc>
          <w:tcPr>
            <w:tcW w:w="1656" w:type="dxa"/>
            <w:tcBorders>
              <w:top w:val="nil"/>
              <w:left w:val="nil"/>
              <w:bottom w:val="nil"/>
              <w:right w:val="nil"/>
            </w:tcBorders>
          </w:tcPr>
          <w:p w14:paraId="2625F940"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w:t>
            </w:r>
          </w:p>
        </w:tc>
        <w:tc>
          <w:tcPr>
            <w:tcW w:w="1656" w:type="dxa"/>
            <w:tcBorders>
              <w:top w:val="nil"/>
              <w:left w:val="nil"/>
              <w:bottom w:val="nil"/>
              <w:right w:val="nil"/>
            </w:tcBorders>
          </w:tcPr>
          <w:p w14:paraId="19D7D39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(2.84)</w:t>
            </w:r>
          </w:p>
        </w:tc>
      </w:tr>
      <w:tr w:rsidR="002C4432" w:rsidRPr="00CC7538" w14:paraId="6389C434" w14:textId="77777777" w:rsidTr="00015B88">
        <w:tc>
          <w:tcPr>
            <w:tcW w:w="2136" w:type="dxa"/>
            <w:tcBorders>
              <w:top w:val="nil"/>
              <w:left w:val="nil"/>
              <w:bottom w:val="nil"/>
              <w:right w:val="nil"/>
            </w:tcBorders>
          </w:tcPr>
          <w:p w14:paraId="3F294116"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CB2CE2F"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29CB37E"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09EE17C"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A3D1D6C"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59EAE18"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5F5762C3" w14:textId="77777777" w:rsidTr="00015B88">
        <w:tc>
          <w:tcPr>
            <w:tcW w:w="2136" w:type="dxa"/>
            <w:tcBorders>
              <w:top w:val="nil"/>
              <w:left w:val="nil"/>
              <w:bottom w:val="nil"/>
              <w:right w:val="nil"/>
            </w:tcBorders>
          </w:tcPr>
          <w:p w14:paraId="3738F7E7"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L9.De Jure CBI (CNW Index)</w:t>
            </w:r>
          </w:p>
        </w:tc>
        <w:tc>
          <w:tcPr>
            <w:tcW w:w="1656" w:type="dxa"/>
            <w:tcBorders>
              <w:top w:val="nil"/>
              <w:left w:val="nil"/>
              <w:bottom w:val="nil"/>
              <w:right w:val="nil"/>
            </w:tcBorders>
          </w:tcPr>
          <w:p w14:paraId="1F8B19CF"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0.555</w:t>
            </w:r>
          </w:p>
        </w:tc>
        <w:tc>
          <w:tcPr>
            <w:tcW w:w="1656" w:type="dxa"/>
            <w:tcBorders>
              <w:top w:val="nil"/>
              <w:left w:val="nil"/>
              <w:bottom w:val="nil"/>
              <w:right w:val="nil"/>
            </w:tcBorders>
          </w:tcPr>
          <w:p w14:paraId="3669D937"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0.624</w:t>
            </w:r>
          </w:p>
        </w:tc>
        <w:tc>
          <w:tcPr>
            <w:tcW w:w="1656" w:type="dxa"/>
            <w:tcBorders>
              <w:top w:val="nil"/>
              <w:left w:val="nil"/>
              <w:bottom w:val="nil"/>
              <w:right w:val="nil"/>
            </w:tcBorders>
          </w:tcPr>
          <w:p w14:paraId="15BEE39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-0.387</w:t>
            </w:r>
          </w:p>
        </w:tc>
        <w:tc>
          <w:tcPr>
            <w:tcW w:w="1656" w:type="dxa"/>
            <w:tcBorders>
              <w:top w:val="nil"/>
              <w:left w:val="nil"/>
              <w:bottom w:val="nil"/>
              <w:right w:val="nil"/>
            </w:tcBorders>
          </w:tcPr>
          <w:p w14:paraId="572E75D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-0.0533</w:t>
            </w:r>
          </w:p>
        </w:tc>
        <w:tc>
          <w:tcPr>
            <w:tcW w:w="1656" w:type="dxa"/>
            <w:tcBorders>
              <w:top w:val="nil"/>
              <w:left w:val="nil"/>
              <w:bottom w:val="nil"/>
              <w:right w:val="nil"/>
            </w:tcBorders>
          </w:tcPr>
          <w:p w14:paraId="2C6CA73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0.116</w:t>
            </w:r>
          </w:p>
        </w:tc>
      </w:tr>
      <w:tr w:rsidR="002C4432" w:rsidRPr="00CC7538" w14:paraId="67C1FF36" w14:textId="77777777" w:rsidTr="00015B88">
        <w:tc>
          <w:tcPr>
            <w:tcW w:w="2136" w:type="dxa"/>
            <w:tcBorders>
              <w:top w:val="nil"/>
              <w:left w:val="nil"/>
              <w:bottom w:val="nil"/>
              <w:right w:val="nil"/>
            </w:tcBorders>
          </w:tcPr>
          <w:p w14:paraId="3674A9C2"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4A145E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(0.67)</w:t>
            </w:r>
          </w:p>
        </w:tc>
        <w:tc>
          <w:tcPr>
            <w:tcW w:w="1656" w:type="dxa"/>
            <w:tcBorders>
              <w:top w:val="nil"/>
              <w:left w:val="nil"/>
              <w:bottom w:val="nil"/>
              <w:right w:val="nil"/>
            </w:tcBorders>
          </w:tcPr>
          <w:p w14:paraId="2A0475C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(0.84)</w:t>
            </w:r>
          </w:p>
        </w:tc>
        <w:tc>
          <w:tcPr>
            <w:tcW w:w="1656" w:type="dxa"/>
            <w:tcBorders>
              <w:top w:val="nil"/>
              <w:left w:val="nil"/>
              <w:bottom w:val="nil"/>
              <w:right w:val="nil"/>
            </w:tcBorders>
          </w:tcPr>
          <w:p w14:paraId="08265318"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(-0.43)</w:t>
            </w:r>
          </w:p>
        </w:tc>
        <w:tc>
          <w:tcPr>
            <w:tcW w:w="1656" w:type="dxa"/>
            <w:tcBorders>
              <w:top w:val="nil"/>
              <w:left w:val="nil"/>
              <w:bottom w:val="nil"/>
              <w:right w:val="nil"/>
            </w:tcBorders>
          </w:tcPr>
          <w:p w14:paraId="414E7B5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(-0.47)</w:t>
            </w:r>
          </w:p>
        </w:tc>
        <w:tc>
          <w:tcPr>
            <w:tcW w:w="1656" w:type="dxa"/>
            <w:tcBorders>
              <w:top w:val="nil"/>
              <w:left w:val="nil"/>
              <w:bottom w:val="nil"/>
              <w:right w:val="nil"/>
            </w:tcBorders>
          </w:tcPr>
          <w:p w14:paraId="7ADF68B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(0.61)</w:t>
            </w:r>
          </w:p>
        </w:tc>
      </w:tr>
      <w:tr w:rsidR="002C4432" w:rsidRPr="00CC7538" w14:paraId="5B37D438" w14:textId="77777777" w:rsidTr="00015B88">
        <w:tc>
          <w:tcPr>
            <w:tcW w:w="2136" w:type="dxa"/>
            <w:tcBorders>
              <w:top w:val="nil"/>
              <w:left w:val="nil"/>
              <w:bottom w:val="nil"/>
              <w:right w:val="nil"/>
            </w:tcBorders>
          </w:tcPr>
          <w:p w14:paraId="1868B1D5"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37AEB7C"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DA8A2E1"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97D595E"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8DA5DDE"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C4FC4A5"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24546A0D" w14:textId="77777777" w:rsidTr="00015B88">
        <w:tc>
          <w:tcPr>
            <w:tcW w:w="2136" w:type="dxa"/>
            <w:tcBorders>
              <w:top w:val="nil"/>
              <w:left w:val="nil"/>
              <w:bottom w:val="nil"/>
              <w:right w:val="nil"/>
            </w:tcBorders>
          </w:tcPr>
          <w:p w14:paraId="07D53FD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L10.De Jure CBI (CNW Index)</w:t>
            </w:r>
          </w:p>
        </w:tc>
        <w:tc>
          <w:tcPr>
            <w:tcW w:w="1656" w:type="dxa"/>
            <w:tcBorders>
              <w:top w:val="nil"/>
              <w:left w:val="nil"/>
              <w:bottom w:val="nil"/>
              <w:right w:val="nil"/>
            </w:tcBorders>
          </w:tcPr>
          <w:p w14:paraId="1AFFBAC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0.596</w:t>
            </w:r>
          </w:p>
        </w:tc>
        <w:tc>
          <w:tcPr>
            <w:tcW w:w="1656" w:type="dxa"/>
            <w:tcBorders>
              <w:top w:val="nil"/>
              <w:left w:val="nil"/>
              <w:bottom w:val="nil"/>
              <w:right w:val="nil"/>
            </w:tcBorders>
          </w:tcPr>
          <w:p w14:paraId="5FAC642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-0.585</w:t>
            </w:r>
          </w:p>
        </w:tc>
        <w:tc>
          <w:tcPr>
            <w:tcW w:w="1656" w:type="dxa"/>
            <w:tcBorders>
              <w:top w:val="nil"/>
              <w:left w:val="nil"/>
              <w:bottom w:val="nil"/>
              <w:right w:val="nil"/>
            </w:tcBorders>
          </w:tcPr>
          <w:p w14:paraId="738B883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0.465</w:t>
            </w:r>
          </w:p>
        </w:tc>
        <w:tc>
          <w:tcPr>
            <w:tcW w:w="1656" w:type="dxa"/>
            <w:tcBorders>
              <w:top w:val="nil"/>
              <w:left w:val="nil"/>
              <w:bottom w:val="nil"/>
              <w:right w:val="nil"/>
            </w:tcBorders>
          </w:tcPr>
          <w:p w14:paraId="4AF62BA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0.152</w:t>
            </w:r>
          </w:p>
        </w:tc>
        <w:tc>
          <w:tcPr>
            <w:tcW w:w="1656" w:type="dxa"/>
            <w:tcBorders>
              <w:top w:val="nil"/>
              <w:left w:val="nil"/>
              <w:bottom w:val="nil"/>
              <w:right w:val="nil"/>
            </w:tcBorders>
          </w:tcPr>
          <w:p w14:paraId="60F4A46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0.192</w:t>
            </w:r>
          </w:p>
        </w:tc>
      </w:tr>
      <w:tr w:rsidR="002C4432" w:rsidRPr="00CC7538" w14:paraId="5926EC54" w14:textId="77777777" w:rsidTr="00015B88">
        <w:tc>
          <w:tcPr>
            <w:tcW w:w="2136" w:type="dxa"/>
            <w:tcBorders>
              <w:top w:val="nil"/>
              <w:left w:val="nil"/>
              <w:bottom w:val="nil"/>
              <w:right w:val="nil"/>
            </w:tcBorders>
          </w:tcPr>
          <w:p w14:paraId="55752BA5"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B18384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(0.77)</w:t>
            </w:r>
          </w:p>
        </w:tc>
        <w:tc>
          <w:tcPr>
            <w:tcW w:w="1656" w:type="dxa"/>
            <w:tcBorders>
              <w:top w:val="nil"/>
              <w:left w:val="nil"/>
              <w:bottom w:val="nil"/>
              <w:right w:val="nil"/>
            </w:tcBorders>
          </w:tcPr>
          <w:p w14:paraId="3B32CAE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(-1.02)</w:t>
            </w:r>
          </w:p>
        </w:tc>
        <w:tc>
          <w:tcPr>
            <w:tcW w:w="1656" w:type="dxa"/>
            <w:tcBorders>
              <w:top w:val="nil"/>
              <w:left w:val="nil"/>
              <w:bottom w:val="nil"/>
              <w:right w:val="nil"/>
            </w:tcBorders>
          </w:tcPr>
          <w:p w14:paraId="269E45E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(0.62)</w:t>
            </w:r>
          </w:p>
        </w:tc>
        <w:tc>
          <w:tcPr>
            <w:tcW w:w="1656" w:type="dxa"/>
            <w:tcBorders>
              <w:top w:val="nil"/>
              <w:left w:val="nil"/>
              <w:bottom w:val="nil"/>
              <w:right w:val="nil"/>
            </w:tcBorders>
          </w:tcPr>
          <w:p w14:paraId="20ED5850"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(0.99)</w:t>
            </w:r>
          </w:p>
        </w:tc>
        <w:tc>
          <w:tcPr>
            <w:tcW w:w="1656" w:type="dxa"/>
            <w:tcBorders>
              <w:top w:val="nil"/>
              <w:left w:val="nil"/>
              <w:bottom w:val="nil"/>
              <w:right w:val="nil"/>
            </w:tcBorders>
          </w:tcPr>
          <w:p w14:paraId="4C61A5E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(0.80)</w:t>
            </w:r>
          </w:p>
        </w:tc>
      </w:tr>
      <w:tr w:rsidR="002C4432" w:rsidRPr="00CC7538" w14:paraId="56F68808" w14:textId="77777777" w:rsidTr="00015B88">
        <w:tc>
          <w:tcPr>
            <w:tcW w:w="2136" w:type="dxa"/>
            <w:tcBorders>
              <w:top w:val="nil"/>
              <w:left w:val="nil"/>
              <w:bottom w:val="nil"/>
              <w:right w:val="nil"/>
            </w:tcBorders>
          </w:tcPr>
          <w:p w14:paraId="4545490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E105F3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520FB7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D5B2F09"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E285851"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CD0F291"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2FFA1378" w14:textId="77777777" w:rsidTr="00015B88">
        <w:tc>
          <w:tcPr>
            <w:tcW w:w="2136" w:type="dxa"/>
            <w:tcBorders>
              <w:top w:val="nil"/>
              <w:left w:val="nil"/>
              <w:bottom w:val="nil"/>
              <w:right w:val="nil"/>
            </w:tcBorders>
          </w:tcPr>
          <w:p w14:paraId="4ACD6F3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roofErr w:type="spellStart"/>
            <w:r w:rsidRPr="00CC7538">
              <w:rPr>
                <w:rFonts w:ascii="Times New Roman" w:hAnsi="Times New Roman" w:cs="Times New Roman"/>
                <w:sz w:val="20"/>
                <w:szCs w:val="20"/>
              </w:rPr>
              <w:lastRenderedPageBreak/>
              <w:t>L.Exchange</w:t>
            </w:r>
            <w:proofErr w:type="spellEnd"/>
            <w:r w:rsidRPr="00CC7538">
              <w:rPr>
                <w:rFonts w:ascii="Times New Roman" w:hAnsi="Times New Roman" w:cs="Times New Roman"/>
                <w:sz w:val="20"/>
                <w:szCs w:val="20"/>
              </w:rPr>
              <w:t xml:space="preserve"> Rate Classification (RR inverted, higher = more fixed)</w:t>
            </w:r>
          </w:p>
        </w:tc>
        <w:tc>
          <w:tcPr>
            <w:tcW w:w="1656" w:type="dxa"/>
            <w:tcBorders>
              <w:top w:val="nil"/>
              <w:left w:val="nil"/>
              <w:bottom w:val="nil"/>
              <w:right w:val="nil"/>
            </w:tcBorders>
          </w:tcPr>
          <w:p w14:paraId="462FDEA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0.0791</w:t>
            </w:r>
          </w:p>
        </w:tc>
        <w:tc>
          <w:tcPr>
            <w:tcW w:w="1656" w:type="dxa"/>
            <w:tcBorders>
              <w:top w:val="nil"/>
              <w:left w:val="nil"/>
              <w:bottom w:val="nil"/>
              <w:right w:val="nil"/>
            </w:tcBorders>
          </w:tcPr>
          <w:p w14:paraId="357C9DE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0.139</w:t>
            </w:r>
            <w:r w:rsidRPr="00CC7538">
              <w:rPr>
                <w:rFonts w:ascii="Times New Roman" w:hAnsi="Times New Roman" w:cs="Times New Roman"/>
                <w:sz w:val="20"/>
                <w:szCs w:val="20"/>
                <w:vertAlign w:val="superscript"/>
              </w:rPr>
              <w:t>*</w:t>
            </w:r>
          </w:p>
        </w:tc>
        <w:tc>
          <w:tcPr>
            <w:tcW w:w="1656" w:type="dxa"/>
            <w:tcBorders>
              <w:top w:val="nil"/>
              <w:left w:val="nil"/>
              <w:bottom w:val="nil"/>
              <w:right w:val="nil"/>
            </w:tcBorders>
          </w:tcPr>
          <w:p w14:paraId="08C38C5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0.0188</w:t>
            </w:r>
          </w:p>
        </w:tc>
        <w:tc>
          <w:tcPr>
            <w:tcW w:w="1656" w:type="dxa"/>
            <w:tcBorders>
              <w:top w:val="nil"/>
              <w:left w:val="nil"/>
              <w:bottom w:val="nil"/>
              <w:right w:val="nil"/>
            </w:tcBorders>
          </w:tcPr>
          <w:p w14:paraId="50EB365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0.0156</w:t>
            </w:r>
          </w:p>
        </w:tc>
        <w:tc>
          <w:tcPr>
            <w:tcW w:w="1656" w:type="dxa"/>
            <w:tcBorders>
              <w:top w:val="nil"/>
              <w:left w:val="nil"/>
              <w:bottom w:val="nil"/>
              <w:right w:val="nil"/>
            </w:tcBorders>
          </w:tcPr>
          <w:p w14:paraId="6A8FF6C0"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-0.00134</w:t>
            </w:r>
          </w:p>
        </w:tc>
      </w:tr>
      <w:tr w:rsidR="002C4432" w:rsidRPr="00CC7538" w14:paraId="2A2AA63D" w14:textId="77777777" w:rsidTr="00015B88">
        <w:tc>
          <w:tcPr>
            <w:tcW w:w="2136" w:type="dxa"/>
            <w:tcBorders>
              <w:top w:val="nil"/>
              <w:left w:val="nil"/>
              <w:bottom w:val="nil"/>
              <w:right w:val="nil"/>
            </w:tcBorders>
          </w:tcPr>
          <w:p w14:paraId="27C9B5C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04EEB8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(1.27)</w:t>
            </w:r>
          </w:p>
        </w:tc>
        <w:tc>
          <w:tcPr>
            <w:tcW w:w="1656" w:type="dxa"/>
            <w:tcBorders>
              <w:top w:val="nil"/>
              <w:left w:val="nil"/>
              <w:bottom w:val="nil"/>
              <w:right w:val="nil"/>
            </w:tcBorders>
          </w:tcPr>
          <w:p w14:paraId="6EADA2C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(2.61)</w:t>
            </w:r>
          </w:p>
        </w:tc>
        <w:tc>
          <w:tcPr>
            <w:tcW w:w="1656" w:type="dxa"/>
            <w:tcBorders>
              <w:top w:val="nil"/>
              <w:left w:val="nil"/>
              <w:bottom w:val="nil"/>
              <w:right w:val="nil"/>
            </w:tcBorders>
          </w:tcPr>
          <w:p w14:paraId="1649BFB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(0.26)</w:t>
            </w:r>
          </w:p>
        </w:tc>
        <w:tc>
          <w:tcPr>
            <w:tcW w:w="1656" w:type="dxa"/>
            <w:tcBorders>
              <w:top w:val="nil"/>
              <w:left w:val="nil"/>
              <w:bottom w:val="nil"/>
              <w:right w:val="nil"/>
            </w:tcBorders>
          </w:tcPr>
          <w:p w14:paraId="264CFCF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(0.70)</w:t>
            </w:r>
          </w:p>
        </w:tc>
        <w:tc>
          <w:tcPr>
            <w:tcW w:w="1656" w:type="dxa"/>
            <w:tcBorders>
              <w:top w:val="nil"/>
              <w:left w:val="nil"/>
              <w:bottom w:val="nil"/>
              <w:right w:val="nil"/>
            </w:tcBorders>
          </w:tcPr>
          <w:p w14:paraId="7290702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(-0.17)</w:t>
            </w:r>
          </w:p>
        </w:tc>
      </w:tr>
      <w:tr w:rsidR="002C4432" w:rsidRPr="00CC7538" w14:paraId="395FD46E" w14:textId="77777777" w:rsidTr="00015B88">
        <w:tc>
          <w:tcPr>
            <w:tcW w:w="2136" w:type="dxa"/>
            <w:tcBorders>
              <w:top w:val="nil"/>
              <w:left w:val="nil"/>
              <w:bottom w:val="nil"/>
              <w:right w:val="nil"/>
            </w:tcBorders>
          </w:tcPr>
          <w:p w14:paraId="41383C90"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5784851"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27B0366"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43E2DD5"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0710CB0"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C007A46"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21DF2EEE" w14:textId="77777777" w:rsidTr="00015B88">
        <w:tc>
          <w:tcPr>
            <w:tcW w:w="2136" w:type="dxa"/>
            <w:tcBorders>
              <w:top w:val="nil"/>
              <w:left w:val="nil"/>
              <w:bottom w:val="nil"/>
              <w:right w:val="nil"/>
            </w:tcBorders>
          </w:tcPr>
          <w:p w14:paraId="2C65435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L2.Exchange Rate Classification (RR inverted, higher = more fixed)</w:t>
            </w:r>
          </w:p>
        </w:tc>
        <w:tc>
          <w:tcPr>
            <w:tcW w:w="1656" w:type="dxa"/>
            <w:tcBorders>
              <w:top w:val="nil"/>
              <w:left w:val="nil"/>
              <w:bottom w:val="nil"/>
              <w:right w:val="nil"/>
            </w:tcBorders>
          </w:tcPr>
          <w:p w14:paraId="43D485F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-0.0943</w:t>
            </w:r>
          </w:p>
        </w:tc>
        <w:tc>
          <w:tcPr>
            <w:tcW w:w="1656" w:type="dxa"/>
            <w:tcBorders>
              <w:top w:val="nil"/>
              <w:left w:val="nil"/>
              <w:bottom w:val="nil"/>
              <w:right w:val="nil"/>
            </w:tcBorders>
          </w:tcPr>
          <w:p w14:paraId="4B2350A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-0.135</w:t>
            </w:r>
            <w:r w:rsidRPr="00CC7538">
              <w:rPr>
                <w:rFonts w:ascii="Times New Roman" w:hAnsi="Times New Roman" w:cs="Times New Roman"/>
                <w:sz w:val="20"/>
                <w:szCs w:val="20"/>
                <w:vertAlign w:val="superscript"/>
              </w:rPr>
              <w:t>**</w:t>
            </w:r>
          </w:p>
        </w:tc>
        <w:tc>
          <w:tcPr>
            <w:tcW w:w="1656" w:type="dxa"/>
            <w:tcBorders>
              <w:top w:val="nil"/>
              <w:left w:val="nil"/>
              <w:bottom w:val="nil"/>
              <w:right w:val="nil"/>
            </w:tcBorders>
          </w:tcPr>
          <w:p w14:paraId="24D927C7"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0.0306</w:t>
            </w:r>
          </w:p>
        </w:tc>
        <w:tc>
          <w:tcPr>
            <w:tcW w:w="1656" w:type="dxa"/>
            <w:tcBorders>
              <w:top w:val="nil"/>
              <w:left w:val="nil"/>
              <w:bottom w:val="nil"/>
              <w:right w:val="nil"/>
            </w:tcBorders>
          </w:tcPr>
          <w:p w14:paraId="39D7B75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0.0235</w:t>
            </w:r>
          </w:p>
        </w:tc>
        <w:tc>
          <w:tcPr>
            <w:tcW w:w="1656" w:type="dxa"/>
            <w:tcBorders>
              <w:top w:val="nil"/>
              <w:left w:val="nil"/>
              <w:bottom w:val="nil"/>
              <w:right w:val="nil"/>
            </w:tcBorders>
          </w:tcPr>
          <w:p w14:paraId="23A23BD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-0.0136</w:t>
            </w:r>
          </w:p>
        </w:tc>
      </w:tr>
      <w:tr w:rsidR="002C4432" w:rsidRPr="00CC7538" w14:paraId="5A29E6B4" w14:textId="77777777" w:rsidTr="00015B88">
        <w:tc>
          <w:tcPr>
            <w:tcW w:w="2136" w:type="dxa"/>
            <w:tcBorders>
              <w:top w:val="nil"/>
              <w:left w:val="nil"/>
              <w:bottom w:val="nil"/>
              <w:right w:val="nil"/>
            </w:tcBorders>
          </w:tcPr>
          <w:p w14:paraId="0A18294B"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BF4EB00"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(-1.52)</w:t>
            </w:r>
          </w:p>
        </w:tc>
        <w:tc>
          <w:tcPr>
            <w:tcW w:w="1656" w:type="dxa"/>
            <w:tcBorders>
              <w:top w:val="nil"/>
              <w:left w:val="nil"/>
              <w:bottom w:val="nil"/>
              <w:right w:val="nil"/>
            </w:tcBorders>
          </w:tcPr>
          <w:p w14:paraId="5DE8472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(-3.00)</w:t>
            </w:r>
          </w:p>
        </w:tc>
        <w:tc>
          <w:tcPr>
            <w:tcW w:w="1656" w:type="dxa"/>
            <w:tcBorders>
              <w:top w:val="nil"/>
              <w:left w:val="nil"/>
              <w:bottom w:val="nil"/>
              <w:right w:val="nil"/>
            </w:tcBorders>
          </w:tcPr>
          <w:p w14:paraId="32FE691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(0.59)</w:t>
            </w:r>
          </w:p>
        </w:tc>
        <w:tc>
          <w:tcPr>
            <w:tcW w:w="1656" w:type="dxa"/>
            <w:tcBorders>
              <w:top w:val="nil"/>
              <w:left w:val="nil"/>
              <w:bottom w:val="nil"/>
              <w:right w:val="nil"/>
            </w:tcBorders>
          </w:tcPr>
          <w:p w14:paraId="6511E9C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(1.46)</w:t>
            </w:r>
          </w:p>
        </w:tc>
        <w:tc>
          <w:tcPr>
            <w:tcW w:w="1656" w:type="dxa"/>
            <w:tcBorders>
              <w:top w:val="nil"/>
              <w:left w:val="nil"/>
              <w:bottom w:val="nil"/>
              <w:right w:val="nil"/>
            </w:tcBorders>
          </w:tcPr>
          <w:p w14:paraId="7B43268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(-1.32)</w:t>
            </w:r>
          </w:p>
        </w:tc>
      </w:tr>
      <w:tr w:rsidR="002C4432" w:rsidRPr="00CC7538" w14:paraId="39AF5B34" w14:textId="77777777" w:rsidTr="00015B88">
        <w:tc>
          <w:tcPr>
            <w:tcW w:w="2136" w:type="dxa"/>
            <w:tcBorders>
              <w:top w:val="nil"/>
              <w:left w:val="nil"/>
              <w:bottom w:val="nil"/>
              <w:right w:val="nil"/>
            </w:tcBorders>
          </w:tcPr>
          <w:p w14:paraId="14846355"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5E3627C"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F460822"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CB2FF6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9FDFB3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F9A9E16"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5ACCD190" w14:textId="77777777" w:rsidTr="00015B88">
        <w:tc>
          <w:tcPr>
            <w:tcW w:w="2136" w:type="dxa"/>
            <w:tcBorders>
              <w:top w:val="nil"/>
              <w:left w:val="nil"/>
              <w:bottom w:val="nil"/>
              <w:right w:val="nil"/>
            </w:tcBorders>
          </w:tcPr>
          <w:p w14:paraId="174AAFFC"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L3.Exchange Rate Classification (RR inverted, higher = more fixed)</w:t>
            </w:r>
          </w:p>
        </w:tc>
        <w:tc>
          <w:tcPr>
            <w:tcW w:w="1656" w:type="dxa"/>
            <w:tcBorders>
              <w:top w:val="nil"/>
              <w:left w:val="nil"/>
              <w:bottom w:val="nil"/>
              <w:right w:val="nil"/>
            </w:tcBorders>
          </w:tcPr>
          <w:p w14:paraId="274E251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-0.00203</w:t>
            </w:r>
          </w:p>
        </w:tc>
        <w:tc>
          <w:tcPr>
            <w:tcW w:w="1656" w:type="dxa"/>
            <w:tcBorders>
              <w:top w:val="nil"/>
              <w:left w:val="nil"/>
              <w:bottom w:val="nil"/>
              <w:right w:val="nil"/>
            </w:tcBorders>
          </w:tcPr>
          <w:p w14:paraId="7BF10B29"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0.0147</w:t>
            </w:r>
          </w:p>
        </w:tc>
        <w:tc>
          <w:tcPr>
            <w:tcW w:w="1656" w:type="dxa"/>
            <w:tcBorders>
              <w:top w:val="nil"/>
              <w:left w:val="nil"/>
              <w:bottom w:val="nil"/>
              <w:right w:val="nil"/>
            </w:tcBorders>
          </w:tcPr>
          <w:p w14:paraId="69462C1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-0.0916</w:t>
            </w:r>
            <w:r w:rsidRPr="00CC7538">
              <w:rPr>
                <w:rFonts w:ascii="Times New Roman" w:hAnsi="Times New Roman" w:cs="Times New Roman"/>
                <w:sz w:val="20"/>
                <w:szCs w:val="20"/>
                <w:vertAlign w:val="superscript"/>
              </w:rPr>
              <w:t>*</w:t>
            </w:r>
          </w:p>
        </w:tc>
        <w:tc>
          <w:tcPr>
            <w:tcW w:w="1656" w:type="dxa"/>
            <w:tcBorders>
              <w:top w:val="nil"/>
              <w:left w:val="nil"/>
              <w:bottom w:val="nil"/>
              <w:right w:val="nil"/>
            </w:tcBorders>
          </w:tcPr>
          <w:p w14:paraId="4417371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-0.00529</w:t>
            </w:r>
          </w:p>
        </w:tc>
        <w:tc>
          <w:tcPr>
            <w:tcW w:w="1656" w:type="dxa"/>
            <w:tcBorders>
              <w:top w:val="nil"/>
              <w:left w:val="nil"/>
              <w:bottom w:val="nil"/>
              <w:right w:val="nil"/>
            </w:tcBorders>
          </w:tcPr>
          <w:p w14:paraId="49A85B8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-0.0154</w:t>
            </w:r>
          </w:p>
        </w:tc>
      </w:tr>
      <w:tr w:rsidR="002C4432" w:rsidRPr="00CC7538" w14:paraId="1D527812" w14:textId="77777777" w:rsidTr="00015B88">
        <w:tc>
          <w:tcPr>
            <w:tcW w:w="2136" w:type="dxa"/>
            <w:tcBorders>
              <w:top w:val="nil"/>
              <w:left w:val="nil"/>
              <w:bottom w:val="nil"/>
              <w:right w:val="nil"/>
            </w:tcBorders>
          </w:tcPr>
          <w:p w14:paraId="7E907AFE"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7CB61E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(-0.04)</w:t>
            </w:r>
          </w:p>
        </w:tc>
        <w:tc>
          <w:tcPr>
            <w:tcW w:w="1656" w:type="dxa"/>
            <w:tcBorders>
              <w:top w:val="nil"/>
              <w:left w:val="nil"/>
              <w:bottom w:val="nil"/>
              <w:right w:val="nil"/>
            </w:tcBorders>
          </w:tcPr>
          <w:p w14:paraId="2076B51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(0.36)</w:t>
            </w:r>
          </w:p>
        </w:tc>
        <w:tc>
          <w:tcPr>
            <w:tcW w:w="1656" w:type="dxa"/>
            <w:tcBorders>
              <w:top w:val="nil"/>
              <w:left w:val="nil"/>
              <w:bottom w:val="nil"/>
              <w:right w:val="nil"/>
            </w:tcBorders>
          </w:tcPr>
          <w:p w14:paraId="050E816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(-2.11)</w:t>
            </w:r>
          </w:p>
        </w:tc>
        <w:tc>
          <w:tcPr>
            <w:tcW w:w="1656" w:type="dxa"/>
            <w:tcBorders>
              <w:top w:val="nil"/>
              <w:left w:val="nil"/>
              <w:bottom w:val="nil"/>
              <w:right w:val="nil"/>
            </w:tcBorders>
          </w:tcPr>
          <w:p w14:paraId="1887604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(-0.19)</w:t>
            </w:r>
          </w:p>
        </w:tc>
        <w:tc>
          <w:tcPr>
            <w:tcW w:w="1656" w:type="dxa"/>
            <w:tcBorders>
              <w:top w:val="nil"/>
              <w:left w:val="nil"/>
              <w:bottom w:val="nil"/>
              <w:right w:val="nil"/>
            </w:tcBorders>
          </w:tcPr>
          <w:p w14:paraId="1C845F8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(-1.14)</w:t>
            </w:r>
          </w:p>
        </w:tc>
      </w:tr>
      <w:tr w:rsidR="002C4432" w:rsidRPr="00CC7538" w14:paraId="6059221C" w14:textId="77777777" w:rsidTr="00015B88">
        <w:tc>
          <w:tcPr>
            <w:tcW w:w="2136" w:type="dxa"/>
            <w:tcBorders>
              <w:top w:val="nil"/>
              <w:left w:val="nil"/>
              <w:bottom w:val="nil"/>
              <w:right w:val="nil"/>
            </w:tcBorders>
          </w:tcPr>
          <w:p w14:paraId="7FD507D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A9A402F"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A9D21C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9253C1C"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47FEB32"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A6E9BBA"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5256F5A5" w14:textId="77777777" w:rsidTr="00015B88">
        <w:tc>
          <w:tcPr>
            <w:tcW w:w="2136" w:type="dxa"/>
            <w:tcBorders>
              <w:top w:val="nil"/>
              <w:left w:val="nil"/>
              <w:bottom w:val="nil"/>
              <w:right w:val="nil"/>
            </w:tcBorders>
          </w:tcPr>
          <w:p w14:paraId="567E6975"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L4.Exchange Rate Classification (RR inverted, higher = more fixed)</w:t>
            </w:r>
          </w:p>
        </w:tc>
        <w:tc>
          <w:tcPr>
            <w:tcW w:w="1656" w:type="dxa"/>
            <w:tcBorders>
              <w:top w:val="nil"/>
              <w:left w:val="nil"/>
              <w:bottom w:val="nil"/>
              <w:right w:val="nil"/>
            </w:tcBorders>
          </w:tcPr>
          <w:p w14:paraId="4AA08CD0"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0.0105</w:t>
            </w:r>
          </w:p>
        </w:tc>
        <w:tc>
          <w:tcPr>
            <w:tcW w:w="1656" w:type="dxa"/>
            <w:tcBorders>
              <w:top w:val="nil"/>
              <w:left w:val="nil"/>
              <w:bottom w:val="nil"/>
              <w:right w:val="nil"/>
            </w:tcBorders>
          </w:tcPr>
          <w:p w14:paraId="0C46E33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0.0616</w:t>
            </w:r>
          </w:p>
        </w:tc>
        <w:tc>
          <w:tcPr>
            <w:tcW w:w="1656" w:type="dxa"/>
            <w:tcBorders>
              <w:top w:val="nil"/>
              <w:left w:val="nil"/>
              <w:bottom w:val="nil"/>
              <w:right w:val="nil"/>
            </w:tcBorders>
          </w:tcPr>
          <w:p w14:paraId="1686FAF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0.0529</w:t>
            </w:r>
          </w:p>
        </w:tc>
        <w:tc>
          <w:tcPr>
            <w:tcW w:w="1656" w:type="dxa"/>
            <w:tcBorders>
              <w:top w:val="nil"/>
              <w:left w:val="nil"/>
              <w:bottom w:val="nil"/>
              <w:right w:val="nil"/>
            </w:tcBorders>
          </w:tcPr>
          <w:p w14:paraId="53577F1F"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-0.0104</w:t>
            </w:r>
          </w:p>
        </w:tc>
        <w:tc>
          <w:tcPr>
            <w:tcW w:w="1656" w:type="dxa"/>
            <w:tcBorders>
              <w:top w:val="nil"/>
              <w:left w:val="nil"/>
              <w:bottom w:val="nil"/>
              <w:right w:val="nil"/>
            </w:tcBorders>
          </w:tcPr>
          <w:p w14:paraId="5EB49F7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-0.0105</w:t>
            </w:r>
          </w:p>
        </w:tc>
      </w:tr>
      <w:tr w:rsidR="002C4432" w:rsidRPr="00CC7538" w14:paraId="19621339" w14:textId="77777777" w:rsidTr="00015B88">
        <w:tc>
          <w:tcPr>
            <w:tcW w:w="2136" w:type="dxa"/>
            <w:tcBorders>
              <w:top w:val="nil"/>
              <w:left w:val="nil"/>
              <w:bottom w:val="nil"/>
              <w:right w:val="nil"/>
            </w:tcBorders>
          </w:tcPr>
          <w:p w14:paraId="6D1A8B1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E57BF0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(0.16)</w:t>
            </w:r>
          </w:p>
        </w:tc>
        <w:tc>
          <w:tcPr>
            <w:tcW w:w="1656" w:type="dxa"/>
            <w:tcBorders>
              <w:top w:val="nil"/>
              <w:left w:val="nil"/>
              <w:bottom w:val="nil"/>
              <w:right w:val="nil"/>
            </w:tcBorders>
          </w:tcPr>
          <w:p w14:paraId="7747AA1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(1.41)</w:t>
            </w:r>
          </w:p>
        </w:tc>
        <w:tc>
          <w:tcPr>
            <w:tcW w:w="1656" w:type="dxa"/>
            <w:tcBorders>
              <w:top w:val="nil"/>
              <w:left w:val="nil"/>
              <w:bottom w:val="nil"/>
              <w:right w:val="nil"/>
            </w:tcBorders>
          </w:tcPr>
          <w:p w14:paraId="1354D939"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(0.80)</w:t>
            </w:r>
          </w:p>
        </w:tc>
        <w:tc>
          <w:tcPr>
            <w:tcW w:w="1656" w:type="dxa"/>
            <w:tcBorders>
              <w:top w:val="nil"/>
              <w:left w:val="nil"/>
              <w:bottom w:val="nil"/>
              <w:right w:val="nil"/>
            </w:tcBorders>
          </w:tcPr>
          <w:p w14:paraId="391E214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(-0.59)</w:t>
            </w:r>
          </w:p>
        </w:tc>
        <w:tc>
          <w:tcPr>
            <w:tcW w:w="1656" w:type="dxa"/>
            <w:tcBorders>
              <w:top w:val="nil"/>
              <w:left w:val="nil"/>
              <w:bottom w:val="nil"/>
              <w:right w:val="nil"/>
            </w:tcBorders>
          </w:tcPr>
          <w:p w14:paraId="53EF2B6F"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(-1.34)</w:t>
            </w:r>
          </w:p>
        </w:tc>
      </w:tr>
      <w:tr w:rsidR="002C4432" w:rsidRPr="00CC7538" w14:paraId="5E2A0DC3" w14:textId="77777777" w:rsidTr="00015B88">
        <w:tc>
          <w:tcPr>
            <w:tcW w:w="2136" w:type="dxa"/>
            <w:tcBorders>
              <w:top w:val="nil"/>
              <w:left w:val="nil"/>
              <w:bottom w:val="nil"/>
              <w:right w:val="nil"/>
            </w:tcBorders>
          </w:tcPr>
          <w:p w14:paraId="628839A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F180A71"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8555DE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E0134DF"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F563EE2"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AB71EEB"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091970B1" w14:textId="77777777" w:rsidTr="00015B88">
        <w:tc>
          <w:tcPr>
            <w:tcW w:w="2136" w:type="dxa"/>
            <w:tcBorders>
              <w:top w:val="nil"/>
              <w:left w:val="nil"/>
              <w:bottom w:val="nil"/>
              <w:right w:val="nil"/>
            </w:tcBorders>
          </w:tcPr>
          <w:p w14:paraId="0E5EDD5E"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L5.Exchange Rate Classification (RR inverted, higher = more fixed)</w:t>
            </w:r>
          </w:p>
        </w:tc>
        <w:tc>
          <w:tcPr>
            <w:tcW w:w="1656" w:type="dxa"/>
            <w:tcBorders>
              <w:top w:val="nil"/>
              <w:left w:val="nil"/>
              <w:bottom w:val="nil"/>
              <w:right w:val="nil"/>
            </w:tcBorders>
          </w:tcPr>
          <w:p w14:paraId="685F055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0.0434</w:t>
            </w:r>
          </w:p>
        </w:tc>
        <w:tc>
          <w:tcPr>
            <w:tcW w:w="1656" w:type="dxa"/>
            <w:tcBorders>
              <w:top w:val="nil"/>
              <w:left w:val="nil"/>
              <w:bottom w:val="nil"/>
              <w:right w:val="nil"/>
            </w:tcBorders>
          </w:tcPr>
          <w:p w14:paraId="205D8CB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-0.000243</w:t>
            </w:r>
          </w:p>
        </w:tc>
        <w:tc>
          <w:tcPr>
            <w:tcW w:w="1656" w:type="dxa"/>
            <w:tcBorders>
              <w:top w:val="nil"/>
              <w:left w:val="nil"/>
              <w:bottom w:val="nil"/>
              <w:right w:val="nil"/>
            </w:tcBorders>
          </w:tcPr>
          <w:p w14:paraId="3FEB15D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0.0532</w:t>
            </w:r>
          </w:p>
        </w:tc>
        <w:tc>
          <w:tcPr>
            <w:tcW w:w="1656" w:type="dxa"/>
            <w:tcBorders>
              <w:top w:val="nil"/>
              <w:left w:val="nil"/>
              <w:bottom w:val="nil"/>
              <w:right w:val="nil"/>
            </w:tcBorders>
          </w:tcPr>
          <w:p w14:paraId="38B224D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0.0120</w:t>
            </w:r>
          </w:p>
        </w:tc>
        <w:tc>
          <w:tcPr>
            <w:tcW w:w="1656" w:type="dxa"/>
            <w:tcBorders>
              <w:top w:val="nil"/>
              <w:left w:val="nil"/>
              <w:bottom w:val="nil"/>
              <w:right w:val="nil"/>
            </w:tcBorders>
          </w:tcPr>
          <w:p w14:paraId="253BFB0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-0.00427</w:t>
            </w:r>
          </w:p>
        </w:tc>
      </w:tr>
      <w:tr w:rsidR="002C4432" w:rsidRPr="00CC7538" w14:paraId="10167778" w14:textId="77777777" w:rsidTr="00015B88">
        <w:tc>
          <w:tcPr>
            <w:tcW w:w="2136" w:type="dxa"/>
            <w:tcBorders>
              <w:top w:val="nil"/>
              <w:left w:val="nil"/>
              <w:bottom w:val="nil"/>
              <w:right w:val="nil"/>
            </w:tcBorders>
          </w:tcPr>
          <w:p w14:paraId="3004FE88"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AA5852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(0.76)</w:t>
            </w:r>
          </w:p>
        </w:tc>
        <w:tc>
          <w:tcPr>
            <w:tcW w:w="1656" w:type="dxa"/>
            <w:tcBorders>
              <w:top w:val="nil"/>
              <w:left w:val="nil"/>
              <w:bottom w:val="nil"/>
              <w:right w:val="nil"/>
            </w:tcBorders>
          </w:tcPr>
          <w:p w14:paraId="4AF198D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w:t>
            </w:r>
          </w:p>
        </w:tc>
        <w:tc>
          <w:tcPr>
            <w:tcW w:w="1656" w:type="dxa"/>
            <w:tcBorders>
              <w:top w:val="nil"/>
              <w:left w:val="nil"/>
              <w:bottom w:val="nil"/>
              <w:right w:val="nil"/>
            </w:tcBorders>
          </w:tcPr>
          <w:p w14:paraId="31810CA8"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(0.84)</w:t>
            </w:r>
          </w:p>
        </w:tc>
        <w:tc>
          <w:tcPr>
            <w:tcW w:w="1656" w:type="dxa"/>
            <w:tcBorders>
              <w:top w:val="nil"/>
              <w:left w:val="nil"/>
              <w:bottom w:val="nil"/>
              <w:right w:val="nil"/>
            </w:tcBorders>
          </w:tcPr>
          <w:p w14:paraId="3ECF4460"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(0.77)</w:t>
            </w:r>
          </w:p>
        </w:tc>
        <w:tc>
          <w:tcPr>
            <w:tcW w:w="1656" w:type="dxa"/>
            <w:tcBorders>
              <w:top w:val="nil"/>
              <w:left w:val="nil"/>
              <w:bottom w:val="nil"/>
              <w:right w:val="nil"/>
            </w:tcBorders>
          </w:tcPr>
          <w:p w14:paraId="307EEB5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(-0.66)</w:t>
            </w:r>
          </w:p>
        </w:tc>
      </w:tr>
      <w:tr w:rsidR="002C4432" w:rsidRPr="00CC7538" w14:paraId="38217937" w14:textId="77777777" w:rsidTr="00015B88">
        <w:tc>
          <w:tcPr>
            <w:tcW w:w="2136" w:type="dxa"/>
            <w:tcBorders>
              <w:top w:val="nil"/>
              <w:left w:val="nil"/>
              <w:bottom w:val="nil"/>
              <w:right w:val="nil"/>
            </w:tcBorders>
          </w:tcPr>
          <w:p w14:paraId="48F1DF6E"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215589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7F3E289"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246612A"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10A45F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22BDF48"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71233BB2" w14:textId="77777777" w:rsidTr="00015B88">
        <w:tc>
          <w:tcPr>
            <w:tcW w:w="2136" w:type="dxa"/>
            <w:tcBorders>
              <w:top w:val="nil"/>
              <w:left w:val="nil"/>
              <w:bottom w:val="nil"/>
              <w:right w:val="nil"/>
            </w:tcBorders>
          </w:tcPr>
          <w:p w14:paraId="7734055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L6.Exchange Rate Classification (RR inverted, higher = more fixed)</w:t>
            </w:r>
          </w:p>
        </w:tc>
        <w:tc>
          <w:tcPr>
            <w:tcW w:w="1656" w:type="dxa"/>
            <w:tcBorders>
              <w:top w:val="nil"/>
              <w:left w:val="nil"/>
              <w:bottom w:val="nil"/>
              <w:right w:val="nil"/>
            </w:tcBorders>
          </w:tcPr>
          <w:p w14:paraId="21BD32E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-0.114</w:t>
            </w:r>
            <w:r w:rsidRPr="00CC7538">
              <w:rPr>
                <w:rFonts w:ascii="Times New Roman" w:hAnsi="Times New Roman" w:cs="Times New Roman"/>
                <w:sz w:val="20"/>
                <w:szCs w:val="20"/>
                <w:vertAlign w:val="superscript"/>
              </w:rPr>
              <w:t>*</w:t>
            </w:r>
          </w:p>
        </w:tc>
        <w:tc>
          <w:tcPr>
            <w:tcW w:w="1656" w:type="dxa"/>
            <w:tcBorders>
              <w:top w:val="nil"/>
              <w:left w:val="nil"/>
              <w:bottom w:val="nil"/>
              <w:right w:val="nil"/>
            </w:tcBorders>
          </w:tcPr>
          <w:p w14:paraId="72564AD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-0.0303</w:t>
            </w:r>
          </w:p>
        </w:tc>
        <w:tc>
          <w:tcPr>
            <w:tcW w:w="1656" w:type="dxa"/>
            <w:tcBorders>
              <w:top w:val="nil"/>
              <w:left w:val="nil"/>
              <w:bottom w:val="nil"/>
              <w:right w:val="nil"/>
            </w:tcBorders>
          </w:tcPr>
          <w:p w14:paraId="7381F72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-0.0989</w:t>
            </w:r>
            <w:r w:rsidRPr="00CC7538">
              <w:rPr>
                <w:rFonts w:ascii="Times New Roman" w:hAnsi="Times New Roman" w:cs="Times New Roman"/>
                <w:sz w:val="20"/>
                <w:szCs w:val="20"/>
                <w:vertAlign w:val="superscript"/>
              </w:rPr>
              <w:t>*</w:t>
            </w:r>
          </w:p>
        </w:tc>
        <w:tc>
          <w:tcPr>
            <w:tcW w:w="1656" w:type="dxa"/>
            <w:tcBorders>
              <w:top w:val="nil"/>
              <w:left w:val="nil"/>
              <w:bottom w:val="nil"/>
              <w:right w:val="nil"/>
            </w:tcBorders>
          </w:tcPr>
          <w:p w14:paraId="5BF3F72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0.0121</w:t>
            </w:r>
          </w:p>
        </w:tc>
        <w:tc>
          <w:tcPr>
            <w:tcW w:w="1656" w:type="dxa"/>
            <w:tcBorders>
              <w:top w:val="nil"/>
              <w:left w:val="nil"/>
              <w:bottom w:val="nil"/>
              <w:right w:val="nil"/>
            </w:tcBorders>
          </w:tcPr>
          <w:p w14:paraId="395E48FF"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0.00577</w:t>
            </w:r>
          </w:p>
        </w:tc>
      </w:tr>
      <w:tr w:rsidR="002C4432" w:rsidRPr="00CC7538" w14:paraId="31ED7B54" w14:textId="77777777" w:rsidTr="00015B88">
        <w:tc>
          <w:tcPr>
            <w:tcW w:w="2136" w:type="dxa"/>
            <w:tcBorders>
              <w:top w:val="nil"/>
              <w:left w:val="nil"/>
              <w:bottom w:val="nil"/>
              <w:right w:val="nil"/>
            </w:tcBorders>
          </w:tcPr>
          <w:p w14:paraId="6FB60C6E"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607C00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(-2.08)</w:t>
            </w:r>
          </w:p>
        </w:tc>
        <w:tc>
          <w:tcPr>
            <w:tcW w:w="1656" w:type="dxa"/>
            <w:tcBorders>
              <w:top w:val="nil"/>
              <w:left w:val="nil"/>
              <w:bottom w:val="nil"/>
              <w:right w:val="nil"/>
            </w:tcBorders>
          </w:tcPr>
          <w:p w14:paraId="625EFEA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(-0.59)</w:t>
            </w:r>
          </w:p>
        </w:tc>
        <w:tc>
          <w:tcPr>
            <w:tcW w:w="1656" w:type="dxa"/>
            <w:tcBorders>
              <w:top w:val="nil"/>
              <w:left w:val="nil"/>
              <w:bottom w:val="nil"/>
              <w:right w:val="nil"/>
            </w:tcBorders>
          </w:tcPr>
          <w:p w14:paraId="715BF6E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(-2.57)</w:t>
            </w:r>
          </w:p>
        </w:tc>
        <w:tc>
          <w:tcPr>
            <w:tcW w:w="1656" w:type="dxa"/>
            <w:tcBorders>
              <w:top w:val="nil"/>
              <w:left w:val="nil"/>
              <w:bottom w:val="nil"/>
              <w:right w:val="nil"/>
            </w:tcBorders>
          </w:tcPr>
          <w:p w14:paraId="701CCD0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(0.90)</w:t>
            </w:r>
          </w:p>
        </w:tc>
        <w:tc>
          <w:tcPr>
            <w:tcW w:w="1656" w:type="dxa"/>
            <w:tcBorders>
              <w:top w:val="nil"/>
              <w:left w:val="nil"/>
              <w:bottom w:val="nil"/>
              <w:right w:val="nil"/>
            </w:tcBorders>
          </w:tcPr>
          <w:p w14:paraId="1BF21A7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(0.64)</w:t>
            </w:r>
          </w:p>
        </w:tc>
      </w:tr>
      <w:tr w:rsidR="002C4432" w:rsidRPr="00CC7538" w14:paraId="4CDC1F59" w14:textId="77777777" w:rsidTr="00015B88">
        <w:tc>
          <w:tcPr>
            <w:tcW w:w="2136" w:type="dxa"/>
            <w:tcBorders>
              <w:top w:val="nil"/>
              <w:left w:val="nil"/>
              <w:bottom w:val="nil"/>
              <w:right w:val="nil"/>
            </w:tcBorders>
          </w:tcPr>
          <w:p w14:paraId="7EA11F47"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639D7D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41AF081"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889800C"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E02178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14CDD8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7B482049" w14:textId="77777777" w:rsidTr="00015B88">
        <w:tc>
          <w:tcPr>
            <w:tcW w:w="2136" w:type="dxa"/>
            <w:tcBorders>
              <w:top w:val="nil"/>
              <w:left w:val="nil"/>
              <w:bottom w:val="nil"/>
              <w:right w:val="nil"/>
            </w:tcBorders>
          </w:tcPr>
          <w:p w14:paraId="33AB6ADB"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L7.Exchange Rate Classification (RR inverted, higher = more fixed)</w:t>
            </w:r>
          </w:p>
        </w:tc>
        <w:tc>
          <w:tcPr>
            <w:tcW w:w="1656" w:type="dxa"/>
            <w:tcBorders>
              <w:top w:val="nil"/>
              <w:left w:val="nil"/>
              <w:bottom w:val="nil"/>
              <w:right w:val="nil"/>
            </w:tcBorders>
          </w:tcPr>
          <w:p w14:paraId="522F1F0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0.114</w:t>
            </w:r>
            <w:r w:rsidRPr="00CC7538">
              <w:rPr>
                <w:rFonts w:ascii="Times New Roman" w:hAnsi="Times New Roman" w:cs="Times New Roman"/>
                <w:sz w:val="20"/>
                <w:szCs w:val="20"/>
                <w:vertAlign w:val="superscript"/>
              </w:rPr>
              <w:t>*</w:t>
            </w:r>
          </w:p>
        </w:tc>
        <w:tc>
          <w:tcPr>
            <w:tcW w:w="1656" w:type="dxa"/>
            <w:tcBorders>
              <w:top w:val="nil"/>
              <w:left w:val="nil"/>
              <w:bottom w:val="nil"/>
              <w:right w:val="nil"/>
            </w:tcBorders>
          </w:tcPr>
          <w:p w14:paraId="74C58C8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0.0299</w:t>
            </w:r>
          </w:p>
        </w:tc>
        <w:tc>
          <w:tcPr>
            <w:tcW w:w="1656" w:type="dxa"/>
            <w:tcBorders>
              <w:top w:val="nil"/>
              <w:left w:val="nil"/>
              <w:bottom w:val="nil"/>
              <w:right w:val="nil"/>
            </w:tcBorders>
          </w:tcPr>
          <w:p w14:paraId="59AE14F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0.0855</w:t>
            </w:r>
          </w:p>
        </w:tc>
        <w:tc>
          <w:tcPr>
            <w:tcW w:w="1656" w:type="dxa"/>
            <w:tcBorders>
              <w:top w:val="nil"/>
              <w:left w:val="nil"/>
              <w:bottom w:val="nil"/>
              <w:right w:val="nil"/>
            </w:tcBorders>
          </w:tcPr>
          <w:p w14:paraId="0666A7B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-0.0159</w:t>
            </w:r>
          </w:p>
        </w:tc>
        <w:tc>
          <w:tcPr>
            <w:tcW w:w="1656" w:type="dxa"/>
            <w:tcBorders>
              <w:top w:val="nil"/>
              <w:left w:val="nil"/>
              <w:bottom w:val="nil"/>
              <w:right w:val="nil"/>
            </w:tcBorders>
          </w:tcPr>
          <w:p w14:paraId="2B3DC1FF"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-0.00581</w:t>
            </w:r>
          </w:p>
        </w:tc>
      </w:tr>
      <w:tr w:rsidR="002C4432" w:rsidRPr="00CC7538" w14:paraId="79EA31C2" w14:textId="77777777" w:rsidTr="00015B88">
        <w:tc>
          <w:tcPr>
            <w:tcW w:w="2136" w:type="dxa"/>
            <w:tcBorders>
              <w:top w:val="nil"/>
              <w:left w:val="nil"/>
              <w:bottom w:val="nil"/>
              <w:right w:val="nil"/>
            </w:tcBorders>
          </w:tcPr>
          <w:p w14:paraId="190B89C2"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AB0870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(2.25)</w:t>
            </w:r>
          </w:p>
        </w:tc>
        <w:tc>
          <w:tcPr>
            <w:tcW w:w="1656" w:type="dxa"/>
            <w:tcBorders>
              <w:top w:val="nil"/>
              <w:left w:val="nil"/>
              <w:bottom w:val="nil"/>
              <w:right w:val="nil"/>
            </w:tcBorders>
          </w:tcPr>
          <w:p w14:paraId="113A0B0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(0.62)</w:t>
            </w:r>
          </w:p>
        </w:tc>
        <w:tc>
          <w:tcPr>
            <w:tcW w:w="1656" w:type="dxa"/>
            <w:tcBorders>
              <w:top w:val="nil"/>
              <w:left w:val="nil"/>
              <w:bottom w:val="nil"/>
              <w:right w:val="nil"/>
            </w:tcBorders>
          </w:tcPr>
          <w:p w14:paraId="7AC6482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(1.65)</w:t>
            </w:r>
          </w:p>
        </w:tc>
        <w:tc>
          <w:tcPr>
            <w:tcW w:w="1656" w:type="dxa"/>
            <w:tcBorders>
              <w:top w:val="nil"/>
              <w:left w:val="nil"/>
              <w:bottom w:val="nil"/>
              <w:right w:val="nil"/>
            </w:tcBorders>
          </w:tcPr>
          <w:p w14:paraId="23CA47D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(-1.36)</w:t>
            </w:r>
          </w:p>
        </w:tc>
        <w:tc>
          <w:tcPr>
            <w:tcW w:w="1656" w:type="dxa"/>
            <w:tcBorders>
              <w:top w:val="nil"/>
              <w:left w:val="nil"/>
              <w:bottom w:val="nil"/>
              <w:right w:val="nil"/>
            </w:tcBorders>
          </w:tcPr>
          <w:p w14:paraId="22322CB7"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(-0.67)</w:t>
            </w:r>
          </w:p>
        </w:tc>
      </w:tr>
      <w:tr w:rsidR="002C4432" w:rsidRPr="00CC7538" w14:paraId="6B7CE708" w14:textId="77777777" w:rsidTr="00015B88">
        <w:tc>
          <w:tcPr>
            <w:tcW w:w="2136" w:type="dxa"/>
            <w:tcBorders>
              <w:top w:val="nil"/>
              <w:left w:val="nil"/>
              <w:bottom w:val="nil"/>
              <w:right w:val="nil"/>
            </w:tcBorders>
          </w:tcPr>
          <w:p w14:paraId="2883D20B"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41DBF7E"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4483A42"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1EFEEFC"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CB020C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BE7177C"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4610DA51" w14:textId="77777777" w:rsidTr="00015B88">
        <w:tc>
          <w:tcPr>
            <w:tcW w:w="2136" w:type="dxa"/>
            <w:tcBorders>
              <w:top w:val="nil"/>
              <w:left w:val="nil"/>
              <w:bottom w:val="nil"/>
              <w:right w:val="nil"/>
            </w:tcBorders>
          </w:tcPr>
          <w:p w14:paraId="31B808D5"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L8.Exchange Rate Classification (RR inverted, higher = more fixed)</w:t>
            </w:r>
          </w:p>
        </w:tc>
        <w:tc>
          <w:tcPr>
            <w:tcW w:w="1656" w:type="dxa"/>
            <w:tcBorders>
              <w:top w:val="nil"/>
              <w:left w:val="nil"/>
              <w:bottom w:val="nil"/>
              <w:right w:val="nil"/>
            </w:tcBorders>
          </w:tcPr>
          <w:p w14:paraId="7C378EA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-0.0275</w:t>
            </w:r>
          </w:p>
        </w:tc>
        <w:tc>
          <w:tcPr>
            <w:tcW w:w="1656" w:type="dxa"/>
            <w:tcBorders>
              <w:top w:val="nil"/>
              <w:left w:val="nil"/>
              <w:bottom w:val="nil"/>
              <w:right w:val="nil"/>
            </w:tcBorders>
          </w:tcPr>
          <w:p w14:paraId="7A6843C7"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-0.0104</w:t>
            </w:r>
          </w:p>
        </w:tc>
        <w:tc>
          <w:tcPr>
            <w:tcW w:w="1656" w:type="dxa"/>
            <w:tcBorders>
              <w:top w:val="nil"/>
              <w:left w:val="nil"/>
              <w:bottom w:val="nil"/>
              <w:right w:val="nil"/>
            </w:tcBorders>
          </w:tcPr>
          <w:p w14:paraId="0CFD229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-0.0778</w:t>
            </w:r>
          </w:p>
        </w:tc>
        <w:tc>
          <w:tcPr>
            <w:tcW w:w="1656" w:type="dxa"/>
            <w:tcBorders>
              <w:top w:val="nil"/>
              <w:left w:val="nil"/>
              <w:bottom w:val="nil"/>
              <w:right w:val="nil"/>
            </w:tcBorders>
          </w:tcPr>
          <w:p w14:paraId="66254AC8"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0.0119</w:t>
            </w:r>
          </w:p>
        </w:tc>
        <w:tc>
          <w:tcPr>
            <w:tcW w:w="1656" w:type="dxa"/>
            <w:tcBorders>
              <w:top w:val="nil"/>
              <w:left w:val="nil"/>
              <w:bottom w:val="nil"/>
              <w:right w:val="nil"/>
            </w:tcBorders>
          </w:tcPr>
          <w:p w14:paraId="3FB2B68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0.00853</w:t>
            </w:r>
          </w:p>
        </w:tc>
      </w:tr>
      <w:tr w:rsidR="002C4432" w:rsidRPr="00CC7538" w14:paraId="66F316BA" w14:textId="77777777" w:rsidTr="00015B88">
        <w:tc>
          <w:tcPr>
            <w:tcW w:w="2136" w:type="dxa"/>
            <w:tcBorders>
              <w:top w:val="nil"/>
              <w:left w:val="nil"/>
              <w:bottom w:val="nil"/>
              <w:right w:val="nil"/>
            </w:tcBorders>
          </w:tcPr>
          <w:p w14:paraId="0F9432A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3676F8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(-0.67)</w:t>
            </w:r>
          </w:p>
        </w:tc>
        <w:tc>
          <w:tcPr>
            <w:tcW w:w="1656" w:type="dxa"/>
            <w:tcBorders>
              <w:top w:val="nil"/>
              <w:left w:val="nil"/>
              <w:bottom w:val="nil"/>
              <w:right w:val="nil"/>
            </w:tcBorders>
          </w:tcPr>
          <w:p w14:paraId="722F7A57"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(-0.29)</w:t>
            </w:r>
          </w:p>
        </w:tc>
        <w:tc>
          <w:tcPr>
            <w:tcW w:w="1656" w:type="dxa"/>
            <w:tcBorders>
              <w:top w:val="nil"/>
              <w:left w:val="nil"/>
              <w:bottom w:val="nil"/>
              <w:right w:val="nil"/>
            </w:tcBorders>
          </w:tcPr>
          <w:p w14:paraId="2275610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(-1.60)</w:t>
            </w:r>
          </w:p>
        </w:tc>
        <w:tc>
          <w:tcPr>
            <w:tcW w:w="1656" w:type="dxa"/>
            <w:tcBorders>
              <w:top w:val="nil"/>
              <w:left w:val="nil"/>
              <w:bottom w:val="nil"/>
              <w:right w:val="nil"/>
            </w:tcBorders>
          </w:tcPr>
          <w:p w14:paraId="0C191CE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(1.47)</w:t>
            </w:r>
          </w:p>
        </w:tc>
        <w:tc>
          <w:tcPr>
            <w:tcW w:w="1656" w:type="dxa"/>
            <w:tcBorders>
              <w:top w:val="nil"/>
              <w:left w:val="nil"/>
              <w:bottom w:val="nil"/>
              <w:right w:val="nil"/>
            </w:tcBorders>
          </w:tcPr>
          <w:p w14:paraId="3A76499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(0.98)</w:t>
            </w:r>
          </w:p>
        </w:tc>
      </w:tr>
      <w:tr w:rsidR="002C4432" w:rsidRPr="00CC7538" w14:paraId="2B02DC68" w14:textId="77777777" w:rsidTr="00015B88">
        <w:tc>
          <w:tcPr>
            <w:tcW w:w="2136" w:type="dxa"/>
            <w:tcBorders>
              <w:top w:val="nil"/>
              <w:left w:val="nil"/>
              <w:bottom w:val="nil"/>
              <w:right w:val="nil"/>
            </w:tcBorders>
          </w:tcPr>
          <w:p w14:paraId="16BBBFBB"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BB71A76"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A7EFD2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4C39F28"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FBDAC75"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A8DBFC5"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4B911CB6" w14:textId="77777777" w:rsidTr="00015B88">
        <w:tc>
          <w:tcPr>
            <w:tcW w:w="2136" w:type="dxa"/>
            <w:tcBorders>
              <w:top w:val="nil"/>
              <w:left w:val="nil"/>
              <w:bottom w:val="nil"/>
              <w:right w:val="nil"/>
            </w:tcBorders>
          </w:tcPr>
          <w:p w14:paraId="27CE54BB"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L9.Exchange Rate Classification (RR inverted, higher = more fixed)</w:t>
            </w:r>
          </w:p>
        </w:tc>
        <w:tc>
          <w:tcPr>
            <w:tcW w:w="1656" w:type="dxa"/>
            <w:tcBorders>
              <w:top w:val="nil"/>
              <w:left w:val="nil"/>
              <w:bottom w:val="nil"/>
              <w:right w:val="nil"/>
            </w:tcBorders>
          </w:tcPr>
          <w:p w14:paraId="3195405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0.0295</w:t>
            </w:r>
          </w:p>
        </w:tc>
        <w:tc>
          <w:tcPr>
            <w:tcW w:w="1656" w:type="dxa"/>
            <w:tcBorders>
              <w:top w:val="nil"/>
              <w:left w:val="nil"/>
              <w:bottom w:val="nil"/>
              <w:right w:val="nil"/>
            </w:tcBorders>
          </w:tcPr>
          <w:p w14:paraId="45D1D1C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-0.00667</w:t>
            </w:r>
          </w:p>
        </w:tc>
        <w:tc>
          <w:tcPr>
            <w:tcW w:w="1656" w:type="dxa"/>
            <w:tcBorders>
              <w:top w:val="nil"/>
              <w:left w:val="nil"/>
              <w:bottom w:val="nil"/>
              <w:right w:val="nil"/>
            </w:tcBorders>
          </w:tcPr>
          <w:p w14:paraId="1D696B0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0.0488</w:t>
            </w:r>
          </w:p>
        </w:tc>
        <w:tc>
          <w:tcPr>
            <w:tcW w:w="1656" w:type="dxa"/>
            <w:tcBorders>
              <w:top w:val="nil"/>
              <w:left w:val="nil"/>
              <w:bottom w:val="nil"/>
              <w:right w:val="nil"/>
            </w:tcBorders>
          </w:tcPr>
          <w:p w14:paraId="703CAE8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-0.00900</w:t>
            </w:r>
          </w:p>
        </w:tc>
        <w:tc>
          <w:tcPr>
            <w:tcW w:w="1656" w:type="dxa"/>
            <w:tcBorders>
              <w:top w:val="nil"/>
              <w:left w:val="nil"/>
              <w:bottom w:val="nil"/>
              <w:right w:val="nil"/>
            </w:tcBorders>
          </w:tcPr>
          <w:p w14:paraId="63017FCF"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-0.00170</w:t>
            </w:r>
          </w:p>
        </w:tc>
      </w:tr>
      <w:tr w:rsidR="002C4432" w:rsidRPr="00CC7538" w14:paraId="4D42E6ED" w14:textId="77777777" w:rsidTr="00015B88">
        <w:tc>
          <w:tcPr>
            <w:tcW w:w="2136" w:type="dxa"/>
            <w:tcBorders>
              <w:top w:val="nil"/>
              <w:left w:val="nil"/>
              <w:bottom w:val="nil"/>
              <w:right w:val="nil"/>
            </w:tcBorders>
          </w:tcPr>
          <w:p w14:paraId="19075D4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A91C9C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(0.80)</w:t>
            </w:r>
          </w:p>
        </w:tc>
        <w:tc>
          <w:tcPr>
            <w:tcW w:w="1656" w:type="dxa"/>
            <w:tcBorders>
              <w:top w:val="nil"/>
              <w:left w:val="nil"/>
              <w:bottom w:val="nil"/>
              <w:right w:val="nil"/>
            </w:tcBorders>
          </w:tcPr>
          <w:p w14:paraId="55F79DF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(-0.22)</w:t>
            </w:r>
          </w:p>
        </w:tc>
        <w:tc>
          <w:tcPr>
            <w:tcW w:w="1656" w:type="dxa"/>
            <w:tcBorders>
              <w:top w:val="nil"/>
              <w:left w:val="nil"/>
              <w:bottom w:val="nil"/>
              <w:right w:val="nil"/>
            </w:tcBorders>
          </w:tcPr>
          <w:p w14:paraId="17747E3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(0.94)</w:t>
            </w:r>
          </w:p>
        </w:tc>
        <w:tc>
          <w:tcPr>
            <w:tcW w:w="1656" w:type="dxa"/>
            <w:tcBorders>
              <w:top w:val="nil"/>
              <w:left w:val="nil"/>
              <w:bottom w:val="nil"/>
              <w:right w:val="nil"/>
            </w:tcBorders>
          </w:tcPr>
          <w:p w14:paraId="6B1B3AF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(-0.94)</w:t>
            </w:r>
          </w:p>
        </w:tc>
        <w:tc>
          <w:tcPr>
            <w:tcW w:w="1656" w:type="dxa"/>
            <w:tcBorders>
              <w:top w:val="nil"/>
              <w:left w:val="nil"/>
              <w:bottom w:val="nil"/>
              <w:right w:val="nil"/>
            </w:tcBorders>
          </w:tcPr>
          <w:p w14:paraId="0EB1923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(-0.20)</w:t>
            </w:r>
          </w:p>
        </w:tc>
      </w:tr>
      <w:tr w:rsidR="002C4432" w:rsidRPr="00CC7538" w14:paraId="7CC0D412" w14:textId="77777777" w:rsidTr="00015B88">
        <w:tc>
          <w:tcPr>
            <w:tcW w:w="2136" w:type="dxa"/>
            <w:tcBorders>
              <w:top w:val="nil"/>
              <w:left w:val="nil"/>
              <w:bottom w:val="nil"/>
              <w:right w:val="nil"/>
            </w:tcBorders>
          </w:tcPr>
          <w:p w14:paraId="1AA1EC9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0FF06B2"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2B0B55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029291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61B0FF5"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73FFC5A"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02C5AE23" w14:textId="77777777" w:rsidTr="00015B88">
        <w:tc>
          <w:tcPr>
            <w:tcW w:w="2136" w:type="dxa"/>
            <w:tcBorders>
              <w:top w:val="nil"/>
              <w:left w:val="nil"/>
              <w:bottom w:val="nil"/>
              <w:right w:val="nil"/>
            </w:tcBorders>
          </w:tcPr>
          <w:p w14:paraId="0C94AC68"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 xml:space="preserve">L10.Exchange Rate Classification (RR </w:t>
            </w:r>
            <w:r w:rsidRPr="00CC7538">
              <w:rPr>
                <w:rFonts w:ascii="Times New Roman" w:hAnsi="Times New Roman" w:cs="Times New Roman"/>
                <w:sz w:val="20"/>
                <w:szCs w:val="20"/>
              </w:rPr>
              <w:lastRenderedPageBreak/>
              <w:t>inverted, higher = more fixed)</w:t>
            </w:r>
          </w:p>
        </w:tc>
        <w:tc>
          <w:tcPr>
            <w:tcW w:w="1656" w:type="dxa"/>
            <w:tcBorders>
              <w:top w:val="nil"/>
              <w:left w:val="nil"/>
              <w:bottom w:val="nil"/>
              <w:right w:val="nil"/>
            </w:tcBorders>
          </w:tcPr>
          <w:p w14:paraId="3EA6BA9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lastRenderedPageBreak/>
              <w:t>-0.0234</w:t>
            </w:r>
          </w:p>
        </w:tc>
        <w:tc>
          <w:tcPr>
            <w:tcW w:w="1656" w:type="dxa"/>
            <w:tcBorders>
              <w:top w:val="nil"/>
              <w:left w:val="nil"/>
              <w:bottom w:val="nil"/>
              <w:right w:val="nil"/>
            </w:tcBorders>
          </w:tcPr>
          <w:p w14:paraId="1D52190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-0.00835</w:t>
            </w:r>
          </w:p>
        </w:tc>
        <w:tc>
          <w:tcPr>
            <w:tcW w:w="1656" w:type="dxa"/>
            <w:tcBorders>
              <w:top w:val="nil"/>
              <w:left w:val="nil"/>
              <w:bottom w:val="nil"/>
              <w:right w:val="nil"/>
            </w:tcBorders>
          </w:tcPr>
          <w:p w14:paraId="71966B38"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0.00316</w:t>
            </w:r>
          </w:p>
        </w:tc>
        <w:tc>
          <w:tcPr>
            <w:tcW w:w="1656" w:type="dxa"/>
            <w:tcBorders>
              <w:top w:val="nil"/>
              <w:left w:val="nil"/>
              <w:bottom w:val="nil"/>
              <w:right w:val="nil"/>
            </w:tcBorders>
          </w:tcPr>
          <w:p w14:paraId="329C2919"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0.00199</w:t>
            </w:r>
          </w:p>
        </w:tc>
        <w:tc>
          <w:tcPr>
            <w:tcW w:w="1656" w:type="dxa"/>
            <w:tcBorders>
              <w:top w:val="nil"/>
              <w:left w:val="nil"/>
              <w:bottom w:val="nil"/>
              <w:right w:val="nil"/>
            </w:tcBorders>
          </w:tcPr>
          <w:p w14:paraId="2BE1715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0.000295</w:t>
            </w:r>
          </w:p>
        </w:tc>
      </w:tr>
      <w:tr w:rsidR="002C4432" w:rsidRPr="00CC7538" w14:paraId="20B26577" w14:textId="77777777" w:rsidTr="00015B88">
        <w:tc>
          <w:tcPr>
            <w:tcW w:w="2136" w:type="dxa"/>
            <w:tcBorders>
              <w:top w:val="nil"/>
              <w:left w:val="nil"/>
              <w:bottom w:val="nil"/>
              <w:right w:val="nil"/>
            </w:tcBorders>
          </w:tcPr>
          <w:p w14:paraId="74B62989"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B646F27"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(-0.70)</w:t>
            </w:r>
          </w:p>
        </w:tc>
        <w:tc>
          <w:tcPr>
            <w:tcW w:w="1656" w:type="dxa"/>
            <w:tcBorders>
              <w:top w:val="nil"/>
              <w:left w:val="nil"/>
              <w:bottom w:val="nil"/>
              <w:right w:val="nil"/>
            </w:tcBorders>
          </w:tcPr>
          <w:p w14:paraId="2708D17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(-0.34)</w:t>
            </w:r>
          </w:p>
        </w:tc>
        <w:tc>
          <w:tcPr>
            <w:tcW w:w="1656" w:type="dxa"/>
            <w:tcBorders>
              <w:top w:val="nil"/>
              <w:left w:val="nil"/>
              <w:bottom w:val="nil"/>
              <w:right w:val="nil"/>
            </w:tcBorders>
          </w:tcPr>
          <w:p w14:paraId="1858486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(0.10)</w:t>
            </w:r>
          </w:p>
        </w:tc>
        <w:tc>
          <w:tcPr>
            <w:tcW w:w="1656" w:type="dxa"/>
            <w:tcBorders>
              <w:top w:val="nil"/>
              <w:left w:val="nil"/>
              <w:bottom w:val="nil"/>
              <w:right w:val="nil"/>
            </w:tcBorders>
          </w:tcPr>
          <w:p w14:paraId="0DDD60A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(0.20)</w:t>
            </w:r>
          </w:p>
        </w:tc>
        <w:tc>
          <w:tcPr>
            <w:tcW w:w="1656" w:type="dxa"/>
            <w:tcBorders>
              <w:top w:val="nil"/>
              <w:left w:val="nil"/>
              <w:bottom w:val="nil"/>
              <w:right w:val="nil"/>
            </w:tcBorders>
          </w:tcPr>
          <w:p w14:paraId="00D2592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(0.03)</w:t>
            </w:r>
          </w:p>
        </w:tc>
      </w:tr>
      <w:tr w:rsidR="002C4432" w:rsidRPr="00CC7538" w14:paraId="6607698D" w14:textId="77777777" w:rsidTr="00015B88">
        <w:tc>
          <w:tcPr>
            <w:tcW w:w="2136" w:type="dxa"/>
            <w:tcBorders>
              <w:top w:val="nil"/>
              <w:left w:val="nil"/>
              <w:bottom w:val="nil"/>
              <w:right w:val="nil"/>
            </w:tcBorders>
          </w:tcPr>
          <w:p w14:paraId="76EB4039"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A0BC6A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0D1B5BC"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835D3C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40B2589"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AABA5E1"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0E44FD88" w14:textId="77777777" w:rsidTr="00015B88">
        <w:tc>
          <w:tcPr>
            <w:tcW w:w="2136" w:type="dxa"/>
            <w:tcBorders>
              <w:top w:val="nil"/>
              <w:left w:val="nil"/>
              <w:bottom w:val="nil"/>
              <w:right w:val="nil"/>
            </w:tcBorders>
          </w:tcPr>
          <w:p w14:paraId="456924A2"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roofErr w:type="spellStart"/>
            <w:r w:rsidRPr="00CC7538">
              <w:rPr>
                <w:rFonts w:ascii="Times New Roman" w:hAnsi="Times New Roman" w:cs="Times New Roman"/>
                <w:sz w:val="20"/>
                <w:szCs w:val="20"/>
              </w:rPr>
              <w:t>L.De</w:t>
            </w:r>
            <w:proofErr w:type="spellEnd"/>
            <w:r w:rsidRPr="00CC7538">
              <w:rPr>
                <w:rFonts w:ascii="Times New Roman" w:hAnsi="Times New Roman" w:cs="Times New Roman"/>
                <w:sz w:val="20"/>
                <w:szCs w:val="20"/>
              </w:rPr>
              <w:t xml:space="preserve"> Jure CBI * More Fixed Rate</w:t>
            </w:r>
          </w:p>
        </w:tc>
        <w:tc>
          <w:tcPr>
            <w:tcW w:w="1656" w:type="dxa"/>
            <w:tcBorders>
              <w:top w:val="nil"/>
              <w:left w:val="nil"/>
              <w:bottom w:val="nil"/>
              <w:right w:val="nil"/>
            </w:tcBorders>
          </w:tcPr>
          <w:p w14:paraId="6DAF2F98"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-0.0769</w:t>
            </w:r>
          </w:p>
        </w:tc>
        <w:tc>
          <w:tcPr>
            <w:tcW w:w="1656" w:type="dxa"/>
            <w:tcBorders>
              <w:top w:val="nil"/>
              <w:left w:val="nil"/>
              <w:bottom w:val="nil"/>
              <w:right w:val="nil"/>
            </w:tcBorders>
          </w:tcPr>
          <w:p w14:paraId="74C1C4C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-0.213</w:t>
            </w:r>
            <w:r w:rsidRPr="00CC7538">
              <w:rPr>
                <w:rFonts w:ascii="Times New Roman" w:hAnsi="Times New Roman" w:cs="Times New Roman"/>
                <w:sz w:val="20"/>
                <w:szCs w:val="20"/>
                <w:vertAlign w:val="superscript"/>
              </w:rPr>
              <w:t>*</w:t>
            </w:r>
          </w:p>
        </w:tc>
        <w:tc>
          <w:tcPr>
            <w:tcW w:w="1656" w:type="dxa"/>
            <w:tcBorders>
              <w:top w:val="nil"/>
              <w:left w:val="nil"/>
              <w:bottom w:val="nil"/>
              <w:right w:val="nil"/>
            </w:tcBorders>
          </w:tcPr>
          <w:p w14:paraId="48A6786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-0.0111</w:t>
            </w:r>
          </w:p>
        </w:tc>
        <w:tc>
          <w:tcPr>
            <w:tcW w:w="1656" w:type="dxa"/>
            <w:tcBorders>
              <w:top w:val="nil"/>
              <w:left w:val="nil"/>
              <w:bottom w:val="nil"/>
              <w:right w:val="nil"/>
            </w:tcBorders>
          </w:tcPr>
          <w:p w14:paraId="3566FD1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-0.00968</w:t>
            </w:r>
          </w:p>
        </w:tc>
        <w:tc>
          <w:tcPr>
            <w:tcW w:w="1656" w:type="dxa"/>
            <w:tcBorders>
              <w:top w:val="nil"/>
              <w:left w:val="nil"/>
              <w:bottom w:val="nil"/>
              <w:right w:val="nil"/>
            </w:tcBorders>
          </w:tcPr>
          <w:p w14:paraId="4B0808C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0.0140</w:t>
            </w:r>
          </w:p>
        </w:tc>
      </w:tr>
      <w:tr w:rsidR="002C4432" w:rsidRPr="00CC7538" w14:paraId="28482923" w14:textId="77777777" w:rsidTr="00015B88">
        <w:tc>
          <w:tcPr>
            <w:tcW w:w="2136" w:type="dxa"/>
            <w:tcBorders>
              <w:top w:val="nil"/>
              <w:left w:val="nil"/>
              <w:bottom w:val="nil"/>
              <w:right w:val="nil"/>
            </w:tcBorders>
          </w:tcPr>
          <w:p w14:paraId="07BEF1F9"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3558D5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(-0.70)</w:t>
            </w:r>
          </w:p>
        </w:tc>
        <w:tc>
          <w:tcPr>
            <w:tcW w:w="1656" w:type="dxa"/>
            <w:tcBorders>
              <w:top w:val="nil"/>
              <w:left w:val="nil"/>
              <w:bottom w:val="nil"/>
              <w:right w:val="nil"/>
            </w:tcBorders>
          </w:tcPr>
          <w:p w14:paraId="441BF8B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(-2.23)</w:t>
            </w:r>
          </w:p>
        </w:tc>
        <w:tc>
          <w:tcPr>
            <w:tcW w:w="1656" w:type="dxa"/>
            <w:tcBorders>
              <w:top w:val="nil"/>
              <w:left w:val="nil"/>
              <w:bottom w:val="nil"/>
              <w:right w:val="nil"/>
            </w:tcBorders>
          </w:tcPr>
          <w:p w14:paraId="0020F0C7"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(-0.09)</w:t>
            </w:r>
          </w:p>
        </w:tc>
        <w:tc>
          <w:tcPr>
            <w:tcW w:w="1656" w:type="dxa"/>
            <w:tcBorders>
              <w:top w:val="nil"/>
              <w:left w:val="nil"/>
              <w:bottom w:val="nil"/>
              <w:right w:val="nil"/>
            </w:tcBorders>
          </w:tcPr>
          <w:p w14:paraId="0AC1BE8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(-0.30)</w:t>
            </w:r>
          </w:p>
        </w:tc>
        <w:tc>
          <w:tcPr>
            <w:tcW w:w="1656" w:type="dxa"/>
            <w:tcBorders>
              <w:top w:val="nil"/>
              <w:left w:val="nil"/>
              <w:bottom w:val="nil"/>
              <w:right w:val="nil"/>
            </w:tcBorders>
          </w:tcPr>
          <w:p w14:paraId="45B7691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(0.89)</w:t>
            </w:r>
          </w:p>
        </w:tc>
      </w:tr>
      <w:tr w:rsidR="002C4432" w:rsidRPr="00CC7538" w14:paraId="3A8754ED" w14:textId="77777777" w:rsidTr="00015B88">
        <w:tc>
          <w:tcPr>
            <w:tcW w:w="2136" w:type="dxa"/>
            <w:tcBorders>
              <w:top w:val="nil"/>
              <w:left w:val="nil"/>
              <w:bottom w:val="nil"/>
              <w:right w:val="nil"/>
            </w:tcBorders>
          </w:tcPr>
          <w:p w14:paraId="735EE35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A43EF86"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B48B1A2"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ED37867"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1BEFE7B"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7358049"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35DF97D9" w14:textId="77777777" w:rsidTr="00015B88">
        <w:tc>
          <w:tcPr>
            <w:tcW w:w="2136" w:type="dxa"/>
            <w:tcBorders>
              <w:top w:val="nil"/>
              <w:left w:val="nil"/>
              <w:bottom w:val="nil"/>
              <w:right w:val="nil"/>
            </w:tcBorders>
          </w:tcPr>
          <w:p w14:paraId="74D1CADB"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L2.De Jure CBI * More Fixed Rate</w:t>
            </w:r>
          </w:p>
        </w:tc>
        <w:tc>
          <w:tcPr>
            <w:tcW w:w="1656" w:type="dxa"/>
            <w:tcBorders>
              <w:top w:val="nil"/>
              <w:left w:val="nil"/>
              <w:bottom w:val="nil"/>
              <w:right w:val="nil"/>
            </w:tcBorders>
          </w:tcPr>
          <w:p w14:paraId="2F602DB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0.147</w:t>
            </w:r>
          </w:p>
        </w:tc>
        <w:tc>
          <w:tcPr>
            <w:tcW w:w="1656" w:type="dxa"/>
            <w:tcBorders>
              <w:top w:val="nil"/>
              <w:left w:val="nil"/>
              <w:bottom w:val="nil"/>
              <w:right w:val="nil"/>
            </w:tcBorders>
          </w:tcPr>
          <w:p w14:paraId="17C5BC2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0.213</w:t>
            </w:r>
            <w:r w:rsidRPr="00CC7538">
              <w:rPr>
                <w:rFonts w:ascii="Times New Roman" w:hAnsi="Times New Roman" w:cs="Times New Roman"/>
                <w:sz w:val="20"/>
                <w:szCs w:val="20"/>
                <w:vertAlign w:val="superscript"/>
              </w:rPr>
              <w:t>*</w:t>
            </w:r>
          </w:p>
        </w:tc>
        <w:tc>
          <w:tcPr>
            <w:tcW w:w="1656" w:type="dxa"/>
            <w:tcBorders>
              <w:top w:val="nil"/>
              <w:left w:val="nil"/>
              <w:bottom w:val="nil"/>
              <w:right w:val="nil"/>
            </w:tcBorders>
          </w:tcPr>
          <w:p w14:paraId="17CF669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-0.0682</w:t>
            </w:r>
          </w:p>
        </w:tc>
        <w:tc>
          <w:tcPr>
            <w:tcW w:w="1656" w:type="dxa"/>
            <w:tcBorders>
              <w:top w:val="nil"/>
              <w:left w:val="nil"/>
              <w:bottom w:val="nil"/>
              <w:right w:val="nil"/>
            </w:tcBorders>
          </w:tcPr>
          <w:p w14:paraId="0A9F09C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-0.0300</w:t>
            </w:r>
          </w:p>
        </w:tc>
        <w:tc>
          <w:tcPr>
            <w:tcW w:w="1656" w:type="dxa"/>
            <w:tcBorders>
              <w:top w:val="nil"/>
              <w:left w:val="nil"/>
              <w:bottom w:val="nil"/>
              <w:right w:val="nil"/>
            </w:tcBorders>
          </w:tcPr>
          <w:p w14:paraId="1246816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0.0363</w:t>
            </w:r>
          </w:p>
        </w:tc>
      </w:tr>
      <w:tr w:rsidR="002C4432" w:rsidRPr="00CC7538" w14:paraId="55E0B63E" w14:textId="77777777" w:rsidTr="00015B88">
        <w:tc>
          <w:tcPr>
            <w:tcW w:w="2136" w:type="dxa"/>
            <w:tcBorders>
              <w:top w:val="nil"/>
              <w:left w:val="nil"/>
              <w:bottom w:val="nil"/>
              <w:right w:val="nil"/>
            </w:tcBorders>
          </w:tcPr>
          <w:p w14:paraId="5DD13F97"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F8162F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(1.17)</w:t>
            </w:r>
          </w:p>
        </w:tc>
        <w:tc>
          <w:tcPr>
            <w:tcW w:w="1656" w:type="dxa"/>
            <w:tcBorders>
              <w:top w:val="nil"/>
              <w:left w:val="nil"/>
              <w:bottom w:val="nil"/>
              <w:right w:val="nil"/>
            </w:tcBorders>
          </w:tcPr>
          <w:p w14:paraId="61BD7E48"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(2.37)</w:t>
            </w:r>
          </w:p>
        </w:tc>
        <w:tc>
          <w:tcPr>
            <w:tcW w:w="1656" w:type="dxa"/>
            <w:tcBorders>
              <w:top w:val="nil"/>
              <w:left w:val="nil"/>
              <w:bottom w:val="nil"/>
              <w:right w:val="nil"/>
            </w:tcBorders>
          </w:tcPr>
          <w:p w14:paraId="3DA27BF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(-0.68)</w:t>
            </w:r>
          </w:p>
        </w:tc>
        <w:tc>
          <w:tcPr>
            <w:tcW w:w="1656" w:type="dxa"/>
            <w:tcBorders>
              <w:top w:val="nil"/>
              <w:left w:val="nil"/>
              <w:bottom w:val="nil"/>
              <w:right w:val="nil"/>
            </w:tcBorders>
          </w:tcPr>
          <w:p w14:paraId="1D7B0E4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(-1.20)</w:t>
            </w:r>
          </w:p>
        </w:tc>
        <w:tc>
          <w:tcPr>
            <w:tcW w:w="1656" w:type="dxa"/>
            <w:tcBorders>
              <w:top w:val="nil"/>
              <w:left w:val="nil"/>
              <w:bottom w:val="nil"/>
              <w:right w:val="nil"/>
            </w:tcBorders>
          </w:tcPr>
          <w:p w14:paraId="14DF4ED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(1.65)</w:t>
            </w:r>
          </w:p>
        </w:tc>
      </w:tr>
      <w:tr w:rsidR="002C4432" w:rsidRPr="00CC7538" w14:paraId="476942E6" w14:textId="77777777" w:rsidTr="00015B88">
        <w:tc>
          <w:tcPr>
            <w:tcW w:w="2136" w:type="dxa"/>
            <w:tcBorders>
              <w:top w:val="nil"/>
              <w:left w:val="nil"/>
              <w:bottom w:val="nil"/>
              <w:right w:val="nil"/>
            </w:tcBorders>
          </w:tcPr>
          <w:p w14:paraId="28BC5971"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CC013A0"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FBDB738"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C2AADDF"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C5D0546"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7A0304A"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058F5C31" w14:textId="77777777" w:rsidTr="00015B88">
        <w:tc>
          <w:tcPr>
            <w:tcW w:w="2136" w:type="dxa"/>
            <w:tcBorders>
              <w:top w:val="nil"/>
              <w:left w:val="nil"/>
              <w:bottom w:val="nil"/>
              <w:right w:val="nil"/>
            </w:tcBorders>
          </w:tcPr>
          <w:p w14:paraId="2C385E5A"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L3.De Jure CBI * More Fixed Rate</w:t>
            </w:r>
          </w:p>
        </w:tc>
        <w:tc>
          <w:tcPr>
            <w:tcW w:w="1656" w:type="dxa"/>
            <w:tcBorders>
              <w:top w:val="nil"/>
              <w:left w:val="nil"/>
              <w:bottom w:val="nil"/>
              <w:right w:val="nil"/>
            </w:tcBorders>
          </w:tcPr>
          <w:p w14:paraId="098872A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0.00611</w:t>
            </w:r>
          </w:p>
        </w:tc>
        <w:tc>
          <w:tcPr>
            <w:tcW w:w="1656" w:type="dxa"/>
            <w:tcBorders>
              <w:top w:val="nil"/>
              <w:left w:val="nil"/>
              <w:bottom w:val="nil"/>
              <w:right w:val="nil"/>
            </w:tcBorders>
          </w:tcPr>
          <w:p w14:paraId="52A2F68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-0.0327</w:t>
            </w:r>
          </w:p>
        </w:tc>
        <w:tc>
          <w:tcPr>
            <w:tcW w:w="1656" w:type="dxa"/>
            <w:tcBorders>
              <w:top w:val="nil"/>
              <w:left w:val="nil"/>
              <w:bottom w:val="nil"/>
              <w:right w:val="nil"/>
            </w:tcBorders>
          </w:tcPr>
          <w:p w14:paraId="50D7DFDF"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0.206</w:t>
            </w:r>
            <w:r w:rsidRPr="00CC7538">
              <w:rPr>
                <w:rFonts w:ascii="Times New Roman" w:hAnsi="Times New Roman" w:cs="Times New Roman"/>
                <w:sz w:val="20"/>
                <w:szCs w:val="20"/>
                <w:vertAlign w:val="superscript"/>
              </w:rPr>
              <w:t>*</w:t>
            </w:r>
          </w:p>
        </w:tc>
        <w:tc>
          <w:tcPr>
            <w:tcW w:w="1656" w:type="dxa"/>
            <w:tcBorders>
              <w:top w:val="nil"/>
              <w:left w:val="nil"/>
              <w:bottom w:val="nil"/>
              <w:right w:val="nil"/>
            </w:tcBorders>
          </w:tcPr>
          <w:p w14:paraId="04B4578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-0.00290</w:t>
            </w:r>
          </w:p>
        </w:tc>
        <w:tc>
          <w:tcPr>
            <w:tcW w:w="1656" w:type="dxa"/>
            <w:tcBorders>
              <w:top w:val="nil"/>
              <w:left w:val="nil"/>
              <w:bottom w:val="nil"/>
              <w:right w:val="nil"/>
            </w:tcBorders>
          </w:tcPr>
          <w:p w14:paraId="158E0CD7"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0.0164</w:t>
            </w:r>
          </w:p>
        </w:tc>
      </w:tr>
      <w:tr w:rsidR="002C4432" w:rsidRPr="00CC7538" w14:paraId="4F1EC97B" w14:textId="77777777" w:rsidTr="00015B88">
        <w:tc>
          <w:tcPr>
            <w:tcW w:w="2136" w:type="dxa"/>
            <w:tcBorders>
              <w:top w:val="nil"/>
              <w:left w:val="nil"/>
              <w:bottom w:val="nil"/>
              <w:right w:val="nil"/>
            </w:tcBorders>
          </w:tcPr>
          <w:p w14:paraId="67D06D3C"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1FB81C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(0.06)</w:t>
            </w:r>
          </w:p>
        </w:tc>
        <w:tc>
          <w:tcPr>
            <w:tcW w:w="1656" w:type="dxa"/>
            <w:tcBorders>
              <w:top w:val="nil"/>
              <w:left w:val="nil"/>
              <w:bottom w:val="nil"/>
              <w:right w:val="nil"/>
            </w:tcBorders>
          </w:tcPr>
          <w:p w14:paraId="68AF314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(-0.37)</w:t>
            </w:r>
          </w:p>
        </w:tc>
        <w:tc>
          <w:tcPr>
            <w:tcW w:w="1656" w:type="dxa"/>
            <w:tcBorders>
              <w:top w:val="nil"/>
              <w:left w:val="nil"/>
              <w:bottom w:val="nil"/>
              <w:right w:val="nil"/>
            </w:tcBorders>
          </w:tcPr>
          <w:p w14:paraId="24020CD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(2.43)</w:t>
            </w:r>
          </w:p>
        </w:tc>
        <w:tc>
          <w:tcPr>
            <w:tcW w:w="1656" w:type="dxa"/>
            <w:tcBorders>
              <w:top w:val="nil"/>
              <w:left w:val="nil"/>
              <w:bottom w:val="nil"/>
              <w:right w:val="nil"/>
            </w:tcBorders>
          </w:tcPr>
          <w:p w14:paraId="7DB28537"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(-0.07)</w:t>
            </w:r>
          </w:p>
        </w:tc>
        <w:tc>
          <w:tcPr>
            <w:tcW w:w="1656" w:type="dxa"/>
            <w:tcBorders>
              <w:top w:val="nil"/>
              <w:left w:val="nil"/>
              <w:bottom w:val="nil"/>
              <w:right w:val="nil"/>
            </w:tcBorders>
          </w:tcPr>
          <w:p w14:paraId="44AD804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(0.69)</w:t>
            </w:r>
          </w:p>
        </w:tc>
      </w:tr>
      <w:tr w:rsidR="002C4432" w:rsidRPr="00CC7538" w14:paraId="220EFEDD" w14:textId="77777777" w:rsidTr="00015B88">
        <w:tc>
          <w:tcPr>
            <w:tcW w:w="2136" w:type="dxa"/>
            <w:tcBorders>
              <w:top w:val="nil"/>
              <w:left w:val="nil"/>
              <w:bottom w:val="nil"/>
              <w:right w:val="nil"/>
            </w:tcBorders>
          </w:tcPr>
          <w:p w14:paraId="6B245B88"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CD8672A"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4FAB2B7"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0A6E51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DAF1EDB"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23FBBA8"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18E33879" w14:textId="77777777" w:rsidTr="00015B88">
        <w:tc>
          <w:tcPr>
            <w:tcW w:w="2136" w:type="dxa"/>
            <w:tcBorders>
              <w:top w:val="nil"/>
              <w:left w:val="nil"/>
              <w:bottom w:val="nil"/>
              <w:right w:val="nil"/>
            </w:tcBorders>
          </w:tcPr>
          <w:p w14:paraId="34542E2A"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L4.De Jure CBI * More Fixed Rate</w:t>
            </w:r>
          </w:p>
        </w:tc>
        <w:tc>
          <w:tcPr>
            <w:tcW w:w="1656" w:type="dxa"/>
            <w:tcBorders>
              <w:top w:val="nil"/>
              <w:left w:val="nil"/>
              <w:bottom w:val="nil"/>
              <w:right w:val="nil"/>
            </w:tcBorders>
          </w:tcPr>
          <w:p w14:paraId="1C7BDED9"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0.0251</w:t>
            </w:r>
          </w:p>
        </w:tc>
        <w:tc>
          <w:tcPr>
            <w:tcW w:w="1656" w:type="dxa"/>
            <w:tcBorders>
              <w:top w:val="nil"/>
              <w:left w:val="nil"/>
              <w:bottom w:val="nil"/>
              <w:right w:val="nil"/>
            </w:tcBorders>
          </w:tcPr>
          <w:p w14:paraId="5720D949"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-0.0551</w:t>
            </w:r>
          </w:p>
        </w:tc>
        <w:tc>
          <w:tcPr>
            <w:tcW w:w="1656" w:type="dxa"/>
            <w:tcBorders>
              <w:top w:val="nil"/>
              <w:left w:val="nil"/>
              <w:bottom w:val="nil"/>
              <w:right w:val="nil"/>
            </w:tcBorders>
          </w:tcPr>
          <w:p w14:paraId="223CB70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-0.148</w:t>
            </w:r>
          </w:p>
        </w:tc>
        <w:tc>
          <w:tcPr>
            <w:tcW w:w="1656" w:type="dxa"/>
            <w:tcBorders>
              <w:top w:val="nil"/>
              <w:left w:val="nil"/>
              <w:bottom w:val="nil"/>
              <w:right w:val="nil"/>
            </w:tcBorders>
          </w:tcPr>
          <w:p w14:paraId="0E46B53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0.00933</w:t>
            </w:r>
          </w:p>
        </w:tc>
        <w:tc>
          <w:tcPr>
            <w:tcW w:w="1656" w:type="dxa"/>
            <w:tcBorders>
              <w:top w:val="nil"/>
              <w:left w:val="nil"/>
              <w:bottom w:val="nil"/>
              <w:right w:val="nil"/>
            </w:tcBorders>
          </w:tcPr>
          <w:p w14:paraId="49A34D8F"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0.0135</w:t>
            </w:r>
          </w:p>
        </w:tc>
      </w:tr>
      <w:tr w:rsidR="002C4432" w:rsidRPr="00CC7538" w14:paraId="38C9B962" w14:textId="77777777" w:rsidTr="00015B88">
        <w:tc>
          <w:tcPr>
            <w:tcW w:w="2136" w:type="dxa"/>
            <w:tcBorders>
              <w:top w:val="nil"/>
              <w:left w:val="nil"/>
              <w:bottom w:val="nil"/>
              <w:right w:val="nil"/>
            </w:tcBorders>
          </w:tcPr>
          <w:p w14:paraId="5FFA4568"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F45A39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(0.22)</w:t>
            </w:r>
          </w:p>
        </w:tc>
        <w:tc>
          <w:tcPr>
            <w:tcW w:w="1656" w:type="dxa"/>
            <w:tcBorders>
              <w:top w:val="nil"/>
              <w:left w:val="nil"/>
              <w:bottom w:val="nil"/>
              <w:right w:val="nil"/>
            </w:tcBorders>
          </w:tcPr>
          <w:p w14:paraId="4DA2890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(-0.64)</w:t>
            </w:r>
          </w:p>
        </w:tc>
        <w:tc>
          <w:tcPr>
            <w:tcW w:w="1656" w:type="dxa"/>
            <w:tcBorders>
              <w:top w:val="nil"/>
              <w:left w:val="nil"/>
              <w:bottom w:val="nil"/>
              <w:right w:val="nil"/>
            </w:tcBorders>
          </w:tcPr>
          <w:p w14:paraId="6F7017A7"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(-1.03)</w:t>
            </w:r>
          </w:p>
        </w:tc>
        <w:tc>
          <w:tcPr>
            <w:tcW w:w="1656" w:type="dxa"/>
            <w:tcBorders>
              <w:top w:val="nil"/>
              <w:left w:val="nil"/>
              <w:bottom w:val="nil"/>
              <w:right w:val="nil"/>
            </w:tcBorders>
          </w:tcPr>
          <w:p w14:paraId="3A48456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(0.35)</w:t>
            </w:r>
          </w:p>
        </w:tc>
        <w:tc>
          <w:tcPr>
            <w:tcW w:w="1656" w:type="dxa"/>
            <w:tcBorders>
              <w:top w:val="nil"/>
              <w:left w:val="nil"/>
              <w:bottom w:val="nil"/>
              <w:right w:val="nil"/>
            </w:tcBorders>
          </w:tcPr>
          <w:p w14:paraId="019B2AE8"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(1.04)</w:t>
            </w:r>
          </w:p>
        </w:tc>
      </w:tr>
      <w:tr w:rsidR="002C4432" w:rsidRPr="00CC7538" w14:paraId="039EE465" w14:textId="77777777" w:rsidTr="00015B88">
        <w:tc>
          <w:tcPr>
            <w:tcW w:w="2136" w:type="dxa"/>
            <w:tcBorders>
              <w:top w:val="nil"/>
              <w:left w:val="nil"/>
              <w:bottom w:val="nil"/>
              <w:right w:val="nil"/>
            </w:tcBorders>
          </w:tcPr>
          <w:p w14:paraId="2DD9B9CC"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4B99A35"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F5DA797"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6F31882"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7000619"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6F6C2E0"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540CB403" w14:textId="77777777" w:rsidTr="00015B88">
        <w:tc>
          <w:tcPr>
            <w:tcW w:w="2136" w:type="dxa"/>
            <w:tcBorders>
              <w:top w:val="nil"/>
              <w:left w:val="nil"/>
              <w:bottom w:val="nil"/>
              <w:right w:val="nil"/>
            </w:tcBorders>
          </w:tcPr>
          <w:p w14:paraId="01ACA21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L5.De Jure CBI * More Fixed Rate</w:t>
            </w:r>
          </w:p>
        </w:tc>
        <w:tc>
          <w:tcPr>
            <w:tcW w:w="1656" w:type="dxa"/>
            <w:tcBorders>
              <w:top w:val="nil"/>
              <w:left w:val="nil"/>
              <w:bottom w:val="nil"/>
              <w:right w:val="nil"/>
            </w:tcBorders>
          </w:tcPr>
          <w:p w14:paraId="56D2934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-0.138</w:t>
            </w:r>
          </w:p>
        </w:tc>
        <w:tc>
          <w:tcPr>
            <w:tcW w:w="1656" w:type="dxa"/>
            <w:tcBorders>
              <w:top w:val="nil"/>
              <w:left w:val="nil"/>
              <w:bottom w:val="nil"/>
              <w:right w:val="nil"/>
            </w:tcBorders>
          </w:tcPr>
          <w:p w14:paraId="67683B7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-0.0437</w:t>
            </w:r>
          </w:p>
        </w:tc>
        <w:tc>
          <w:tcPr>
            <w:tcW w:w="1656" w:type="dxa"/>
            <w:tcBorders>
              <w:top w:val="nil"/>
              <w:left w:val="nil"/>
              <w:bottom w:val="nil"/>
              <w:right w:val="nil"/>
            </w:tcBorders>
          </w:tcPr>
          <w:p w14:paraId="24BD678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-0.0153</w:t>
            </w:r>
          </w:p>
        </w:tc>
        <w:tc>
          <w:tcPr>
            <w:tcW w:w="1656" w:type="dxa"/>
            <w:tcBorders>
              <w:top w:val="nil"/>
              <w:left w:val="nil"/>
              <w:bottom w:val="nil"/>
              <w:right w:val="nil"/>
            </w:tcBorders>
          </w:tcPr>
          <w:p w14:paraId="113A2540"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-0.0243</w:t>
            </w:r>
          </w:p>
        </w:tc>
        <w:tc>
          <w:tcPr>
            <w:tcW w:w="1656" w:type="dxa"/>
            <w:tcBorders>
              <w:top w:val="nil"/>
              <w:left w:val="nil"/>
              <w:bottom w:val="nil"/>
              <w:right w:val="nil"/>
            </w:tcBorders>
          </w:tcPr>
          <w:p w14:paraId="7EB3D559"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0.0204</w:t>
            </w:r>
          </w:p>
        </w:tc>
      </w:tr>
      <w:tr w:rsidR="002C4432" w:rsidRPr="00CC7538" w14:paraId="1AF6FF5F" w14:textId="77777777" w:rsidTr="00015B88">
        <w:tc>
          <w:tcPr>
            <w:tcW w:w="2136" w:type="dxa"/>
            <w:tcBorders>
              <w:top w:val="nil"/>
              <w:left w:val="nil"/>
              <w:bottom w:val="nil"/>
              <w:right w:val="nil"/>
            </w:tcBorders>
          </w:tcPr>
          <w:p w14:paraId="0662BA86"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49A5B9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(-1.21)</w:t>
            </w:r>
          </w:p>
        </w:tc>
        <w:tc>
          <w:tcPr>
            <w:tcW w:w="1656" w:type="dxa"/>
            <w:tcBorders>
              <w:top w:val="nil"/>
              <w:left w:val="nil"/>
              <w:bottom w:val="nil"/>
              <w:right w:val="nil"/>
            </w:tcBorders>
          </w:tcPr>
          <w:p w14:paraId="00B81FC0"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(-0.41)</w:t>
            </w:r>
          </w:p>
        </w:tc>
        <w:tc>
          <w:tcPr>
            <w:tcW w:w="1656" w:type="dxa"/>
            <w:tcBorders>
              <w:top w:val="nil"/>
              <w:left w:val="nil"/>
              <w:bottom w:val="nil"/>
              <w:right w:val="nil"/>
            </w:tcBorders>
          </w:tcPr>
          <w:p w14:paraId="32A6BA3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(-0.12)</w:t>
            </w:r>
          </w:p>
        </w:tc>
        <w:tc>
          <w:tcPr>
            <w:tcW w:w="1656" w:type="dxa"/>
            <w:tcBorders>
              <w:top w:val="nil"/>
              <w:left w:val="nil"/>
              <w:bottom w:val="nil"/>
              <w:right w:val="nil"/>
            </w:tcBorders>
          </w:tcPr>
          <w:p w14:paraId="4142323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(-1.04)</w:t>
            </w:r>
          </w:p>
        </w:tc>
        <w:tc>
          <w:tcPr>
            <w:tcW w:w="1656" w:type="dxa"/>
            <w:tcBorders>
              <w:top w:val="nil"/>
              <w:left w:val="nil"/>
              <w:bottom w:val="nil"/>
              <w:right w:val="nil"/>
            </w:tcBorders>
          </w:tcPr>
          <w:p w14:paraId="238E08D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(1.40)</w:t>
            </w:r>
          </w:p>
        </w:tc>
      </w:tr>
      <w:tr w:rsidR="002C4432" w:rsidRPr="00CC7538" w14:paraId="33E31CF7" w14:textId="77777777" w:rsidTr="00015B88">
        <w:tc>
          <w:tcPr>
            <w:tcW w:w="2136" w:type="dxa"/>
            <w:tcBorders>
              <w:top w:val="nil"/>
              <w:left w:val="nil"/>
              <w:bottom w:val="nil"/>
              <w:right w:val="nil"/>
            </w:tcBorders>
          </w:tcPr>
          <w:p w14:paraId="10AFA75F"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DB4A268"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5C740C7"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80CF9B1"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4D3EE9F"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175EBC7"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779258E4" w14:textId="77777777" w:rsidTr="00015B88">
        <w:tc>
          <w:tcPr>
            <w:tcW w:w="2136" w:type="dxa"/>
            <w:tcBorders>
              <w:top w:val="nil"/>
              <w:left w:val="nil"/>
              <w:bottom w:val="nil"/>
              <w:right w:val="nil"/>
            </w:tcBorders>
          </w:tcPr>
          <w:p w14:paraId="2ADB0A3F"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L6.De Jure CBI * More Fixed Rate</w:t>
            </w:r>
          </w:p>
        </w:tc>
        <w:tc>
          <w:tcPr>
            <w:tcW w:w="1656" w:type="dxa"/>
            <w:tcBorders>
              <w:top w:val="nil"/>
              <w:left w:val="nil"/>
              <w:bottom w:val="nil"/>
              <w:right w:val="nil"/>
            </w:tcBorders>
          </w:tcPr>
          <w:p w14:paraId="3024D68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0.237</w:t>
            </w:r>
            <w:r w:rsidRPr="00CC7538">
              <w:rPr>
                <w:rFonts w:ascii="Times New Roman" w:hAnsi="Times New Roman" w:cs="Times New Roman"/>
                <w:sz w:val="20"/>
                <w:szCs w:val="20"/>
                <w:vertAlign w:val="superscript"/>
              </w:rPr>
              <w:t>*</w:t>
            </w:r>
          </w:p>
        </w:tc>
        <w:tc>
          <w:tcPr>
            <w:tcW w:w="1656" w:type="dxa"/>
            <w:tcBorders>
              <w:top w:val="nil"/>
              <w:left w:val="nil"/>
              <w:bottom w:val="nil"/>
              <w:right w:val="nil"/>
            </w:tcBorders>
          </w:tcPr>
          <w:p w14:paraId="10479387"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0.0481</w:t>
            </w:r>
          </w:p>
        </w:tc>
        <w:tc>
          <w:tcPr>
            <w:tcW w:w="1656" w:type="dxa"/>
            <w:tcBorders>
              <w:top w:val="nil"/>
              <w:left w:val="nil"/>
              <w:bottom w:val="nil"/>
              <w:right w:val="nil"/>
            </w:tcBorders>
          </w:tcPr>
          <w:p w14:paraId="24F34D47"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0.122</w:t>
            </w:r>
          </w:p>
        </w:tc>
        <w:tc>
          <w:tcPr>
            <w:tcW w:w="1656" w:type="dxa"/>
            <w:tcBorders>
              <w:top w:val="nil"/>
              <w:left w:val="nil"/>
              <w:bottom w:val="nil"/>
              <w:right w:val="nil"/>
            </w:tcBorders>
          </w:tcPr>
          <w:p w14:paraId="24E86F37"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-0.0174</w:t>
            </w:r>
          </w:p>
        </w:tc>
        <w:tc>
          <w:tcPr>
            <w:tcW w:w="1656" w:type="dxa"/>
            <w:tcBorders>
              <w:top w:val="nil"/>
              <w:left w:val="nil"/>
              <w:bottom w:val="nil"/>
              <w:right w:val="nil"/>
            </w:tcBorders>
          </w:tcPr>
          <w:p w14:paraId="03FF635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-0.0116</w:t>
            </w:r>
          </w:p>
        </w:tc>
      </w:tr>
      <w:tr w:rsidR="002C4432" w:rsidRPr="00CC7538" w14:paraId="48ECA19E" w14:textId="77777777" w:rsidTr="00015B88">
        <w:tc>
          <w:tcPr>
            <w:tcW w:w="2136" w:type="dxa"/>
            <w:tcBorders>
              <w:top w:val="nil"/>
              <w:left w:val="nil"/>
              <w:bottom w:val="nil"/>
              <w:right w:val="nil"/>
            </w:tcBorders>
          </w:tcPr>
          <w:p w14:paraId="446918B1"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EE50D8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(1.98)</w:t>
            </w:r>
          </w:p>
        </w:tc>
        <w:tc>
          <w:tcPr>
            <w:tcW w:w="1656" w:type="dxa"/>
            <w:tcBorders>
              <w:top w:val="nil"/>
              <w:left w:val="nil"/>
              <w:bottom w:val="nil"/>
              <w:right w:val="nil"/>
            </w:tcBorders>
          </w:tcPr>
          <w:p w14:paraId="0443C11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(0.45)</w:t>
            </w:r>
          </w:p>
        </w:tc>
        <w:tc>
          <w:tcPr>
            <w:tcW w:w="1656" w:type="dxa"/>
            <w:tcBorders>
              <w:top w:val="nil"/>
              <w:left w:val="nil"/>
              <w:bottom w:val="nil"/>
              <w:right w:val="nil"/>
            </w:tcBorders>
          </w:tcPr>
          <w:p w14:paraId="365458A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(1.66)</w:t>
            </w:r>
          </w:p>
        </w:tc>
        <w:tc>
          <w:tcPr>
            <w:tcW w:w="1656" w:type="dxa"/>
            <w:tcBorders>
              <w:top w:val="nil"/>
              <w:left w:val="nil"/>
              <w:bottom w:val="nil"/>
              <w:right w:val="nil"/>
            </w:tcBorders>
          </w:tcPr>
          <w:p w14:paraId="5CDA578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(-0.86)</w:t>
            </w:r>
          </w:p>
        </w:tc>
        <w:tc>
          <w:tcPr>
            <w:tcW w:w="1656" w:type="dxa"/>
            <w:tcBorders>
              <w:top w:val="nil"/>
              <w:left w:val="nil"/>
              <w:bottom w:val="nil"/>
              <w:right w:val="nil"/>
            </w:tcBorders>
          </w:tcPr>
          <w:p w14:paraId="3F5C09B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(-0.69)</w:t>
            </w:r>
          </w:p>
        </w:tc>
      </w:tr>
      <w:tr w:rsidR="002C4432" w:rsidRPr="00CC7538" w14:paraId="6DBB662C" w14:textId="77777777" w:rsidTr="00015B88">
        <w:tc>
          <w:tcPr>
            <w:tcW w:w="2136" w:type="dxa"/>
            <w:tcBorders>
              <w:top w:val="nil"/>
              <w:left w:val="nil"/>
              <w:bottom w:val="nil"/>
              <w:right w:val="nil"/>
            </w:tcBorders>
          </w:tcPr>
          <w:p w14:paraId="39010DD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87C5946"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579DBC6"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EF112D2"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16BDE9A"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2478B6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67A97146" w14:textId="77777777" w:rsidTr="00015B88">
        <w:tc>
          <w:tcPr>
            <w:tcW w:w="2136" w:type="dxa"/>
            <w:tcBorders>
              <w:top w:val="nil"/>
              <w:left w:val="nil"/>
              <w:bottom w:val="nil"/>
              <w:right w:val="nil"/>
            </w:tcBorders>
          </w:tcPr>
          <w:p w14:paraId="494BA6F0"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L7.De Jure CBI * More Fixed Rate</w:t>
            </w:r>
          </w:p>
        </w:tc>
        <w:tc>
          <w:tcPr>
            <w:tcW w:w="1656" w:type="dxa"/>
            <w:tcBorders>
              <w:top w:val="nil"/>
              <w:left w:val="nil"/>
              <w:bottom w:val="nil"/>
              <w:right w:val="nil"/>
            </w:tcBorders>
          </w:tcPr>
          <w:p w14:paraId="76500FE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-0.161</w:t>
            </w:r>
          </w:p>
        </w:tc>
        <w:tc>
          <w:tcPr>
            <w:tcW w:w="1656" w:type="dxa"/>
            <w:tcBorders>
              <w:top w:val="nil"/>
              <w:left w:val="nil"/>
              <w:bottom w:val="nil"/>
              <w:right w:val="nil"/>
            </w:tcBorders>
          </w:tcPr>
          <w:p w14:paraId="787E7B56"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-0.0340</w:t>
            </w:r>
          </w:p>
        </w:tc>
        <w:tc>
          <w:tcPr>
            <w:tcW w:w="1656" w:type="dxa"/>
            <w:tcBorders>
              <w:top w:val="nil"/>
              <w:left w:val="nil"/>
              <w:bottom w:val="nil"/>
              <w:right w:val="nil"/>
            </w:tcBorders>
          </w:tcPr>
          <w:p w14:paraId="274E867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-0.0957</w:t>
            </w:r>
          </w:p>
        </w:tc>
        <w:tc>
          <w:tcPr>
            <w:tcW w:w="1656" w:type="dxa"/>
            <w:tcBorders>
              <w:top w:val="nil"/>
              <w:left w:val="nil"/>
              <w:bottom w:val="nil"/>
              <w:right w:val="nil"/>
            </w:tcBorders>
          </w:tcPr>
          <w:p w14:paraId="0A8905D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0.0119</w:t>
            </w:r>
          </w:p>
        </w:tc>
        <w:tc>
          <w:tcPr>
            <w:tcW w:w="1656" w:type="dxa"/>
            <w:tcBorders>
              <w:top w:val="nil"/>
              <w:left w:val="nil"/>
              <w:bottom w:val="nil"/>
              <w:right w:val="nil"/>
            </w:tcBorders>
          </w:tcPr>
          <w:p w14:paraId="45B263BF"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0.0119</w:t>
            </w:r>
          </w:p>
        </w:tc>
      </w:tr>
      <w:tr w:rsidR="002C4432" w:rsidRPr="00CC7538" w14:paraId="2653BD17" w14:textId="77777777" w:rsidTr="00015B88">
        <w:tc>
          <w:tcPr>
            <w:tcW w:w="2136" w:type="dxa"/>
            <w:tcBorders>
              <w:top w:val="nil"/>
              <w:left w:val="nil"/>
              <w:bottom w:val="nil"/>
              <w:right w:val="nil"/>
            </w:tcBorders>
          </w:tcPr>
          <w:p w14:paraId="6A6B70EE"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6D846E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(-1.64)</w:t>
            </w:r>
          </w:p>
        </w:tc>
        <w:tc>
          <w:tcPr>
            <w:tcW w:w="1656" w:type="dxa"/>
            <w:tcBorders>
              <w:top w:val="nil"/>
              <w:left w:val="nil"/>
              <w:bottom w:val="nil"/>
              <w:right w:val="nil"/>
            </w:tcBorders>
          </w:tcPr>
          <w:p w14:paraId="22241F9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(-0.35)</w:t>
            </w:r>
          </w:p>
        </w:tc>
        <w:tc>
          <w:tcPr>
            <w:tcW w:w="1656" w:type="dxa"/>
            <w:tcBorders>
              <w:top w:val="nil"/>
              <w:left w:val="nil"/>
              <w:bottom w:val="nil"/>
              <w:right w:val="nil"/>
            </w:tcBorders>
          </w:tcPr>
          <w:p w14:paraId="5EDC0B37"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(-1.05)</w:t>
            </w:r>
          </w:p>
        </w:tc>
        <w:tc>
          <w:tcPr>
            <w:tcW w:w="1656" w:type="dxa"/>
            <w:tcBorders>
              <w:top w:val="nil"/>
              <w:left w:val="nil"/>
              <w:bottom w:val="nil"/>
              <w:right w:val="nil"/>
            </w:tcBorders>
          </w:tcPr>
          <w:p w14:paraId="3AA71B6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(0.69)</w:t>
            </w:r>
          </w:p>
        </w:tc>
        <w:tc>
          <w:tcPr>
            <w:tcW w:w="1656" w:type="dxa"/>
            <w:tcBorders>
              <w:top w:val="nil"/>
              <w:left w:val="nil"/>
              <w:bottom w:val="nil"/>
              <w:right w:val="nil"/>
            </w:tcBorders>
          </w:tcPr>
          <w:p w14:paraId="37D2A01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(0.74)</w:t>
            </w:r>
          </w:p>
        </w:tc>
      </w:tr>
      <w:tr w:rsidR="002C4432" w:rsidRPr="00CC7538" w14:paraId="49B3B5FF" w14:textId="77777777" w:rsidTr="00015B88">
        <w:tc>
          <w:tcPr>
            <w:tcW w:w="2136" w:type="dxa"/>
            <w:tcBorders>
              <w:top w:val="nil"/>
              <w:left w:val="nil"/>
              <w:bottom w:val="nil"/>
              <w:right w:val="nil"/>
            </w:tcBorders>
          </w:tcPr>
          <w:p w14:paraId="7589DA11"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47FBFA7"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3E83EB5"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FBAAC2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76C0F18"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78BCFE7"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40A31FF1" w14:textId="77777777" w:rsidTr="00015B88">
        <w:tc>
          <w:tcPr>
            <w:tcW w:w="2136" w:type="dxa"/>
            <w:tcBorders>
              <w:top w:val="nil"/>
              <w:left w:val="nil"/>
              <w:bottom w:val="nil"/>
              <w:right w:val="nil"/>
            </w:tcBorders>
          </w:tcPr>
          <w:p w14:paraId="0E59D2D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L8.De Jure CBI * More Fixed Rate</w:t>
            </w:r>
          </w:p>
        </w:tc>
        <w:tc>
          <w:tcPr>
            <w:tcW w:w="1656" w:type="dxa"/>
            <w:tcBorders>
              <w:top w:val="nil"/>
              <w:left w:val="nil"/>
              <w:bottom w:val="nil"/>
              <w:right w:val="nil"/>
            </w:tcBorders>
          </w:tcPr>
          <w:p w14:paraId="26F9C4A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-0.00269</w:t>
            </w:r>
          </w:p>
        </w:tc>
        <w:tc>
          <w:tcPr>
            <w:tcW w:w="1656" w:type="dxa"/>
            <w:tcBorders>
              <w:top w:val="nil"/>
              <w:left w:val="nil"/>
              <w:bottom w:val="nil"/>
              <w:right w:val="nil"/>
            </w:tcBorders>
          </w:tcPr>
          <w:p w14:paraId="56FA89B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0.00553</w:t>
            </w:r>
          </w:p>
        </w:tc>
        <w:tc>
          <w:tcPr>
            <w:tcW w:w="1656" w:type="dxa"/>
            <w:tcBorders>
              <w:top w:val="nil"/>
              <w:left w:val="nil"/>
              <w:bottom w:val="nil"/>
              <w:right w:val="nil"/>
            </w:tcBorders>
          </w:tcPr>
          <w:p w14:paraId="648146A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0.0801</w:t>
            </w:r>
          </w:p>
        </w:tc>
        <w:tc>
          <w:tcPr>
            <w:tcW w:w="1656" w:type="dxa"/>
            <w:tcBorders>
              <w:top w:val="nil"/>
              <w:left w:val="nil"/>
              <w:bottom w:val="nil"/>
              <w:right w:val="nil"/>
            </w:tcBorders>
          </w:tcPr>
          <w:p w14:paraId="4E7F8DF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-0.0201</w:t>
            </w:r>
          </w:p>
        </w:tc>
        <w:tc>
          <w:tcPr>
            <w:tcW w:w="1656" w:type="dxa"/>
            <w:tcBorders>
              <w:top w:val="nil"/>
              <w:left w:val="nil"/>
              <w:bottom w:val="nil"/>
              <w:right w:val="nil"/>
            </w:tcBorders>
          </w:tcPr>
          <w:p w14:paraId="0E752F4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-0.0171</w:t>
            </w:r>
          </w:p>
        </w:tc>
      </w:tr>
      <w:tr w:rsidR="002C4432" w:rsidRPr="00CC7538" w14:paraId="67E51C58" w14:textId="77777777" w:rsidTr="00015B88">
        <w:tc>
          <w:tcPr>
            <w:tcW w:w="2136" w:type="dxa"/>
            <w:tcBorders>
              <w:top w:val="nil"/>
              <w:left w:val="nil"/>
              <w:bottom w:val="nil"/>
              <w:right w:val="nil"/>
            </w:tcBorders>
          </w:tcPr>
          <w:p w14:paraId="4D0D2B07"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D389A8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(-0.04)</w:t>
            </w:r>
          </w:p>
        </w:tc>
        <w:tc>
          <w:tcPr>
            <w:tcW w:w="1656" w:type="dxa"/>
            <w:tcBorders>
              <w:top w:val="nil"/>
              <w:left w:val="nil"/>
              <w:bottom w:val="nil"/>
              <w:right w:val="nil"/>
            </w:tcBorders>
          </w:tcPr>
          <w:p w14:paraId="4F8C6DC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(0.09)</w:t>
            </w:r>
          </w:p>
        </w:tc>
        <w:tc>
          <w:tcPr>
            <w:tcW w:w="1656" w:type="dxa"/>
            <w:tcBorders>
              <w:top w:val="nil"/>
              <w:left w:val="nil"/>
              <w:bottom w:val="nil"/>
              <w:right w:val="nil"/>
            </w:tcBorders>
          </w:tcPr>
          <w:p w14:paraId="595D45F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(0.77)</w:t>
            </w:r>
          </w:p>
        </w:tc>
        <w:tc>
          <w:tcPr>
            <w:tcW w:w="1656" w:type="dxa"/>
            <w:tcBorders>
              <w:top w:val="nil"/>
              <w:left w:val="nil"/>
              <w:bottom w:val="nil"/>
              <w:right w:val="nil"/>
            </w:tcBorders>
          </w:tcPr>
          <w:p w14:paraId="6A52BFB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(-1.60)</w:t>
            </w:r>
          </w:p>
        </w:tc>
        <w:tc>
          <w:tcPr>
            <w:tcW w:w="1656" w:type="dxa"/>
            <w:tcBorders>
              <w:top w:val="nil"/>
              <w:left w:val="nil"/>
              <w:bottom w:val="nil"/>
              <w:right w:val="nil"/>
            </w:tcBorders>
          </w:tcPr>
          <w:p w14:paraId="0390DFC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(-0.88)</w:t>
            </w:r>
          </w:p>
        </w:tc>
      </w:tr>
      <w:tr w:rsidR="002C4432" w:rsidRPr="00CC7538" w14:paraId="659D8D55" w14:textId="77777777" w:rsidTr="00015B88">
        <w:tc>
          <w:tcPr>
            <w:tcW w:w="2136" w:type="dxa"/>
            <w:tcBorders>
              <w:top w:val="nil"/>
              <w:left w:val="nil"/>
              <w:bottom w:val="nil"/>
              <w:right w:val="nil"/>
            </w:tcBorders>
          </w:tcPr>
          <w:p w14:paraId="5B7D5A5F"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300D8C2"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2887A0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8BEE3AB"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E30F1A3"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6B2D4E2"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0E49DC79" w14:textId="77777777" w:rsidTr="00015B88">
        <w:tc>
          <w:tcPr>
            <w:tcW w:w="2136" w:type="dxa"/>
            <w:tcBorders>
              <w:top w:val="nil"/>
              <w:left w:val="nil"/>
              <w:bottom w:val="nil"/>
              <w:right w:val="nil"/>
            </w:tcBorders>
          </w:tcPr>
          <w:p w14:paraId="6843EEA9"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L9.De Jure CBI * More Fixed Rate</w:t>
            </w:r>
          </w:p>
        </w:tc>
        <w:tc>
          <w:tcPr>
            <w:tcW w:w="1656" w:type="dxa"/>
            <w:tcBorders>
              <w:top w:val="nil"/>
              <w:left w:val="nil"/>
              <w:bottom w:val="nil"/>
              <w:right w:val="nil"/>
            </w:tcBorders>
          </w:tcPr>
          <w:p w14:paraId="1127C21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-0.0304</w:t>
            </w:r>
          </w:p>
        </w:tc>
        <w:tc>
          <w:tcPr>
            <w:tcW w:w="1656" w:type="dxa"/>
            <w:tcBorders>
              <w:top w:val="nil"/>
              <w:left w:val="nil"/>
              <w:bottom w:val="nil"/>
              <w:right w:val="nil"/>
            </w:tcBorders>
          </w:tcPr>
          <w:p w14:paraId="3D4E5130"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0.0103</w:t>
            </w:r>
          </w:p>
        </w:tc>
        <w:tc>
          <w:tcPr>
            <w:tcW w:w="1656" w:type="dxa"/>
            <w:tcBorders>
              <w:top w:val="nil"/>
              <w:left w:val="nil"/>
              <w:bottom w:val="nil"/>
              <w:right w:val="nil"/>
            </w:tcBorders>
          </w:tcPr>
          <w:p w14:paraId="008D6DF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-0.0792</w:t>
            </w:r>
          </w:p>
        </w:tc>
        <w:tc>
          <w:tcPr>
            <w:tcW w:w="1656" w:type="dxa"/>
            <w:tcBorders>
              <w:top w:val="nil"/>
              <w:left w:val="nil"/>
              <w:bottom w:val="nil"/>
              <w:right w:val="nil"/>
            </w:tcBorders>
          </w:tcPr>
          <w:p w14:paraId="4CBF5F50"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0.00664</w:t>
            </w:r>
          </w:p>
        </w:tc>
        <w:tc>
          <w:tcPr>
            <w:tcW w:w="1656" w:type="dxa"/>
            <w:tcBorders>
              <w:top w:val="nil"/>
              <w:left w:val="nil"/>
              <w:bottom w:val="nil"/>
              <w:right w:val="nil"/>
            </w:tcBorders>
          </w:tcPr>
          <w:p w14:paraId="64B852B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0.0169</w:t>
            </w:r>
          </w:p>
        </w:tc>
      </w:tr>
      <w:tr w:rsidR="002C4432" w:rsidRPr="00CC7538" w14:paraId="45AD6358" w14:textId="77777777" w:rsidTr="00015B88">
        <w:tc>
          <w:tcPr>
            <w:tcW w:w="2136" w:type="dxa"/>
            <w:tcBorders>
              <w:top w:val="nil"/>
              <w:left w:val="nil"/>
              <w:bottom w:val="nil"/>
              <w:right w:val="nil"/>
            </w:tcBorders>
          </w:tcPr>
          <w:p w14:paraId="429BC4F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CDFAAE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(-0.45)</w:t>
            </w:r>
          </w:p>
        </w:tc>
        <w:tc>
          <w:tcPr>
            <w:tcW w:w="1656" w:type="dxa"/>
            <w:tcBorders>
              <w:top w:val="nil"/>
              <w:left w:val="nil"/>
              <w:bottom w:val="nil"/>
              <w:right w:val="nil"/>
            </w:tcBorders>
          </w:tcPr>
          <w:p w14:paraId="5BACD0E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(0.21)</w:t>
            </w:r>
          </w:p>
        </w:tc>
        <w:tc>
          <w:tcPr>
            <w:tcW w:w="1656" w:type="dxa"/>
            <w:tcBorders>
              <w:top w:val="nil"/>
              <w:left w:val="nil"/>
              <w:bottom w:val="nil"/>
              <w:right w:val="nil"/>
            </w:tcBorders>
          </w:tcPr>
          <w:p w14:paraId="0FD6744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(-0.84)</w:t>
            </w:r>
          </w:p>
        </w:tc>
        <w:tc>
          <w:tcPr>
            <w:tcW w:w="1656" w:type="dxa"/>
            <w:tcBorders>
              <w:top w:val="nil"/>
              <w:left w:val="nil"/>
              <w:bottom w:val="nil"/>
              <w:right w:val="nil"/>
            </w:tcBorders>
          </w:tcPr>
          <w:p w14:paraId="31386DA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(0.43)</w:t>
            </w:r>
          </w:p>
        </w:tc>
        <w:tc>
          <w:tcPr>
            <w:tcW w:w="1656" w:type="dxa"/>
            <w:tcBorders>
              <w:top w:val="nil"/>
              <w:left w:val="nil"/>
              <w:bottom w:val="nil"/>
              <w:right w:val="nil"/>
            </w:tcBorders>
          </w:tcPr>
          <w:p w14:paraId="5CD3D55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(0.78)</w:t>
            </w:r>
          </w:p>
        </w:tc>
      </w:tr>
      <w:tr w:rsidR="002C4432" w:rsidRPr="00CC7538" w14:paraId="66A94330" w14:textId="77777777" w:rsidTr="00015B88">
        <w:tc>
          <w:tcPr>
            <w:tcW w:w="2136" w:type="dxa"/>
            <w:tcBorders>
              <w:top w:val="nil"/>
              <w:left w:val="nil"/>
              <w:bottom w:val="nil"/>
              <w:right w:val="nil"/>
            </w:tcBorders>
          </w:tcPr>
          <w:p w14:paraId="27C90BE6"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6DA43BB"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E653A38"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C7755A6"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91DC34E"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5DA66DF"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072BCC75" w14:textId="77777777" w:rsidTr="00015B88">
        <w:tc>
          <w:tcPr>
            <w:tcW w:w="2136" w:type="dxa"/>
            <w:tcBorders>
              <w:top w:val="nil"/>
              <w:left w:val="nil"/>
              <w:bottom w:val="nil"/>
              <w:right w:val="nil"/>
            </w:tcBorders>
          </w:tcPr>
          <w:p w14:paraId="068381E6"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L10.De Jure CBI * More Fixed Rate</w:t>
            </w:r>
          </w:p>
        </w:tc>
        <w:tc>
          <w:tcPr>
            <w:tcW w:w="1656" w:type="dxa"/>
            <w:tcBorders>
              <w:top w:val="nil"/>
              <w:left w:val="nil"/>
              <w:bottom w:val="nil"/>
              <w:right w:val="nil"/>
            </w:tcBorders>
          </w:tcPr>
          <w:p w14:paraId="7E1B18E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0.0147</w:t>
            </w:r>
          </w:p>
        </w:tc>
        <w:tc>
          <w:tcPr>
            <w:tcW w:w="1656" w:type="dxa"/>
            <w:tcBorders>
              <w:top w:val="nil"/>
              <w:left w:val="nil"/>
              <w:bottom w:val="nil"/>
              <w:right w:val="nil"/>
            </w:tcBorders>
          </w:tcPr>
          <w:p w14:paraId="7096AF7A"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0.0196</w:t>
            </w:r>
          </w:p>
        </w:tc>
        <w:tc>
          <w:tcPr>
            <w:tcW w:w="1656" w:type="dxa"/>
            <w:tcBorders>
              <w:top w:val="nil"/>
              <w:left w:val="nil"/>
              <w:bottom w:val="nil"/>
              <w:right w:val="nil"/>
            </w:tcBorders>
          </w:tcPr>
          <w:p w14:paraId="5FD6D4A1"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-0.00635</w:t>
            </w:r>
          </w:p>
        </w:tc>
        <w:tc>
          <w:tcPr>
            <w:tcW w:w="1656" w:type="dxa"/>
            <w:tcBorders>
              <w:top w:val="nil"/>
              <w:left w:val="nil"/>
              <w:bottom w:val="nil"/>
              <w:right w:val="nil"/>
            </w:tcBorders>
          </w:tcPr>
          <w:p w14:paraId="4FA8015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-0.0114</w:t>
            </w:r>
          </w:p>
        </w:tc>
        <w:tc>
          <w:tcPr>
            <w:tcW w:w="1656" w:type="dxa"/>
            <w:tcBorders>
              <w:top w:val="nil"/>
              <w:left w:val="nil"/>
              <w:bottom w:val="nil"/>
              <w:right w:val="nil"/>
            </w:tcBorders>
          </w:tcPr>
          <w:p w14:paraId="7B47A903"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-0.00668</w:t>
            </w:r>
          </w:p>
        </w:tc>
      </w:tr>
      <w:tr w:rsidR="002C4432" w:rsidRPr="00CC7538" w14:paraId="483016DD" w14:textId="77777777" w:rsidTr="00015B88">
        <w:tc>
          <w:tcPr>
            <w:tcW w:w="2136" w:type="dxa"/>
            <w:tcBorders>
              <w:top w:val="nil"/>
              <w:left w:val="nil"/>
              <w:bottom w:val="nil"/>
              <w:right w:val="nil"/>
            </w:tcBorders>
          </w:tcPr>
          <w:p w14:paraId="364F5B6D"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D7343E9"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(0.23)</w:t>
            </w:r>
          </w:p>
        </w:tc>
        <w:tc>
          <w:tcPr>
            <w:tcW w:w="1656" w:type="dxa"/>
            <w:tcBorders>
              <w:top w:val="nil"/>
              <w:left w:val="nil"/>
              <w:bottom w:val="nil"/>
              <w:right w:val="nil"/>
            </w:tcBorders>
          </w:tcPr>
          <w:p w14:paraId="6A00F6E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(0.41)</w:t>
            </w:r>
          </w:p>
        </w:tc>
        <w:tc>
          <w:tcPr>
            <w:tcW w:w="1656" w:type="dxa"/>
            <w:tcBorders>
              <w:top w:val="nil"/>
              <w:left w:val="nil"/>
              <w:bottom w:val="nil"/>
              <w:right w:val="nil"/>
            </w:tcBorders>
          </w:tcPr>
          <w:p w14:paraId="420D74D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(-0.10)</w:t>
            </w:r>
          </w:p>
        </w:tc>
        <w:tc>
          <w:tcPr>
            <w:tcW w:w="1656" w:type="dxa"/>
            <w:tcBorders>
              <w:top w:val="nil"/>
              <w:left w:val="nil"/>
              <w:bottom w:val="nil"/>
              <w:right w:val="nil"/>
            </w:tcBorders>
          </w:tcPr>
          <w:p w14:paraId="1947D298"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(-0.83)</w:t>
            </w:r>
          </w:p>
        </w:tc>
        <w:tc>
          <w:tcPr>
            <w:tcW w:w="1656" w:type="dxa"/>
            <w:tcBorders>
              <w:top w:val="nil"/>
              <w:left w:val="nil"/>
              <w:bottom w:val="nil"/>
              <w:right w:val="nil"/>
            </w:tcBorders>
          </w:tcPr>
          <w:p w14:paraId="7366C21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(-0.31)</w:t>
            </w:r>
          </w:p>
        </w:tc>
      </w:tr>
      <w:tr w:rsidR="002C4432" w:rsidRPr="00CC7538" w14:paraId="5B27AC56" w14:textId="77777777" w:rsidTr="00015B88">
        <w:tc>
          <w:tcPr>
            <w:tcW w:w="2136" w:type="dxa"/>
            <w:tcBorders>
              <w:top w:val="nil"/>
              <w:left w:val="nil"/>
              <w:bottom w:val="nil"/>
              <w:right w:val="nil"/>
            </w:tcBorders>
          </w:tcPr>
          <w:p w14:paraId="77E9EC88"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4240BD9"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5E77A25"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C45B00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87E4360"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EEB7D02"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r>
      <w:tr w:rsidR="002C4432" w:rsidRPr="00CC7538" w14:paraId="20E12622" w14:textId="77777777" w:rsidTr="00015B88">
        <w:tc>
          <w:tcPr>
            <w:tcW w:w="2136" w:type="dxa"/>
            <w:tcBorders>
              <w:top w:val="nil"/>
              <w:left w:val="nil"/>
              <w:bottom w:val="nil"/>
              <w:right w:val="nil"/>
            </w:tcBorders>
          </w:tcPr>
          <w:p w14:paraId="1C0B4DC4"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Constant</w:t>
            </w:r>
          </w:p>
        </w:tc>
        <w:tc>
          <w:tcPr>
            <w:tcW w:w="1656" w:type="dxa"/>
            <w:tcBorders>
              <w:top w:val="nil"/>
              <w:left w:val="nil"/>
              <w:bottom w:val="nil"/>
              <w:right w:val="nil"/>
            </w:tcBorders>
          </w:tcPr>
          <w:p w14:paraId="78B3089B"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0.609</w:t>
            </w:r>
          </w:p>
        </w:tc>
        <w:tc>
          <w:tcPr>
            <w:tcW w:w="1656" w:type="dxa"/>
            <w:tcBorders>
              <w:top w:val="nil"/>
              <w:left w:val="nil"/>
              <w:bottom w:val="nil"/>
              <w:right w:val="nil"/>
            </w:tcBorders>
          </w:tcPr>
          <w:p w14:paraId="075E0930"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0.582</w:t>
            </w:r>
            <w:r w:rsidRPr="00CC7538">
              <w:rPr>
                <w:rFonts w:ascii="Times New Roman" w:hAnsi="Times New Roman" w:cs="Times New Roman"/>
                <w:sz w:val="20"/>
                <w:szCs w:val="20"/>
                <w:vertAlign w:val="superscript"/>
              </w:rPr>
              <w:t>**</w:t>
            </w:r>
          </w:p>
        </w:tc>
        <w:tc>
          <w:tcPr>
            <w:tcW w:w="1656" w:type="dxa"/>
            <w:tcBorders>
              <w:top w:val="nil"/>
              <w:left w:val="nil"/>
              <w:bottom w:val="nil"/>
              <w:right w:val="nil"/>
            </w:tcBorders>
          </w:tcPr>
          <w:p w14:paraId="3D93390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0.252</w:t>
            </w:r>
          </w:p>
        </w:tc>
        <w:tc>
          <w:tcPr>
            <w:tcW w:w="1656" w:type="dxa"/>
            <w:tcBorders>
              <w:top w:val="nil"/>
              <w:left w:val="nil"/>
              <w:bottom w:val="nil"/>
              <w:right w:val="nil"/>
            </w:tcBorders>
          </w:tcPr>
          <w:p w14:paraId="54006D8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0.0914</w:t>
            </w:r>
          </w:p>
        </w:tc>
        <w:tc>
          <w:tcPr>
            <w:tcW w:w="1656" w:type="dxa"/>
            <w:tcBorders>
              <w:top w:val="nil"/>
              <w:left w:val="nil"/>
              <w:bottom w:val="nil"/>
              <w:right w:val="nil"/>
            </w:tcBorders>
          </w:tcPr>
          <w:p w14:paraId="2F77C58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-0.349</w:t>
            </w:r>
          </w:p>
        </w:tc>
      </w:tr>
      <w:tr w:rsidR="002C4432" w:rsidRPr="00CC7538" w14:paraId="698EE512" w14:textId="77777777" w:rsidTr="00015B88">
        <w:tc>
          <w:tcPr>
            <w:tcW w:w="2136" w:type="dxa"/>
            <w:tcBorders>
              <w:top w:val="nil"/>
              <w:left w:val="nil"/>
              <w:bottom w:val="single" w:sz="4" w:space="0" w:color="auto"/>
              <w:right w:val="nil"/>
            </w:tcBorders>
          </w:tcPr>
          <w:p w14:paraId="78809D45"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single" w:sz="4" w:space="0" w:color="auto"/>
              <w:right w:val="nil"/>
            </w:tcBorders>
          </w:tcPr>
          <w:p w14:paraId="791E65BC"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(1.87)</w:t>
            </w:r>
          </w:p>
        </w:tc>
        <w:tc>
          <w:tcPr>
            <w:tcW w:w="1656" w:type="dxa"/>
            <w:tcBorders>
              <w:top w:val="nil"/>
              <w:left w:val="nil"/>
              <w:bottom w:val="single" w:sz="4" w:space="0" w:color="auto"/>
              <w:right w:val="nil"/>
            </w:tcBorders>
          </w:tcPr>
          <w:p w14:paraId="1E31DF4D"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(3.09)</w:t>
            </w:r>
          </w:p>
        </w:tc>
        <w:tc>
          <w:tcPr>
            <w:tcW w:w="1656" w:type="dxa"/>
            <w:tcBorders>
              <w:top w:val="nil"/>
              <w:left w:val="nil"/>
              <w:bottom w:val="single" w:sz="4" w:space="0" w:color="auto"/>
              <w:right w:val="nil"/>
            </w:tcBorders>
          </w:tcPr>
          <w:p w14:paraId="7A504624"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(0.74)</w:t>
            </w:r>
          </w:p>
        </w:tc>
        <w:tc>
          <w:tcPr>
            <w:tcW w:w="1656" w:type="dxa"/>
            <w:tcBorders>
              <w:top w:val="nil"/>
              <w:left w:val="nil"/>
              <w:bottom w:val="single" w:sz="4" w:space="0" w:color="auto"/>
              <w:right w:val="nil"/>
            </w:tcBorders>
          </w:tcPr>
          <w:p w14:paraId="749FC39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(0.32)</w:t>
            </w:r>
          </w:p>
        </w:tc>
        <w:tc>
          <w:tcPr>
            <w:tcW w:w="1656" w:type="dxa"/>
            <w:tcBorders>
              <w:top w:val="nil"/>
              <w:left w:val="nil"/>
              <w:bottom w:val="single" w:sz="4" w:space="0" w:color="auto"/>
              <w:right w:val="nil"/>
            </w:tcBorders>
          </w:tcPr>
          <w:p w14:paraId="30207E02"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(-1.68)</w:t>
            </w:r>
          </w:p>
        </w:tc>
      </w:tr>
      <w:tr w:rsidR="002C4432" w:rsidRPr="00CC7538" w14:paraId="4D0AC7FD" w14:textId="77777777" w:rsidTr="00015B88">
        <w:tc>
          <w:tcPr>
            <w:tcW w:w="2136" w:type="dxa"/>
            <w:tcBorders>
              <w:top w:val="nil"/>
              <w:left w:val="nil"/>
              <w:bottom w:val="single" w:sz="4" w:space="0" w:color="auto"/>
              <w:right w:val="nil"/>
            </w:tcBorders>
          </w:tcPr>
          <w:p w14:paraId="29F6D548" w14:textId="77777777" w:rsidR="002C4432" w:rsidRPr="00CC7538" w:rsidRDefault="002C4432" w:rsidP="00015B88">
            <w:pPr>
              <w:widowControl w:val="0"/>
              <w:autoSpaceDE w:val="0"/>
              <w:autoSpaceDN w:val="0"/>
              <w:adjustRightInd w:val="0"/>
              <w:spacing w:after="0" w:line="240" w:lineRule="auto"/>
              <w:rPr>
                <w:rFonts w:ascii="Times New Roman" w:hAnsi="Times New Roman" w:cs="Times New Roman"/>
                <w:sz w:val="20"/>
                <w:szCs w:val="20"/>
              </w:rPr>
            </w:pPr>
            <w:r w:rsidRPr="00CC7538">
              <w:rPr>
                <w:rFonts w:ascii="Times New Roman" w:hAnsi="Times New Roman" w:cs="Times New Roman"/>
                <w:sz w:val="20"/>
                <w:szCs w:val="20"/>
              </w:rPr>
              <w:t>Observations</w:t>
            </w:r>
          </w:p>
        </w:tc>
        <w:tc>
          <w:tcPr>
            <w:tcW w:w="1656" w:type="dxa"/>
            <w:tcBorders>
              <w:top w:val="nil"/>
              <w:left w:val="nil"/>
              <w:bottom w:val="single" w:sz="4" w:space="0" w:color="auto"/>
              <w:right w:val="nil"/>
            </w:tcBorders>
          </w:tcPr>
          <w:p w14:paraId="7D60FAA7"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969</w:t>
            </w:r>
          </w:p>
        </w:tc>
        <w:tc>
          <w:tcPr>
            <w:tcW w:w="1656" w:type="dxa"/>
            <w:tcBorders>
              <w:top w:val="nil"/>
              <w:left w:val="nil"/>
              <w:bottom w:val="single" w:sz="4" w:space="0" w:color="auto"/>
              <w:right w:val="nil"/>
            </w:tcBorders>
          </w:tcPr>
          <w:p w14:paraId="0C7CCE29"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969</w:t>
            </w:r>
          </w:p>
        </w:tc>
        <w:tc>
          <w:tcPr>
            <w:tcW w:w="1656" w:type="dxa"/>
            <w:tcBorders>
              <w:top w:val="nil"/>
              <w:left w:val="nil"/>
              <w:bottom w:val="single" w:sz="4" w:space="0" w:color="auto"/>
              <w:right w:val="nil"/>
            </w:tcBorders>
          </w:tcPr>
          <w:p w14:paraId="2AFDA72E"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799</w:t>
            </w:r>
          </w:p>
        </w:tc>
        <w:tc>
          <w:tcPr>
            <w:tcW w:w="1656" w:type="dxa"/>
            <w:tcBorders>
              <w:top w:val="nil"/>
              <w:left w:val="nil"/>
              <w:bottom w:val="single" w:sz="4" w:space="0" w:color="auto"/>
              <w:right w:val="nil"/>
            </w:tcBorders>
          </w:tcPr>
          <w:p w14:paraId="60035099"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1803</w:t>
            </w:r>
          </w:p>
        </w:tc>
        <w:tc>
          <w:tcPr>
            <w:tcW w:w="1656" w:type="dxa"/>
            <w:tcBorders>
              <w:top w:val="nil"/>
              <w:left w:val="nil"/>
              <w:bottom w:val="single" w:sz="4" w:space="0" w:color="auto"/>
              <w:right w:val="nil"/>
            </w:tcBorders>
          </w:tcPr>
          <w:p w14:paraId="7A37E2F5" w14:textId="77777777" w:rsidR="002C4432" w:rsidRPr="00CC7538" w:rsidRDefault="002C443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C7538">
              <w:rPr>
                <w:rFonts w:ascii="Times New Roman" w:hAnsi="Times New Roman" w:cs="Times New Roman"/>
                <w:sz w:val="20"/>
                <w:szCs w:val="20"/>
              </w:rPr>
              <w:t>2679</w:t>
            </w:r>
          </w:p>
        </w:tc>
      </w:tr>
    </w:tbl>
    <w:p w14:paraId="31A71FD6" w14:textId="77777777" w:rsidR="002C4432" w:rsidRPr="00CC7538" w:rsidRDefault="002C4432" w:rsidP="002C4432">
      <w:pPr>
        <w:widowControl w:val="0"/>
        <w:autoSpaceDE w:val="0"/>
        <w:autoSpaceDN w:val="0"/>
        <w:adjustRightInd w:val="0"/>
        <w:spacing w:after="0" w:line="240" w:lineRule="auto"/>
        <w:rPr>
          <w:rFonts w:ascii="Times New Roman" w:hAnsi="Times New Roman" w:cs="Times New Roman"/>
          <w:sz w:val="16"/>
          <w:szCs w:val="16"/>
        </w:rPr>
      </w:pPr>
      <w:r w:rsidRPr="00CC7538">
        <w:rPr>
          <w:rFonts w:ascii="Times New Roman" w:hAnsi="Times New Roman" w:cs="Times New Roman"/>
          <w:i/>
          <w:iCs/>
          <w:sz w:val="16"/>
          <w:szCs w:val="16"/>
        </w:rPr>
        <w:t>t</w:t>
      </w:r>
      <w:r w:rsidRPr="00CC7538">
        <w:rPr>
          <w:rFonts w:ascii="Times New Roman" w:hAnsi="Times New Roman" w:cs="Times New Roman"/>
          <w:sz w:val="16"/>
          <w:szCs w:val="16"/>
        </w:rPr>
        <w:t xml:space="preserve"> statistics in parentheses</w:t>
      </w:r>
    </w:p>
    <w:p w14:paraId="737D0FEF" w14:textId="77777777" w:rsidR="002C4432" w:rsidRPr="00CC7538" w:rsidRDefault="002C4432" w:rsidP="002C4432">
      <w:pPr>
        <w:widowControl w:val="0"/>
        <w:autoSpaceDE w:val="0"/>
        <w:autoSpaceDN w:val="0"/>
        <w:adjustRightInd w:val="0"/>
        <w:spacing w:after="0" w:line="240" w:lineRule="auto"/>
        <w:rPr>
          <w:rFonts w:ascii="Times New Roman" w:hAnsi="Times New Roman" w:cs="Times New Roman"/>
          <w:sz w:val="16"/>
          <w:szCs w:val="16"/>
        </w:rPr>
      </w:pPr>
      <w:r w:rsidRPr="00CC7538">
        <w:rPr>
          <w:rFonts w:ascii="Times New Roman" w:hAnsi="Times New Roman" w:cs="Times New Roman"/>
          <w:sz w:val="16"/>
          <w:szCs w:val="16"/>
          <w:vertAlign w:val="superscript"/>
        </w:rPr>
        <w:t>*</w:t>
      </w:r>
      <w:r w:rsidRPr="00CC7538">
        <w:rPr>
          <w:rFonts w:ascii="Times New Roman" w:hAnsi="Times New Roman" w:cs="Times New Roman"/>
          <w:sz w:val="16"/>
          <w:szCs w:val="16"/>
        </w:rPr>
        <w:t xml:space="preserve"> </w:t>
      </w:r>
      <w:r w:rsidRPr="00CC7538">
        <w:rPr>
          <w:rFonts w:ascii="Times New Roman" w:hAnsi="Times New Roman" w:cs="Times New Roman"/>
          <w:i/>
          <w:iCs/>
          <w:sz w:val="16"/>
          <w:szCs w:val="16"/>
        </w:rPr>
        <w:t>p</w:t>
      </w:r>
      <w:r w:rsidRPr="00CC7538">
        <w:rPr>
          <w:rFonts w:ascii="Times New Roman" w:hAnsi="Times New Roman" w:cs="Times New Roman"/>
          <w:sz w:val="16"/>
          <w:szCs w:val="16"/>
        </w:rPr>
        <w:t xml:space="preserve"> &lt; 0.05, </w:t>
      </w:r>
      <w:r w:rsidRPr="00CC7538">
        <w:rPr>
          <w:rFonts w:ascii="Times New Roman" w:hAnsi="Times New Roman" w:cs="Times New Roman"/>
          <w:sz w:val="16"/>
          <w:szCs w:val="16"/>
          <w:vertAlign w:val="superscript"/>
        </w:rPr>
        <w:t>**</w:t>
      </w:r>
      <w:r w:rsidRPr="00CC7538">
        <w:rPr>
          <w:rFonts w:ascii="Times New Roman" w:hAnsi="Times New Roman" w:cs="Times New Roman"/>
          <w:sz w:val="16"/>
          <w:szCs w:val="16"/>
        </w:rPr>
        <w:t xml:space="preserve"> </w:t>
      </w:r>
      <w:r w:rsidRPr="00CC7538">
        <w:rPr>
          <w:rFonts w:ascii="Times New Roman" w:hAnsi="Times New Roman" w:cs="Times New Roman"/>
          <w:i/>
          <w:iCs/>
          <w:sz w:val="16"/>
          <w:szCs w:val="16"/>
        </w:rPr>
        <w:t>p</w:t>
      </w:r>
      <w:r w:rsidRPr="00CC7538">
        <w:rPr>
          <w:rFonts w:ascii="Times New Roman" w:hAnsi="Times New Roman" w:cs="Times New Roman"/>
          <w:sz w:val="16"/>
          <w:szCs w:val="16"/>
        </w:rPr>
        <w:t xml:space="preserve"> &lt; 0.01, </w:t>
      </w:r>
      <w:r w:rsidRPr="00CC7538">
        <w:rPr>
          <w:rFonts w:ascii="Times New Roman" w:hAnsi="Times New Roman" w:cs="Times New Roman"/>
          <w:sz w:val="16"/>
          <w:szCs w:val="16"/>
          <w:vertAlign w:val="superscript"/>
        </w:rPr>
        <w:t>***</w:t>
      </w:r>
      <w:r w:rsidRPr="00CC7538">
        <w:rPr>
          <w:rFonts w:ascii="Times New Roman" w:hAnsi="Times New Roman" w:cs="Times New Roman"/>
          <w:sz w:val="16"/>
          <w:szCs w:val="16"/>
        </w:rPr>
        <w:t xml:space="preserve"> </w:t>
      </w:r>
      <w:r w:rsidRPr="00CC7538">
        <w:rPr>
          <w:rFonts w:ascii="Times New Roman" w:hAnsi="Times New Roman" w:cs="Times New Roman"/>
          <w:i/>
          <w:iCs/>
          <w:sz w:val="16"/>
          <w:szCs w:val="16"/>
        </w:rPr>
        <w:t>p</w:t>
      </w:r>
      <w:r w:rsidRPr="00CC7538">
        <w:rPr>
          <w:rFonts w:ascii="Times New Roman" w:hAnsi="Times New Roman" w:cs="Times New Roman"/>
          <w:sz w:val="16"/>
          <w:szCs w:val="16"/>
        </w:rPr>
        <w:t xml:space="preserve"> &lt; 0.001</w:t>
      </w:r>
    </w:p>
    <w:p w14:paraId="1FD930B3" w14:textId="02E8E045" w:rsidR="002C4432" w:rsidRDefault="002C4432" w:rsidP="002C4432">
      <w:pPr>
        <w:widowControl w:val="0"/>
        <w:autoSpaceDE w:val="0"/>
        <w:autoSpaceDN w:val="0"/>
        <w:adjustRightInd w:val="0"/>
        <w:spacing w:after="0" w:line="240" w:lineRule="auto"/>
        <w:rPr>
          <w:rFonts w:ascii="Times New Roman" w:hAnsi="Times New Roman" w:cs="Times New Roman"/>
          <w:sz w:val="20"/>
          <w:szCs w:val="20"/>
        </w:rPr>
      </w:pPr>
    </w:p>
    <w:p w14:paraId="3AF0587C" w14:textId="5E0BCFFE" w:rsidR="00F3433B" w:rsidRDefault="00722C77" w:rsidP="00554FF2">
      <w:r>
        <w:t>De facto CBI most strongly appears to decrease head of state and lower house turnover in the mid</w:t>
      </w:r>
      <w:r w:rsidR="00554FF2">
        <w:t>-</w:t>
      </w:r>
      <w:r>
        <w:t xml:space="preserve">term, as do fixed rates (somewhat) around the </w:t>
      </w:r>
      <w:r w:rsidR="00554FF2">
        <w:t>6-</w:t>
      </w:r>
      <w:r>
        <w:t xml:space="preserve">year lag. There is not a particularly clear </w:t>
      </w:r>
      <w:r w:rsidR="004909D9">
        <w:t>finding for the combination of de facto CBI and fixed rates, but a few spa</w:t>
      </w:r>
      <w:r w:rsidR="00554FF2">
        <w:t>rse</w:t>
      </w:r>
      <w:r w:rsidR="004909D9">
        <w:t xml:space="preserve"> readings indicate an increase in destabilizing events and lower house turnover in the mid-term.</w:t>
      </w:r>
      <w:r w:rsidR="0051228F">
        <w:t xml:space="preserve"> In this case, the </w:t>
      </w:r>
      <w:r w:rsidR="00637E8B">
        <w:t xml:space="preserve">stability benefits of de facto CBI are lost </w:t>
      </w:r>
      <w:r w:rsidR="00355736">
        <w:t xml:space="preserve">or overridden </w:t>
      </w:r>
      <w:r w:rsidR="00637E8B">
        <w:t>in a fixed rate regime</w:t>
      </w:r>
      <w:r w:rsidR="00355736">
        <w:t>.</w:t>
      </w:r>
    </w:p>
    <w:p w14:paraId="324B0418" w14:textId="77777777" w:rsidR="00F3433B" w:rsidRPr="00CC7538" w:rsidRDefault="00F3433B" w:rsidP="002C4432">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2A5362" w:rsidRPr="00C617AE" w14:paraId="7BDADA67" w14:textId="77777777" w:rsidTr="00015B88">
        <w:tc>
          <w:tcPr>
            <w:tcW w:w="2136" w:type="dxa"/>
            <w:tcBorders>
              <w:top w:val="single" w:sz="4" w:space="0" w:color="auto"/>
              <w:left w:val="nil"/>
              <w:bottom w:val="nil"/>
              <w:right w:val="nil"/>
            </w:tcBorders>
          </w:tcPr>
          <w:p w14:paraId="313A7F65"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single" w:sz="4" w:space="0" w:color="auto"/>
              <w:left w:val="nil"/>
              <w:bottom w:val="nil"/>
              <w:right w:val="nil"/>
            </w:tcBorders>
          </w:tcPr>
          <w:p w14:paraId="2C36200E"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w:t>
            </w:r>
          </w:p>
        </w:tc>
        <w:tc>
          <w:tcPr>
            <w:tcW w:w="1656" w:type="dxa"/>
            <w:tcBorders>
              <w:top w:val="single" w:sz="4" w:space="0" w:color="auto"/>
              <w:left w:val="nil"/>
              <w:bottom w:val="nil"/>
              <w:right w:val="nil"/>
            </w:tcBorders>
          </w:tcPr>
          <w:p w14:paraId="3378952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(2)</w:t>
            </w:r>
          </w:p>
        </w:tc>
        <w:tc>
          <w:tcPr>
            <w:tcW w:w="1656" w:type="dxa"/>
            <w:tcBorders>
              <w:top w:val="single" w:sz="4" w:space="0" w:color="auto"/>
              <w:left w:val="nil"/>
              <w:bottom w:val="nil"/>
              <w:right w:val="nil"/>
            </w:tcBorders>
          </w:tcPr>
          <w:p w14:paraId="33FF9BE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(3)</w:t>
            </w:r>
          </w:p>
        </w:tc>
        <w:tc>
          <w:tcPr>
            <w:tcW w:w="1656" w:type="dxa"/>
            <w:tcBorders>
              <w:top w:val="single" w:sz="4" w:space="0" w:color="auto"/>
              <w:left w:val="nil"/>
              <w:bottom w:val="nil"/>
              <w:right w:val="nil"/>
            </w:tcBorders>
          </w:tcPr>
          <w:p w14:paraId="700C4AA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(4)</w:t>
            </w:r>
          </w:p>
        </w:tc>
        <w:tc>
          <w:tcPr>
            <w:tcW w:w="1656" w:type="dxa"/>
            <w:tcBorders>
              <w:top w:val="single" w:sz="4" w:space="0" w:color="auto"/>
              <w:left w:val="nil"/>
              <w:bottom w:val="nil"/>
              <w:right w:val="nil"/>
            </w:tcBorders>
          </w:tcPr>
          <w:p w14:paraId="2299A85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(5)</w:t>
            </w:r>
          </w:p>
        </w:tc>
      </w:tr>
      <w:tr w:rsidR="002A5362" w:rsidRPr="00C617AE" w14:paraId="794DBDDA" w14:textId="77777777" w:rsidTr="00015B88">
        <w:tc>
          <w:tcPr>
            <w:tcW w:w="2136" w:type="dxa"/>
            <w:tcBorders>
              <w:top w:val="nil"/>
              <w:left w:val="nil"/>
              <w:bottom w:val="nil"/>
              <w:right w:val="nil"/>
            </w:tcBorders>
          </w:tcPr>
          <w:p w14:paraId="15F99D5A"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41649F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Head of Govt. Turnover</w:t>
            </w:r>
          </w:p>
        </w:tc>
        <w:tc>
          <w:tcPr>
            <w:tcW w:w="1656" w:type="dxa"/>
            <w:tcBorders>
              <w:top w:val="nil"/>
              <w:left w:val="nil"/>
              <w:bottom w:val="nil"/>
              <w:right w:val="nil"/>
            </w:tcBorders>
          </w:tcPr>
          <w:p w14:paraId="062001B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Head of State Turnover</w:t>
            </w:r>
          </w:p>
        </w:tc>
        <w:tc>
          <w:tcPr>
            <w:tcW w:w="1656" w:type="dxa"/>
            <w:tcBorders>
              <w:top w:val="nil"/>
              <w:left w:val="nil"/>
              <w:bottom w:val="nil"/>
              <w:right w:val="nil"/>
            </w:tcBorders>
          </w:tcPr>
          <w:p w14:paraId="14ED93E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Lower House Turnover</w:t>
            </w:r>
          </w:p>
        </w:tc>
        <w:tc>
          <w:tcPr>
            <w:tcW w:w="1656" w:type="dxa"/>
            <w:tcBorders>
              <w:top w:val="nil"/>
              <w:left w:val="nil"/>
              <w:bottom w:val="nil"/>
              <w:right w:val="nil"/>
            </w:tcBorders>
          </w:tcPr>
          <w:p w14:paraId="7950E6E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WB Political Stability (Absence of Violence)</w:t>
            </w:r>
          </w:p>
        </w:tc>
        <w:tc>
          <w:tcPr>
            <w:tcW w:w="1656" w:type="dxa"/>
            <w:tcBorders>
              <w:top w:val="nil"/>
              <w:left w:val="nil"/>
              <w:bottom w:val="nil"/>
              <w:right w:val="nil"/>
            </w:tcBorders>
          </w:tcPr>
          <w:p w14:paraId="2FB62247"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Instability Event Indicator</w:t>
            </w:r>
          </w:p>
        </w:tc>
      </w:tr>
      <w:tr w:rsidR="002A5362" w:rsidRPr="00C617AE" w14:paraId="499A03F6" w14:textId="77777777" w:rsidTr="00015B88">
        <w:tc>
          <w:tcPr>
            <w:tcW w:w="2136" w:type="dxa"/>
            <w:tcBorders>
              <w:top w:val="single" w:sz="4" w:space="0" w:color="auto"/>
              <w:left w:val="nil"/>
              <w:bottom w:val="nil"/>
              <w:right w:val="nil"/>
            </w:tcBorders>
          </w:tcPr>
          <w:p w14:paraId="36796003"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(Lack of) Irregular CB Governor Turnover (higher = more de facto CBI)</w:t>
            </w:r>
          </w:p>
        </w:tc>
        <w:tc>
          <w:tcPr>
            <w:tcW w:w="1656" w:type="dxa"/>
            <w:tcBorders>
              <w:top w:val="single" w:sz="4" w:space="0" w:color="auto"/>
              <w:left w:val="nil"/>
              <w:bottom w:val="nil"/>
              <w:right w:val="nil"/>
            </w:tcBorders>
          </w:tcPr>
          <w:p w14:paraId="69652AD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-0.104</w:t>
            </w:r>
          </w:p>
        </w:tc>
        <w:tc>
          <w:tcPr>
            <w:tcW w:w="1656" w:type="dxa"/>
            <w:tcBorders>
              <w:top w:val="single" w:sz="4" w:space="0" w:color="auto"/>
              <w:left w:val="nil"/>
              <w:bottom w:val="nil"/>
              <w:right w:val="nil"/>
            </w:tcBorders>
          </w:tcPr>
          <w:p w14:paraId="6928FBC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-0.242</w:t>
            </w:r>
          </w:p>
        </w:tc>
        <w:tc>
          <w:tcPr>
            <w:tcW w:w="1656" w:type="dxa"/>
            <w:tcBorders>
              <w:top w:val="single" w:sz="4" w:space="0" w:color="auto"/>
              <w:left w:val="nil"/>
              <w:bottom w:val="nil"/>
              <w:right w:val="nil"/>
            </w:tcBorders>
          </w:tcPr>
          <w:p w14:paraId="644EF4C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-0.313</w:t>
            </w:r>
          </w:p>
        </w:tc>
        <w:tc>
          <w:tcPr>
            <w:tcW w:w="1656" w:type="dxa"/>
            <w:tcBorders>
              <w:top w:val="single" w:sz="4" w:space="0" w:color="auto"/>
              <w:left w:val="nil"/>
              <w:bottom w:val="nil"/>
              <w:right w:val="nil"/>
            </w:tcBorders>
          </w:tcPr>
          <w:p w14:paraId="44124692"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0.0564</w:t>
            </w:r>
          </w:p>
        </w:tc>
        <w:tc>
          <w:tcPr>
            <w:tcW w:w="1656" w:type="dxa"/>
            <w:tcBorders>
              <w:top w:val="single" w:sz="4" w:space="0" w:color="auto"/>
              <w:left w:val="nil"/>
              <w:bottom w:val="nil"/>
              <w:right w:val="nil"/>
            </w:tcBorders>
          </w:tcPr>
          <w:p w14:paraId="0C2A30A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-0.0203</w:t>
            </w:r>
          </w:p>
        </w:tc>
      </w:tr>
      <w:tr w:rsidR="002A5362" w:rsidRPr="00C617AE" w14:paraId="0202ACE8" w14:textId="77777777" w:rsidTr="00015B88">
        <w:tc>
          <w:tcPr>
            <w:tcW w:w="2136" w:type="dxa"/>
            <w:tcBorders>
              <w:top w:val="nil"/>
              <w:left w:val="nil"/>
              <w:bottom w:val="nil"/>
              <w:right w:val="nil"/>
            </w:tcBorders>
          </w:tcPr>
          <w:p w14:paraId="3496C72A"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7636516"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(-0.52)</w:t>
            </w:r>
          </w:p>
        </w:tc>
        <w:tc>
          <w:tcPr>
            <w:tcW w:w="1656" w:type="dxa"/>
            <w:tcBorders>
              <w:top w:val="nil"/>
              <w:left w:val="nil"/>
              <w:bottom w:val="nil"/>
              <w:right w:val="nil"/>
            </w:tcBorders>
          </w:tcPr>
          <w:p w14:paraId="5B29B3C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(-1.45)</w:t>
            </w:r>
          </w:p>
        </w:tc>
        <w:tc>
          <w:tcPr>
            <w:tcW w:w="1656" w:type="dxa"/>
            <w:tcBorders>
              <w:top w:val="nil"/>
              <w:left w:val="nil"/>
              <w:bottom w:val="nil"/>
              <w:right w:val="nil"/>
            </w:tcBorders>
          </w:tcPr>
          <w:p w14:paraId="69E2379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(-1.88)</w:t>
            </w:r>
          </w:p>
        </w:tc>
        <w:tc>
          <w:tcPr>
            <w:tcW w:w="1656" w:type="dxa"/>
            <w:tcBorders>
              <w:top w:val="nil"/>
              <w:left w:val="nil"/>
              <w:bottom w:val="nil"/>
              <w:right w:val="nil"/>
            </w:tcBorders>
          </w:tcPr>
          <w:p w14:paraId="267AE649"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(0.92)</w:t>
            </w:r>
          </w:p>
        </w:tc>
        <w:tc>
          <w:tcPr>
            <w:tcW w:w="1656" w:type="dxa"/>
            <w:tcBorders>
              <w:top w:val="nil"/>
              <w:left w:val="nil"/>
              <w:bottom w:val="nil"/>
              <w:right w:val="nil"/>
            </w:tcBorders>
          </w:tcPr>
          <w:p w14:paraId="53E136D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(-0.41)</w:t>
            </w:r>
          </w:p>
        </w:tc>
      </w:tr>
      <w:tr w:rsidR="002A5362" w:rsidRPr="00C617AE" w14:paraId="15F9FCF1" w14:textId="77777777" w:rsidTr="00015B88">
        <w:tc>
          <w:tcPr>
            <w:tcW w:w="2136" w:type="dxa"/>
            <w:tcBorders>
              <w:top w:val="nil"/>
              <w:left w:val="nil"/>
              <w:bottom w:val="nil"/>
              <w:right w:val="nil"/>
            </w:tcBorders>
          </w:tcPr>
          <w:p w14:paraId="3BAFF3FB"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82FCAC3"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C827EDF"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549F74C"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1A0E0A0"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3D60E94"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24795A4E" w14:textId="77777777" w:rsidTr="00015B88">
        <w:tc>
          <w:tcPr>
            <w:tcW w:w="2136" w:type="dxa"/>
            <w:tcBorders>
              <w:top w:val="nil"/>
              <w:left w:val="nil"/>
              <w:bottom w:val="nil"/>
              <w:right w:val="nil"/>
            </w:tcBorders>
          </w:tcPr>
          <w:p w14:paraId="326958DF"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Exchange Rate Classification (RR inverted, higher = more fixed)</w:t>
            </w:r>
          </w:p>
        </w:tc>
        <w:tc>
          <w:tcPr>
            <w:tcW w:w="1656" w:type="dxa"/>
            <w:tcBorders>
              <w:top w:val="nil"/>
              <w:left w:val="nil"/>
              <w:bottom w:val="nil"/>
              <w:right w:val="nil"/>
            </w:tcBorders>
          </w:tcPr>
          <w:p w14:paraId="0E831E6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-0.00903</w:t>
            </w:r>
          </w:p>
        </w:tc>
        <w:tc>
          <w:tcPr>
            <w:tcW w:w="1656" w:type="dxa"/>
            <w:tcBorders>
              <w:top w:val="nil"/>
              <w:left w:val="nil"/>
              <w:bottom w:val="nil"/>
              <w:right w:val="nil"/>
            </w:tcBorders>
          </w:tcPr>
          <w:p w14:paraId="5731CD7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-0.0458</w:t>
            </w:r>
            <w:r w:rsidRPr="00C617AE">
              <w:rPr>
                <w:rFonts w:ascii="Times New Roman" w:hAnsi="Times New Roman" w:cs="Times New Roman"/>
                <w:sz w:val="20"/>
                <w:szCs w:val="20"/>
                <w:vertAlign w:val="superscript"/>
              </w:rPr>
              <w:t>*</w:t>
            </w:r>
          </w:p>
        </w:tc>
        <w:tc>
          <w:tcPr>
            <w:tcW w:w="1656" w:type="dxa"/>
            <w:tcBorders>
              <w:top w:val="nil"/>
              <w:left w:val="nil"/>
              <w:bottom w:val="nil"/>
              <w:right w:val="nil"/>
            </w:tcBorders>
          </w:tcPr>
          <w:p w14:paraId="2CA3217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0.00708</w:t>
            </w:r>
          </w:p>
        </w:tc>
        <w:tc>
          <w:tcPr>
            <w:tcW w:w="1656" w:type="dxa"/>
            <w:tcBorders>
              <w:top w:val="nil"/>
              <w:left w:val="nil"/>
              <w:bottom w:val="nil"/>
              <w:right w:val="nil"/>
            </w:tcBorders>
          </w:tcPr>
          <w:p w14:paraId="09486179"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0.0128</w:t>
            </w:r>
          </w:p>
        </w:tc>
        <w:tc>
          <w:tcPr>
            <w:tcW w:w="1656" w:type="dxa"/>
            <w:tcBorders>
              <w:top w:val="nil"/>
              <w:left w:val="nil"/>
              <w:bottom w:val="nil"/>
              <w:right w:val="nil"/>
            </w:tcBorders>
          </w:tcPr>
          <w:p w14:paraId="38D0271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0.00929</w:t>
            </w:r>
          </w:p>
        </w:tc>
      </w:tr>
      <w:tr w:rsidR="002A5362" w:rsidRPr="00C617AE" w14:paraId="597F14A3" w14:textId="77777777" w:rsidTr="00015B88">
        <w:tc>
          <w:tcPr>
            <w:tcW w:w="2136" w:type="dxa"/>
            <w:tcBorders>
              <w:top w:val="nil"/>
              <w:left w:val="nil"/>
              <w:bottom w:val="nil"/>
              <w:right w:val="nil"/>
            </w:tcBorders>
          </w:tcPr>
          <w:p w14:paraId="5E8A22D9"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467C7B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(-0.34)</w:t>
            </w:r>
          </w:p>
        </w:tc>
        <w:tc>
          <w:tcPr>
            <w:tcW w:w="1656" w:type="dxa"/>
            <w:tcBorders>
              <w:top w:val="nil"/>
              <w:left w:val="nil"/>
              <w:bottom w:val="nil"/>
              <w:right w:val="nil"/>
            </w:tcBorders>
          </w:tcPr>
          <w:p w14:paraId="4C663629"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(-1.99)</w:t>
            </w:r>
          </w:p>
        </w:tc>
        <w:tc>
          <w:tcPr>
            <w:tcW w:w="1656" w:type="dxa"/>
            <w:tcBorders>
              <w:top w:val="nil"/>
              <w:left w:val="nil"/>
              <w:bottom w:val="nil"/>
              <w:right w:val="nil"/>
            </w:tcBorders>
          </w:tcPr>
          <w:p w14:paraId="0838AC06"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(0.30)</w:t>
            </w:r>
          </w:p>
        </w:tc>
        <w:tc>
          <w:tcPr>
            <w:tcW w:w="1656" w:type="dxa"/>
            <w:tcBorders>
              <w:top w:val="nil"/>
              <w:left w:val="nil"/>
              <w:bottom w:val="nil"/>
              <w:right w:val="nil"/>
            </w:tcBorders>
          </w:tcPr>
          <w:p w14:paraId="012C0F97"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(1.31)</w:t>
            </w:r>
          </w:p>
        </w:tc>
        <w:tc>
          <w:tcPr>
            <w:tcW w:w="1656" w:type="dxa"/>
            <w:tcBorders>
              <w:top w:val="nil"/>
              <w:left w:val="nil"/>
              <w:bottom w:val="nil"/>
              <w:right w:val="nil"/>
            </w:tcBorders>
          </w:tcPr>
          <w:p w14:paraId="125ECA2E"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(1.10)</w:t>
            </w:r>
          </w:p>
        </w:tc>
      </w:tr>
      <w:tr w:rsidR="002A5362" w:rsidRPr="00C617AE" w14:paraId="2792FD1A" w14:textId="77777777" w:rsidTr="00015B88">
        <w:tc>
          <w:tcPr>
            <w:tcW w:w="2136" w:type="dxa"/>
            <w:tcBorders>
              <w:top w:val="nil"/>
              <w:left w:val="nil"/>
              <w:bottom w:val="nil"/>
              <w:right w:val="nil"/>
            </w:tcBorders>
          </w:tcPr>
          <w:p w14:paraId="7B4792F5"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3DDAC28"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A22246A"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ADBE4F4"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0EB347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A4797AF"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12A59730" w14:textId="77777777" w:rsidTr="00015B88">
        <w:tc>
          <w:tcPr>
            <w:tcW w:w="2136" w:type="dxa"/>
            <w:tcBorders>
              <w:top w:val="nil"/>
              <w:left w:val="nil"/>
              <w:bottom w:val="nil"/>
              <w:right w:val="nil"/>
            </w:tcBorders>
          </w:tcPr>
          <w:p w14:paraId="4D0490E8"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De Facto CBI * More Fixed Rate</w:t>
            </w:r>
          </w:p>
        </w:tc>
        <w:tc>
          <w:tcPr>
            <w:tcW w:w="1656" w:type="dxa"/>
            <w:tcBorders>
              <w:top w:val="nil"/>
              <w:left w:val="nil"/>
              <w:bottom w:val="nil"/>
              <w:right w:val="nil"/>
            </w:tcBorders>
          </w:tcPr>
          <w:p w14:paraId="4337F28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-0.00352</w:t>
            </w:r>
          </w:p>
        </w:tc>
        <w:tc>
          <w:tcPr>
            <w:tcW w:w="1656" w:type="dxa"/>
            <w:tcBorders>
              <w:top w:val="nil"/>
              <w:left w:val="nil"/>
              <w:bottom w:val="nil"/>
              <w:right w:val="nil"/>
            </w:tcBorders>
          </w:tcPr>
          <w:p w14:paraId="5460854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0.0323</w:t>
            </w:r>
          </w:p>
        </w:tc>
        <w:tc>
          <w:tcPr>
            <w:tcW w:w="1656" w:type="dxa"/>
            <w:tcBorders>
              <w:top w:val="nil"/>
              <w:left w:val="nil"/>
              <w:bottom w:val="nil"/>
              <w:right w:val="nil"/>
            </w:tcBorders>
          </w:tcPr>
          <w:p w14:paraId="15E6CDC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0.00432</w:t>
            </w:r>
          </w:p>
        </w:tc>
        <w:tc>
          <w:tcPr>
            <w:tcW w:w="1656" w:type="dxa"/>
            <w:tcBorders>
              <w:top w:val="nil"/>
              <w:left w:val="nil"/>
              <w:bottom w:val="nil"/>
              <w:right w:val="nil"/>
            </w:tcBorders>
          </w:tcPr>
          <w:p w14:paraId="5270962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-0.00812</w:t>
            </w:r>
          </w:p>
        </w:tc>
        <w:tc>
          <w:tcPr>
            <w:tcW w:w="1656" w:type="dxa"/>
            <w:tcBorders>
              <w:top w:val="nil"/>
              <w:left w:val="nil"/>
              <w:bottom w:val="nil"/>
              <w:right w:val="nil"/>
            </w:tcBorders>
          </w:tcPr>
          <w:p w14:paraId="443DD1C7"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0.00725</w:t>
            </w:r>
          </w:p>
        </w:tc>
      </w:tr>
      <w:tr w:rsidR="002A5362" w:rsidRPr="00C617AE" w14:paraId="691CD2C4" w14:textId="77777777" w:rsidTr="00015B88">
        <w:tc>
          <w:tcPr>
            <w:tcW w:w="2136" w:type="dxa"/>
            <w:tcBorders>
              <w:top w:val="nil"/>
              <w:left w:val="nil"/>
              <w:bottom w:val="nil"/>
              <w:right w:val="nil"/>
            </w:tcBorders>
          </w:tcPr>
          <w:p w14:paraId="75A5C262"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31F2169"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(-0.15)</w:t>
            </w:r>
          </w:p>
        </w:tc>
        <w:tc>
          <w:tcPr>
            <w:tcW w:w="1656" w:type="dxa"/>
            <w:tcBorders>
              <w:top w:val="nil"/>
              <w:left w:val="nil"/>
              <w:bottom w:val="nil"/>
              <w:right w:val="nil"/>
            </w:tcBorders>
          </w:tcPr>
          <w:p w14:paraId="0C51A412"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(1.65)</w:t>
            </w:r>
          </w:p>
        </w:tc>
        <w:tc>
          <w:tcPr>
            <w:tcW w:w="1656" w:type="dxa"/>
            <w:tcBorders>
              <w:top w:val="nil"/>
              <w:left w:val="nil"/>
              <w:bottom w:val="nil"/>
              <w:right w:val="nil"/>
            </w:tcBorders>
          </w:tcPr>
          <w:p w14:paraId="331001C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(0.23)</w:t>
            </w:r>
          </w:p>
        </w:tc>
        <w:tc>
          <w:tcPr>
            <w:tcW w:w="1656" w:type="dxa"/>
            <w:tcBorders>
              <w:top w:val="nil"/>
              <w:left w:val="nil"/>
              <w:bottom w:val="nil"/>
              <w:right w:val="nil"/>
            </w:tcBorders>
          </w:tcPr>
          <w:p w14:paraId="08222FAE"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(-1.27)</w:t>
            </w:r>
          </w:p>
        </w:tc>
        <w:tc>
          <w:tcPr>
            <w:tcW w:w="1656" w:type="dxa"/>
            <w:tcBorders>
              <w:top w:val="nil"/>
              <w:left w:val="nil"/>
              <w:bottom w:val="nil"/>
              <w:right w:val="nil"/>
            </w:tcBorders>
          </w:tcPr>
          <w:p w14:paraId="228BD2A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(1.09)</w:t>
            </w:r>
          </w:p>
        </w:tc>
      </w:tr>
      <w:tr w:rsidR="002A5362" w:rsidRPr="00C617AE" w14:paraId="33BECB1E" w14:textId="77777777" w:rsidTr="00015B88">
        <w:tc>
          <w:tcPr>
            <w:tcW w:w="2136" w:type="dxa"/>
            <w:tcBorders>
              <w:top w:val="nil"/>
              <w:left w:val="nil"/>
              <w:bottom w:val="nil"/>
              <w:right w:val="nil"/>
            </w:tcBorders>
          </w:tcPr>
          <w:p w14:paraId="11CE8658"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B0488FA"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807C2B3"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CC52BB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32BBBEA"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FD4DA12"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0DD72FC6" w14:textId="77777777" w:rsidTr="00015B88">
        <w:tc>
          <w:tcPr>
            <w:tcW w:w="2136" w:type="dxa"/>
            <w:tcBorders>
              <w:top w:val="nil"/>
              <w:left w:val="nil"/>
              <w:bottom w:val="nil"/>
              <w:right w:val="nil"/>
            </w:tcBorders>
          </w:tcPr>
          <w:p w14:paraId="39830AE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L.(Lack of) Irregular CB Governor Turnover (higher = more de facto CBI)</w:t>
            </w:r>
          </w:p>
        </w:tc>
        <w:tc>
          <w:tcPr>
            <w:tcW w:w="1656" w:type="dxa"/>
            <w:tcBorders>
              <w:top w:val="nil"/>
              <w:left w:val="nil"/>
              <w:bottom w:val="nil"/>
              <w:right w:val="nil"/>
            </w:tcBorders>
          </w:tcPr>
          <w:p w14:paraId="7346F572"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-0.108</w:t>
            </w:r>
          </w:p>
        </w:tc>
        <w:tc>
          <w:tcPr>
            <w:tcW w:w="1656" w:type="dxa"/>
            <w:tcBorders>
              <w:top w:val="nil"/>
              <w:left w:val="nil"/>
              <w:bottom w:val="nil"/>
              <w:right w:val="nil"/>
            </w:tcBorders>
          </w:tcPr>
          <w:p w14:paraId="0442FDF8"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-0.0552</w:t>
            </w:r>
          </w:p>
        </w:tc>
        <w:tc>
          <w:tcPr>
            <w:tcW w:w="1656" w:type="dxa"/>
            <w:tcBorders>
              <w:top w:val="nil"/>
              <w:left w:val="nil"/>
              <w:bottom w:val="nil"/>
              <w:right w:val="nil"/>
            </w:tcBorders>
          </w:tcPr>
          <w:p w14:paraId="1915C7C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-0.198</w:t>
            </w:r>
          </w:p>
        </w:tc>
        <w:tc>
          <w:tcPr>
            <w:tcW w:w="1656" w:type="dxa"/>
            <w:tcBorders>
              <w:top w:val="nil"/>
              <w:left w:val="nil"/>
              <w:bottom w:val="nil"/>
              <w:right w:val="nil"/>
            </w:tcBorders>
          </w:tcPr>
          <w:p w14:paraId="739D9EA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0.0450</w:t>
            </w:r>
          </w:p>
        </w:tc>
        <w:tc>
          <w:tcPr>
            <w:tcW w:w="1656" w:type="dxa"/>
            <w:tcBorders>
              <w:top w:val="nil"/>
              <w:left w:val="nil"/>
              <w:bottom w:val="nil"/>
              <w:right w:val="nil"/>
            </w:tcBorders>
          </w:tcPr>
          <w:p w14:paraId="00DBDDC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0.0490</w:t>
            </w:r>
          </w:p>
        </w:tc>
      </w:tr>
      <w:tr w:rsidR="002A5362" w:rsidRPr="00C617AE" w14:paraId="3E54ADEB" w14:textId="77777777" w:rsidTr="00015B88">
        <w:tc>
          <w:tcPr>
            <w:tcW w:w="2136" w:type="dxa"/>
            <w:tcBorders>
              <w:top w:val="nil"/>
              <w:left w:val="nil"/>
              <w:bottom w:val="nil"/>
              <w:right w:val="nil"/>
            </w:tcBorders>
          </w:tcPr>
          <w:p w14:paraId="13507FAC"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23EA61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(-0.62)</w:t>
            </w:r>
          </w:p>
        </w:tc>
        <w:tc>
          <w:tcPr>
            <w:tcW w:w="1656" w:type="dxa"/>
            <w:tcBorders>
              <w:top w:val="nil"/>
              <w:left w:val="nil"/>
              <w:bottom w:val="nil"/>
              <w:right w:val="nil"/>
            </w:tcBorders>
          </w:tcPr>
          <w:p w14:paraId="08759B5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(-0.46)</w:t>
            </w:r>
          </w:p>
        </w:tc>
        <w:tc>
          <w:tcPr>
            <w:tcW w:w="1656" w:type="dxa"/>
            <w:tcBorders>
              <w:top w:val="nil"/>
              <w:left w:val="nil"/>
              <w:bottom w:val="nil"/>
              <w:right w:val="nil"/>
            </w:tcBorders>
          </w:tcPr>
          <w:p w14:paraId="22D4A9B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(-1.05)</w:t>
            </w:r>
          </w:p>
        </w:tc>
        <w:tc>
          <w:tcPr>
            <w:tcW w:w="1656" w:type="dxa"/>
            <w:tcBorders>
              <w:top w:val="nil"/>
              <w:left w:val="nil"/>
              <w:bottom w:val="nil"/>
              <w:right w:val="nil"/>
            </w:tcBorders>
          </w:tcPr>
          <w:p w14:paraId="53808D0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(0.65)</w:t>
            </w:r>
          </w:p>
        </w:tc>
        <w:tc>
          <w:tcPr>
            <w:tcW w:w="1656" w:type="dxa"/>
            <w:tcBorders>
              <w:top w:val="nil"/>
              <w:left w:val="nil"/>
              <w:bottom w:val="nil"/>
              <w:right w:val="nil"/>
            </w:tcBorders>
          </w:tcPr>
          <w:p w14:paraId="05AFA4D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(1.09)</w:t>
            </w:r>
          </w:p>
        </w:tc>
      </w:tr>
      <w:tr w:rsidR="002A5362" w:rsidRPr="00C617AE" w14:paraId="7ABB3059" w14:textId="77777777" w:rsidTr="00015B88">
        <w:tc>
          <w:tcPr>
            <w:tcW w:w="2136" w:type="dxa"/>
            <w:tcBorders>
              <w:top w:val="nil"/>
              <w:left w:val="nil"/>
              <w:bottom w:val="nil"/>
              <w:right w:val="nil"/>
            </w:tcBorders>
          </w:tcPr>
          <w:p w14:paraId="51A0DEF8"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396BEB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91E43AC"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917003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2710D70"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61D3D09"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226641CB" w14:textId="77777777" w:rsidTr="00015B88">
        <w:tc>
          <w:tcPr>
            <w:tcW w:w="2136" w:type="dxa"/>
            <w:tcBorders>
              <w:top w:val="nil"/>
              <w:left w:val="nil"/>
              <w:bottom w:val="nil"/>
              <w:right w:val="nil"/>
            </w:tcBorders>
          </w:tcPr>
          <w:p w14:paraId="7A3ABB5E"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L2.(Lack of) Irregular CB Governor Turnover (higher = more de facto CBI)</w:t>
            </w:r>
          </w:p>
        </w:tc>
        <w:tc>
          <w:tcPr>
            <w:tcW w:w="1656" w:type="dxa"/>
            <w:tcBorders>
              <w:top w:val="nil"/>
              <w:left w:val="nil"/>
              <w:bottom w:val="nil"/>
              <w:right w:val="nil"/>
            </w:tcBorders>
          </w:tcPr>
          <w:p w14:paraId="3A32FAD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-0.252</w:t>
            </w:r>
          </w:p>
        </w:tc>
        <w:tc>
          <w:tcPr>
            <w:tcW w:w="1656" w:type="dxa"/>
            <w:tcBorders>
              <w:top w:val="nil"/>
              <w:left w:val="nil"/>
              <w:bottom w:val="nil"/>
              <w:right w:val="nil"/>
            </w:tcBorders>
          </w:tcPr>
          <w:p w14:paraId="50CEB18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-0.0300</w:t>
            </w:r>
          </w:p>
        </w:tc>
        <w:tc>
          <w:tcPr>
            <w:tcW w:w="1656" w:type="dxa"/>
            <w:tcBorders>
              <w:top w:val="nil"/>
              <w:left w:val="nil"/>
              <w:bottom w:val="nil"/>
              <w:right w:val="nil"/>
            </w:tcBorders>
          </w:tcPr>
          <w:p w14:paraId="247E29B8"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-0.290</w:t>
            </w:r>
          </w:p>
        </w:tc>
        <w:tc>
          <w:tcPr>
            <w:tcW w:w="1656" w:type="dxa"/>
            <w:tcBorders>
              <w:top w:val="nil"/>
              <w:left w:val="nil"/>
              <w:bottom w:val="nil"/>
              <w:right w:val="nil"/>
            </w:tcBorders>
          </w:tcPr>
          <w:p w14:paraId="171333D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0.00655</w:t>
            </w:r>
          </w:p>
        </w:tc>
        <w:tc>
          <w:tcPr>
            <w:tcW w:w="1656" w:type="dxa"/>
            <w:tcBorders>
              <w:top w:val="nil"/>
              <w:left w:val="nil"/>
              <w:bottom w:val="nil"/>
              <w:right w:val="nil"/>
            </w:tcBorders>
          </w:tcPr>
          <w:p w14:paraId="56B96BB7"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0.0130</w:t>
            </w:r>
          </w:p>
        </w:tc>
      </w:tr>
      <w:tr w:rsidR="002A5362" w:rsidRPr="00C617AE" w14:paraId="681A39E9" w14:textId="77777777" w:rsidTr="00015B88">
        <w:tc>
          <w:tcPr>
            <w:tcW w:w="2136" w:type="dxa"/>
            <w:tcBorders>
              <w:top w:val="nil"/>
              <w:left w:val="nil"/>
              <w:bottom w:val="nil"/>
              <w:right w:val="nil"/>
            </w:tcBorders>
          </w:tcPr>
          <w:p w14:paraId="47F6DB5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44892B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(-1.58)</w:t>
            </w:r>
          </w:p>
        </w:tc>
        <w:tc>
          <w:tcPr>
            <w:tcW w:w="1656" w:type="dxa"/>
            <w:tcBorders>
              <w:top w:val="nil"/>
              <w:left w:val="nil"/>
              <w:bottom w:val="nil"/>
              <w:right w:val="nil"/>
            </w:tcBorders>
          </w:tcPr>
          <w:p w14:paraId="4F31134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(-0.22)</w:t>
            </w:r>
          </w:p>
        </w:tc>
        <w:tc>
          <w:tcPr>
            <w:tcW w:w="1656" w:type="dxa"/>
            <w:tcBorders>
              <w:top w:val="nil"/>
              <w:left w:val="nil"/>
              <w:bottom w:val="nil"/>
              <w:right w:val="nil"/>
            </w:tcBorders>
          </w:tcPr>
          <w:p w14:paraId="28BC74D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(-1.68)</w:t>
            </w:r>
          </w:p>
        </w:tc>
        <w:tc>
          <w:tcPr>
            <w:tcW w:w="1656" w:type="dxa"/>
            <w:tcBorders>
              <w:top w:val="nil"/>
              <w:left w:val="nil"/>
              <w:bottom w:val="nil"/>
              <w:right w:val="nil"/>
            </w:tcBorders>
          </w:tcPr>
          <w:p w14:paraId="60DC0A5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(0.09)</w:t>
            </w:r>
          </w:p>
        </w:tc>
        <w:tc>
          <w:tcPr>
            <w:tcW w:w="1656" w:type="dxa"/>
            <w:tcBorders>
              <w:top w:val="nil"/>
              <w:left w:val="nil"/>
              <w:bottom w:val="nil"/>
              <w:right w:val="nil"/>
            </w:tcBorders>
          </w:tcPr>
          <w:p w14:paraId="748687F2"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(0.31)</w:t>
            </w:r>
          </w:p>
        </w:tc>
      </w:tr>
      <w:tr w:rsidR="002A5362" w:rsidRPr="00C617AE" w14:paraId="652EC3C7" w14:textId="77777777" w:rsidTr="00015B88">
        <w:tc>
          <w:tcPr>
            <w:tcW w:w="2136" w:type="dxa"/>
            <w:tcBorders>
              <w:top w:val="nil"/>
              <w:left w:val="nil"/>
              <w:bottom w:val="nil"/>
              <w:right w:val="nil"/>
            </w:tcBorders>
          </w:tcPr>
          <w:p w14:paraId="512C882B"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470C25F"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4DD8DC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295E2C4"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B29454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952B677"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2777CB6B" w14:textId="77777777" w:rsidTr="00015B88">
        <w:tc>
          <w:tcPr>
            <w:tcW w:w="2136" w:type="dxa"/>
            <w:tcBorders>
              <w:top w:val="nil"/>
              <w:left w:val="nil"/>
              <w:bottom w:val="nil"/>
              <w:right w:val="nil"/>
            </w:tcBorders>
          </w:tcPr>
          <w:p w14:paraId="4E198D3F"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L3.(Lack of) Irregular CB Governor Turnover (higher = more de facto CBI)</w:t>
            </w:r>
          </w:p>
        </w:tc>
        <w:tc>
          <w:tcPr>
            <w:tcW w:w="1656" w:type="dxa"/>
            <w:tcBorders>
              <w:top w:val="nil"/>
              <w:left w:val="nil"/>
              <w:bottom w:val="nil"/>
              <w:right w:val="nil"/>
            </w:tcBorders>
          </w:tcPr>
          <w:p w14:paraId="454C8F9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-0.116</w:t>
            </w:r>
          </w:p>
        </w:tc>
        <w:tc>
          <w:tcPr>
            <w:tcW w:w="1656" w:type="dxa"/>
            <w:tcBorders>
              <w:top w:val="nil"/>
              <w:left w:val="nil"/>
              <w:bottom w:val="nil"/>
              <w:right w:val="nil"/>
            </w:tcBorders>
          </w:tcPr>
          <w:p w14:paraId="252C73D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-0.00711</w:t>
            </w:r>
          </w:p>
        </w:tc>
        <w:tc>
          <w:tcPr>
            <w:tcW w:w="1656" w:type="dxa"/>
            <w:tcBorders>
              <w:top w:val="nil"/>
              <w:left w:val="nil"/>
              <w:bottom w:val="nil"/>
              <w:right w:val="nil"/>
            </w:tcBorders>
          </w:tcPr>
          <w:p w14:paraId="3563A6A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0.0439</w:t>
            </w:r>
          </w:p>
        </w:tc>
        <w:tc>
          <w:tcPr>
            <w:tcW w:w="1656" w:type="dxa"/>
            <w:tcBorders>
              <w:top w:val="nil"/>
              <w:left w:val="nil"/>
              <w:bottom w:val="nil"/>
              <w:right w:val="nil"/>
            </w:tcBorders>
          </w:tcPr>
          <w:p w14:paraId="4AFC9E4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0.0361</w:t>
            </w:r>
          </w:p>
        </w:tc>
        <w:tc>
          <w:tcPr>
            <w:tcW w:w="1656" w:type="dxa"/>
            <w:tcBorders>
              <w:top w:val="nil"/>
              <w:left w:val="nil"/>
              <w:bottom w:val="nil"/>
              <w:right w:val="nil"/>
            </w:tcBorders>
          </w:tcPr>
          <w:p w14:paraId="58509BD9"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-0.0233</w:t>
            </w:r>
          </w:p>
        </w:tc>
      </w:tr>
      <w:tr w:rsidR="002A5362" w:rsidRPr="00C617AE" w14:paraId="4EAB8ADB" w14:textId="77777777" w:rsidTr="00015B88">
        <w:tc>
          <w:tcPr>
            <w:tcW w:w="2136" w:type="dxa"/>
            <w:tcBorders>
              <w:top w:val="nil"/>
              <w:left w:val="nil"/>
              <w:bottom w:val="nil"/>
              <w:right w:val="nil"/>
            </w:tcBorders>
          </w:tcPr>
          <w:p w14:paraId="39C39DD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08A1B8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(-0.76)</w:t>
            </w:r>
          </w:p>
        </w:tc>
        <w:tc>
          <w:tcPr>
            <w:tcW w:w="1656" w:type="dxa"/>
            <w:tcBorders>
              <w:top w:val="nil"/>
              <w:left w:val="nil"/>
              <w:bottom w:val="nil"/>
              <w:right w:val="nil"/>
            </w:tcBorders>
          </w:tcPr>
          <w:p w14:paraId="6D4E607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(-0.07)</w:t>
            </w:r>
          </w:p>
        </w:tc>
        <w:tc>
          <w:tcPr>
            <w:tcW w:w="1656" w:type="dxa"/>
            <w:tcBorders>
              <w:top w:val="nil"/>
              <w:left w:val="nil"/>
              <w:bottom w:val="nil"/>
              <w:right w:val="nil"/>
            </w:tcBorders>
          </w:tcPr>
          <w:p w14:paraId="72D7499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(0.29)</w:t>
            </w:r>
          </w:p>
        </w:tc>
        <w:tc>
          <w:tcPr>
            <w:tcW w:w="1656" w:type="dxa"/>
            <w:tcBorders>
              <w:top w:val="nil"/>
              <w:left w:val="nil"/>
              <w:bottom w:val="nil"/>
              <w:right w:val="nil"/>
            </w:tcBorders>
          </w:tcPr>
          <w:p w14:paraId="482FCF19"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(0.54)</w:t>
            </w:r>
          </w:p>
        </w:tc>
        <w:tc>
          <w:tcPr>
            <w:tcW w:w="1656" w:type="dxa"/>
            <w:tcBorders>
              <w:top w:val="nil"/>
              <w:left w:val="nil"/>
              <w:bottom w:val="nil"/>
              <w:right w:val="nil"/>
            </w:tcBorders>
          </w:tcPr>
          <w:p w14:paraId="6D28BB6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(-0.57)</w:t>
            </w:r>
          </w:p>
        </w:tc>
      </w:tr>
      <w:tr w:rsidR="002A5362" w:rsidRPr="00C617AE" w14:paraId="002228A3" w14:textId="77777777" w:rsidTr="00015B88">
        <w:tc>
          <w:tcPr>
            <w:tcW w:w="2136" w:type="dxa"/>
            <w:tcBorders>
              <w:top w:val="nil"/>
              <w:left w:val="nil"/>
              <w:bottom w:val="nil"/>
              <w:right w:val="nil"/>
            </w:tcBorders>
          </w:tcPr>
          <w:p w14:paraId="25FAE560"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53E6A58"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6827CF8"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7012F7A"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3873F0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68AA67F"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2D2D974C" w14:textId="77777777" w:rsidTr="00015B88">
        <w:tc>
          <w:tcPr>
            <w:tcW w:w="2136" w:type="dxa"/>
            <w:tcBorders>
              <w:top w:val="nil"/>
              <w:left w:val="nil"/>
              <w:bottom w:val="nil"/>
              <w:right w:val="nil"/>
            </w:tcBorders>
          </w:tcPr>
          <w:p w14:paraId="397DA82B"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L4.(Lack of) Irregular CB Governor Turnover (higher = more de facto CBI)</w:t>
            </w:r>
          </w:p>
        </w:tc>
        <w:tc>
          <w:tcPr>
            <w:tcW w:w="1656" w:type="dxa"/>
            <w:tcBorders>
              <w:top w:val="nil"/>
              <w:left w:val="nil"/>
              <w:bottom w:val="nil"/>
              <w:right w:val="nil"/>
            </w:tcBorders>
          </w:tcPr>
          <w:p w14:paraId="24A940E2"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0.164</w:t>
            </w:r>
          </w:p>
        </w:tc>
        <w:tc>
          <w:tcPr>
            <w:tcW w:w="1656" w:type="dxa"/>
            <w:tcBorders>
              <w:top w:val="nil"/>
              <w:left w:val="nil"/>
              <w:bottom w:val="nil"/>
              <w:right w:val="nil"/>
            </w:tcBorders>
          </w:tcPr>
          <w:p w14:paraId="0C2AD60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-0.000822</w:t>
            </w:r>
          </w:p>
        </w:tc>
        <w:tc>
          <w:tcPr>
            <w:tcW w:w="1656" w:type="dxa"/>
            <w:tcBorders>
              <w:top w:val="nil"/>
              <w:left w:val="nil"/>
              <w:bottom w:val="nil"/>
              <w:right w:val="nil"/>
            </w:tcBorders>
          </w:tcPr>
          <w:p w14:paraId="626084CE"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0.233</w:t>
            </w:r>
          </w:p>
        </w:tc>
        <w:tc>
          <w:tcPr>
            <w:tcW w:w="1656" w:type="dxa"/>
            <w:tcBorders>
              <w:top w:val="nil"/>
              <w:left w:val="nil"/>
              <w:bottom w:val="nil"/>
              <w:right w:val="nil"/>
            </w:tcBorders>
          </w:tcPr>
          <w:p w14:paraId="2BD3C5A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0.0418</w:t>
            </w:r>
          </w:p>
        </w:tc>
        <w:tc>
          <w:tcPr>
            <w:tcW w:w="1656" w:type="dxa"/>
            <w:tcBorders>
              <w:top w:val="nil"/>
              <w:left w:val="nil"/>
              <w:bottom w:val="nil"/>
              <w:right w:val="nil"/>
            </w:tcBorders>
          </w:tcPr>
          <w:p w14:paraId="76516F7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-0.0585</w:t>
            </w:r>
          </w:p>
        </w:tc>
      </w:tr>
      <w:tr w:rsidR="002A5362" w:rsidRPr="00C617AE" w14:paraId="5041D7C5" w14:textId="77777777" w:rsidTr="00015B88">
        <w:tc>
          <w:tcPr>
            <w:tcW w:w="2136" w:type="dxa"/>
            <w:tcBorders>
              <w:top w:val="nil"/>
              <w:left w:val="nil"/>
              <w:bottom w:val="nil"/>
              <w:right w:val="nil"/>
            </w:tcBorders>
          </w:tcPr>
          <w:p w14:paraId="491216A6"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5FBC88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(0.99)</w:t>
            </w:r>
          </w:p>
        </w:tc>
        <w:tc>
          <w:tcPr>
            <w:tcW w:w="1656" w:type="dxa"/>
            <w:tcBorders>
              <w:top w:val="nil"/>
              <w:left w:val="nil"/>
              <w:bottom w:val="nil"/>
              <w:right w:val="nil"/>
            </w:tcBorders>
          </w:tcPr>
          <w:p w14:paraId="3749B8C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w:t>
            </w:r>
          </w:p>
        </w:tc>
        <w:tc>
          <w:tcPr>
            <w:tcW w:w="1656" w:type="dxa"/>
            <w:tcBorders>
              <w:top w:val="nil"/>
              <w:left w:val="nil"/>
              <w:bottom w:val="nil"/>
              <w:right w:val="nil"/>
            </w:tcBorders>
          </w:tcPr>
          <w:p w14:paraId="224308F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(1.43)</w:t>
            </w:r>
          </w:p>
        </w:tc>
        <w:tc>
          <w:tcPr>
            <w:tcW w:w="1656" w:type="dxa"/>
            <w:tcBorders>
              <w:top w:val="nil"/>
              <w:left w:val="nil"/>
              <w:bottom w:val="nil"/>
              <w:right w:val="nil"/>
            </w:tcBorders>
          </w:tcPr>
          <w:p w14:paraId="00BC58B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(0.61)</w:t>
            </w:r>
          </w:p>
        </w:tc>
        <w:tc>
          <w:tcPr>
            <w:tcW w:w="1656" w:type="dxa"/>
            <w:tcBorders>
              <w:top w:val="nil"/>
              <w:left w:val="nil"/>
              <w:bottom w:val="nil"/>
              <w:right w:val="nil"/>
            </w:tcBorders>
          </w:tcPr>
          <w:p w14:paraId="54A4C5B7"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(-1.43)</w:t>
            </w:r>
          </w:p>
        </w:tc>
      </w:tr>
      <w:tr w:rsidR="002A5362" w:rsidRPr="00C617AE" w14:paraId="5D8E0A4D" w14:textId="77777777" w:rsidTr="00015B88">
        <w:tc>
          <w:tcPr>
            <w:tcW w:w="2136" w:type="dxa"/>
            <w:tcBorders>
              <w:top w:val="nil"/>
              <w:left w:val="nil"/>
              <w:bottom w:val="nil"/>
              <w:right w:val="nil"/>
            </w:tcBorders>
          </w:tcPr>
          <w:p w14:paraId="08FF8127"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D0A6DD0"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423AAB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75811E2"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8B2CCD0"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E682CD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4F0B0558" w14:textId="77777777" w:rsidTr="00015B88">
        <w:tc>
          <w:tcPr>
            <w:tcW w:w="2136" w:type="dxa"/>
            <w:tcBorders>
              <w:top w:val="nil"/>
              <w:left w:val="nil"/>
              <w:bottom w:val="nil"/>
              <w:right w:val="nil"/>
            </w:tcBorders>
          </w:tcPr>
          <w:p w14:paraId="2D2E1B05"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L5.(Lack of) Irregular CB Governor Turnover (higher = more de facto CBI)</w:t>
            </w:r>
          </w:p>
        </w:tc>
        <w:tc>
          <w:tcPr>
            <w:tcW w:w="1656" w:type="dxa"/>
            <w:tcBorders>
              <w:top w:val="nil"/>
              <w:left w:val="nil"/>
              <w:bottom w:val="nil"/>
              <w:right w:val="nil"/>
            </w:tcBorders>
          </w:tcPr>
          <w:p w14:paraId="5CCF49A2"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0.106</w:t>
            </w:r>
          </w:p>
        </w:tc>
        <w:tc>
          <w:tcPr>
            <w:tcW w:w="1656" w:type="dxa"/>
            <w:tcBorders>
              <w:top w:val="nil"/>
              <w:left w:val="nil"/>
              <w:bottom w:val="nil"/>
              <w:right w:val="nil"/>
            </w:tcBorders>
          </w:tcPr>
          <w:p w14:paraId="1748BC3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0.0321</w:t>
            </w:r>
          </w:p>
        </w:tc>
        <w:tc>
          <w:tcPr>
            <w:tcW w:w="1656" w:type="dxa"/>
            <w:tcBorders>
              <w:top w:val="nil"/>
              <w:left w:val="nil"/>
              <w:bottom w:val="nil"/>
              <w:right w:val="nil"/>
            </w:tcBorders>
          </w:tcPr>
          <w:p w14:paraId="5C6A820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0.122</w:t>
            </w:r>
          </w:p>
        </w:tc>
        <w:tc>
          <w:tcPr>
            <w:tcW w:w="1656" w:type="dxa"/>
            <w:tcBorders>
              <w:top w:val="nil"/>
              <w:left w:val="nil"/>
              <w:bottom w:val="nil"/>
              <w:right w:val="nil"/>
            </w:tcBorders>
          </w:tcPr>
          <w:p w14:paraId="7D0BD2E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-0.0286</w:t>
            </w:r>
          </w:p>
        </w:tc>
        <w:tc>
          <w:tcPr>
            <w:tcW w:w="1656" w:type="dxa"/>
            <w:tcBorders>
              <w:top w:val="nil"/>
              <w:left w:val="nil"/>
              <w:bottom w:val="nil"/>
              <w:right w:val="nil"/>
            </w:tcBorders>
          </w:tcPr>
          <w:p w14:paraId="49A80D17"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-0.0154</w:t>
            </w:r>
          </w:p>
        </w:tc>
      </w:tr>
      <w:tr w:rsidR="002A5362" w:rsidRPr="00C617AE" w14:paraId="743239B8" w14:textId="77777777" w:rsidTr="00015B88">
        <w:tc>
          <w:tcPr>
            <w:tcW w:w="2136" w:type="dxa"/>
            <w:tcBorders>
              <w:top w:val="nil"/>
              <w:left w:val="nil"/>
              <w:bottom w:val="nil"/>
              <w:right w:val="nil"/>
            </w:tcBorders>
          </w:tcPr>
          <w:p w14:paraId="74D8E093"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F2C5EE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(0.66)</w:t>
            </w:r>
          </w:p>
        </w:tc>
        <w:tc>
          <w:tcPr>
            <w:tcW w:w="1656" w:type="dxa"/>
            <w:tcBorders>
              <w:top w:val="nil"/>
              <w:left w:val="nil"/>
              <w:bottom w:val="nil"/>
              <w:right w:val="nil"/>
            </w:tcBorders>
          </w:tcPr>
          <w:p w14:paraId="2442060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(0.25)</w:t>
            </w:r>
          </w:p>
        </w:tc>
        <w:tc>
          <w:tcPr>
            <w:tcW w:w="1656" w:type="dxa"/>
            <w:tcBorders>
              <w:top w:val="nil"/>
              <w:left w:val="nil"/>
              <w:bottom w:val="nil"/>
              <w:right w:val="nil"/>
            </w:tcBorders>
          </w:tcPr>
          <w:p w14:paraId="13EF392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(0.79)</w:t>
            </w:r>
          </w:p>
        </w:tc>
        <w:tc>
          <w:tcPr>
            <w:tcW w:w="1656" w:type="dxa"/>
            <w:tcBorders>
              <w:top w:val="nil"/>
              <w:left w:val="nil"/>
              <w:bottom w:val="nil"/>
              <w:right w:val="nil"/>
            </w:tcBorders>
          </w:tcPr>
          <w:p w14:paraId="5B6F6BF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(-0.44)</w:t>
            </w:r>
          </w:p>
        </w:tc>
        <w:tc>
          <w:tcPr>
            <w:tcW w:w="1656" w:type="dxa"/>
            <w:tcBorders>
              <w:top w:val="nil"/>
              <w:left w:val="nil"/>
              <w:bottom w:val="nil"/>
              <w:right w:val="nil"/>
            </w:tcBorders>
          </w:tcPr>
          <w:p w14:paraId="5C8EFAA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(-0.32)</w:t>
            </w:r>
          </w:p>
        </w:tc>
      </w:tr>
      <w:tr w:rsidR="002A5362" w:rsidRPr="00C617AE" w14:paraId="044695D8" w14:textId="77777777" w:rsidTr="00015B88">
        <w:tc>
          <w:tcPr>
            <w:tcW w:w="2136" w:type="dxa"/>
            <w:tcBorders>
              <w:top w:val="nil"/>
              <w:left w:val="nil"/>
              <w:bottom w:val="nil"/>
              <w:right w:val="nil"/>
            </w:tcBorders>
          </w:tcPr>
          <w:p w14:paraId="45DD475F"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507E758"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B430106"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48B05CA"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46A0295"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1F1CCB2"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5C0828FB" w14:textId="77777777" w:rsidTr="00015B88">
        <w:tc>
          <w:tcPr>
            <w:tcW w:w="2136" w:type="dxa"/>
            <w:tcBorders>
              <w:top w:val="nil"/>
              <w:left w:val="nil"/>
              <w:bottom w:val="nil"/>
              <w:right w:val="nil"/>
            </w:tcBorders>
          </w:tcPr>
          <w:p w14:paraId="22EF3665"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L6.(Lack of) Irregular CB Governor Turnover (higher = more de facto CBI)</w:t>
            </w:r>
          </w:p>
        </w:tc>
        <w:tc>
          <w:tcPr>
            <w:tcW w:w="1656" w:type="dxa"/>
            <w:tcBorders>
              <w:top w:val="nil"/>
              <w:left w:val="nil"/>
              <w:bottom w:val="nil"/>
              <w:right w:val="nil"/>
            </w:tcBorders>
          </w:tcPr>
          <w:p w14:paraId="4E0679A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-0.346</w:t>
            </w:r>
            <w:r w:rsidRPr="00C617AE">
              <w:rPr>
                <w:rFonts w:ascii="Times New Roman" w:hAnsi="Times New Roman" w:cs="Times New Roman"/>
                <w:sz w:val="20"/>
                <w:szCs w:val="20"/>
                <w:vertAlign w:val="superscript"/>
              </w:rPr>
              <w:t>*</w:t>
            </w:r>
          </w:p>
        </w:tc>
        <w:tc>
          <w:tcPr>
            <w:tcW w:w="1656" w:type="dxa"/>
            <w:tcBorders>
              <w:top w:val="nil"/>
              <w:left w:val="nil"/>
              <w:bottom w:val="nil"/>
              <w:right w:val="nil"/>
            </w:tcBorders>
          </w:tcPr>
          <w:p w14:paraId="69753DD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-0.134</w:t>
            </w:r>
          </w:p>
        </w:tc>
        <w:tc>
          <w:tcPr>
            <w:tcW w:w="1656" w:type="dxa"/>
            <w:tcBorders>
              <w:top w:val="nil"/>
              <w:left w:val="nil"/>
              <w:bottom w:val="nil"/>
              <w:right w:val="nil"/>
            </w:tcBorders>
          </w:tcPr>
          <w:p w14:paraId="51D2B3A7"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-0.482</w:t>
            </w:r>
            <w:r w:rsidRPr="00C617AE">
              <w:rPr>
                <w:rFonts w:ascii="Times New Roman" w:hAnsi="Times New Roman" w:cs="Times New Roman"/>
                <w:sz w:val="20"/>
                <w:szCs w:val="20"/>
                <w:vertAlign w:val="superscript"/>
              </w:rPr>
              <w:t>***</w:t>
            </w:r>
          </w:p>
        </w:tc>
        <w:tc>
          <w:tcPr>
            <w:tcW w:w="1656" w:type="dxa"/>
            <w:tcBorders>
              <w:top w:val="nil"/>
              <w:left w:val="nil"/>
              <w:bottom w:val="nil"/>
              <w:right w:val="nil"/>
            </w:tcBorders>
          </w:tcPr>
          <w:p w14:paraId="1B42F73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-0.0304</w:t>
            </w:r>
          </w:p>
        </w:tc>
        <w:tc>
          <w:tcPr>
            <w:tcW w:w="1656" w:type="dxa"/>
            <w:tcBorders>
              <w:top w:val="nil"/>
              <w:left w:val="nil"/>
              <w:bottom w:val="nil"/>
              <w:right w:val="nil"/>
            </w:tcBorders>
          </w:tcPr>
          <w:p w14:paraId="7313DCB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0.0483</w:t>
            </w:r>
          </w:p>
        </w:tc>
      </w:tr>
      <w:tr w:rsidR="002A5362" w:rsidRPr="00C617AE" w14:paraId="22B70B25" w14:textId="77777777" w:rsidTr="00015B88">
        <w:tc>
          <w:tcPr>
            <w:tcW w:w="2136" w:type="dxa"/>
            <w:tcBorders>
              <w:top w:val="nil"/>
              <w:left w:val="nil"/>
              <w:bottom w:val="nil"/>
              <w:right w:val="nil"/>
            </w:tcBorders>
          </w:tcPr>
          <w:p w14:paraId="40191BCC"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E4C293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(-2.37)</w:t>
            </w:r>
          </w:p>
        </w:tc>
        <w:tc>
          <w:tcPr>
            <w:tcW w:w="1656" w:type="dxa"/>
            <w:tcBorders>
              <w:top w:val="nil"/>
              <w:left w:val="nil"/>
              <w:bottom w:val="nil"/>
              <w:right w:val="nil"/>
            </w:tcBorders>
          </w:tcPr>
          <w:p w14:paraId="6AD50C99"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(-1.09)</w:t>
            </w:r>
          </w:p>
        </w:tc>
        <w:tc>
          <w:tcPr>
            <w:tcW w:w="1656" w:type="dxa"/>
            <w:tcBorders>
              <w:top w:val="nil"/>
              <w:left w:val="nil"/>
              <w:bottom w:val="nil"/>
              <w:right w:val="nil"/>
            </w:tcBorders>
          </w:tcPr>
          <w:p w14:paraId="0A51349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(-3.43)</w:t>
            </w:r>
          </w:p>
        </w:tc>
        <w:tc>
          <w:tcPr>
            <w:tcW w:w="1656" w:type="dxa"/>
            <w:tcBorders>
              <w:top w:val="nil"/>
              <w:left w:val="nil"/>
              <w:bottom w:val="nil"/>
              <w:right w:val="nil"/>
            </w:tcBorders>
          </w:tcPr>
          <w:p w14:paraId="685AFA4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(-0.56)</w:t>
            </w:r>
          </w:p>
        </w:tc>
        <w:tc>
          <w:tcPr>
            <w:tcW w:w="1656" w:type="dxa"/>
            <w:tcBorders>
              <w:top w:val="nil"/>
              <w:left w:val="nil"/>
              <w:bottom w:val="nil"/>
              <w:right w:val="nil"/>
            </w:tcBorders>
          </w:tcPr>
          <w:p w14:paraId="0540D1A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(1.00)</w:t>
            </w:r>
          </w:p>
        </w:tc>
      </w:tr>
      <w:tr w:rsidR="002A5362" w:rsidRPr="00C617AE" w14:paraId="6998F48A" w14:textId="77777777" w:rsidTr="00015B88">
        <w:tc>
          <w:tcPr>
            <w:tcW w:w="2136" w:type="dxa"/>
            <w:tcBorders>
              <w:top w:val="nil"/>
              <w:left w:val="nil"/>
              <w:bottom w:val="nil"/>
              <w:right w:val="nil"/>
            </w:tcBorders>
          </w:tcPr>
          <w:p w14:paraId="6333555E"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35EE990"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B33212A"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38C18A7"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09ABB0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B06A948"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080D3352" w14:textId="77777777" w:rsidTr="00015B88">
        <w:tc>
          <w:tcPr>
            <w:tcW w:w="2136" w:type="dxa"/>
            <w:tcBorders>
              <w:top w:val="nil"/>
              <w:left w:val="nil"/>
              <w:bottom w:val="nil"/>
              <w:right w:val="nil"/>
            </w:tcBorders>
          </w:tcPr>
          <w:p w14:paraId="2BEA339E"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L7.(Lack of) Irregular CB Governor Turnover (higher = more de facto CBI)</w:t>
            </w:r>
          </w:p>
        </w:tc>
        <w:tc>
          <w:tcPr>
            <w:tcW w:w="1656" w:type="dxa"/>
            <w:tcBorders>
              <w:top w:val="nil"/>
              <w:left w:val="nil"/>
              <w:bottom w:val="nil"/>
              <w:right w:val="nil"/>
            </w:tcBorders>
          </w:tcPr>
          <w:p w14:paraId="52CAF3F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-0.000963</w:t>
            </w:r>
          </w:p>
        </w:tc>
        <w:tc>
          <w:tcPr>
            <w:tcW w:w="1656" w:type="dxa"/>
            <w:tcBorders>
              <w:top w:val="nil"/>
              <w:left w:val="nil"/>
              <w:bottom w:val="nil"/>
              <w:right w:val="nil"/>
            </w:tcBorders>
          </w:tcPr>
          <w:p w14:paraId="4EFD193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0.242</w:t>
            </w:r>
            <w:r w:rsidRPr="00C617AE">
              <w:rPr>
                <w:rFonts w:ascii="Times New Roman" w:hAnsi="Times New Roman" w:cs="Times New Roman"/>
                <w:sz w:val="20"/>
                <w:szCs w:val="20"/>
                <w:vertAlign w:val="superscript"/>
              </w:rPr>
              <w:t>*</w:t>
            </w:r>
          </w:p>
        </w:tc>
        <w:tc>
          <w:tcPr>
            <w:tcW w:w="1656" w:type="dxa"/>
            <w:tcBorders>
              <w:top w:val="nil"/>
              <w:left w:val="nil"/>
              <w:bottom w:val="nil"/>
              <w:right w:val="nil"/>
            </w:tcBorders>
          </w:tcPr>
          <w:p w14:paraId="5EBD942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-0.116</w:t>
            </w:r>
          </w:p>
        </w:tc>
        <w:tc>
          <w:tcPr>
            <w:tcW w:w="1656" w:type="dxa"/>
            <w:tcBorders>
              <w:top w:val="nil"/>
              <w:left w:val="nil"/>
              <w:bottom w:val="nil"/>
              <w:right w:val="nil"/>
            </w:tcBorders>
          </w:tcPr>
          <w:p w14:paraId="29E9339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-0.0863</w:t>
            </w:r>
          </w:p>
        </w:tc>
        <w:tc>
          <w:tcPr>
            <w:tcW w:w="1656" w:type="dxa"/>
            <w:tcBorders>
              <w:top w:val="nil"/>
              <w:left w:val="nil"/>
              <w:bottom w:val="nil"/>
              <w:right w:val="nil"/>
            </w:tcBorders>
          </w:tcPr>
          <w:p w14:paraId="726E2EF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0.0120</w:t>
            </w:r>
          </w:p>
        </w:tc>
      </w:tr>
      <w:tr w:rsidR="002A5362" w:rsidRPr="00C617AE" w14:paraId="3664E555" w14:textId="77777777" w:rsidTr="00015B88">
        <w:tc>
          <w:tcPr>
            <w:tcW w:w="2136" w:type="dxa"/>
            <w:tcBorders>
              <w:top w:val="nil"/>
              <w:left w:val="nil"/>
              <w:bottom w:val="nil"/>
              <w:right w:val="nil"/>
            </w:tcBorders>
          </w:tcPr>
          <w:p w14:paraId="7D76860F"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701F34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w:t>
            </w:r>
          </w:p>
        </w:tc>
        <w:tc>
          <w:tcPr>
            <w:tcW w:w="1656" w:type="dxa"/>
            <w:tcBorders>
              <w:top w:val="nil"/>
              <w:left w:val="nil"/>
              <w:bottom w:val="nil"/>
              <w:right w:val="nil"/>
            </w:tcBorders>
          </w:tcPr>
          <w:p w14:paraId="30DE87C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(2.27)</w:t>
            </w:r>
          </w:p>
        </w:tc>
        <w:tc>
          <w:tcPr>
            <w:tcW w:w="1656" w:type="dxa"/>
            <w:tcBorders>
              <w:top w:val="nil"/>
              <w:left w:val="nil"/>
              <w:bottom w:val="nil"/>
              <w:right w:val="nil"/>
            </w:tcBorders>
          </w:tcPr>
          <w:p w14:paraId="640C3589"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(-0.68)</w:t>
            </w:r>
          </w:p>
        </w:tc>
        <w:tc>
          <w:tcPr>
            <w:tcW w:w="1656" w:type="dxa"/>
            <w:tcBorders>
              <w:top w:val="nil"/>
              <w:left w:val="nil"/>
              <w:bottom w:val="nil"/>
              <w:right w:val="nil"/>
            </w:tcBorders>
          </w:tcPr>
          <w:p w14:paraId="436EAAD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(-1.70)</w:t>
            </w:r>
          </w:p>
        </w:tc>
        <w:tc>
          <w:tcPr>
            <w:tcW w:w="1656" w:type="dxa"/>
            <w:tcBorders>
              <w:top w:val="nil"/>
              <w:left w:val="nil"/>
              <w:bottom w:val="nil"/>
              <w:right w:val="nil"/>
            </w:tcBorders>
          </w:tcPr>
          <w:p w14:paraId="079D3E1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(0.23)</w:t>
            </w:r>
          </w:p>
        </w:tc>
      </w:tr>
      <w:tr w:rsidR="002A5362" w:rsidRPr="00C617AE" w14:paraId="61D63724" w14:textId="77777777" w:rsidTr="00015B88">
        <w:tc>
          <w:tcPr>
            <w:tcW w:w="2136" w:type="dxa"/>
            <w:tcBorders>
              <w:top w:val="nil"/>
              <w:left w:val="nil"/>
              <w:bottom w:val="nil"/>
              <w:right w:val="nil"/>
            </w:tcBorders>
          </w:tcPr>
          <w:p w14:paraId="57BEBEF3"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BB05EA5"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82BCF23"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3B63A78"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0EDF5BF"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3F9664C"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3DF67B6B" w14:textId="77777777" w:rsidTr="00015B88">
        <w:tc>
          <w:tcPr>
            <w:tcW w:w="2136" w:type="dxa"/>
            <w:tcBorders>
              <w:top w:val="nil"/>
              <w:left w:val="nil"/>
              <w:bottom w:val="nil"/>
              <w:right w:val="nil"/>
            </w:tcBorders>
          </w:tcPr>
          <w:p w14:paraId="720E4F7E"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L8.(Lack of) Irregular CB Governor Turnover (higher = more de facto CBI)</w:t>
            </w:r>
          </w:p>
        </w:tc>
        <w:tc>
          <w:tcPr>
            <w:tcW w:w="1656" w:type="dxa"/>
            <w:tcBorders>
              <w:top w:val="nil"/>
              <w:left w:val="nil"/>
              <w:bottom w:val="nil"/>
              <w:right w:val="nil"/>
            </w:tcBorders>
          </w:tcPr>
          <w:p w14:paraId="2A0C98C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0.143</w:t>
            </w:r>
          </w:p>
        </w:tc>
        <w:tc>
          <w:tcPr>
            <w:tcW w:w="1656" w:type="dxa"/>
            <w:tcBorders>
              <w:top w:val="nil"/>
              <w:left w:val="nil"/>
              <w:bottom w:val="nil"/>
              <w:right w:val="nil"/>
            </w:tcBorders>
          </w:tcPr>
          <w:p w14:paraId="404EA60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0.330</w:t>
            </w:r>
            <w:r w:rsidRPr="00C617AE">
              <w:rPr>
                <w:rFonts w:ascii="Times New Roman" w:hAnsi="Times New Roman" w:cs="Times New Roman"/>
                <w:sz w:val="20"/>
                <w:szCs w:val="20"/>
                <w:vertAlign w:val="superscript"/>
              </w:rPr>
              <w:t>**</w:t>
            </w:r>
          </w:p>
        </w:tc>
        <w:tc>
          <w:tcPr>
            <w:tcW w:w="1656" w:type="dxa"/>
            <w:tcBorders>
              <w:top w:val="nil"/>
              <w:left w:val="nil"/>
              <w:bottom w:val="nil"/>
              <w:right w:val="nil"/>
            </w:tcBorders>
          </w:tcPr>
          <w:p w14:paraId="2444EF5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-0.0878</w:t>
            </w:r>
          </w:p>
        </w:tc>
        <w:tc>
          <w:tcPr>
            <w:tcW w:w="1656" w:type="dxa"/>
            <w:tcBorders>
              <w:top w:val="nil"/>
              <w:left w:val="nil"/>
              <w:bottom w:val="nil"/>
              <w:right w:val="nil"/>
            </w:tcBorders>
          </w:tcPr>
          <w:p w14:paraId="039E429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-0.0850</w:t>
            </w:r>
          </w:p>
        </w:tc>
        <w:tc>
          <w:tcPr>
            <w:tcW w:w="1656" w:type="dxa"/>
            <w:tcBorders>
              <w:top w:val="nil"/>
              <w:left w:val="nil"/>
              <w:bottom w:val="nil"/>
              <w:right w:val="nil"/>
            </w:tcBorders>
          </w:tcPr>
          <w:p w14:paraId="696E0D06"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-0.0694</w:t>
            </w:r>
          </w:p>
        </w:tc>
      </w:tr>
      <w:tr w:rsidR="002A5362" w:rsidRPr="00C617AE" w14:paraId="1E3CAD40" w14:textId="77777777" w:rsidTr="00015B88">
        <w:tc>
          <w:tcPr>
            <w:tcW w:w="2136" w:type="dxa"/>
            <w:tcBorders>
              <w:top w:val="nil"/>
              <w:left w:val="nil"/>
              <w:bottom w:val="nil"/>
              <w:right w:val="nil"/>
            </w:tcBorders>
          </w:tcPr>
          <w:p w14:paraId="33E9825A"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03A7F4E"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(0.97)</w:t>
            </w:r>
          </w:p>
        </w:tc>
        <w:tc>
          <w:tcPr>
            <w:tcW w:w="1656" w:type="dxa"/>
            <w:tcBorders>
              <w:top w:val="nil"/>
              <w:left w:val="nil"/>
              <w:bottom w:val="nil"/>
              <w:right w:val="nil"/>
            </w:tcBorders>
          </w:tcPr>
          <w:p w14:paraId="7F32872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(2.86)</w:t>
            </w:r>
          </w:p>
        </w:tc>
        <w:tc>
          <w:tcPr>
            <w:tcW w:w="1656" w:type="dxa"/>
            <w:tcBorders>
              <w:top w:val="nil"/>
              <w:left w:val="nil"/>
              <w:bottom w:val="nil"/>
              <w:right w:val="nil"/>
            </w:tcBorders>
          </w:tcPr>
          <w:p w14:paraId="50790A96"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(-0.57)</w:t>
            </w:r>
          </w:p>
        </w:tc>
        <w:tc>
          <w:tcPr>
            <w:tcW w:w="1656" w:type="dxa"/>
            <w:tcBorders>
              <w:top w:val="nil"/>
              <w:left w:val="nil"/>
              <w:bottom w:val="nil"/>
              <w:right w:val="nil"/>
            </w:tcBorders>
          </w:tcPr>
          <w:p w14:paraId="4E9807B7"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(-1.94)</w:t>
            </w:r>
          </w:p>
        </w:tc>
        <w:tc>
          <w:tcPr>
            <w:tcW w:w="1656" w:type="dxa"/>
            <w:tcBorders>
              <w:top w:val="nil"/>
              <w:left w:val="nil"/>
              <w:bottom w:val="nil"/>
              <w:right w:val="nil"/>
            </w:tcBorders>
          </w:tcPr>
          <w:p w14:paraId="396CCE8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(-1.47)</w:t>
            </w:r>
          </w:p>
        </w:tc>
      </w:tr>
      <w:tr w:rsidR="002A5362" w:rsidRPr="00C617AE" w14:paraId="0A2C628E" w14:textId="77777777" w:rsidTr="00015B88">
        <w:tc>
          <w:tcPr>
            <w:tcW w:w="2136" w:type="dxa"/>
            <w:tcBorders>
              <w:top w:val="nil"/>
              <w:left w:val="nil"/>
              <w:bottom w:val="nil"/>
              <w:right w:val="nil"/>
            </w:tcBorders>
          </w:tcPr>
          <w:p w14:paraId="18CF224E"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D63CAB3"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8640FF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1C64A62"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F205389"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631A8FB"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788A83DB" w14:textId="77777777" w:rsidTr="00015B88">
        <w:tc>
          <w:tcPr>
            <w:tcW w:w="2136" w:type="dxa"/>
            <w:tcBorders>
              <w:top w:val="nil"/>
              <w:left w:val="nil"/>
              <w:bottom w:val="nil"/>
              <w:right w:val="nil"/>
            </w:tcBorders>
          </w:tcPr>
          <w:p w14:paraId="63CD8BFE"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L9.(Lack of) Irregular CB Governor Turnover (higher = more de facto CBI)</w:t>
            </w:r>
          </w:p>
        </w:tc>
        <w:tc>
          <w:tcPr>
            <w:tcW w:w="1656" w:type="dxa"/>
            <w:tcBorders>
              <w:top w:val="nil"/>
              <w:left w:val="nil"/>
              <w:bottom w:val="nil"/>
              <w:right w:val="nil"/>
            </w:tcBorders>
          </w:tcPr>
          <w:p w14:paraId="5F808822"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-0.141</w:t>
            </w:r>
          </w:p>
        </w:tc>
        <w:tc>
          <w:tcPr>
            <w:tcW w:w="1656" w:type="dxa"/>
            <w:tcBorders>
              <w:top w:val="nil"/>
              <w:left w:val="nil"/>
              <w:bottom w:val="nil"/>
              <w:right w:val="nil"/>
            </w:tcBorders>
          </w:tcPr>
          <w:p w14:paraId="60F359A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-0.329</w:t>
            </w:r>
            <w:r w:rsidRPr="00C617AE">
              <w:rPr>
                <w:rFonts w:ascii="Times New Roman" w:hAnsi="Times New Roman" w:cs="Times New Roman"/>
                <w:sz w:val="20"/>
                <w:szCs w:val="20"/>
                <w:vertAlign w:val="superscript"/>
              </w:rPr>
              <w:t>**</w:t>
            </w:r>
          </w:p>
        </w:tc>
        <w:tc>
          <w:tcPr>
            <w:tcW w:w="1656" w:type="dxa"/>
            <w:tcBorders>
              <w:top w:val="nil"/>
              <w:left w:val="nil"/>
              <w:bottom w:val="nil"/>
              <w:right w:val="nil"/>
            </w:tcBorders>
          </w:tcPr>
          <w:p w14:paraId="72C3BC6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-0.210</w:t>
            </w:r>
          </w:p>
        </w:tc>
        <w:tc>
          <w:tcPr>
            <w:tcW w:w="1656" w:type="dxa"/>
            <w:tcBorders>
              <w:top w:val="nil"/>
              <w:left w:val="nil"/>
              <w:bottom w:val="nil"/>
              <w:right w:val="nil"/>
            </w:tcBorders>
          </w:tcPr>
          <w:p w14:paraId="5A1EA51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-0.00362</w:t>
            </w:r>
          </w:p>
        </w:tc>
        <w:tc>
          <w:tcPr>
            <w:tcW w:w="1656" w:type="dxa"/>
            <w:tcBorders>
              <w:top w:val="nil"/>
              <w:left w:val="nil"/>
              <w:bottom w:val="nil"/>
              <w:right w:val="nil"/>
            </w:tcBorders>
          </w:tcPr>
          <w:p w14:paraId="64B11549"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-0.00709</w:t>
            </w:r>
          </w:p>
        </w:tc>
      </w:tr>
      <w:tr w:rsidR="002A5362" w:rsidRPr="00C617AE" w14:paraId="11C5AC4A" w14:textId="77777777" w:rsidTr="00015B88">
        <w:tc>
          <w:tcPr>
            <w:tcW w:w="2136" w:type="dxa"/>
            <w:tcBorders>
              <w:top w:val="nil"/>
              <w:left w:val="nil"/>
              <w:bottom w:val="nil"/>
              <w:right w:val="nil"/>
            </w:tcBorders>
          </w:tcPr>
          <w:p w14:paraId="74F16FC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D5B066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(-0.84)</w:t>
            </w:r>
          </w:p>
        </w:tc>
        <w:tc>
          <w:tcPr>
            <w:tcW w:w="1656" w:type="dxa"/>
            <w:tcBorders>
              <w:top w:val="nil"/>
              <w:left w:val="nil"/>
              <w:bottom w:val="nil"/>
              <w:right w:val="nil"/>
            </w:tcBorders>
          </w:tcPr>
          <w:p w14:paraId="581286A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(-2.72)</w:t>
            </w:r>
          </w:p>
        </w:tc>
        <w:tc>
          <w:tcPr>
            <w:tcW w:w="1656" w:type="dxa"/>
            <w:tcBorders>
              <w:top w:val="nil"/>
              <w:left w:val="nil"/>
              <w:bottom w:val="nil"/>
              <w:right w:val="nil"/>
            </w:tcBorders>
          </w:tcPr>
          <w:p w14:paraId="59C45C4E"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(-1.35)</w:t>
            </w:r>
          </w:p>
        </w:tc>
        <w:tc>
          <w:tcPr>
            <w:tcW w:w="1656" w:type="dxa"/>
            <w:tcBorders>
              <w:top w:val="nil"/>
              <w:left w:val="nil"/>
              <w:bottom w:val="nil"/>
              <w:right w:val="nil"/>
            </w:tcBorders>
          </w:tcPr>
          <w:p w14:paraId="5D15F98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(-0.09)</w:t>
            </w:r>
          </w:p>
        </w:tc>
        <w:tc>
          <w:tcPr>
            <w:tcW w:w="1656" w:type="dxa"/>
            <w:tcBorders>
              <w:top w:val="nil"/>
              <w:left w:val="nil"/>
              <w:bottom w:val="nil"/>
              <w:right w:val="nil"/>
            </w:tcBorders>
          </w:tcPr>
          <w:p w14:paraId="2F13483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(-0.15)</w:t>
            </w:r>
          </w:p>
        </w:tc>
      </w:tr>
      <w:tr w:rsidR="002A5362" w:rsidRPr="00C617AE" w14:paraId="345711EA" w14:textId="77777777" w:rsidTr="00015B88">
        <w:tc>
          <w:tcPr>
            <w:tcW w:w="2136" w:type="dxa"/>
            <w:tcBorders>
              <w:top w:val="nil"/>
              <w:left w:val="nil"/>
              <w:bottom w:val="nil"/>
              <w:right w:val="nil"/>
            </w:tcBorders>
          </w:tcPr>
          <w:p w14:paraId="676F4B9A"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3B4400B"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509AB75"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F036996"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0F6A7A3"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189F3B4"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0AE46EA8" w14:textId="77777777" w:rsidTr="00015B88">
        <w:tc>
          <w:tcPr>
            <w:tcW w:w="2136" w:type="dxa"/>
            <w:tcBorders>
              <w:top w:val="nil"/>
              <w:left w:val="nil"/>
              <w:bottom w:val="nil"/>
              <w:right w:val="nil"/>
            </w:tcBorders>
          </w:tcPr>
          <w:p w14:paraId="0B570977"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L10.(Lack of) Irregular CB Governor Turnover (higher = more de facto CBI)</w:t>
            </w:r>
          </w:p>
        </w:tc>
        <w:tc>
          <w:tcPr>
            <w:tcW w:w="1656" w:type="dxa"/>
            <w:tcBorders>
              <w:top w:val="nil"/>
              <w:left w:val="nil"/>
              <w:bottom w:val="nil"/>
              <w:right w:val="nil"/>
            </w:tcBorders>
          </w:tcPr>
          <w:p w14:paraId="2512CA56"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0.00249</w:t>
            </w:r>
          </w:p>
        </w:tc>
        <w:tc>
          <w:tcPr>
            <w:tcW w:w="1656" w:type="dxa"/>
            <w:tcBorders>
              <w:top w:val="nil"/>
              <w:left w:val="nil"/>
              <w:bottom w:val="nil"/>
              <w:right w:val="nil"/>
            </w:tcBorders>
          </w:tcPr>
          <w:p w14:paraId="5CE9103E"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-0.247</w:t>
            </w:r>
            <w:r w:rsidRPr="00C617AE">
              <w:rPr>
                <w:rFonts w:ascii="Times New Roman" w:hAnsi="Times New Roman" w:cs="Times New Roman"/>
                <w:sz w:val="20"/>
                <w:szCs w:val="20"/>
                <w:vertAlign w:val="superscript"/>
              </w:rPr>
              <w:t>*</w:t>
            </w:r>
          </w:p>
        </w:tc>
        <w:tc>
          <w:tcPr>
            <w:tcW w:w="1656" w:type="dxa"/>
            <w:tcBorders>
              <w:top w:val="nil"/>
              <w:left w:val="nil"/>
              <w:bottom w:val="nil"/>
              <w:right w:val="nil"/>
            </w:tcBorders>
          </w:tcPr>
          <w:p w14:paraId="742113E8"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0.0350</w:t>
            </w:r>
          </w:p>
        </w:tc>
        <w:tc>
          <w:tcPr>
            <w:tcW w:w="1656" w:type="dxa"/>
            <w:tcBorders>
              <w:top w:val="nil"/>
              <w:left w:val="nil"/>
              <w:bottom w:val="nil"/>
              <w:right w:val="nil"/>
            </w:tcBorders>
          </w:tcPr>
          <w:p w14:paraId="34058F0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0.0540</w:t>
            </w:r>
          </w:p>
        </w:tc>
        <w:tc>
          <w:tcPr>
            <w:tcW w:w="1656" w:type="dxa"/>
            <w:tcBorders>
              <w:top w:val="nil"/>
              <w:left w:val="nil"/>
              <w:bottom w:val="nil"/>
              <w:right w:val="nil"/>
            </w:tcBorders>
          </w:tcPr>
          <w:p w14:paraId="544C36F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0.0104</w:t>
            </w:r>
          </w:p>
        </w:tc>
      </w:tr>
      <w:tr w:rsidR="002A5362" w:rsidRPr="00C617AE" w14:paraId="6822115D" w14:textId="77777777" w:rsidTr="00015B88">
        <w:tc>
          <w:tcPr>
            <w:tcW w:w="2136" w:type="dxa"/>
            <w:tcBorders>
              <w:top w:val="nil"/>
              <w:left w:val="nil"/>
              <w:bottom w:val="nil"/>
              <w:right w:val="nil"/>
            </w:tcBorders>
          </w:tcPr>
          <w:p w14:paraId="7875D1DC"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B00D2E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(0.02)</w:t>
            </w:r>
          </w:p>
        </w:tc>
        <w:tc>
          <w:tcPr>
            <w:tcW w:w="1656" w:type="dxa"/>
            <w:tcBorders>
              <w:top w:val="nil"/>
              <w:left w:val="nil"/>
              <w:bottom w:val="nil"/>
              <w:right w:val="nil"/>
            </w:tcBorders>
          </w:tcPr>
          <w:p w14:paraId="49A84DB9"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(-2.05)</w:t>
            </w:r>
          </w:p>
        </w:tc>
        <w:tc>
          <w:tcPr>
            <w:tcW w:w="1656" w:type="dxa"/>
            <w:tcBorders>
              <w:top w:val="nil"/>
              <w:left w:val="nil"/>
              <w:bottom w:val="nil"/>
              <w:right w:val="nil"/>
            </w:tcBorders>
          </w:tcPr>
          <w:p w14:paraId="58BA8F9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(0.24)</w:t>
            </w:r>
          </w:p>
        </w:tc>
        <w:tc>
          <w:tcPr>
            <w:tcW w:w="1656" w:type="dxa"/>
            <w:tcBorders>
              <w:top w:val="nil"/>
              <w:left w:val="nil"/>
              <w:bottom w:val="nil"/>
              <w:right w:val="nil"/>
            </w:tcBorders>
          </w:tcPr>
          <w:p w14:paraId="082293F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(1.29)</w:t>
            </w:r>
          </w:p>
        </w:tc>
        <w:tc>
          <w:tcPr>
            <w:tcW w:w="1656" w:type="dxa"/>
            <w:tcBorders>
              <w:top w:val="nil"/>
              <w:left w:val="nil"/>
              <w:bottom w:val="nil"/>
              <w:right w:val="nil"/>
            </w:tcBorders>
          </w:tcPr>
          <w:p w14:paraId="3192CF28"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(0.22)</w:t>
            </w:r>
          </w:p>
        </w:tc>
      </w:tr>
      <w:tr w:rsidR="002A5362" w:rsidRPr="00C617AE" w14:paraId="48472E49" w14:textId="77777777" w:rsidTr="00015B88">
        <w:tc>
          <w:tcPr>
            <w:tcW w:w="2136" w:type="dxa"/>
            <w:tcBorders>
              <w:top w:val="nil"/>
              <w:left w:val="nil"/>
              <w:bottom w:val="nil"/>
              <w:right w:val="nil"/>
            </w:tcBorders>
          </w:tcPr>
          <w:p w14:paraId="7E0102D6"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7D6B4B8"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2DFBCC0"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C58FDA5"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D07925C"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686B129"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0717F10D" w14:textId="77777777" w:rsidTr="00015B88">
        <w:tc>
          <w:tcPr>
            <w:tcW w:w="2136" w:type="dxa"/>
            <w:tcBorders>
              <w:top w:val="nil"/>
              <w:left w:val="nil"/>
              <w:bottom w:val="nil"/>
              <w:right w:val="nil"/>
            </w:tcBorders>
          </w:tcPr>
          <w:p w14:paraId="6DC78FCB"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roofErr w:type="spellStart"/>
            <w:r w:rsidRPr="00C617AE">
              <w:rPr>
                <w:rFonts w:ascii="Times New Roman" w:hAnsi="Times New Roman" w:cs="Times New Roman"/>
                <w:sz w:val="20"/>
                <w:szCs w:val="20"/>
              </w:rPr>
              <w:t>L.Exchange</w:t>
            </w:r>
            <w:proofErr w:type="spellEnd"/>
            <w:r w:rsidRPr="00C617AE">
              <w:rPr>
                <w:rFonts w:ascii="Times New Roman" w:hAnsi="Times New Roman" w:cs="Times New Roman"/>
                <w:sz w:val="20"/>
                <w:szCs w:val="20"/>
              </w:rPr>
              <w:t xml:space="preserve"> Rate Classification (RR inverted, higher = more fixed)</w:t>
            </w:r>
          </w:p>
        </w:tc>
        <w:tc>
          <w:tcPr>
            <w:tcW w:w="1656" w:type="dxa"/>
            <w:tcBorders>
              <w:top w:val="nil"/>
              <w:left w:val="nil"/>
              <w:bottom w:val="nil"/>
              <w:right w:val="nil"/>
            </w:tcBorders>
          </w:tcPr>
          <w:p w14:paraId="1BE4407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0.00357</w:t>
            </w:r>
          </w:p>
        </w:tc>
        <w:tc>
          <w:tcPr>
            <w:tcW w:w="1656" w:type="dxa"/>
            <w:tcBorders>
              <w:top w:val="nil"/>
              <w:left w:val="nil"/>
              <w:bottom w:val="nil"/>
              <w:right w:val="nil"/>
            </w:tcBorders>
          </w:tcPr>
          <w:p w14:paraId="1E897696"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-0.00366</w:t>
            </w:r>
          </w:p>
        </w:tc>
        <w:tc>
          <w:tcPr>
            <w:tcW w:w="1656" w:type="dxa"/>
            <w:tcBorders>
              <w:top w:val="nil"/>
              <w:left w:val="nil"/>
              <w:bottom w:val="nil"/>
              <w:right w:val="nil"/>
            </w:tcBorders>
          </w:tcPr>
          <w:p w14:paraId="1A97272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-0.0316</w:t>
            </w:r>
          </w:p>
        </w:tc>
        <w:tc>
          <w:tcPr>
            <w:tcW w:w="1656" w:type="dxa"/>
            <w:tcBorders>
              <w:top w:val="nil"/>
              <w:left w:val="nil"/>
              <w:bottom w:val="nil"/>
              <w:right w:val="nil"/>
            </w:tcBorders>
          </w:tcPr>
          <w:p w14:paraId="33C66BD2"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0.0138</w:t>
            </w:r>
          </w:p>
        </w:tc>
        <w:tc>
          <w:tcPr>
            <w:tcW w:w="1656" w:type="dxa"/>
            <w:tcBorders>
              <w:top w:val="nil"/>
              <w:left w:val="nil"/>
              <w:bottom w:val="nil"/>
              <w:right w:val="nil"/>
            </w:tcBorders>
          </w:tcPr>
          <w:p w14:paraId="5E2330E7"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0.00408</w:t>
            </w:r>
          </w:p>
        </w:tc>
      </w:tr>
      <w:tr w:rsidR="002A5362" w:rsidRPr="00C617AE" w14:paraId="1E02D0C9" w14:textId="77777777" w:rsidTr="00015B88">
        <w:tc>
          <w:tcPr>
            <w:tcW w:w="2136" w:type="dxa"/>
            <w:tcBorders>
              <w:top w:val="nil"/>
              <w:left w:val="nil"/>
              <w:bottom w:val="nil"/>
              <w:right w:val="nil"/>
            </w:tcBorders>
          </w:tcPr>
          <w:p w14:paraId="3C873F1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B8D08A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(0.14)</w:t>
            </w:r>
          </w:p>
        </w:tc>
        <w:tc>
          <w:tcPr>
            <w:tcW w:w="1656" w:type="dxa"/>
            <w:tcBorders>
              <w:top w:val="nil"/>
              <w:left w:val="nil"/>
              <w:bottom w:val="nil"/>
              <w:right w:val="nil"/>
            </w:tcBorders>
          </w:tcPr>
          <w:p w14:paraId="5C912B88"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(-0.14)</w:t>
            </w:r>
          </w:p>
        </w:tc>
        <w:tc>
          <w:tcPr>
            <w:tcW w:w="1656" w:type="dxa"/>
            <w:tcBorders>
              <w:top w:val="nil"/>
              <w:left w:val="nil"/>
              <w:bottom w:val="nil"/>
              <w:right w:val="nil"/>
            </w:tcBorders>
          </w:tcPr>
          <w:p w14:paraId="483FE3D6"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(-1.47)</w:t>
            </w:r>
          </w:p>
        </w:tc>
        <w:tc>
          <w:tcPr>
            <w:tcW w:w="1656" w:type="dxa"/>
            <w:tcBorders>
              <w:top w:val="nil"/>
              <w:left w:val="nil"/>
              <w:bottom w:val="nil"/>
              <w:right w:val="nil"/>
            </w:tcBorders>
          </w:tcPr>
          <w:p w14:paraId="5614640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(1.49)</w:t>
            </w:r>
          </w:p>
        </w:tc>
        <w:tc>
          <w:tcPr>
            <w:tcW w:w="1656" w:type="dxa"/>
            <w:tcBorders>
              <w:top w:val="nil"/>
              <w:left w:val="nil"/>
              <w:bottom w:val="nil"/>
              <w:right w:val="nil"/>
            </w:tcBorders>
          </w:tcPr>
          <w:p w14:paraId="674D5D57"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(0.72)</w:t>
            </w:r>
          </w:p>
        </w:tc>
      </w:tr>
      <w:tr w:rsidR="002A5362" w:rsidRPr="00C617AE" w14:paraId="6053CB33" w14:textId="77777777" w:rsidTr="00015B88">
        <w:tc>
          <w:tcPr>
            <w:tcW w:w="2136" w:type="dxa"/>
            <w:tcBorders>
              <w:top w:val="nil"/>
              <w:left w:val="nil"/>
              <w:bottom w:val="nil"/>
              <w:right w:val="nil"/>
            </w:tcBorders>
          </w:tcPr>
          <w:p w14:paraId="6D10845C"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DB2B95B"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C7D9C52"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9E2BB79"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A3EE7F3"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A552AB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01AA2A1D" w14:textId="77777777" w:rsidTr="00015B88">
        <w:tc>
          <w:tcPr>
            <w:tcW w:w="2136" w:type="dxa"/>
            <w:tcBorders>
              <w:top w:val="nil"/>
              <w:left w:val="nil"/>
              <w:bottom w:val="nil"/>
              <w:right w:val="nil"/>
            </w:tcBorders>
          </w:tcPr>
          <w:p w14:paraId="09A749E2"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L2.Exchange Rate Classification (RR inverted, higher = more fixed)</w:t>
            </w:r>
          </w:p>
        </w:tc>
        <w:tc>
          <w:tcPr>
            <w:tcW w:w="1656" w:type="dxa"/>
            <w:tcBorders>
              <w:top w:val="nil"/>
              <w:left w:val="nil"/>
              <w:bottom w:val="nil"/>
              <w:right w:val="nil"/>
            </w:tcBorders>
          </w:tcPr>
          <w:p w14:paraId="71CA1B38"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-0.0114</w:t>
            </w:r>
          </w:p>
        </w:tc>
        <w:tc>
          <w:tcPr>
            <w:tcW w:w="1656" w:type="dxa"/>
            <w:tcBorders>
              <w:top w:val="nil"/>
              <w:left w:val="nil"/>
              <w:bottom w:val="nil"/>
              <w:right w:val="nil"/>
            </w:tcBorders>
          </w:tcPr>
          <w:p w14:paraId="7183356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-0.0103</w:t>
            </w:r>
          </w:p>
        </w:tc>
        <w:tc>
          <w:tcPr>
            <w:tcW w:w="1656" w:type="dxa"/>
            <w:tcBorders>
              <w:top w:val="nil"/>
              <w:left w:val="nil"/>
              <w:bottom w:val="nil"/>
              <w:right w:val="nil"/>
            </w:tcBorders>
          </w:tcPr>
          <w:p w14:paraId="51A5304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-0.00715</w:t>
            </w:r>
          </w:p>
        </w:tc>
        <w:tc>
          <w:tcPr>
            <w:tcW w:w="1656" w:type="dxa"/>
            <w:tcBorders>
              <w:top w:val="nil"/>
              <w:left w:val="nil"/>
              <w:bottom w:val="nil"/>
              <w:right w:val="nil"/>
            </w:tcBorders>
          </w:tcPr>
          <w:p w14:paraId="493AB92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0.00865</w:t>
            </w:r>
          </w:p>
        </w:tc>
        <w:tc>
          <w:tcPr>
            <w:tcW w:w="1656" w:type="dxa"/>
            <w:tcBorders>
              <w:top w:val="nil"/>
              <w:left w:val="nil"/>
              <w:bottom w:val="nil"/>
              <w:right w:val="nil"/>
            </w:tcBorders>
          </w:tcPr>
          <w:p w14:paraId="6CDD5246"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0.00270</w:t>
            </w:r>
          </w:p>
        </w:tc>
      </w:tr>
      <w:tr w:rsidR="002A5362" w:rsidRPr="00C617AE" w14:paraId="3DB936F9" w14:textId="77777777" w:rsidTr="00015B88">
        <w:tc>
          <w:tcPr>
            <w:tcW w:w="2136" w:type="dxa"/>
            <w:tcBorders>
              <w:top w:val="nil"/>
              <w:left w:val="nil"/>
              <w:bottom w:val="nil"/>
              <w:right w:val="nil"/>
            </w:tcBorders>
          </w:tcPr>
          <w:p w14:paraId="781E568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EEB4C0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(-0.47)</w:t>
            </w:r>
          </w:p>
        </w:tc>
        <w:tc>
          <w:tcPr>
            <w:tcW w:w="1656" w:type="dxa"/>
            <w:tcBorders>
              <w:top w:val="nil"/>
              <w:left w:val="nil"/>
              <w:bottom w:val="nil"/>
              <w:right w:val="nil"/>
            </w:tcBorders>
          </w:tcPr>
          <w:p w14:paraId="63D0374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(-0.44)</w:t>
            </w:r>
          </w:p>
        </w:tc>
        <w:tc>
          <w:tcPr>
            <w:tcW w:w="1656" w:type="dxa"/>
            <w:tcBorders>
              <w:top w:val="nil"/>
              <w:left w:val="nil"/>
              <w:bottom w:val="nil"/>
              <w:right w:val="nil"/>
            </w:tcBorders>
          </w:tcPr>
          <w:p w14:paraId="45E67CD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(-0.34)</w:t>
            </w:r>
          </w:p>
        </w:tc>
        <w:tc>
          <w:tcPr>
            <w:tcW w:w="1656" w:type="dxa"/>
            <w:tcBorders>
              <w:top w:val="nil"/>
              <w:left w:val="nil"/>
              <w:bottom w:val="nil"/>
              <w:right w:val="nil"/>
            </w:tcBorders>
          </w:tcPr>
          <w:p w14:paraId="3650CF6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(0.95)</w:t>
            </w:r>
          </w:p>
        </w:tc>
        <w:tc>
          <w:tcPr>
            <w:tcW w:w="1656" w:type="dxa"/>
            <w:tcBorders>
              <w:top w:val="nil"/>
              <w:left w:val="nil"/>
              <w:bottom w:val="nil"/>
              <w:right w:val="nil"/>
            </w:tcBorders>
          </w:tcPr>
          <w:p w14:paraId="55306C57"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(0.49)</w:t>
            </w:r>
          </w:p>
        </w:tc>
      </w:tr>
      <w:tr w:rsidR="002A5362" w:rsidRPr="00C617AE" w14:paraId="0BEFF3C8" w14:textId="77777777" w:rsidTr="00015B88">
        <w:tc>
          <w:tcPr>
            <w:tcW w:w="2136" w:type="dxa"/>
            <w:tcBorders>
              <w:top w:val="nil"/>
              <w:left w:val="nil"/>
              <w:bottom w:val="nil"/>
              <w:right w:val="nil"/>
            </w:tcBorders>
          </w:tcPr>
          <w:p w14:paraId="057EC17B"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AD1490C"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9EC487E"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8A602C8"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3C599FC"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EB11E9B"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1F9D0210" w14:textId="77777777" w:rsidTr="00015B88">
        <w:tc>
          <w:tcPr>
            <w:tcW w:w="2136" w:type="dxa"/>
            <w:tcBorders>
              <w:top w:val="nil"/>
              <w:left w:val="nil"/>
              <w:bottom w:val="nil"/>
              <w:right w:val="nil"/>
            </w:tcBorders>
          </w:tcPr>
          <w:p w14:paraId="0F680079"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L3.Exchange Rate Classification (RR inverted, higher = more fixed)</w:t>
            </w:r>
          </w:p>
        </w:tc>
        <w:tc>
          <w:tcPr>
            <w:tcW w:w="1656" w:type="dxa"/>
            <w:tcBorders>
              <w:top w:val="nil"/>
              <w:left w:val="nil"/>
              <w:bottom w:val="nil"/>
              <w:right w:val="nil"/>
            </w:tcBorders>
          </w:tcPr>
          <w:p w14:paraId="23E6DA0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-0.0402</w:t>
            </w:r>
          </w:p>
        </w:tc>
        <w:tc>
          <w:tcPr>
            <w:tcW w:w="1656" w:type="dxa"/>
            <w:tcBorders>
              <w:top w:val="nil"/>
              <w:left w:val="nil"/>
              <w:bottom w:val="nil"/>
              <w:right w:val="nil"/>
            </w:tcBorders>
          </w:tcPr>
          <w:p w14:paraId="6A462D1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0.00509</w:t>
            </w:r>
          </w:p>
        </w:tc>
        <w:tc>
          <w:tcPr>
            <w:tcW w:w="1656" w:type="dxa"/>
            <w:tcBorders>
              <w:top w:val="nil"/>
              <w:left w:val="nil"/>
              <w:bottom w:val="nil"/>
              <w:right w:val="nil"/>
            </w:tcBorders>
          </w:tcPr>
          <w:p w14:paraId="213D4F5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0.00504</w:t>
            </w:r>
          </w:p>
        </w:tc>
        <w:tc>
          <w:tcPr>
            <w:tcW w:w="1656" w:type="dxa"/>
            <w:tcBorders>
              <w:top w:val="nil"/>
              <w:left w:val="nil"/>
              <w:bottom w:val="nil"/>
              <w:right w:val="nil"/>
            </w:tcBorders>
          </w:tcPr>
          <w:p w14:paraId="481A3B2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-0.0141</w:t>
            </w:r>
          </w:p>
        </w:tc>
        <w:tc>
          <w:tcPr>
            <w:tcW w:w="1656" w:type="dxa"/>
            <w:tcBorders>
              <w:top w:val="nil"/>
              <w:left w:val="nil"/>
              <w:bottom w:val="nil"/>
              <w:right w:val="nil"/>
            </w:tcBorders>
          </w:tcPr>
          <w:p w14:paraId="315B88D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-0.00801</w:t>
            </w:r>
          </w:p>
        </w:tc>
      </w:tr>
      <w:tr w:rsidR="002A5362" w:rsidRPr="00C617AE" w14:paraId="2384174B" w14:textId="77777777" w:rsidTr="00015B88">
        <w:tc>
          <w:tcPr>
            <w:tcW w:w="2136" w:type="dxa"/>
            <w:tcBorders>
              <w:top w:val="nil"/>
              <w:left w:val="nil"/>
              <w:bottom w:val="nil"/>
              <w:right w:val="nil"/>
            </w:tcBorders>
          </w:tcPr>
          <w:p w14:paraId="6564D98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8F924D2"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(-1.57)</w:t>
            </w:r>
          </w:p>
        </w:tc>
        <w:tc>
          <w:tcPr>
            <w:tcW w:w="1656" w:type="dxa"/>
            <w:tcBorders>
              <w:top w:val="nil"/>
              <w:left w:val="nil"/>
              <w:bottom w:val="nil"/>
              <w:right w:val="nil"/>
            </w:tcBorders>
          </w:tcPr>
          <w:p w14:paraId="390668E7"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(0.26)</w:t>
            </w:r>
          </w:p>
        </w:tc>
        <w:tc>
          <w:tcPr>
            <w:tcW w:w="1656" w:type="dxa"/>
            <w:tcBorders>
              <w:top w:val="nil"/>
              <w:left w:val="nil"/>
              <w:bottom w:val="nil"/>
              <w:right w:val="nil"/>
            </w:tcBorders>
          </w:tcPr>
          <w:p w14:paraId="45F32CE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(0.19)</w:t>
            </w:r>
          </w:p>
        </w:tc>
        <w:tc>
          <w:tcPr>
            <w:tcW w:w="1656" w:type="dxa"/>
            <w:tcBorders>
              <w:top w:val="nil"/>
              <w:left w:val="nil"/>
              <w:bottom w:val="nil"/>
              <w:right w:val="nil"/>
            </w:tcBorders>
          </w:tcPr>
          <w:p w14:paraId="1D0D67BE"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(-1.41)</w:t>
            </w:r>
          </w:p>
        </w:tc>
        <w:tc>
          <w:tcPr>
            <w:tcW w:w="1656" w:type="dxa"/>
            <w:tcBorders>
              <w:top w:val="nil"/>
              <w:left w:val="nil"/>
              <w:bottom w:val="nil"/>
              <w:right w:val="nil"/>
            </w:tcBorders>
          </w:tcPr>
          <w:p w14:paraId="265199C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(-1.26)</w:t>
            </w:r>
          </w:p>
        </w:tc>
      </w:tr>
      <w:tr w:rsidR="002A5362" w:rsidRPr="00C617AE" w14:paraId="6591F9DB" w14:textId="77777777" w:rsidTr="00015B88">
        <w:tc>
          <w:tcPr>
            <w:tcW w:w="2136" w:type="dxa"/>
            <w:tcBorders>
              <w:top w:val="nil"/>
              <w:left w:val="nil"/>
              <w:bottom w:val="nil"/>
              <w:right w:val="nil"/>
            </w:tcBorders>
          </w:tcPr>
          <w:p w14:paraId="1D7E6919"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5929730"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3BEBB45"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7230DB3"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6D1586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8385E9A"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65571C80" w14:textId="77777777" w:rsidTr="00015B88">
        <w:tc>
          <w:tcPr>
            <w:tcW w:w="2136" w:type="dxa"/>
            <w:tcBorders>
              <w:top w:val="nil"/>
              <w:left w:val="nil"/>
              <w:bottom w:val="nil"/>
              <w:right w:val="nil"/>
            </w:tcBorders>
          </w:tcPr>
          <w:p w14:paraId="2C2B447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L4.Exchange Rate Classification (RR inverted, higher = more fixed)</w:t>
            </w:r>
          </w:p>
        </w:tc>
        <w:tc>
          <w:tcPr>
            <w:tcW w:w="1656" w:type="dxa"/>
            <w:tcBorders>
              <w:top w:val="nil"/>
              <w:left w:val="nil"/>
              <w:bottom w:val="nil"/>
              <w:right w:val="nil"/>
            </w:tcBorders>
          </w:tcPr>
          <w:p w14:paraId="12ED5C86"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0.0406</w:t>
            </w:r>
          </w:p>
        </w:tc>
        <w:tc>
          <w:tcPr>
            <w:tcW w:w="1656" w:type="dxa"/>
            <w:tcBorders>
              <w:top w:val="nil"/>
              <w:left w:val="nil"/>
              <w:bottom w:val="nil"/>
              <w:right w:val="nil"/>
            </w:tcBorders>
          </w:tcPr>
          <w:p w14:paraId="3703405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0.0264</w:t>
            </w:r>
          </w:p>
        </w:tc>
        <w:tc>
          <w:tcPr>
            <w:tcW w:w="1656" w:type="dxa"/>
            <w:tcBorders>
              <w:top w:val="nil"/>
              <w:left w:val="nil"/>
              <w:bottom w:val="nil"/>
              <w:right w:val="nil"/>
            </w:tcBorders>
          </w:tcPr>
          <w:p w14:paraId="12C93F2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0.0204</w:t>
            </w:r>
          </w:p>
        </w:tc>
        <w:tc>
          <w:tcPr>
            <w:tcW w:w="1656" w:type="dxa"/>
            <w:tcBorders>
              <w:top w:val="nil"/>
              <w:left w:val="nil"/>
              <w:bottom w:val="nil"/>
              <w:right w:val="nil"/>
            </w:tcBorders>
          </w:tcPr>
          <w:p w14:paraId="4D87747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-0.00632</w:t>
            </w:r>
          </w:p>
        </w:tc>
        <w:tc>
          <w:tcPr>
            <w:tcW w:w="1656" w:type="dxa"/>
            <w:tcBorders>
              <w:top w:val="nil"/>
              <w:left w:val="nil"/>
              <w:bottom w:val="nil"/>
              <w:right w:val="nil"/>
            </w:tcBorders>
          </w:tcPr>
          <w:p w14:paraId="608B916E"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-0.00754</w:t>
            </w:r>
          </w:p>
        </w:tc>
      </w:tr>
      <w:tr w:rsidR="002A5362" w:rsidRPr="00C617AE" w14:paraId="54BDAC0C" w14:textId="77777777" w:rsidTr="00015B88">
        <w:tc>
          <w:tcPr>
            <w:tcW w:w="2136" w:type="dxa"/>
            <w:tcBorders>
              <w:top w:val="nil"/>
              <w:left w:val="nil"/>
              <w:bottom w:val="nil"/>
              <w:right w:val="nil"/>
            </w:tcBorders>
          </w:tcPr>
          <w:p w14:paraId="59ED37C9"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C81F95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(1.94)</w:t>
            </w:r>
          </w:p>
        </w:tc>
        <w:tc>
          <w:tcPr>
            <w:tcW w:w="1656" w:type="dxa"/>
            <w:tcBorders>
              <w:top w:val="nil"/>
              <w:left w:val="nil"/>
              <w:bottom w:val="nil"/>
              <w:right w:val="nil"/>
            </w:tcBorders>
          </w:tcPr>
          <w:p w14:paraId="2146E728"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(1.67)</w:t>
            </w:r>
          </w:p>
        </w:tc>
        <w:tc>
          <w:tcPr>
            <w:tcW w:w="1656" w:type="dxa"/>
            <w:tcBorders>
              <w:top w:val="nil"/>
              <w:left w:val="nil"/>
              <w:bottom w:val="nil"/>
              <w:right w:val="nil"/>
            </w:tcBorders>
          </w:tcPr>
          <w:p w14:paraId="381EA2B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(0.82)</w:t>
            </w:r>
          </w:p>
        </w:tc>
        <w:tc>
          <w:tcPr>
            <w:tcW w:w="1656" w:type="dxa"/>
            <w:tcBorders>
              <w:top w:val="nil"/>
              <w:left w:val="nil"/>
              <w:bottom w:val="nil"/>
              <w:right w:val="nil"/>
            </w:tcBorders>
          </w:tcPr>
          <w:p w14:paraId="0A549D9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(-0.66)</w:t>
            </w:r>
          </w:p>
        </w:tc>
        <w:tc>
          <w:tcPr>
            <w:tcW w:w="1656" w:type="dxa"/>
            <w:tcBorders>
              <w:top w:val="nil"/>
              <w:left w:val="nil"/>
              <w:bottom w:val="nil"/>
              <w:right w:val="nil"/>
            </w:tcBorders>
          </w:tcPr>
          <w:p w14:paraId="6B2DBD22"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(-1.27)</w:t>
            </w:r>
          </w:p>
        </w:tc>
      </w:tr>
      <w:tr w:rsidR="002A5362" w:rsidRPr="00C617AE" w14:paraId="3AA91A21" w14:textId="77777777" w:rsidTr="00015B88">
        <w:tc>
          <w:tcPr>
            <w:tcW w:w="2136" w:type="dxa"/>
            <w:tcBorders>
              <w:top w:val="nil"/>
              <w:left w:val="nil"/>
              <w:bottom w:val="nil"/>
              <w:right w:val="nil"/>
            </w:tcBorders>
          </w:tcPr>
          <w:p w14:paraId="0B7E3B6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4B8A4C0"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A95092E"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28E02BB"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D0B6B52"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A20E2C9"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719402F0" w14:textId="77777777" w:rsidTr="00015B88">
        <w:tc>
          <w:tcPr>
            <w:tcW w:w="2136" w:type="dxa"/>
            <w:tcBorders>
              <w:top w:val="nil"/>
              <w:left w:val="nil"/>
              <w:bottom w:val="nil"/>
              <w:right w:val="nil"/>
            </w:tcBorders>
          </w:tcPr>
          <w:p w14:paraId="045C270E"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L5.Exchange Rate Classification (RR inverted, higher = more fixed)</w:t>
            </w:r>
          </w:p>
        </w:tc>
        <w:tc>
          <w:tcPr>
            <w:tcW w:w="1656" w:type="dxa"/>
            <w:tcBorders>
              <w:top w:val="nil"/>
              <w:left w:val="nil"/>
              <w:bottom w:val="nil"/>
              <w:right w:val="nil"/>
            </w:tcBorders>
          </w:tcPr>
          <w:p w14:paraId="5E52E70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0.00545</w:t>
            </w:r>
          </w:p>
        </w:tc>
        <w:tc>
          <w:tcPr>
            <w:tcW w:w="1656" w:type="dxa"/>
            <w:tcBorders>
              <w:top w:val="nil"/>
              <w:left w:val="nil"/>
              <w:bottom w:val="nil"/>
              <w:right w:val="nil"/>
            </w:tcBorders>
          </w:tcPr>
          <w:p w14:paraId="2D74DD9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-0.00189</w:t>
            </w:r>
          </w:p>
        </w:tc>
        <w:tc>
          <w:tcPr>
            <w:tcW w:w="1656" w:type="dxa"/>
            <w:tcBorders>
              <w:top w:val="nil"/>
              <w:left w:val="nil"/>
              <w:bottom w:val="nil"/>
              <w:right w:val="nil"/>
            </w:tcBorders>
          </w:tcPr>
          <w:p w14:paraId="7764D319"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0.0365</w:t>
            </w:r>
          </w:p>
        </w:tc>
        <w:tc>
          <w:tcPr>
            <w:tcW w:w="1656" w:type="dxa"/>
            <w:tcBorders>
              <w:top w:val="nil"/>
              <w:left w:val="nil"/>
              <w:bottom w:val="nil"/>
              <w:right w:val="nil"/>
            </w:tcBorders>
          </w:tcPr>
          <w:p w14:paraId="72035499"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-0.000144</w:t>
            </w:r>
          </w:p>
        </w:tc>
        <w:tc>
          <w:tcPr>
            <w:tcW w:w="1656" w:type="dxa"/>
            <w:tcBorders>
              <w:top w:val="nil"/>
              <w:left w:val="nil"/>
              <w:bottom w:val="nil"/>
              <w:right w:val="nil"/>
            </w:tcBorders>
          </w:tcPr>
          <w:p w14:paraId="04D16EC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0.00585</w:t>
            </w:r>
          </w:p>
        </w:tc>
      </w:tr>
      <w:tr w:rsidR="002A5362" w:rsidRPr="00C617AE" w14:paraId="20FE36A9" w14:textId="77777777" w:rsidTr="00015B88">
        <w:tc>
          <w:tcPr>
            <w:tcW w:w="2136" w:type="dxa"/>
            <w:tcBorders>
              <w:top w:val="nil"/>
              <w:left w:val="nil"/>
              <w:bottom w:val="nil"/>
              <w:right w:val="nil"/>
            </w:tcBorders>
          </w:tcPr>
          <w:p w14:paraId="56419CEF"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E2E5E7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(0.21)</w:t>
            </w:r>
          </w:p>
        </w:tc>
        <w:tc>
          <w:tcPr>
            <w:tcW w:w="1656" w:type="dxa"/>
            <w:tcBorders>
              <w:top w:val="nil"/>
              <w:left w:val="nil"/>
              <w:bottom w:val="nil"/>
              <w:right w:val="nil"/>
            </w:tcBorders>
          </w:tcPr>
          <w:p w14:paraId="43EA7BF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(-0.09)</w:t>
            </w:r>
          </w:p>
        </w:tc>
        <w:tc>
          <w:tcPr>
            <w:tcW w:w="1656" w:type="dxa"/>
            <w:tcBorders>
              <w:top w:val="nil"/>
              <w:left w:val="nil"/>
              <w:bottom w:val="nil"/>
              <w:right w:val="nil"/>
            </w:tcBorders>
          </w:tcPr>
          <w:p w14:paraId="15A31EF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(1.41)</w:t>
            </w:r>
          </w:p>
        </w:tc>
        <w:tc>
          <w:tcPr>
            <w:tcW w:w="1656" w:type="dxa"/>
            <w:tcBorders>
              <w:top w:val="nil"/>
              <w:left w:val="nil"/>
              <w:bottom w:val="nil"/>
              <w:right w:val="nil"/>
            </w:tcBorders>
          </w:tcPr>
          <w:p w14:paraId="2DE85202"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(-0.02)</w:t>
            </w:r>
          </w:p>
        </w:tc>
        <w:tc>
          <w:tcPr>
            <w:tcW w:w="1656" w:type="dxa"/>
            <w:tcBorders>
              <w:top w:val="nil"/>
              <w:left w:val="nil"/>
              <w:bottom w:val="nil"/>
              <w:right w:val="nil"/>
            </w:tcBorders>
          </w:tcPr>
          <w:p w14:paraId="449EF3D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(0.96)</w:t>
            </w:r>
          </w:p>
        </w:tc>
      </w:tr>
      <w:tr w:rsidR="002A5362" w:rsidRPr="00C617AE" w14:paraId="15A736ED" w14:textId="77777777" w:rsidTr="00015B88">
        <w:tc>
          <w:tcPr>
            <w:tcW w:w="2136" w:type="dxa"/>
            <w:tcBorders>
              <w:top w:val="nil"/>
              <w:left w:val="nil"/>
              <w:bottom w:val="nil"/>
              <w:right w:val="nil"/>
            </w:tcBorders>
          </w:tcPr>
          <w:p w14:paraId="5383AEE9"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DD9FF5A"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F261050"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24CA733"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1B73D13"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DAECACE"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4776689B" w14:textId="77777777" w:rsidTr="00015B88">
        <w:tc>
          <w:tcPr>
            <w:tcW w:w="2136" w:type="dxa"/>
            <w:tcBorders>
              <w:top w:val="nil"/>
              <w:left w:val="nil"/>
              <w:bottom w:val="nil"/>
              <w:right w:val="nil"/>
            </w:tcBorders>
          </w:tcPr>
          <w:p w14:paraId="4AF2DFC3"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lastRenderedPageBreak/>
              <w:t>L6.Exchange Rate Classification (RR inverted, higher = more fixed)</w:t>
            </w:r>
          </w:p>
        </w:tc>
        <w:tc>
          <w:tcPr>
            <w:tcW w:w="1656" w:type="dxa"/>
            <w:tcBorders>
              <w:top w:val="nil"/>
              <w:left w:val="nil"/>
              <w:bottom w:val="nil"/>
              <w:right w:val="nil"/>
            </w:tcBorders>
          </w:tcPr>
          <w:p w14:paraId="627F287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-0.0212</w:t>
            </w:r>
          </w:p>
        </w:tc>
        <w:tc>
          <w:tcPr>
            <w:tcW w:w="1656" w:type="dxa"/>
            <w:tcBorders>
              <w:top w:val="nil"/>
              <w:left w:val="nil"/>
              <w:bottom w:val="nil"/>
              <w:right w:val="nil"/>
            </w:tcBorders>
          </w:tcPr>
          <w:p w14:paraId="4341056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-0.0445</w:t>
            </w:r>
            <w:r w:rsidRPr="00C617AE">
              <w:rPr>
                <w:rFonts w:ascii="Times New Roman" w:hAnsi="Times New Roman" w:cs="Times New Roman"/>
                <w:sz w:val="20"/>
                <w:szCs w:val="20"/>
                <w:vertAlign w:val="superscript"/>
              </w:rPr>
              <w:t>*</w:t>
            </w:r>
          </w:p>
        </w:tc>
        <w:tc>
          <w:tcPr>
            <w:tcW w:w="1656" w:type="dxa"/>
            <w:tcBorders>
              <w:top w:val="nil"/>
              <w:left w:val="nil"/>
              <w:bottom w:val="nil"/>
              <w:right w:val="nil"/>
            </w:tcBorders>
          </w:tcPr>
          <w:p w14:paraId="3079DB0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-0.0689</w:t>
            </w:r>
            <w:r w:rsidRPr="00C617AE">
              <w:rPr>
                <w:rFonts w:ascii="Times New Roman" w:hAnsi="Times New Roman" w:cs="Times New Roman"/>
                <w:sz w:val="20"/>
                <w:szCs w:val="20"/>
                <w:vertAlign w:val="superscript"/>
              </w:rPr>
              <w:t>**</w:t>
            </w:r>
          </w:p>
        </w:tc>
        <w:tc>
          <w:tcPr>
            <w:tcW w:w="1656" w:type="dxa"/>
            <w:tcBorders>
              <w:top w:val="nil"/>
              <w:left w:val="nil"/>
              <w:bottom w:val="nil"/>
              <w:right w:val="nil"/>
            </w:tcBorders>
          </w:tcPr>
          <w:p w14:paraId="4DD53AE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0.000446</w:t>
            </w:r>
          </w:p>
        </w:tc>
        <w:tc>
          <w:tcPr>
            <w:tcW w:w="1656" w:type="dxa"/>
            <w:tcBorders>
              <w:top w:val="nil"/>
              <w:left w:val="nil"/>
              <w:bottom w:val="nil"/>
              <w:right w:val="nil"/>
            </w:tcBorders>
          </w:tcPr>
          <w:p w14:paraId="08412D6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0.00674</w:t>
            </w:r>
          </w:p>
        </w:tc>
      </w:tr>
      <w:tr w:rsidR="002A5362" w:rsidRPr="00C617AE" w14:paraId="7D19EB1D" w14:textId="77777777" w:rsidTr="00015B88">
        <w:tc>
          <w:tcPr>
            <w:tcW w:w="2136" w:type="dxa"/>
            <w:tcBorders>
              <w:top w:val="nil"/>
              <w:left w:val="nil"/>
              <w:bottom w:val="nil"/>
              <w:right w:val="nil"/>
            </w:tcBorders>
          </w:tcPr>
          <w:p w14:paraId="2497ED02"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36C326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(-1.03)</w:t>
            </w:r>
          </w:p>
        </w:tc>
        <w:tc>
          <w:tcPr>
            <w:tcW w:w="1656" w:type="dxa"/>
            <w:tcBorders>
              <w:top w:val="nil"/>
              <w:left w:val="nil"/>
              <w:bottom w:val="nil"/>
              <w:right w:val="nil"/>
            </w:tcBorders>
          </w:tcPr>
          <w:p w14:paraId="18D5861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(-2.51)</w:t>
            </w:r>
          </w:p>
        </w:tc>
        <w:tc>
          <w:tcPr>
            <w:tcW w:w="1656" w:type="dxa"/>
            <w:tcBorders>
              <w:top w:val="nil"/>
              <w:left w:val="nil"/>
              <w:bottom w:val="nil"/>
              <w:right w:val="nil"/>
            </w:tcBorders>
          </w:tcPr>
          <w:p w14:paraId="5286B61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(-3.19)</w:t>
            </w:r>
          </w:p>
        </w:tc>
        <w:tc>
          <w:tcPr>
            <w:tcW w:w="1656" w:type="dxa"/>
            <w:tcBorders>
              <w:top w:val="nil"/>
              <w:left w:val="nil"/>
              <w:bottom w:val="nil"/>
              <w:right w:val="nil"/>
            </w:tcBorders>
          </w:tcPr>
          <w:p w14:paraId="15055D7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(0.06)</w:t>
            </w:r>
          </w:p>
        </w:tc>
        <w:tc>
          <w:tcPr>
            <w:tcW w:w="1656" w:type="dxa"/>
            <w:tcBorders>
              <w:top w:val="nil"/>
              <w:left w:val="nil"/>
              <w:bottom w:val="nil"/>
              <w:right w:val="nil"/>
            </w:tcBorders>
          </w:tcPr>
          <w:p w14:paraId="09E04DE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(1.11)</w:t>
            </w:r>
          </w:p>
        </w:tc>
      </w:tr>
      <w:tr w:rsidR="002A5362" w:rsidRPr="00C617AE" w14:paraId="01369DA9" w14:textId="77777777" w:rsidTr="00015B88">
        <w:tc>
          <w:tcPr>
            <w:tcW w:w="2136" w:type="dxa"/>
            <w:tcBorders>
              <w:top w:val="nil"/>
              <w:left w:val="nil"/>
              <w:bottom w:val="nil"/>
              <w:right w:val="nil"/>
            </w:tcBorders>
          </w:tcPr>
          <w:p w14:paraId="665DA0F5"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0F4C6B9"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9787A6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DFBA68A"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A30EB08"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1B53EC9"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289B3889" w14:textId="77777777" w:rsidTr="00015B88">
        <w:tc>
          <w:tcPr>
            <w:tcW w:w="2136" w:type="dxa"/>
            <w:tcBorders>
              <w:top w:val="nil"/>
              <w:left w:val="nil"/>
              <w:bottom w:val="nil"/>
              <w:right w:val="nil"/>
            </w:tcBorders>
          </w:tcPr>
          <w:p w14:paraId="274AFA7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L7.Exchange Rate Classification (RR inverted, higher = more fixed)</w:t>
            </w:r>
          </w:p>
        </w:tc>
        <w:tc>
          <w:tcPr>
            <w:tcW w:w="1656" w:type="dxa"/>
            <w:tcBorders>
              <w:top w:val="nil"/>
              <w:left w:val="nil"/>
              <w:bottom w:val="nil"/>
              <w:right w:val="nil"/>
            </w:tcBorders>
          </w:tcPr>
          <w:p w14:paraId="027694A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0.0358</w:t>
            </w:r>
          </w:p>
        </w:tc>
        <w:tc>
          <w:tcPr>
            <w:tcW w:w="1656" w:type="dxa"/>
            <w:tcBorders>
              <w:top w:val="nil"/>
              <w:left w:val="nil"/>
              <w:bottom w:val="nil"/>
              <w:right w:val="nil"/>
            </w:tcBorders>
          </w:tcPr>
          <w:p w14:paraId="1A3264B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0.0449</w:t>
            </w:r>
            <w:r w:rsidRPr="00C617AE">
              <w:rPr>
                <w:rFonts w:ascii="Times New Roman" w:hAnsi="Times New Roman" w:cs="Times New Roman"/>
                <w:sz w:val="20"/>
                <w:szCs w:val="20"/>
                <w:vertAlign w:val="superscript"/>
              </w:rPr>
              <w:t>*</w:t>
            </w:r>
          </w:p>
        </w:tc>
        <w:tc>
          <w:tcPr>
            <w:tcW w:w="1656" w:type="dxa"/>
            <w:tcBorders>
              <w:top w:val="nil"/>
              <w:left w:val="nil"/>
              <w:bottom w:val="nil"/>
              <w:right w:val="nil"/>
            </w:tcBorders>
          </w:tcPr>
          <w:p w14:paraId="1A4F651E"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0.00793</w:t>
            </w:r>
          </w:p>
        </w:tc>
        <w:tc>
          <w:tcPr>
            <w:tcW w:w="1656" w:type="dxa"/>
            <w:tcBorders>
              <w:top w:val="nil"/>
              <w:left w:val="nil"/>
              <w:bottom w:val="nil"/>
              <w:right w:val="nil"/>
            </w:tcBorders>
          </w:tcPr>
          <w:p w14:paraId="72E6F67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-0.0166</w:t>
            </w:r>
            <w:r w:rsidRPr="00C617AE">
              <w:rPr>
                <w:rFonts w:ascii="Times New Roman" w:hAnsi="Times New Roman" w:cs="Times New Roman"/>
                <w:sz w:val="20"/>
                <w:szCs w:val="20"/>
                <w:vertAlign w:val="superscript"/>
              </w:rPr>
              <w:t>*</w:t>
            </w:r>
          </w:p>
        </w:tc>
        <w:tc>
          <w:tcPr>
            <w:tcW w:w="1656" w:type="dxa"/>
            <w:tcBorders>
              <w:top w:val="nil"/>
              <w:left w:val="nil"/>
              <w:bottom w:val="nil"/>
              <w:right w:val="nil"/>
            </w:tcBorders>
          </w:tcPr>
          <w:p w14:paraId="21893AA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0.00284</w:t>
            </w:r>
          </w:p>
        </w:tc>
      </w:tr>
      <w:tr w:rsidR="002A5362" w:rsidRPr="00C617AE" w14:paraId="11DD0ED2" w14:textId="77777777" w:rsidTr="00015B88">
        <w:tc>
          <w:tcPr>
            <w:tcW w:w="2136" w:type="dxa"/>
            <w:tcBorders>
              <w:top w:val="nil"/>
              <w:left w:val="nil"/>
              <w:bottom w:val="nil"/>
              <w:right w:val="nil"/>
            </w:tcBorders>
          </w:tcPr>
          <w:p w14:paraId="65D4B7E2"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C9F4A52"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(1.47)</w:t>
            </w:r>
          </w:p>
        </w:tc>
        <w:tc>
          <w:tcPr>
            <w:tcW w:w="1656" w:type="dxa"/>
            <w:tcBorders>
              <w:top w:val="nil"/>
              <w:left w:val="nil"/>
              <w:bottom w:val="nil"/>
              <w:right w:val="nil"/>
            </w:tcBorders>
          </w:tcPr>
          <w:p w14:paraId="75F2F0D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(2.46)</w:t>
            </w:r>
          </w:p>
        </w:tc>
        <w:tc>
          <w:tcPr>
            <w:tcW w:w="1656" w:type="dxa"/>
            <w:tcBorders>
              <w:top w:val="nil"/>
              <w:left w:val="nil"/>
              <w:bottom w:val="nil"/>
              <w:right w:val="nil"/>
            </w:tcBorders>
          </w:tcPr>
          <w:p w14:paraId="040F86F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(0.33)</w:t>
            </w:r>
          </w:p>
        </w:tc>
        <w:tc>
          <w:tcPr>
            <w:tcW w:w="1656" w:type="dxa"/>
            <w:tcBorders>
              <w:top w:val="nil"/>
              <w:left w:val="nil"/>
              <w:bottom w:val="nil"/>
              <w:right w:val="nil"/>
            </w:tcBorders>
          </w:tcPr>
          <w:p w14:paraId="62BA41A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(-2.20)</w:t>
            </w:r>
          </w:p>
        </w:tc>
        <w:tc>
          <w:tcPr>
            <w:tcW w:w="1656" w:type="dxa"/>
            <w:tcBorders>
              <w:top w:val="nil"/>
              <w:left w:val="nil"/>
              <w:bottom w:val="nil"/>
              <w:right w:val="nil"/>
            </w:tcBorders>
          </w:tcPr>
          <w:p w14:paraId="1E75377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(0.54)</w:t>
            </w:r>
          </w:p>
        </w:tc>
      </w:tr>
      <w:tr w:rsidR="002A5362" w:rsidRPr="00C617AE" w14:paraId="1CBB1637" w14:textId="77777777" w:rsidTr="00015B88">
        <w:tc>
          <w:tcPr>
            <w:tcW w:w="2136" w:type="dxa"/>
            <w:tcBorders>
              <w:top w:val="nil"/>
              <w:left w:val="nil"/>
              <w:bottom w:val="nil"/>
              <w:right w:val="nil"/>
            </w:tcBorders>
          </w:tcPr>
          <w:p w14:paraId="688E522C"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6F3518E"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F8C79D2"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B2A40D6"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F061986"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80E03F9"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384075BA" w14:textId="77777777" w:rsidTr="00015B88">
        <w:tc>
          <w:tcPr>
            <w:tcW w:w="2136" w:type="dxa"/>
            <w:tcBorders>
              <w:top w:val="nil"/>
              <w:left w:val="nil"/>
              <w:bottom w:val="nil"/>
              <w:right w:val="nil"/>
            </w:tcBorders>
          </w:tcPr>
          <w:p w14:paraId="504FFCA5"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L8.Exchange Rate Classification (RR inverted, higher = more fixed)</w:t>
            </w:r>
          </w:p>
        </w:tc>
        <w:tc>
          <w:tcPr>
            <w:tcW w:w="1656" w:type="dxa"/>
            <w:tcBorders>
              <w:top w:val="nil"/>
              <w:left w:val="nil"/>
              <w:bottom w:val="nil"/>
              <w:right w:val="nil"/>
            </w:tcBorders>
          </w:tcPr>
          <w:p w14:paraId="279C166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-0.0114</w:t>
            </w:r>
          </w:p>
        </w:tc>
        <w:tc>
          <w:tcPr>
            <w:tcW w:w="1656" w:type="dxa"/>
            <w:tcBorders>
              <w:top w:val="nil"/>
              <w:left w:val="nil"/>
              <w:bottom w:val="nil"/>
              <w:right w:val="nil"/>
            </w:tcBorders>
          </w:tcPr>
          <w:p w14:paraId="2A14BD7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0.0133</w:t>
            </w:r>
          </w:p>
        </w:tc>
        <w:tc>
          <w:tcPr>
            <w:tcW w:w="1656" w:type="dxa"/>
            <w:tcBorders>
              <w:top w:val="nil"/>
              <w:left w:val="nil"/>
              <w:bottom w:val="nil"/>
              <w:right w:val="nil"/>
            </w:tcBorders>
          </w:tcPr>
          <w:p w14:paraId="78B67492"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-0.0214</w:t>
            </w:r>
          </w:p>
        </w:tc>
        <w:tc>
          <w:tcPr>
            <w:tcW w:w="1656" w:type="dxa"/>
            <w:tcBorders>
              <w:top w:val="nil"/>
              <w:left w:val="nil"/>
              <w:bottom w:val="nil"/>
              <w:right w:val="nil"/>
            </w:tcBorders>
          </w:tcPr>
          <w:p w14:paraId="0AA2F12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-0.00428</w:t>
            </w:r>
          </w:p>
        </w:tc>
        <w:tc>
          <w:tcPr>
            <w:tcW w:w="1656" w:type="dxa"/>
            <w:tcBorders>
              <w:top w:val="nil"/>
              <w:left w:val="nil"/>
              <w:bottom w:val="nil"/>
              <w:right w:val="nil"/>
            </w:tcBorders>
          </w:tcPr>
          <w:p w14:paraId="280A8FEE"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-0.00578</w:t>
            </w:r>
          </w:p>
        </w:tc>
      </w:tr>
      <w:tr w:rsidR="002A5362" w:rsidRPr="00C617AE" w14:paraId="0BCE5E46" w14:textId="77777777" w:rsidTr="00015B88">
        <w:tc>
          <w:tcPr>
            <w:tcW w:w="2136" w:type="dxa"/>
            <w:tcBorders>
              <w:top w:val="nil"/>
              <w:left w:val="nil"/>
              <w:bottom w:val="nil"/>
              <w:right w:val="nil"/>
            </w:tcBorders>
          </w:tcPr>
          <w:p w14:paraId="1BF1395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03261A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(-0.53)</w:t>
            </w:r>
          </w:p>
        </w:tc>
        <w:tc>
          <w:tcPr>
            <w:tcW w:w="1656" w:type="dxa"/>
            <w:tcBorders>
              <w:top w:val="nil"/>
              <w:left w:val="nil"/>
              <w:bottom w:val="nil"/>
              <w:right w:val="nil"/>
            </w:tcBorders>
          </w:tcPr>
          <w:p w14:paraId="77D823D8"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(0.74)</w:t>
            </w:r>
          </w:p>
        </w:tc>
        <w:tc>
          <w:tcPr>
            <w:tcW w:w="1656" w:type="dxa"/>
            <w:tcBorders>
              <w:top w:val="nil"/>
              <w:left w:val="nil"/>
              <w:bottom w:val="nil"/>
              <w:right w:val="nil"/>
            </w:tcBorders>
          </w:tcPr>
          <w:p w14:paraId="39E404D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(-1.09)</w:t>
            </w:r>
          </w:p>
        </w:tc>
        <w:tc>
          <w:tcPr>
            <w:tcW w:w="1656" w:type="dxa"/>
            <w:tcBorders>
              <w:top w:val="nil"/>
              <w:left w:val="nil"/>
              <w:bottom w:val="nil"/>
              <w:right w:val="nil"/>
            </w:tcBorders>
          </w:tcPr>
          <w:p w14:paraId="7B997667"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(-0.73)</w:t>
            </w:r>
          </w:p>
        </w:tc>
        <w:tc>
          <w:tcPr>
            <w:tcW w:w="1656" w:type="dxa"/>
            <w:tcBorders>
              <w:top w:val="nil"/>
              <w:left w:val="nil"/>
              <w:bottom w:val="nil"/>
              <w:right w:val="nil"/>
            </w:tcBorders>
          </w:tcPr>
          <w:p w14:paraId="49603B4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(-1.17)</w:t>
            </w:r>
          </w:p>
        </w:tc>
      </w:tr>
      <w:tr w:rsidR="002A5362" w:rsidRPr="00C617AE" w14:paraId="57982ACC" w14:textId="77777777" w:rsidTr="00015B88">
        <w:tc>
          <w:tcPr>
            <w:tcW w:w="2136" w:type="dxa"/>
            <w:tcBorders>
              <w:top w:val="nil"/>
              <w:left w:val="nil"/>
              <w:bottom w:val="nil"/>
              <w:right w:val="nil"/>
            </w:tcBorders>
          </w:tcPr>
          <w:p w14:paraId="07034A3F"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44409D0"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1392982"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8FA3BD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2D76CBE"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D739E98"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3E4E76D4" w14:textId="77777777" w:rsidTr="00015B88">
        <w:tc>
          <w:tcPr>
            <w:tcW w:w="2136" w:type="dxa"/>
            <w:tcBorders>
              <w:top w:val="nil"/>
              <w:left w:val="nil"/>
              <w:bottom w:val="nil"/>
              <w:right w:val="nil"/>
            </w:tcBorders>
          </w:tcPr>
          <w:p w14:paraId="03AEBE70"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L9.Exchange Rate Classification (RR inverted, higher = more fixed)</w:t>
            </w:r>
          </w:p>
        </w:tc>
        <w:tc>
          <w:tcPr>
            <w:tcW w:w="1656" w:type="dxa"/>
            <w:tcBorders>
              <w:top w:val="nil"/>
              <w:left w:val="nil"/>
              <w:bottom w:val="nil"/>
              <w:right w:val="nil"/>
            </w:tcBorders>
          </w:tcPr>
          <w:p w14:paraId="61CC787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0.00743</w:t>
            </w:r>
          </w:p>
        </w:tc>
        <w:tc>
          <w:tcPr>
            <w:tcW w:w="1656" w:type="dxa"/>
            <w:tcBorders>
              <w:top w:val="nil"/>
              <w:left w:val="nil"/>
              <w:bottom w:val="nil"/>
              <w:right w:val="nil"/>
            </w:tcBorders>
          </w:tcPr>
          <w:p w14:paraId="7C37879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-0.0155</w:t>
            </w:r>
          </w:p>
        </w:tc>
        <w:tc>
          <w:tcPr>
            <w:tcW w:w="1656" w:type="dxa"/>
            <w:tcBorders>
              <w:top w:val="nil"/>
              <w:left w:val="nil"/>
              <w:bottom w:val="nil"/>
              <w:right w:val="nil"/>
            </w:tcBorders>
          </w:tcPr>
          <w:p w14:paraId="795A65F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-0.00377</w:t>
            </w:r>
          </w:p>
        </w:tc>
        <w:tc>
          <w:tcPr>
            <w:tcW w:w="1656" w:type="dxa"/>
            <w:tcBorders>
              <w:top w:val="nil"/>
              <w:left w:val="nil"/>
              <w:bottom w:val="nil"/>
              <w:right w:val="nil"/>
            </w:tcBorders>
          </w:tcPr>
          <w:p w14:paraId="1C062C4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-0.00924</w:t>
            </w:r>
          </w:p>
        </w:tc>
        <w:tc>
          <w:tcPr>
            <w:tcW w:w="1656" w:type="dxa"/>
            <w:tcBorders>
              <w:top w:val="nil"/>
              <w:left w:val="nil"/>
              <w:bottom w:val="nil"/>
              <w:right w:val="nil"/>
            </w:tcBorders>
          </w:tcPr>
          <w:p w14:paraId="33DCF276"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0.00786</w:t>
            </w:r>
          </w:p>
        </w:tc>
      </w:tr>
      <w:tr w:rsidR="002A5362" w:rsidRPr="00C617AE" w14:paraId="26EFE83B" w14:textId="77777777" w:rsidTr="00015B88">
        <w:tc>
          <w:tcPr>
            <w:tcW w:w="2136" w:type="dxa"/>
            <w:tcBorders>
              <w:top w:val="nil"/>
              <w:left w:val="nil"/>
              <w:bottom w:val="nil"/>
              <w:right w:val="nil"/>
            </w:tcBorders>
          </w:tcPr>
          <w:p w14:paraId="63317450"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B47FDF8"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(0.38)</w:t>
            </w:r>
          </w:p>
        </w:tc>
        <w:tc>
          <w:tcPr>
            <w:tcW w:w="1656" w:type="dxa"/>
            <w:tcBorders>
              <w:top w:val="nil"/>
              <w:left w:val="nil"/>
              <w:bottom w:val="nil"/>
              <w:right w:val="nil"/>
            </w:tcBorders>
          </w:tcPr>
          <w:p w14:paraId="13E71C4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(-0.92)</w:t>
            </w:r>
          </w:p>
        </w:tc>
        <w:tc>
          <w:tcPr>
            <w:tcW w:w="1656" w:type="dxa"/>
            <w:tcBorders>
              <w:top w:val="nil"/>
              <w:left w:val="nil"/>
              <w:bottom w:val="nil"/>
              <w:right w:val="nil"/>
            </w:tcBorders>
          </w:tcPr>
          <w:p w14:paraId="24350CD7"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(-0.18)</w:t>
            </w:r>
          </w:p>
        </w:tc>
        <w:tc>
          <w:tcPr>
            <w:tcW w:w="1656" w:type="dxa"/>
            <w:tcBorders>
              <w:top w:val="nil"/>
              <w:left w:val="nil"/>
              <w:bottom w:val="nil"/>
              <w:right w:val="nil"/>
            </w:tcBorders>
          </w:tcPr>
          <w:p w14:paraId="223A524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(-1.60)</w:t>
            </w:r>
          </w:p>
        </w:tc>
        <w:tc>
          <w:tcPr>
            <w:tcW w:w="1656" w:type="dxa"/>
            <w:tcBorders>
              <w:top w:val="nil"/>
              <w:left w:val="nil"/>
              <w:bottom w:val="nil"/>
              <w:right w:val="nil"/>
            </w:tcBorders>
          </w:tcPr>
          <w:p w14:paraId="3273FE4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(1.27)</w:t>
            </w:r>
          </w:p>
        </w:tc>
      </w:tr>
      <w:tr w:rsidR="002A5362" w:rsidRPr="00C617AE" w14:paraId="7A4E489D" w14:textId="77777777" w:rsidTr="00015B88">
        <w:tc>
          <w:tcPr>
            <w:tcW w:w="2136" w:type="dxa"/>
            <w:tcBorders>
              <w:top w:val="nil"/>
              <w:left w:val="nil"/>
              <w:bottom w:val="nil"/>
              <w:right w:val="nil"/>
            </w:tcBorders>
          </w:tcPr>
          <w:p w14:paraId="5CACD68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DAE001B"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747059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AAD6BF6"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A137F8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90F481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6B24637C" w14:textId="77777777" w:rsidTr="00015B88">
        <w:tc>
          <w:tcPr>
            <w:tcW w:w="2136" w:type="dxa"/>
            <w:tcBorders>
              <w:top w:val="nil"/>
              <w:left w:val="nil"/>
              <w:bottom w:val="nil"/>
              <w:right w:val="nil"/>
            </w:tcBorders>
          </w:tcPr>
          <w:p w14:paraId="2844A533"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L10.Exchange Rate Classification (RR inverted, higher = more fixed)</w:t>
            </w:r>
          </w:p>
        </w:tc>
        <w:tc>
          <w:tcPr>
            <w:tcW w:w="1656" w:type="dxa"/>
            <w:tcBorders>
              <w:top w:val="nil"/>
              <w:left w:val="nil"/>
              <w:bottom w:val="nil"/>
              <w:right w:val="nil"/>
            </w:tcBorders>
          </w:tcPr>
          <w:p w14:paraId="6C825A3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-0.00888</w:t>
            </w:r>
          </w:p>
        </w:tc>
        <w:tc>
          <w:tcPr>
            <w:tcW w:w="1656" w:type="dxa"/>
            <w:tcBorders>
              <w:top w:val="nil"/>
              <w:left w:val="nil"/>
              <w:bottom w:val="nil"/>
              <w:right w:val="nil"/>
            </w:tcBorders>
          </w:tcPr>
          <w:p w14:paraId="5FCC9F4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-0.0190</w:t>
            </w:r>
          </w:p>
        </w:tc>
        <w:tc>
          <w:tcPr>
            <w:tcW w:w="1656" w:type="dxa"/>
            <w:tcBorders>
              <w:top w:val="nil"/>
              <w:left w:val="nil"/>
              <w:bottom w:val="nil"/>
              <w:right w:val="nil"/>
            </w:tcBorders>
          </w:tcPr>
          <w:p w14:paraId="4807BE8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0.0179</w:t>
            </w:r>
          </w:p>
        </w:tc>
        <w:tc>
          <w:tcPr>
            <w:tcW w:w="1656" w:type="dxa"/>
            <w:tcBorders>
              <w:top w:val="nil"/>
              <w:left w:val="nil"/>
              <w:bottom w:val="nil"/>
              <w:right w:val="nil"/>
            </w:tcBorders>
          </w:tcPr>
          <w:p w14:paraId="6C247F4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-0.00350</w:t>
            </w:r>
          </w:p>
        </w:tc>
        <w:tc>
          <w:tcPr>
            <w:tcW w:w="1656" w:type="dxa"/>
            <w:tcBorders>
              <w:top w:val="nil"/>
              <w:left w:val="nil"/>
              <w:bottom w:val="nil"/>
              <w:right w:val="nil"/>
            </w:tcBorders>
          </w:tcPr>
          <w:p w14:paraId="4F32CE62"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-0.0110</w:t>
            </w:r>
          </w:p>
        </w:tc>
      </w:tr>
      <w:tr w:rsidR="002A5362" w:rsidRPr="00C617AE" w14:paraId="0FD34E50" w14:textId="77777777" w:rsidTr="00015B88">
        <w:tc>
          <w:tcPr>
            <w:tcW w:w="2136" w:type="dxa"/>
            <w:tcBorders>
              <w:top w:val="nil"/>
              <w:left w:val="nil"/>
              <w:bottom w:val="nil"/>
              <w:right w:val="nil"/>
            </w:tcBorders>
          </w:tcPr>
          <w:p w14:paraId="6E097CB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D033FB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(-0.41)</w:t>
            </w:r>
          </w:p>
        </w:tc>
        <w:tc>
          <w:tcPr>
            <w:tcW w:w="1656" w:type="dxa"/>
            <w:tcBorders>
              <w:top w:val="nil"/>
              <w:left w:val="nil"/>
              <w:bottom w:val="nil"/>
              <w:right w:val="nil"/>
            </w:tcBorders>
          </w:tcPr>
          <w:p w14:paraId="00AF4BD6"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(-1.16)</w:t>
            </w:r>
          </w:p>
        </w:tc>
        <w:tc>
          <w:tcPr>
            <w:tcW w:w="1656" w:type="dxa"/>
            <w:tcBorders>
              <w:top w:val="nil"/>
              <w:left w:val="nil"/>
              <w:bottom w:val="nil"/>
              <w:right w:val="nil"/>
            </w:tcBorders>
          </w:tcPr>
          <w:p w14:paraId="5FFCFED2"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(0.94)</w:t>
            </w:r>
          </w:p>
        </w:tc>
        <w:tc>
          <w:tcPr>
            <w:tcW w:w="1656" w:type="dxa"/>
            <w:tcBorders>
              <w:top w:val="nil"/>
              <w:left w:val="nil"/>
              <w:bottom w:val="nil"/>
              <w:right w:val="nil"/>
            </w:tcBorders>
          </w:tcPr>
          <w:p w14:paraId="07C8B35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(-0.59)</w:t>
            </w:r>
          </w:p>
        </w:tc>
        <w:tc>
          <w:tcPr>
            <w:tcW w:w="1656" w:type="dxa"/>
            <w:tcBorders>
              <w:top w:val="nil"/>
              <w:left w:val="nil"/>
              <w:bottom w:val="nil"/>
              <w:right w:val="nil"/>
            </w:tcBorders>
          </w:tcPr>
          <w:p w14:paraId="3994782E"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(-1.64)</w:t>
            </w:r>
          </w:p>
        </w:tc>
      </w:tr>
      <w:tr w:rsidR="002A5362" w:rsidRPr="00C617AE" w14:paraId="78BF7C6E" w14:textId="77777777" w:rsidTr="00015B88">
        <w:tc>
          <w:tcPr>
            <w:tcW w:w="2136" w:type="dxa"/>
            <w:tcBorders>
              <w:top w:val="nil"/>
              <w:left w:val="nil"/>
              <w:bottom w:val="nil"/>
              <w:right w:val="nil"/>
            </w:tcBorders>
          </w:tcPr>
          <w:p w14:paraId="386FFF1F"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B9B1A9C"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8589E0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AB4283A"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C77E1D5"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E1F7B06"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2733FC65" w14:textId="77777777" w:rsidTr="00015B88">
        <w:tc>
          <w:tcPr>
            <w:tcW w:w="2136" w:type="dxa"/>
            <w:tcBorders>
              <w:top w:val="nil"/>
              <w:left w:val="nil"/>
              <w:bottom w:val="nil"/>
              <w:right w:val="nil"/>
            </w:tcBorders>
          </w:tcPr>
          <w:p w14:paraId="65156D56"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roofErr w:type="spellStart"/>
            <w:r w:rsidRPr="00C617AE">
              <w:rPr>
                <w:rFonts w:ascii="Times New Roman" w:hAnsi="Times New Roman" w:cs="Times New Roman"/>
                <w:sz w:val="20"/>
                <w:szCs w:val="20"/>
              </w:rPr>
              <w:t>L.De</w:t>
            </w:r>
            <w:proofErr w:type="spellEnd"/>
            <w:r w:rsidRPr="00C617AE">
              <w:rPr>
                <w:rFonts w:ascii="Times New Roman" w:hAnsi="Times New Roman" w:cs="Times New Roman"/>
                <w:sz w:val="20"/>
                <w:szCs w:val="20"/>
              </w:rPr>
              <w:t xml:space="preserve"> Facto CBI * More Fixed Rate</w:t>
            </w:r>
          </w:p>
        </w:tc>
        <w:tc>
          <w:tcPr>
            <w:tcW w:w="1656" w:type="dxa"/>
            <w:tcBorders>
              <w:top w:val="nil"/>
              <w:left w:val="nil"/>
              <w:bottom w:val="nil"/>
              <w:right w:val="nil"/>
            </w:tcBorders>
          </w:tcPr>
          <w:p w14:paraId="0210734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0.00986</w:t>
            </w:r>
          </w:p>
        </w:tc>
        <w:tc>
          <w:tcPr>
            <w:tcW w:w="1656" w:type="dxa"/>
            <w:tcBorders>
              <w:top w:val="nil"/>
              <w:left w:val="nil"/>
              <w:bottom w:val="nil"/>
              <w:right w:val="nil"/>
            </w:tcBorders>
          </w:tcPr>
          <w:p w14:paraId="4C2442D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0.0152</w:t>
            </w:r>
          </w:p>
        </w:tc>
        <w:tc>
          <w:tcPr>
            <w:tcW w:w="1656" w:type="dxa"/>
            <w:tcBorders>
              <w:top w:val="nil"/>
              <w:left w:val="nil"/>
              <w:bottom w:val="nil"/>
              <w:right w:val="nil"/>
            </w:tcBorders>
          </w:tcPr>
          <w:p w14:paraId="2625F5B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0.0292</w:t>
            </w:r>
          </w:p>
        </w:tc>
        <w:tc>
          <w:tcPr>
            <w:tcW w:w="1656" w:type="dxa"/>
            <w:tcBorders>
              <w:top w:val="nil"/>
              <w:left w:val="nil"/>
              <w:bottom w:val="nil"/>
              <w:right w:val="nil"/>
            </w:tcBorders>
          </w:tcPr>
          <w:p w14:paraId="19509818"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-0.00396</w:t>
            </w:r>
          </w:p>
        </w:tc>
        <w:tc>
          <w:tcPr>
            <w:tcW w:w="1656" w:type="dxa"/>
            <w:tcBorders>
              <w:top w:val="nil"/>
              <w:left w:val="nil"/>
              <w:bottom w:val="nil"/>
              <w:right w:val="nil"/>
            </w:tcBorders>
          </w:tcPr>
          <w:p w14:paraId="43E79B0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0.00247</w:t>
            </w:r>
          </w:p>
        </w:tc>
      </w:tr>
      <w:tr w:rsidR="002A5362" w:rsidRPr="00C617AE" w14:paraId="72854A18" w14:textId="77777777" w:rsidTr="00015B88">
        <w:tc>
          <w:tcPr>
            <w:tcW w:w="2136" w:type="dxa"/>
            <w:tcBorders>
              <w:top w:val="nil"/>
              <w:left w:val="nil"/>
              <w:bottom w:val="nil"/>
              <w:right w:val="nil"/>
            </w:tcBorders>
          </w:tcPr>
          <w:p w14:paraId="10666ACA"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41B6E6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(0.46)</w:t>
            </w:r>
          </w:p>
        </w:tc>
        <w:tc>
          <w:tcPr>
            <w:tcW w:w="1656" w:type="dxa"/>
            <w:tcBorders>
              <w:top w:val="nil"/>
              <w:left w:val="nil"/>
              <w:bottom w:val="nil"/>
              <w:right w:val="nil"/>
            </w:tcBorders>
          </w:tcPr>
          <w:p w14:paraId="6B67F10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(1.04)</w:t>
            </w:r>
          </w:p>
        </w:tc>
        <w:tc>
          <w:tcPr>
            <w:tcW w:w="1656" w:type="dxa"/>
            <w:tcBorders>
              <w:top w:val="nil"/>
              <w:left w:val="nil"/>
              <w:bottom w:val="nil"/>
              <w:right w:val="nil"/>
            </w:tcBorders>
          </w:tcPr>
          <w:p w14:paraId="0D97C5C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(1.35)</w:t>
            </w:r>
          </w:p>
        </w:tc>
        <w:tc>
          <w:tcPr>
            <w:tcW w:w="1656" w:type="dxa"/>
            <w:tcBorders>
              <w:top w:val="nil"/>
              <w:left w:val="nil"/>
              <w:bottom w:val="nil"/>
              <w:right w:val="nil"/>
            </w:tcBorders>
          </w:tcPr>
          <w:p w14:paraId="128A805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(-0.59)</w:t>
            </w:r>
          </w:p>
        </w:tc>
        <w:tc>
          <w:tcPr>
            <w:tcW w:w="1656" w:type="dxa"/>
            <w:tcBorders>
              <w:top w:val="nil"/>
              <w:left w:val="nil"/>
              <w:bottom w:val="nil"/>
              <w:right w:val="nil"/>
            </w:tcBorders>
          </w:tcPr>
          <w:p w14:paraId="666958E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(0.43)</w:t>
            </w:r>
          </w:p>
        </w:tc>
      </w:tr>
      <w:tr w:rsidR="002A5362" w:rsidRPr="00C617AE" w14:paraId="02A5B7D2" w14:textId="77777777" w:rsidTr="00015B88">
        <w:tc>
          <w:tcPr>
            <w:tcW w:w="2136" w:type="dxa"/>
            <w:tcBorders>
              <w:top w:val="nil"/>
              <w:left w:val="nil"/>
              <w:bottom w:val="nil"/>
              <w:right w:val="nil"/>
            </w:tcBorders>
          </w:tcPr>
          <w:p w14:paraId="7E787E4A"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F91DB95"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9A1E953"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380FB47"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634C2BC"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11F8E60"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17F7B662" w14:textId="77777777" w:rsidTr="00015B88">
        <w:tc>
          <w:tcPr>
            <w:tcW w:w="2136" w:type="dxa"/>
            <w:tcBorders>
              <w:top w:val="nil"/>
              <w:left w:val="nil"/>
              <w:bottom w:val="nil"/>
              <w:right w:val="nil"/>
            </w:tcBorders>
          </w:tcPr>
          <w:p w14:paraId="2A899695"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L2.De Facto CBI * More Fixed Rate</w:t>
            </w:r>
          </w:p>
        </w:tc>
        <w:tc>
          <w:tcPr>
            <w:tcW w:w="1656" w:type="dxa"/>
            <w:tcBorders>
              <w:top w:val="nil"/>
              <w:left w:val="nil"/>
              <w:bottom w:val="nil"/>
              <w:right w:val="nil"/>
            </w:tcBorders>
          </w:tcPr>
          <w:p w14:paraId="7B629AC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0.0190</w:t>
            </w:r>
          </w:p>
        </w:tc>
        <w:tc>
          <w:tcPr>
            <w:tcW w:w="1656" w:type="dxa"/>
            <w:tcBorders>
              <w:top w:val="nil"/>
              <w:left w:val="nil"/>
              <w:bottom w:val="nil"/>
              <w:right w:val="nil"/>
            </w:tcBorders>
          </w:tcPr>
          <w:p w14:paraId="10D9EF6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-0.00785</w:t>
            </w:r>
          </w:p>
        </w:tc>
        <w:tc>
          <w:tcPr>
            <w:tcW w:w="1656" w:type="dxa"/>
            <w:tcBorders>
              <w:top w:val="nil"/>
              <w:left w:val="nil"/>
              <w:bottom w:val="nil"/>
              <w:right w:val="nil"/>
            </w:tcBorders>
          </w:tcPr>
          <w:p w14:paraId="13C169EE"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0.0132</w:t>
            </w:r>
          </w:p>
        </w:tc>
        <w:tc>
          <w:tcPr>
            <w:tcW w:w="1656" w:type="dxa"/>
            <w:tcBorders>
              <w:top w:val="nil"/>
              <w:left w:val="nil"/>
              <w:bottom w:val="nil"/>
              <w:right w:val="nil"/>
            </w:tcBorders>
          </w:tcPr>
          <w:p w14:paraId="7E09957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-0.000578</w:t>
            </w:r>
          </w:p>
        </w:tc>
        <w:tc>
          <w:tcPr>
            <w:tcW w:w="1656" w:type="dxa"/>
            <w:tcBorders>
              <w:top w:val="nil"/>
              <w:left w:val="nil"/>
              <w:bottom w:val="nil"/>
              <w:right w:val="nil"/>
            </w:tcBorders>
          </w:tcPr>
          <w:p w14:paraId="50B702E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0.00655</w:t>
            </w:r>
          </w:p>
        </w:tc>
      </w:tr>
      <w:tr w:rsidR="002A5362" w:rsidRPr="00C617AE" w14:paraId="4564B6A5" w14:textId="77777777" w:rsidTr="00015B88">
        <w:tc>
          <w:tcPr>
            <w:tcW w:w="2136" w:type="dxa"/>
            <w:tcBorders>
              <w:top w:val="nil"/>
              <w:left w:val="nil"/>
              <w:bottom w:val="nil"/>
              <w:right w:val="nil"/>
            </w:tcBorders>
          </w:tcPr>
          <w:p w14:paraId="151C8C3F"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33CFAA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(0.99)</w:t>
            </w:r>
          </w:p>
        </w:tc>
        <w:tc>
          <w:tcPr>
            <w:tcW w:w="1656" w:type="dxa"/>
            <w:tcBorders>
              <w:top w:val="nil"/>
              <w:left w:val="nil"/>
              <w:bottom w:val="nil"/>
              <w:right w:val="nil"/>
            </w:tcBorders>
          </w:tcPr>
          <w:p w14:paraId="55694B49"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(-0.48)</w:t>
            </w:r>
          </w:p>
        </w:tc>
        <w:tc>
          <w:tcPr>
            <w:tcW w:w="1656" w:type="dxa"/>
            <w:tcBorders>
              <w:top w:val="nil"/>
              <w:left w:val="nil"/>
              <w:bottom w:val="nil"/>
              <w:right w:val="nil"/>
            </w:tcBorders>
          </w:tcPr>
          <w:p w14:paraId="437A0F3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(0.62)</w:t>
            </w:r>
          </w:p>
        </w:tc>
        <w:tc>
          <w:tcPr>
            <w:tcW w:w="1656" w:type="dxa"/>
            <w:tcBorders>
              <w:top w:val="nil"/>
              <w:left w:val="nil"/>
              <w:bottom w:val="nil"/>
              <w:right w:val="nil"/>
            </w:tcBorders>
          </w:tcPr>
          <w:p w14:paraId="3CA62D0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(-0.08)</w:t>
            </w:r>
          </w:p>
        </w:tc>
        <w:tc>
          <w:tcPr>
            <w:tcW w:w="1656" w:type="dxa"/>
            <w:tcBorders>
              <w:top w:val="nil"/>
              <w:left w:val="nil"/>
              <w:bottom w:val="nil"/>
              <w:right w:val="nil"/>
            </w:tcBorders>
          </w:tcPr>
          <w:p w14:paraId="4E198DE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(1.09)</w:t>
            </w:r>
          </w:p>
        </w:tc>
      </w:tr>
      <w:tr w:rsidR="002A5362" w:rsidRPr="00C617AE" w14:paraId="256ECA01" w14:textId="77777777" w:rsidTr="00015B88">
        <w:tc>
          <w:tcPr>
            <w:tcW w:w="2136" w:type="dxa"/>
            <w:tcBorders>
              <w:top w:val="nil"/>
              <w:left w:val="nil"/>
              <w:bottom w:val="nil"/>
              <w:right w:val="nil"/>
            </w:tcBorders>
          </w:tcPr>
          <w:p w14:paraId="43BFC3D7"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EC8D829"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A197A8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E7F755F"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AC6AAE9"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297679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186923B5" w14:textId="77777777" w:rsidTr="00015B88">
        <w:tc>
          <w:tcPr>
            <w:tcW w:w="2136" w:type="dxa"/>
            <w:tcBorders>
              <w:top w:val="nil"/>
              <w:left w:val="nil"/>
              <w:bottom w:val="nil"/>
              <w:right w:val="nil"/>
            </w:tcBorders>
          </w:tcPr>
          <w:p w14:paraId="26484548"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L3.De Facto CBI * More Fixed Rate</w:t>
            </w:r>
          </w:p>
        </w:tc>
        <w:tc>
          <w:tcPr>
            <w:tcW w:w="1656" w:type="dxa"/>
            <w:tcBorders>
              <w:top w:val="nil"/>
              <w:left w:val="nil"/>
              <w:bottom w:val="nil"/>
              <w:right w:val="nil"/>
            </w:tcBorders>
          </w:tcPr>
          <w:p w14:paraId="3D96A87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0.00828</w:t>
            </w:r>
          </w:p>
        </w:tc>
        <w:tc>
          <w:tcPr>
            <w:tcW w:w="1656" w:type="dxa"/>
            <w:tcBorders>
              <w:top w:val="nil"/>
              <w:left w:val="nil"/>
              <w:bottom w:val="nil"/>
              <w:right w:val="nil"/>
            </w:tcBorders>
          </w:tcPr>
          <w:p w14:paraId="57CA61E8"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-0.00435</w:t>
            </w:r>
          </w:p>
        </w:tc>
        <w:tc>
          <w:tcPr>
            <w:tcW w:w="1656" w:type="dxa"/>
            <w:tcBorders>
              <w:top w:val="nil"/>
              <w:left w:val="nil"/>
              <w:bottom w:val="nil"/>
              <w:right w:val="nil"/>
            </w:tcBorders>
          </w:tcPr>
          <w:p w14:paraId="0A1AD85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-0.0223</w:t>
            </w:r>
          </w:p>
        </w:tc>
        <w:tc>
          <w:tcPr>
            <w:tcW w:w="1656" w:type="dxa"/>
            <w:tcBorders>
              <w:top w:val="nil"/>
              <w:left w:val="nil"/>
              <w:bottom w:val="nil"/>
              <w:right w:val="nil"/>
            </w:tcBorders>
          </w:tcPr>
          <w:p w14:paraId="42EAAAB8"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-0.00125</w:t>
            </w:r>
          </w:p>
        </w:tc>
        <w:tc>
          <w:tcPr>
            <w:tcW w:w="1656" w:type="dxa"/>
            <w:tcBorders>
              <w:top w:val="nil"/>
              <w:left w:val="nil"/>
              <w:bottom w:val="nil"/>
              <w:right w:val="nil"/>
            </w:tcBorders>
          </w:tcPr>
          <w:p w14:paraId="3FA42D42"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0.00409</w:t>
            </w:r>
          </w:p>
        </w:tc>
      </w:tr>
      <w:tr w:rsidR="002A5362" w:rsidRPr="00C617AE" w14:paraId="18A1BA54" w14:textId="77777777" w:rsidTr="00015B88">
        <w:tc>
          <w:tcPr>
            <w:tcW w:w="2136" w:type="dxa"/>
            <w:tcBorders>
              <w:top w:val="nil"/>
              <w:left w:val="nil"/>
              <w:bottom w:val="nil"/>
              <w:right w:val="nil"/>
            </w:tcBorders>
          </w:tcPr>
          <w:p w14:paraId="148B8B5B"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86DE92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(0.46)</w:t>
            </w:r>
          </w:p>
        </w:tc>
        <w:tc>
          <w:tcPr>
            <w:tcW w:w="1656" w:type="dxa"/>
            <w:tcBorders>
              <w:top w:val="nil"/>
              <w:left w:val="nil"/>
              <w:bottom w:val="nil"/>
              <w:right w:val="nil"/>
            </w:tcBorders>
          </w:tcPr>
          <w:p w14:paraId="3B96D88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(-0.31)</w:t>
            </w:r>
          </w:p>
        </w:tc>
        <w:tc>
          <w:tcPr>
            <w:tcW w:w="1656" w:type="dxa"/>
            <w:tcBorders>
              <w:top w:val="nil"/>
              <w:left w:val="nil"/>
              <w:bottom w:val="nil"/>
              <w:right w:val="nil"/>
            </w:tcBorders>
          </w:tcPr>
          <w:p w14:paraId="24FEB9C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(-1.22)</w:t>
            </w:r>
          </w:p>
        </w:tc>
        <w:tc>
          <w:tcPr>
            <w:tcW w:w="1656" w:type="dxa"/>
            <w:tcBorders>
              <w:top w:val="nil"/>
              <w:left w:val="nil"/>
              <w:bottom w:val="nil"/>
              <w:right w:val="nil"/>
            </w:tcBorders>
          </w:tcPr>
          <w:p w14:paraId="5B2A8466"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(-0.16)</w:t>
            </w:r>
          </w:p>
        </w:tc>
        <w:tc>
          <w:tcPr>
            <w:tcW w:w="1656" w:type="dxa"/>
            <w:tcBorders>
              <w:top w:val="nil"/>
              <w:left w:val="nil"/>
              <w:bottom w:val="nil"/>
              <w:right w:val="nil"/>
            </w:tcBorders>
          </w:tcPr>
          <w:p w14:paraId="09262D3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(0.63)</w:t>
            </w:r>
          </w:p>
        </w:tc>
      </w:tr>
      <w:tr w:rsidR="002A5362" w:rsidRPr="00C617AE" w14:paraId="5F10E232" w14:textId="77777777" w:rsidTr="00015B88">
        <w:tc>
          <w:tcPr>
            <w:tcW w:w="2136" w:type="dxa"/>
            <w:tcBorders>
              <w:top w:val="nil"/>
              <w:left w:val="nil"/>
              <w:bottom w:val="nil"/>
              <w:right w:val="nil"/>
            </w:tcBorders>
          </w:tcPr>
          <w:p w14:paraId="0F75DB18"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762F27F"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9FDD69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A1F352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A4602A4"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AE00446"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3D47D79C" w14:textId="77777777" w:rsidTr="00015B88">
        <w:tc>
          <w:tcPr>
            <w:tcW w:w="2136" w:type="dxa"/>
            <w:tcBorders>
              <w:top w:val="nil"/>
              <w:left w:val="nil"/>
              <w:bottom w:val="nil"/>
              <w:right w:val="nil"/>
            </w:tcBorders>
          </w:tcPr>
          <w:p w14:paraId="25C2802B"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L4.De Facto CBI * More Fixed Rate</w:t>
            </w:r>
          </w:p>
        </w:tc>
        <w:tc>
          <w:tcPr>
            <w:tcW w:w="1656" w:type="dxa"/>
            <w:tcBorders>
              <w:top w:val="nil"/>
              <w:left w:val="nil"/>
              <w:bottom w:val="nil"/>
              <w:right w:val="nil"/>
            </w:tcBorders>
          </w:tcPr>
          <w:p w14:paraId="31BBA998"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-0.0125</w:t>
            </w:r>
          </w:p>
        </w:tc>
        <w:tc>
          <w:tcPr>
            <w:tcW w:w="1656" w:type="dxa"/>
            <w:tcBorders>
              <w:top w:val="nil"/>
              <w:left w:val="nil"/>
              <w:bottom w:val="nil"/>
              <w:right w:val="nil"/>
            </w:tcBorders>
          </w:tcPr>
          <w:p w14:paraId="0765FA0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0.00338</w:t>
            </w:r>
          </w:p>
        </w:tc>
        <w:tc>
          <w:tcPr>
            <w:tcW w:w="1656" w:type="dxa"/>
            <w:tcBorders>
              <w:top w:val="nil"/>
              <w:left w:val="nil"/>
              <w:bottom w:val="nil"/>
              <w:right w:val="nil"/>
            </w:tcBorders>
          </w:tcPr>
          <w:p w14:paraId="6E3473F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-0.00839</w:t>
            </w:r>
          </w:p>
        </w:tc>
        <w:tc>
          <w:tcPr>
            <w:tcW w:w="1656" w:type="dxa"/>
            <w:tcBorders>
              <w:top w:val="nil"/>
              <w:left w:val="nil"/>
              <w:bottom w:val="nil"/>
              <w:right w:val="nil"/>
            </w:tcBorders>
          </w:tcPr>
          <w:p w14:paraId="6D50C94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-0.000358</w:t>
            </w:r>
          </w:p>
        </w:tc>
        <w:tc>
          <w:tcPr>
            <w:tcW w:w="1656" w:type="dxa"/>
            <w:tcBorders>
              <w:top w:val="nil"/>
              <w:left w:val="nil"/>
              <w:bottom w:val="nil"/>
              <w:right w:val="nil"/>
            </w:tcBorders>
          </w:tcPr>
          <w:p w14:paraId="4F45A13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0.0134</w:t>
            </w:r>
            <w:r w:rsidRPr="00C617AE">
              <w:rPr>
                <w:rFonts w:ascii="Times New Roman" w:hAnsi="Times New Roman" w:cs="Times New Roman"/>
                <w:sz w:val="20"/>
                <w:szCs w:val="20"/>
                <w:vertAlign w:val="superscript"/>
              </w:rPr>
              <w:t>*</w:t>
            </w:r>
          </w:p>
        </w:tc>
      </w:tr>
      <w:tr w:rsidR="002A5362" w:rsidRPr="00C617AE" w14:paraId="5771295C" w14:textId="77777777" w:rsidTr="00015B88">
        <w:tc>
          <w:tcPr>
            <w:tcW w:w="2136" w:type="dxa"/>
            <w:tcBorders>
              <w:top w:val="nil"/>
              <w:left w:val="nil"/>
              <w:bottom w:val="nil"/>
              <w:right w:val="nil"/>
            </w:tcBorders>
          </w:tcPr>
          <w:p w14:paraId="082760D4"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9BA60B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(-0.67)</w:t>
            </w:r>
          </w:p>
        </w:tc>
        <w:tc>
          <w:tcPr>
            <w:tcW w:w="1656" w:type="dxa"/>
            <w:tcBorders>
              <w:top w:val="nil"/>
              <w:left w:val="nil"/>
              <w:bottom w:val="nil"/>
              <w:right w:val="nil"/>
            </w:tcBorders>
          </w:tcPr>
          <w:p w14:paraId="2E1DDD39"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(0.25)</w:t>
            </w:r>
          </w:p>
        </w:tc>
        <w:tc>
          <w:tcPr>
            <w:tcW w:w="1656" w:type="dxa"/>
            <w:tcBorders>
              <w:top w:val="nil"/>
              <w:left w:val="nil"/>
              <w:bottom w:val="nil"/>
              <w:right w:val="nil"/>
            </w:tcBorders>
          </w:tcPr>
          <w:p w14:paraId="4ABC8DC7"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(-0.42)</w:t>
            </w:r>
          </w:p>
        </w:tc>
        <w:tc>
          <w:tcPr>
            <w:tcW w:w="1656" w:type="dxa"/>
            <w:tcBorders>
              <w:top w:val="nil"/>
              <w:left w:val="nil"/>
              <w:bottom w:val="nil"/>
              <w:right w:val="nil"/>
            </w:tcBorders>
          </w:tcPr>
          <w:p w14:paraId="3E97DC5E"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(-0.05)</w:t>
            </w:r>
          </w:p>
        </w:tc>
        <w:tc>
          <w:tcPr>
            <w:tcW w:w="1656" w:type="dxa"/>
            <w:tcBorders>
              <w:top w:val="nil"/>
              <w:left w:val="nil"/>
              <w:bottom w:val="nil"/>
              <w:right w:val="nil"/>
            </w:tcBorders>
          </w:tcPr>
          <w:p w14:paraId="62EDCA27"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(2.20)</w:t>
            </w:r>
          </w:p>
        </w:tc>
      </w:tr>
      <w:tr w:rsidR="002A5362" w:rsidRPr="00C617AE" w14:paraId="4ED6F2A7" w14:textId="77777777" w:rsidTr="00015B88">
        <w:tc>
          <w:tcPr>
            <w:tcW w:w="2136" w:type="dxa"/>
            <w:tcBorders>
              <w:top w:val="nil"/>
              <w:left w:val="nil"/>
              <w:bottom w:val="nil"/>
              <w:right w:val="nil"/>
            </w:tcBorders>
          </w:tcPr>
          <w:p w14:paraId="2B4C9D8B"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5449F49"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49F796E"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502367F"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0F16F32"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9438877"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1CF15742" w14:textId="77777777" w:rsidTr="00015B88">
        <w:tc>
          <w:tcPr>
            <w:tcW w:w="2136" w:type="dxa"/>
            <w:tcBorders>
              <w:top w:val="nil"/>
              <w:left w:val="nil"/>
              <w:bottom w:val="nil"/>
              <w:right w:val="nil"/>
            </w:tcBorders>
          </w:tcPr>
          <w:p w14:paraId="2727DE1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L5.De Facto CBI * More Fixed Rate</w:t>
            </w:r>
          </w:p>
        </w:tc>
        <w:tc>
          <w:tcPr>
            <w:tcW w:w="1656" w:type="dxa"/>
            <w:tcBorders>
              <w:top w:val="nil"/>
              <w:left w:val="nil"/>
              <w:bottom w:val="nil"/>
              <w:right w:val="nil"/>
            </w:tcBorders>
          </w:tcPr>
          <w:p w14:paraId="3F7EED2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-0.0133</w:t>
            </w:r>
          </w:p>
        </w:tc>
        <w:tc>
          <w:tcPr>
            <w:tcW w:w="1656" w:type="dxa"/>
            <w:tcBorders>
              <w:top w:val="nil"/>
              <w:left w:val="nil"/>
              <w:bottom w:val="nil"/>
              <w:right w:val="nil"/>
            </w:tcBorders>
          </w:tcPr>
          <w:p w14:paraId="035C7C69"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-0.00553</w:t>
            </w:r>
          </w:p>
        </w:tc>
        <w:tc>
          <w:tcPr>
            <w:tcW w:w="1656" w:type="dxa"/>
            <w:tcBorders>
              <w:top w:val="nil"/>
              <w:left w:val="nil"/>
              <w:bottom w:val="nil"/>
              <w:right w:val="nil"/>
            </w:tcBorders>
          </w:tcPr>
          <w:p w14:paraId="0E1D851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0.000289</w:t>
            </w:r>
          </w:p>
        </w:tc>
        <w:tc>
          <w:tcPr>
            <w:tcW w:w="1656" w:type="dxa"/>
            <w:tcBorders>
              <w:top w:val="nil"/>
              <w:left w:val="nil"/>
              <w:bottom w:val="nil"/>
              <w:right w:val="nil"/>
            </w:tcBorders>
          </w:tcPr>
          <w:p w14:paraId="1D86842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0.00298</w:t>
            </w:r>
          </w:p>
        </w:tc>
        <w:tc>
          <w:tcPr>
            <w:tcW w:w="1656" w:type="dxa"/>
            <w:tcBorders>
              <w:top w:val="nil"/>
              <w:left w:val="nil"/>
              <w:bottom w:val="nil"/>
              <w:right w:val="nil"/>
            </w:tcBorders>
          </w:tcPr>
          <w:p w14:paraId="4C881DF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0.00623</w:t>
            </w:r>
          </w:p>
        </w:tc>
      </w:tr>
      <w:tr w:rsidR="002A5362" w:rsidRPr="00C617AE" w14:paraId="01333320" w14:textId="77777777" w:rsidTr="00015B88">
        <w:tc>
          <w:tcPr>
            <w:tcW w:w="2136" w:type="dxa"/>
            <w:tcBorders>
              <w:top w:val="nil"/>
              <w:left w:val="nil"/>
              <w:bottom w:val="nil"/>
              <w:right w:val="nil"/>
            </w:tcBorders>
          </w:tcPr>
          <w:p w14:paraId="71AD34FF"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CD7196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(-0.69)</w:t>
            </w:r>
          </w:p>
        </w:tc>
        <w:tc>
          <w:tcPr>
            <w:tcW w:w="1656" w:type="dxa"/>
            <w:tcBorders>
              <w:top w:val="nil"/>
              <w:left w:val="nil"/>
              <w:bottom w:val="nil"/>
              <w:right w:val="nil"/>
            </w:tcBorders>
          </w:tcPr>
          <w:p w14:paraId="02F6DE3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(-0.36)</w:t>
            </w:r>
          </w:p>
        </w:tc>
        <w:tc>
          <w:tcPr>
            <w:tcW w:w="1656" w:type="dxa"/>
            <w:tcBorders>
              <w:top w:val="nil"/>
              <w:left w:val="nil"/>
              <w:bottom w:val="nil"/>
              <w:right w:val="nil"/>
            </w:tcBorders>
          </w:tcPr>
          <w:p w14:paraId="53B87EC2"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w:t>
            </w:r>
          </w:p>
        </w:tc>
        <w:tc>
          <w:tcPr>
            <w:tcW w:w="1656" w:type="dxa"/>
            <w:tcBorders>
              <w:top w:val="nil"/>
              <w:left w:val="nil"/>
              <w:bottom w:val="nil"/>
              <w:right w:val="nil"/>
            </w:tcBorders>
          </w:tcPr>
          <w:p w14:paraId="67E3C5F2"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(0.36)</w:t>
            </w:r>
          </w:p>
        </w:tc>
        <w:tc>
          <w:tcPr>
            <w:tcW w:w="1656" w:type="dxa"/>
            <w:tcBorders>
              <w:top w:val="nil"/>
              <w:left w:val="nil"/>
              <w:bottom w:val="nil"/>
              <w:right w:val="nil"/>
            </w:tcBorders>
          </w:tcPr>
          <w:p w14:paraId="282DD438"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(0.96)</w:t>
            </w:r>
          </w:p>
        </w:tc>
      </w:tr>
      <w:tr w:rsidR="002A5362" w:rsidRPr="00C617AE" w14:paraId="2ED9A1F6" w14:textId="77777777" w:rsidTr="00015B88">
        <w:tc>
          <w:tcPr>
            <w:tcW w:w="2136" w:type="dxa"/>
            <w:tcBorders>
              <w:top w:val="nil"/>
              <w:left w:val="nil"/>
              <w:bottom w:val="nil"/>
              <w:right w:val="nil"/>
            </w:tcBorders>
          </w:tcPr>
          <w:p w14:paraId="243D10BE"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5B812C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1B45144"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D9E6316"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04C2479"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4201BD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31CE80BF" w14:textId="77777777" w:rsidTr="00015B88">
        <w:tc>
          <w:tcPr>
            <w:tcW w:w="2136" w:type="dxa"/>
            <w:tcBorders>
              <w:top w:val="nil"/>
              <w:left w:val="nil"/>
              <w:bottom w:val="nil"/>
              <w:right w:val="nil"/>
            </w:tcBorders>
          </w:tcPr>
          <w:p w14:paraId="6E27287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L6.De Facto CBI * More Fixed Rate</w:t>
            </w:r>
          </w:p>
        </w:tc>
        <w:tc>
          <w:tcPr>
            <w:tcW w:w="1656" w:type="dxa"/>
            <w:tcBorders>
              <w:top w:val="nil"/>
              <w:left w:val="nil"/>
              <w:bottom w:val="nil"/>
              <w:right w:val="nil"/>
            </w:tcBorders>
          </w:tcPr>
          <w:p w14:paraId="6F475B3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0.0304</w:t>
            </w:r>
          </w:p>
        </w:tc>
        <w:tc>
          <w:tcPr>
            <w:tcW w:w="1656" w:type="dxa"/>
            <w:tcBorders>
              <w:top w:val="nil"/>
              <w:left w:val="nil"/>
              <w:bottom w:val="nil"/>
              <w:right w:val="nil"/>
            </w:tcBorders>
          </w:tcPr>
          <w:p w14:paraId="1F83BAB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0.00947</w:t>
            </w:r>
          </w:p>
        </w:tc>
        <w:tc>
          <w:tcPr>
            <w:tcW w:w="1656" w:type="dxa"/>
            <w:tcBorders>
              <w:top w:val="nil"/>
              <w:left w:val="nil"/>
              <w:bottom w:val="nil"/>
              <w:right w:val="nil"/>
            </w:tcBorders>
          </w:tcPr>
          <w:p w14:paraId="1B9F58C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0.0562</w:t>
            </w:r>
            <w:r w:rsidRPr="00C617AE">
              <w:rPr>
                <w:rFonts w:ascii="Times New Roman" w:hAnsi="Times New Roman" w:cs="Times New Roman"/>
                <w:sz w:val="20"/>
                <w:szCs w:val="20"/>
                <w:vertAlign w:val="superscript"/>
              </w:rPr>
              <w:t>**</w:t>
            </w:r>
          </w:p>
        </w:tc>
        <w:tc>
          <w:tcPr>
            <w:tcW w:w="1656" w:type="dxa"/>
            <w:tcBorders>
              <w:top w:val="nil"/>
              <w:left w:val="nil"/>
              <w:bottom w:val="nil"/>
              <w:right w:val="nil"/>
            </w:tcBorders>
          </w:tcPr>
          <w:p w14:paraId="4B1C75C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0.00329</w:t>
            </w:r>
          </w:p>
        </w:tc>
        <w:tc>
          <w:tcPr>
            <w:tcW w:w="1656" w:type="dxa"/>
            <w:tcBorders>
              <w:top w:val="nil"/>
              <w:left w:val="nil"/>
              <w:bottom w:val="nil"/>
              <w:right w:val="nil"/>
            </w:tcBorders>
          </w:tcPr>
          <w:p w14:paraId="1DDFE7D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-0.00562</w:t>
            </w:r>
          </w:p>
        </w:tc>
      </w:tr>
      <w:tr w:rsidR="002A5362" w:rsidRPr="00C617AE" w14:paraId="7C9CA6DD" w14:textId="77777777" w:rsidTr="00015B88">
        <w:tc>
          <w:tcPr>
            <w:tcW w:w="2136" w:type="dxa"/>
            <w:tcBorders>
              <w:top w:val="nil"/>
              <w:left w:val="nil"/>
              <w:bottom w:val="nil"/>
              <w:right w:val="nil"/>
            </w:tcBorders>
          </w:tcPr>
          <w:p w14:paraId="5A2DDE1A"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CAE668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(1.87)</w:t>
            </w:r>
          </w:p>
        </w:tc>
        <w:tc>
          <w:tcPr>
            <w:tcW w:w="1656" w:type="dxa"/>
            <w:tcBorders>
              <w:top w:val="nil"/>
              <w:left w:val="nil"/>
              <w:bottom w:val="nil"/>
              <w:right w:val="nil"/>
            </w:tcBorders>
          </w:tcPr>
          <w:p w14:paraId="39A150FE"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(0.69)</w:t>
            </w:r>
          </w:p>
        </w:tc>
        <w:tc>
          <w:tcPr>
            <w:tcW w:w="1656" w:type="dxa"/>
            <w:tcBorders>
              <w:top w:val="nil"/>
              <w:left w:val="nil"/>
              <w:bottom w:val="nil"/>
              <w:right w:val="nil"/>
            </w:tcBorders>
          </w:tcPr>
          <w:p w14:paraId="7CAD005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(3.14)</w:t>
            </w:r>
          </w:p>
        </w:tc>
        <w:tc>
          <w:tcPr>
            <w:tcW w:w="1656" w:type="dxa"/>
            <w:tcBorders>
              <w:top w:val="nil"/>
              <w:left w:val="nil"/>
              <w:bottom w:val="nil"/>
              <w:right w:val="nil"/>
            </w:tcBorders>
          </w:tcPr>
          <w:p w14:paraId="13F2917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(0.47)</w:t>
            </w:r>
          </w:p>
        </w:tc>
        <w:tc>
          <w:tcPr>
            <w:tcW w:w="1656" w:type="dxa"/>
            <w:tcBorders>
              <w:top w:val="nil"/>
              <w:left w:val="nil"/>
              <w:bottom w:val="nil"/>
              <w:right w:val="nil"/>
            </w:tcBorders>
          </w:tcPr>
          <w:p w14:paraId="5BC3ABA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(-0.83)</w:t>
            </w:r>
          </w:p>
        </w:tc>
      </w:tr>
      <w:tr w:rsidR="002A5362" w:rsidRPr="00C617AE" w14:paraId="03A06BF3" w14:textId="77777777" w:rsidTr="00015B88">
        <w:tc>
          <w:tcPr>
            <w:tcW w:w="2136" w:type="dxa"/>
            <w:tcBorders>
              <w:top w:val="nil"/>
              <w:left w:val="nil"/>
              <w:bottom w:val="nil"/>
              <w:right w:val="nil"/>
            </w:tcBorders>
          </w:tcPr>
          <w:p w14:paraId="20BA68E5"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A56CF5E"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F5E0923"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5916233"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5711A3E"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F087C95"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53F982EB" w14:textId="77777777" w:rsidTr="00015B88">
        <w:tc>
          <w:tcPr>
            <w:tcW w:w="2136" w:type="dxa"/>
            <w:tcBorders>
              <w:top w:val="nil"/>
              <w:left w:val="nil"/>
              <w:bottom w:val="nil"/>
              <w:right w:val="nil"/>
            </w:tcBorders>
          </w:tcPr>
          <w:p w14:paraId="3C59FAA8"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L7.De Facto CBI * More Fixed Rate</w:t>
            </w:r>
          </w:p>
        </w:tc>
        <w:tc>
          <w:tcPr>
            <w:tcW w:w="1656" w:type="dxa"/>
            <w:tcBorders>
              <w:top w:val="nil"/>
              <w:left w:val="nil"/>
              <w:bottom w:val="nil"/>
              <w:right w:val="nil"/>
            </w:tcBorders>
          </w:tcPr>
          <w:p w14:paraId="62F1CD68"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-0.0118</w:t>
            </w:r>
          </w:p>
        </w:tc>
        <w:tc>
          <w:tcPr>
            <w:tcW w:w="1656" w:type="dxa"/>
            <w:tcBorders>
              <w:top w:val="nil"/>
              <w:left w:val="nil"/>
              <w:bottom w:val="nil"/>
              <w:right w:val="nil"/>
            </w:tcBorders>
          </w:tcPr>
          <w:p w14:paraId="7161E878"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-0.0224</w:t>
            </w:r>
          </w:p>
        </w:tc>
        <w:tc>
          <w:tcPr>
            <w:tcW w:w="1656" w:type="dxa"/>
            <w:tcBorders>
              <w:top w:val="nil"/>
              <w:left w:val="nil"/>
              <w:bottom w:val="nil"/>
              <w:right w:val="nil"/>
            </w:tcBorders>
          </w:tcPr>
          <w:p w14:paraId="54202DB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-0.00223</w:t>
            </w:r>
          </w:p>
        </w:tc>
        <w:tc>
          <w:tcPr>
            <w:tcW w:w="1656" w:type="dxa"/>
            <w:tcBorders>
              <w:top w:val="nil"/>
              <w:left w:val="nil"/>
              <w:bottom w:val="nil"/>
              <w:right w:val="nil"/>
            </w:tcBorders>
          </w:tcPr>
          <w:p w14:paraId="7185C0EE"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0.00826</w:t>
            </w:r>
          </w:p>
        </w:tc>
        <w:tc>
          <w:tcPr>
            <w:tcW w:w="1656" w:type="dxa"/>
            <w:tcBorders>
              <w:top w:val="nil"/>
              <w:left w:val="nil"/>
              <w:bottom w:val="nil"/>
              <w:right w:val="nil"/>
            </w:tcBorders>
          </w:tcPr>
          <w:p w14:paraId="33475E4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0.00183</w:t>
            </w:r>
          </w:p>
        </w:tc>
      </w:tr>
      <w:tr w:rsidR="002A5362" w:rsidRPr="00C617AE" w14:paraId="7D4D868A" w14:textId="77777777" w:rsidTr="00015B88">
        <w:tc>
          <w:tcPr>
            <w:tcW w:w="2136" w:type="dxa"/>
            <w:tcBorders>
              <w:top w:val="nil"/>
              <w:left w:val="nil"/>
              <w:bottom w:val="nil"/>
              <w:right w:val="nil"/>
            </w:tcBorders>
          </w:tcPr>
          <w:p w14:paraId="26204E22"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062433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(-0.63)</w:t>
            </w:r>
          </w:p>
        </w:tc>
        <w:tc>
          <w:tcPr>
            <w:tcW w:w="1656" w:type="dxa"/>
            <w:tcBorders>
              <w:top w:val="nil"/>
              <w:left w:val="nil"/>
              <w:bottom w:val="nil"/>
              <w:right w:val="nil"/>
            </w:tcBorders>
          </w:tcPr>
          <w:p w14:paraId="14BA9A0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(-1.77)</w:t>
            </w:r>
          </w:p>
        </w:tc>
        <w:tc>
          <w:tcPr>
            <w:tcW w:w="1656" w:type="dxa"/>
            <w:tcBorders>
              <w:top w:val="nil"/>
              <w:left w:val="nil"/>
              <w:bottom w:val="nil"/>
              <w:right w:val="nil"/>
            </w:tcBorders>
          </w:tcPr>
          <w:p w14:paraId="55B31B9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(-0.12)</w:t>
            </w:r>
          </w:p>
        </w:tc>
        <w:tc>
          <w:tcPr>
            <w:tcW w:w="1656" w:type="dxa"/>
            <w:tcBorders>
              <w:top w:val="nil"/>
              <w:left w:val="nil"/>
              <w:bottom w:val="nil"/>
              <w:right w:val="nil"/>
            </w:tcBorders>
          </w:tcPr>
          <w:p w14:paraId="53353F2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(1.24)</w:t>
            </w:r>
          </w:p>
        </w:tc>
        <w:tc>
          <w:tcPr>
            <w:tcW w:w="1656" w:type="dxa"/>
            <w:tcBorders>
              <w:top w:val="nil"/>
              <w:left w:val="nil"/>
              <w:bottom w:val="nil"/>
              <w:right w:val="nil"/>
            </w:tcBorders>
          </w:tcPr>
          <w:p w14:paraId="3CC56F59"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(0.28)</w:t>
            </w:r>
          </w:p>
        </w:tc>
      </w:tr>
      <w:tr w:rsidR="002A5362" w:rsidRPr="00C617AE" w14:paraId="28EE2C77" w14:textId="77777777" w:rsidTr="00015B88">
        <w:tc>
          <w:tcPr>
            <w:tcW w:w="2136" w:type="dxa"/>
            <w:tcBorders>
              <w:top w:val="nil"/>
              <w:left w:val="nil"/>
              <w:bottom w:val="nil"/>
              <w:right w:val="nil"/>
            </w:tcBorders>
          </w:tcPr>
          <w:p w14:paraId="222F5AD7"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DBCA394"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8DC2475"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06F5F1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BA0C7BB"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21B35D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5BC29506" w14:textId="77777777" w:rsidTr="00015B88">
        <w:tc>
          <w:tcPr>
            <w:tcW w:w="2136" w:type="dxa"/>
            <w:tcBorders>
              <w:top w:val="nil"/>
              <w:left w:val="nil"/>
              <w:bottom w:val="nil"/>
              <w:right w:val="nil"/>
            </w:tcBorders>
          </w:tcPr>
          <w:p w14:paraId="542C8827"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L8.De Facto CBI * More Fixed Rate</w:t>
            </w:r>
          </w:p>
        </w:tc>
        <w:tc>
          <w:tcPr>
            <w:tcW w:w="1656" w:type="dxa"/>
            <w:tcBorders>
              <w:top w:val="nil"/>
              <w:left w:val="nil"/>
              <w:bottom w:val="nil"/>
              <w:right w:val="nil"/>
            </w:tcBorders>
          </w:tcPr>
          <w:p w14:paraId="4B701F7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-0.0180</w:t>
            </w:r>
          </w:p>
        </w:tc>
        <w:tc>
          <w:tcPr>
            <w:tcW w:w="1656" w:type="dxa"/>
            <w:tcBorders>
              <w:top w:val="nil"/>
              <w:left w:val="nil"/>
              <w:bottom w:val="nil"/>
              <w:right w:val="nil"/>
            </w:tcBorders>
          </w:tcPr>
          <w:p w14:paraId="277466F6"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-0.0221</w:t>
            </w:r>
          </w:p>
        </w:tc>
        <w:tc>
          <w:tcPr>
            <w:tcW w:w="1656" w:type="dxa"/>
            <w:tcBorders>
              <w:top w:val="nil"/>
              <w:left w:val="nil"/>
              <w:bottom w:val="nil"/>
              <w:right w:val="nil"/>
            </w:tcBorders>
          </w:tcPr>
          <w:p w14:paraId="379EA477"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0.00674</w:t>
            </w:r>
          </w:p>
        </w:tc>
        <w:tc>
          <w:tcPr>
            <w:tcW w:w="1656" w:type="dxa"/>
            <w:tcBorders>
              <w:top w:val="nil"/>
              <w:left w:val="nil"/>
              <w:bottom w:val="nil"/>
              <w:right w:val="nil"/>
            </w:tcBorders>
          </w:tcPr>
          <w:p w14:paraId="5C182C7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0.00867</w:t>
            </w:r>
          </w:p>
        </w:tc>
        <w:tc>
          <w:tcPr>
            <w:tcW w:w="1656" w:type="dxa"/>
            <w:tcBorders>
              <w:top w:val="nil"/>
              <w:left w:val="nil"/>
              <w:bottom w:val="nil"/>
              <w:right w:val="nil"/>
            </w:tcBorders>
          </w:tcPr>
          <w:p w14:paraId="266DC24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0.00673</w:t>
            </w:r>
          </w:p>
        </w:tc>
      </w:tr>
      <w:tr w:rsidR="002A5362" w:rsidRPr="00C617AE" w14:paraId="71C48CE3" w14:textId="77777777" w:rsidTr="00015B88">
        <w:tc>
          <w:tcPr>
            <w:tcW w:w="2136" w:type="dxa"/>
            <w:tcBorders>
              <w:top w:val="nil"/>
              <w:left w:val="nil"/>
              <w:bottom w:val="nil"/>
              <w:right w:val="nil"/>
            </w:tcBorders>
          </w:tcPr>
          <w:p w14:paraId="52DBFDB7"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CA13CF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(-0.95)</w:t>
            </w:r>
          </w:p>
        </w:tc>
        <w:tc>
          <w:tcPr>
            <w:tcW w:w="1656" w:type="dxa"/>
            <w:tcBorders>
              <w:top w:val="nil"/>
              <w:left w:val="nil"/>
              <w:bottom w:val="nil"/>
              <w:right w:val="nil"/>
            </w:tcBorders>
          </w:tcPr>
          <w:p w14:paraId="30AC56E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(-1.59)</w:t>
            </w:r>
          </w:p>
        </w:tc>
        <w:tc>
          <w:tcPr>
            <w:tcW w:w="1656" w:type="dxa"/>
            <w:tcBorders>
              <w:top w:val="nil"/>
              <w:left w:val="nil"/>
              <w:bottom w:val="nil"/>
              <w:right w:val="nil"/>
            </w:tcBorders>
          </w:tcPr>
          <w:p w14:paraId="5E8F865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(0.39)</w:t>
            </w:r>
          </w:p>
        </w:tc>
        <w:tc>
          <w:tcPr>
            <w:tcW w:w="1656" w:type="dxa"/>
            <w:tcBorders>
              <w:top w:val="nil"/>
              <w:left w:val="nil"/>
              <w:bottom w:val="nil"/>
              <w:right w:val="nil"/>
            </w:tcBorders>
          </w:tcPr>
          <w:p w14:paraId="43223D1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(1.51)</w:t>
            </w:r>
          </w:p>
        </w:tc>
        <w:tc>
          <w:tcPr>
            <w:tcW w:w="1656" w:type="dxa"/>
            <w:tcBorders>
              <w:top w:val="nil"/>
              <w:left w:val="nil"/>
              <w:bottom w:val="nil"/>
              <w:right w:val="nil"/>
            </w:tcBorders>
          </w:tcPr>
          <w:p w14:paraId="138F0BCE"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(1.16)</w:t>
            </w:r>
          </w:p>
        </w:tc>
      </w:tr>
      <w:tr w:rsidR="002A5362" w:rsidRPr="00C617AE" w14:paraId="4BB1317C" w14:textId="77777777" w:rsidTr="00015B88">
        <w:tc>
          <w:tcPr>
            <w:tcW w:w="2136" w:type="dxa"/>
            <w:tcBorders>
              <w:top w:val="nil"/>
              <w:left w:val="nil"/>
              <w:bottom w:val="nil"/>
              <w:right w:val="nil"/>
            </w:tcBorders>
          </w:tcPr>
          <w:p w14:paraId="1C5DE35E"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8E84D36"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2E6F61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17AE82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32820C9"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57EC750"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28307E1B" w14:textId="77777777" w:rsidTr="00015B88">
        <w:tc>
          <w:tcPr>
            <w:tcW w:w="2136" w:type="dxa"/>
            <w:tcBorders>
              <w:top w:val="nil"/>
              <w:left w:val="nil"/>
              <w:bottom w:val="nil"/>
              <w:right w:val="nil"/>
            </w:tcBorders>
          </w:tcPr>
          <w:p w14:paraId="67C451B0"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L9.De Facto CBI * More Fixed Rate</w:t>
            </w:r>
          </w:p>
        </w:tc>
        <w:tc>
          <w:tcPr>
            <w:tcW w:w="1656" w:type="dxa"/>
            <w:tcBorders>
              <w:top w:val="nil"/>
              <w:left w:val="nil"/>
              <w:bottom w:val="nil"/>
              <w:right w:val="nil"/>
            </w:tcBorders>
          </w:tcPr>
          <w:p w14:paraId="717EBF8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0.00568</w:t>
            </w:r>
          </w:p>
        </w:tc>
        <w:tc>
          <w:tcPr>
            <w:tcW w:w="1656" w:type="dxa"/>
            <w:tcBorders>
              <w:top w:val="nil"/>
              <w:left w:val="nil"/>
              <w:bottom w:val="nil"/>
              <w:right w:val="nil"/>
            </w:tcBorders>
          </w:tcPr>
          <w:p w14:paraId="2685874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0.0250</w:t>
            </w:r>
          </w:p>
        </w:tc>
        <w:tc>
          <w:tcPr>
            <w:tcW w:w="1656" w:type="dxa"/>
            <w:tcBorders>
              <w:top w:val="nil"/>
              <w:left w:val="nil"/>
              <w:bottom w:val="nil"/>
              <w:right w:val="nil"/>
            </w:tcBorders>
          </w:tcPr>
          <w:p w14:paraId="6BA3EA09"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0.00963</w:t>
            </w:r>
          </w:p>
        </w:tc>
        <w:tc>
          <w:tcPr>
            <w:tcW w:w="1656" w:type="dxa"/>
            <w:tcBorders>
              <w:top w:val="nil"/>
              <w:left w:val="nil"/>
              <w:bottom w:val="nil"/>
              <w:right w:val="nil"/>
            </w:tcBorders>
          </w:tcPr>
          <w:p w14:paraId="0A565867"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0.000188</w:t>
            </w:r>
          </w:p>
        </w:tc>
        <w:tc>
          <w:tcPr>
            <w:tcW w:w="1656" w:type="dxa"/>
            <w:tcBorders>
              <w:top w:val="nil"/>
              <w:left w:val="nil"/>
              <w:bottom w:val="nil"/>
              <w:right w:val="nil"/>
            </w:tcBorders>
          </w:tcPr>
          <w:p w14:paraId="2D8A281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0.000218</w:t>
            </w:r>
          </w:p>
        </w:tc>
      </w:tr>
      <w:tr w:rsidR="002A5362" w:rsidRPr="00C617AE" w14:paraId="6D11E2DC" w14:textId="77777777" w:rsidTr="00015B88">
        <w:tc>
          <w:tcPr>
            <w:tcW w:w="2136" w:type="dxa"/>
            <w:tcBorders>
              <w:top w:val="nil"/>
              <w:left w:val="nil"/>
              <w:bottom w:val="nil"/>
              <w:right w:val="nil"/>
            </w:tcBorders>
          </w:tcPr>
          <w:p w14:paraId="6762886E"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A18CDC2"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(0.31)</w:t>
            </w:r>
          </w:p>
        </w:tc>
        <w:tc>
          <w:tcPr>
            <w:tcW w:w="1656" w:type="dxa"/>
            <w:tcBorders>
              <w:top w:val="nil"/>
              <w:left w:val="nil"/>
              <w:bottom w:val="nil"/>
              <w:right w:val="nil"/>
            </w:tcBorders>
          </w:tcPr>
          <w:p w14:paraId="349A7799"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(1.85)</w:t>
            </w:r>
          </w:p>
        </w:tc>
        <w:tc>
          <w:tcPr>
            <w:tcW w:w="1656" w:type="dxa"/>
            <w:tcBorders>
              <w:top w:val="nil"/>
              <w:left w:val="nil"/>
              <w:bottom w:val="nil"/>
              <w:right w:val="nil"/>
            </w:tcBorders>
          </w:tcPr>
          <w:p w14:paraId="24EB068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(0.52)</w:t>
            </w:r>
          </w:p>
        </w:tc>
        <w:tc>
          <w:tcPr>
            <w:tcW w:w="1656" w:type="dxa"/>
            <w:tcBorders>
              <w:top w:val="nil"/>
              <w:left w:val="nil"/>
              <w:bottom w:val="nil"/>
              <w:right w:val="nil"/>
            </w:tcBorders>
          </w:tcPr>
          <w:p w14:paraId="6766D3C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(0.03)</w:t>
            </w:r>
          </w:p>
        </w:tc>
        <w:tc>
          <w:tcPr>
            <w:tcW w:w="1656" w:type="dxa"/>
            <w:tcBorders>
              <w:top w:val="nil"/>
              <w:left w:val="nil"/>
              <w:bottom w:val="nil"/>
              <w:right w:val="nil"/>
            </w:tcBorders>
          </w:tcPr>
          <w:p w14:paraId="6ED7EFA8"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(0.04)</w:t>
            </w:r>
          </w:p>
        </w:tc>
      </w:tr>
      <w:tr w:rsidR="002A5362" w:rsidRPr="00C617AE" w14:paraId="67F6EF88" w14:textId="77777777" w:rsidTr="00015B88">
        <w:tc>
          <w:tcPr>
            <w:tcW w:w="2136" w:type="dxa"/>
            <w:tcBorders>
              <w:top w:val="nil"/>
              <w:left w:val="nil"/>
              <w:bottom w:val="nil"/>
              <w:right w:val="nil"/>
            </w:tcBorders>
          </w:tcPr>
          <w:p w14:paraId="6239023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017C2CA"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A98970C"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AE79520"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150F0C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932ABD5"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486A0152" w14:textId="77777777" w:rsidTr="00015B88">
        <w:tc>
          <w:tcPr>
            <w:tcW w:w="2136" w:type="dxa"/>
            <w:tcBorders>
              <w:top w:val="nil"/>
              <w:left w:val="nil"/>
              <w:bottom w:val="nil"/>
              <w:right w:val="nil"/>
            </w:tcBorders>
          </w:tcPr>
          <w:p w14:paraId="0750167E"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L10.De Facto CBI * More Fixed Rate</w:t>
            </w:r>
          </w:p>
        </w:tc>
        <w:tc>
          <w:tcPr>
            <w:tcW w:w="1656" w:type="dxa"/>
            <w:tcBorders>
              <w:top w:val="nil"/>
              <w:left w:val="nil"/>
              <w:bottom w:val="nil"/>
              <w:right w:val="nil"/>
            </w:tcBorders>
          </w:tcPr>
          <w:p w14:paraId="267B8A56"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-0.00586</w:t>
            </w:r>
          </w:p>
        </w:tc>
        <w:tc>
          <w:tcPr>
            <w:tcW w:w="1656" w:type="dxa"/>
            <w:tcBorders>
              <w:top w:val="nil"/>
              <w:left w:val="nil"/>
              <w:bottom w:val="nil"/>
              <w:right w:val="nil"/>
            </w:tcBorders>
          </w:tcPr>
          <w:p w14:paraId="6C76BF4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0.0174</w:t>
            </w:r>
          </w:p>
        </w:tc>
        <w:tc>
          <w:tcPr>
            <w:tcW w:w="1656" w:type="dxa"/>
            <w:tcBorders>
              <w:top w:val="nil"/>
              <w:left w:val="nil"/>
              <w:bottom w:val="nil"/>
              <w:right w:val="nil"/>
            </w:tcBorders>
          </w:tcPr>
          <w:p w14:paraId="2296312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-0.0203</w:t>
            </w:r>
          </w:p>
        </w:tc>
        <w:tc>
          <w:tcPr>
            <w:tcW w:w="1656" w:type="dxa"/>
            <w:tcBorders>
              <w:top w:val="nil"/>
              <w:left w:val="nil"/>
              <w:bottom w:val="nil"/>
              <w:right w:val="nil"/>
            </w:tcBorders>
          </w:tcPr>
          <w:p w14:paraId="76E7D3DE"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-0.00703</w:t>
            </w:r>
          </w:p>
        </w:tc>
        <w:tc>
          <w:tcPr>
            <w:tcW w:w="1656" w:type="dxa"/>
            <w:tcBorders>
              <w:top w:val="nil"/>
              <w:left w:val="nil"/>
              <w:bottom w:val="nil"/>
              <w:right w:val="nil"/>
            </w:tcBorders>
          </w:tcPr>
          <w:p w14:paraId="36B7E8C8"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0.0000749</w:t>
            </w:r>
          </w:p>
        </w:tc>
      </w:tr>
      <w:tr w:rsidR="002A5362" w:rsidRPr="00C617AE" w14:paraId="1ABE94AA" w14:textId="77777777" w:rsidTr="00015B88">
        <w:tc>
          <w:tcPr>
            <w:tcW w:w="2136" w:type="dxa"/>
            <w:tcBorders>
              <w:top w:val="nil"/>
              <w:left w:val="nil"/>
              <w:bottom w:val="nil"/>
              <w:right w:val="nil"/>
            </w:tcBorders>
          </w:tcPr>
          <w:p w14:paraId="25C17744"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A09225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(-0.34)</w:t>
            </w:r>
          </w:p>
        </w:tc>
        <w:tc>
          <w:tcPr>
            <w:tcW w:w="1656" w:type="dxa"/>
            <w:tcBorders>
              <w:top w:val="nil"/>
              <w:left w:val="nil"/>
              <w:bottom w:val="nil"/>
              <w:right w:val="nil"/>
            </w:tcBorders>
          </w:tcPr>
          <w:p w14:paraId="1B76B3F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(1.25)</w:t>
            </w:r>
          </w:p>
        </w:tc>
        <w:tc>
          <w:tcPr>
            <w:tcW w:w="1656" w:type="dxa"/>
            <w:tcBorders>
              <w:top w:val="nil"/>
              <w:left w:val="nil"/>
              <w:bottom w:val="nil"/>
              <w:right w:val="nil"/>
            </w:tcBorders>
          </w:tcPr>
          <w:p w14:paraId="33E25D66"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(-1.16)</w:t>
            </w:r>
          </w:p>
        </w:tc>
        <w:tc>
          <w:tcPr>
            <w:tcW w:w="1656" w:type="dxa"/>
            <w:tcBorders>
              <w:top w:val="nil"/>
              <w:left w:val="nil"/>
              <w:bottom w:val="nil"/>
              <w:right w:val="nil"/>
            </w:tcBorders>
          </w:tcPr>
          <w:p w14:paraId="0E25F005"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(-1.32)</w:t>
            </w:r>
          </w:p>
        </w:tc>
        <w:tc>
          <w:tcPr>
            <w:tcW w:w="1656" w:type="dxa"/>
            <w:tcBorders>
              <w:top w:val="nil"/>
              <w:left w:val="nil"/>
              <w:bottom w:val="nil"/>
              <w:right w:val="nil"/>
            </w:tcBorders>
          </w:tcPr>
          <w:p w14:paraId="60759AC0"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(0.01)</w:t>
            </w:r>
          </w:p>
        </w:tc>
      </w:tr>
      <w:tr w:rsidR="002A5362" w:rsidRPr="00C617AE" w14:paraId="5A8269CA" w14:textId="77777777" w:rsidTr="00015B88">
        <w:tc>
          <w:tcPr>
            <w:tcW w:w="2136" w:type="dxa"/>
            <w:tcBorders>
              <w:top w:val="nil"/>
              <w:left w:val="nil"/>
              <w:bottom w:val="nil"/>
              <w:right w:val="nil"/>
            </w:tcBorders>
          </w:tcPr>
          <w:p w14:paraId="1C59FA3A"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2E14CF3"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851E3DD"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89F6A1A"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6B658F5"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C7FB653"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r>
      <w:tr w:rsidR="002A5362" w:rsidRPr="00C617AE" w14:paraId="3B324D66" w14:textId="77777777" w:rsidTr="00015B88">
        <w:tc>
          <w:tcPr>
            <w:tcW w:w="2136" w:type="dxa"/>
            <w:tcBorders>
              <w:top w:val="nil"/>
              <w:left w:val="nil"/>
              <w:bottom w:val="nil"/>
              <w:right w:val="nil"/>
            </w:tcBorders>
          </w:tcPr>
          <w:p w14:paraId="582149D7"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Constant</w:t>
            </w:r>
          </w:p>
        </w:tc>
        <w:tc>
          <w:tcPr>
            <w:tcW w:w="1656" w:type="dxa"/>
            <w:tcBorders>
              <w:top w:val="nil"/>
              <w:left w:val="nil"/>
              <w:bottom w:val="nil"/>
              <w:right w:val="nil"/>
            </w:tcBorders>
          </w:tcPr>
          <w:p w14:paraId="101AA6AF"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1.291</w:t>
            </w:r>
            <w:r w:rsidRPr="00C617AE">
              <w:rPr>
                <w:rFonts w:ascii="Times New Roman" w:hAnsi="Times New Roman" w:cs="Times New Roman"/>
                <w:sz w:val="20"/>
                <w:szCs w:val="20"/>
                <w:vertAlign w:val="superscript"/>
              </w:rPr>
              <w:t>**</w:t>
            </w:r>
          </w:p>
        </w:tc>
        <w:tc>
          <w:tcPr>
            <w:tcW w:w="1656" w:type="dxa"/>
            <w:tcBorders>
              <w:top w:val="nil"/>
              <w:left w:val="nil"/>
              <w:bottom w:val="nil"/>
              <w:right w:val="nil"/>
            </w:tcBorders>
          </w:tcPr>
          <w:p w14:paraId="6979386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0.914</w:t>
            </w:r>
            <w:r w:rsidRPr="00C617AE">
              <w:rPr>
                <w:rFonts w:ascii="Times New Roman" w:hAnsi="Times New Roman" w:cs="Times New Roman"/>
                <w:sz w:val="20"/>
                <w:szCs w:val="20"/>
                <w:vertAlign w:val="superscript"/>
              </w:rPr>
              <w:t>**</w:t>
            </w:r>
          </w:p>
        </w:tc>
        <w:tc>
          <w:tcPr>
            <w:tcW w:w="1656" w:type="dxa"/>
            <w:tcBorders>
              <w:top w:val="nil"/>
              <w:left w:val="nil"/>
              <w:bottom w:val="nil"/>
              <w:right w:val="nil"/>
            </w:tcBorders>
          </w:tcPr>
          <w:p w14:paraId="6A7697E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1.665</w:t>
            </w:r>
            <w:r w:rsidRPr="00C617AE">
              <w:rPr>
                <w:rFonts w:ascii="Times New Roman" w:hAnsi="Times New Roman" w:cs="Times New Roman"/>
                <w:sz w:val="20"/>
                <w:szCs w:val="20"/>
                <w:vertAlign w:val="superscript"/>
              </w:rPr>
              <w:t>***</w:t>
            </w:r>
          </w:p>
        </w:tc>
        <w:tc>
          <w:tcPr>
            <w:tcW w:w="1656" w:type="dxa"/>
            <w:tcBorders>
              <w:top w:val="nil"/>
              <w:left w:val="nil"/>
              <w:bottom w:val="nil"/>
              <w:right w:val="nil"/>
            </w:tcBorders>
          </w:tcPr>
          <w:p w14:paraId="62AF08E8"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0.0577</w:t>
            </w:r>
          </w:p>
        </w:tc>
        <w:tc>
          <w:tcPr>
            <w:tcW w:w="1656" w:type="dxa"/>
            <w:tcBorders>
              <w:top w:val="nil"/>
              <w:left w:val="nil"/>
              <w:bottom w:val="nil"/>
              <w:right w:val="nil"/>
            </w:tcBorders>
          </w:tcPr>
          <w:p w14:paraId="6FF593C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0.143</w:t>
            </w:r>
          </w:p>
        </w:tc>
      </w:tr>
      <w:tr w:rsidR="002A5362" w:rsidRPr="00C617AE" w14:paraId="3470A547" w14:textId="77777777" w:rsidTr="00015B88">
        <w:tc>
          <w:tcPr>
            <w:tcW w:w="2136" w:type="dxa"/>
            <w:tcBorders>
              <w:top w:val="nil"/>
              <w:left w:val="nil"/>
              <w:bottom w:val="single" w:sz="4" w:space="0" w:color="auto"/>
              <w:right w:val="nil"/>
            </w:tcBorders>
          </w:tcPr>
          <w:p w14:paraId="13D00651"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single" w:sz="4" w:space="0" w:color="auto"/>
              <w:right w:val="nil"/>
            </w:tcBorders>
          </w:tcPr>
          <w:p w14:paraId="2E8F171C"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(3.16)</w:t>
            </w:r>
          </w:p>
        </w:tc>
        <w:tc>
          <w:tcPr>
            <w:tcW w:w="1656" w:type="dxa"/>
            <w:tcBorders>
              <w:top w:val="nil"/>
              <w:left w:val="nil"/>
              <w:bottom w:val="single" w:sz="4" w:space="0" w:color="auto"/>
              <w:right w:val="nil"/>
            </w:tcBorders>
          </w:tcPr>
          <w:p w14:paraId="4276642A"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(3.23)</w:t>
            </w:r>
          </w:p>
        </w:tc>
        <w:tc>
          <w:tcPr>
            <w:tcW w:w="1656" w:type="dxa"/>
            <w:tcBorders>
              <w:top w:val="nil"/>
              <w:left w:val="nil"/>
              <w:bottom w:val="single" w:sz="4" w:space="0" w:color="auto"/>
              <w:right w:val="nil"/>
            </w:tcBorders>
          </w:tcPr>
          <w:p w14:paraId="52ED74AD"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(4.61)</w:t>
            </w:r>
          </w:p>
        </w:tc>
        <w:tc>
          <w:tcPr>
            <w:tcW w:w="1656" w:type="dxa"/>
            <w:tcBorders>
              <w:top w:val="nil"/>
              <w:left w:val="nil"/>
              <w:bottom w:val="single" w:sz="4" w:space="0" w:color="auto"/>
              <w:right w:val="nil"/>
            </w:tcBorders>
          </w:tcPr>
          <w:p w14:paraId="7AA1ED61"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(0.16)</w:t>
            </w:r>
          </w:p>
        </w:tc>
        <w:tc>
          <w:tcPr>
            <w:tcW w:w="1656" w:type="dxa"/>
            <w:tcBorders>
              <w:top w:val="nil"/>
              <w:left w:val="nil"/>
              <w:bottom w:val="single" w:sz="4" w:space="0" w:color="auto"/>
              <w:right w:val="nil"/>
            </w:tcBorders>
          </w:tcPr>
          <w:p w14:paraId="311CAEF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(0.57)</w:t>
            </w:r>
          </w:p>
        </w:tc>
      </w:tr>
      <w:tr w:rsidR="002A5362" w:rsidRPr="00C617AE" w14:paraId="1D1E8794" w14:textId="77777777" w:rsidTr="00015B88">
        <w:tc>
          <w:tcPr>
            <w:tcW w:w="2136" w:type="dxa"/>
            <w:tcBorders>
              <w:top w:val="nil"/>
              <w:left w:val="nil"/>
              <w:bottom w:val="single" w:sz="4" w:space="0" w:color="auto"/>
              <w:right w:val="nil"/>
            </w:tcBorders>
          </w:tcPr>
          <w:p w14:paraId="60815814" w14:textId="77777777" w:rsidR="002A5362" w:rsidRPr="00C617AE" w:rsidRDefault="002A5362" w:rsidP="00015B88">
            <w:pPr>
              <w:widowControl w:val="0"/>
              <w:autoSpaceDE w:val="0"/>
              <w:autoSpaceDN w:val="0"/>
              <w:adjustRightInd w:val="0"/>
              <w:spacing w:after="0" w:line="240" w:lineRule="auto"/>
              <w:rPr>
                <w:rFonts w:ascii="Times New Roman" w:hAnsi="Times New Roman" w:cs="Times New Roman"/>
                <w:sz w:val="20"/>
                <w:szCs w:val="20"/>
              </w:rPr>
            </w:pPr>
            <w:r w:rsidRPr="00C617AE">
              <w:rPr>
                <w:rFonts w:ascii="Times New Roman" w:hAnsi="Times New Roman" w:cs="Times New Roman"/>
                <w:sz w:val="20"/>
                <w:szCs w:val="20"/>
              </w:rPr>
              <w:t>Observations</w:t>
            </w:r>
          </w:p>
        </w:tc>
        <w:tc>
          <w:tcPr>
            <w:tcW w:w="1656" w:type="dxa"/>
            <w:tcBorders>
              <w:top w:val="nil"/>
              <w:left w:val="nil"/>
              <w:bottom w:val="single" w:sz="4" w:space="0" w:color="auto"/>
              <w:right w:val="nil"/>
            </w:tcBorders>
          </w:tcPr>
          <w:p w14:paraId="5D1CD573"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1184</w:t>
            </w:r>
          </w:p>
        </w:tc>
        <w:tc>
          <w:tcPr>
            <w:tcW w:w="1656" w:type="dxa"/>
            <w:tcBorders>
              <w:top w:val="nil"/>
              <w:left w:val="nil"/>
              <w:bottom w:val="single" w:sz="4" w:space="0" w:color="auto"/>
              <w:right w:val="nil"/>
            </w:tcBorders>
          </w:tcPr>
          <w:p w14:paraId="363582F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1184</w:t>
            </w:r>
          </w:p>
        </w:tc>
        <w:tc>
          <w:tcPr>
            <w:tcW w:w="1656" w:type="dxa"/>
            <w:tcBorders>
              <w:top w:val="nil"/>
              <w:left w:val="nil"/>
              <w:bottom w:val="single" w:sz="4" w:space="0" w:color="auto"/>
              <w:right w:val="nil"/>
            </w:tcBorders>
          </w:tcPr>
          <w:p w14:paraId="3DEEA7BB"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966</w:t>
            </w:r>
          </w:p>
        </w:tc>
        <w:tc>
          <w:tcPr>
            <w:tcW w:w="1656" w:type="dxa"/>
            <w:tcBorders>
              <w:top w:val="nil"/>
              <w:left w:val="nil"/>
              <w:bottom w:val="single" w:sz="4" w:space="0" w:color="auto"/>
              <w:right w:val="nil"/>
            </w:tcBorders>
          </w:tcPr>
          <w:p w14:paraId="07A594E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2326</w:t>
            </w:r>
          </w:p>
        </w:tc>
        <w:tc>
          <w:tcPr>
            <w:tcW w:w="1656" w:type="dxa"/>
            <w:tcBorders>
              <w:top w:val="nil"/>
              <w:left w:val="nil"/>
              <w:bottom w:val="single" w:sz="4" w:space="0" w:color="auto"/>
              <w:right w:val="nil"/>
            </w:tcBorders>
          </w:tcPr>
          <w:p w14:paraId="764DAE24" w14:textId="77777777" w:rsidR="002A5362" w:rsidRPr="00C617AE" w:rsidRDefault="002A5362"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617AE">
              <w:rPr>
                <w:rFonts w:ascii="Times New Roman" w:hAnsi="Times New Roman" w:cs="Times New Roman"/>
                <w:sz w:val="20"/>
                <w:szCs w:val="20"/>
              </w:rPr>
              <w:t>2825</w:t>
            </w:r>
          </w:p>
        </w:tc>
      </w:tr>
    </w:tbl>
    <w:p w14:paraId="3743ECD7" w14:textId="77777777" w:rsidR="002A5362" w:rsidRPr="00C617AE" w:rsidRDefault="002A5362" w:rsidP="002A5362">
      <w:pPr>
        <w:widowControl w:val="0"/>
        <w:autoSpaceDE w:val="0"/>
        <w:autoSpaceDN w:val="0"/>
        <w:adjustRightInd w:val="0"/>
        <w:spacing w:after="0" w:line="240" w:lineRule="auto"/>
        <w:rPr>
          <w:rFonts w:ascii="Times New Roman" w:hAnsi="Times New Roman" w:cs="Times New Roman"/>
          <w:sz w:val="16"/>
          <w:szCs w:val="16"/>
        </w:rPr>
      </w:pPr>
      <w:r w:rsidRPr="00C617AE">
        <w:rPr>
          <w:rFonts w:ascii="Times New Roman" w:hAnsi="Times New Roman" w:cs="Times New Roman"/>
          <w:i/>
          <w:iCs/>
          <w:sz w:val="16"/>
          <w:szCs w:val="16"/>
        </w:rPr>
        <w:t>t</w:t>
      </w:r>
      <w:r w:rsidRPr="00C617AE">
        <w:rPr>
          <w:rFonts w:ascii="Times New Roman" w:hAnsi="Times New Roman" w:cs="Times New Roman"/>
          <w:sz w:val="16"/>
          <w:szCs w:val="16"/>
        </w:rPr>
        <w:t xml:space="preserve"> statistics in parentheses</w:t>
      </w:r>
    </w:p>
    <w:p w14:paraId="21F5BA79" w14:textId="5C6008E2" w:rsidR="006D5377" w:rsidRDefault="002A5362" w:rsidP="002A5362">
      <w:pPr>
        <w:widowControl w:val="0"/>
        <w:autoSpaceDE w:val="0"/>
        <w:autoSpaceDN w:val="0"/>
        <w:adjustRightInd w:val="0"/>
        <w:spacing w:after="0" w:line="240" w:lineRule="auto"/>
        <w:rPr>
          <w:rFonts w:ascii="Times New Roman" w:hAnsi="Times New Roman" w:cs="Times New Roman"/>
          <w:sz w:val="16"/>
          <w:szCs w:val="16"/>
        </w:rPr>
      </w:pPr>
      <w:r w:rsidRPr="00C617AE">
        <w:rPr>
          <w:rFonts w:ascii="Times New Roman" w:hAnsi="Times New Roman" w:cs="Times New Roman"/>
          <w:sz w:val="16"/>
          <w:szCs w:val="16"/>
          <w:vertAlign w:val="superscript"/>
        </w:rPr>
        <w:t>*</w:t>
      </w:r>
      <w:r w:rsidRPr="00C617AE">
        <w:rPr>
          <w:rFonts w:ascii="Times New Roman" w:hAnsi="Times New Roman" w:cs="Times New Roman"/>
          <w:sz w:val="16"/>
          <w:szCs w:val="16"/>
        </w:rPr>
        <w:t xml:space="preserve"> </w:t>
      </w:r>
      <w:r w:rsidRPr="00C617AE">
        <w:rPr>
          <w:rFonts w:ascii="Times New Roman" w:hAnsi="Times New Roman" w:cs="Times New Roman"/>
          <w:i/>
          <w:iCs/>
          <w:sz w:val="16"/>
          <w:szCs w:val="16"/>
        </w:rPr>
        <w:t>p</w:t>
      </w:r>
      <w:r w:rsidRPr="00C617AE">
        <w:rPr>
          <w:rFonts w:ascii="Times New Roman" w:hAnsi="Times New Roman" w:cs="Times New Roman"/>
          <w:sz w:val="16"/>
          <w:szCs w:val="16"/>
        </w:rPr>
        <w:t xml:space="preserve"> &lt; 0.05, </w:t>
      </w:r>
      <w:r w:rsidRPr="00C617AE">
        <w:rPr>
          <w:rFonts w:ascii="Times New Roman" w:hAnsi="Times New Roman" w:cs="Times New Roman"/>
          <w:sz w:val="16"/>
          <w:szCs w:val="16"/>
          <w:vertAlign w:val="superscript"/>
        </w:rPr>
        <w:t>**</w:t>
      </w:r>
      <w:r w:rsidRPr="00C617AE">
        <w:rPr>
          <w:rFonts w:ascii="Times New Roman" w:hAnsi="Times New Roman" w:cs="Times New Roman"/>
          <w:sz w:val="16"/>
          <w:szCs w:val="16"/>
        </w:rPr>
        <w:t xml:space="preserve"> </w:t>
      </w:r>
      <w:r w:rsidRPr="00C617AE">
        <w:rPr>
          <w:rFonts w:ascii="Times New Roman" w:hAnsi="Times New Roman" w:cs="Times New Roman"/>
          <w:i/>
          <w:iCs/>
          <w:sz w:val="16"/>
          <w:szCs w:val="16"/>
        </w:rPr>
        <w:t>p</w:t>
      </w:r>
      <w:r w:rsidRPr="00C617AE">
        <w:rPr>
          <w:rFonts w:ascii="Times New Roman" w:hAnsi="Times New Roman" w:cs="Times New Roman"/>
          <w:sz w:val="16"/>
          <w:szCs w:val="16"/>
        </w:rPr>
        <w:t xml:space="preserve"> &lt; 0.01, </w:t>
      </w:r>
      <w:r w:rsidRPr="00C617AE">
        <w:rPr>
          <w:rFonts w:ascii="Times New Roman" w:hAnsi="Times New Roman" w:cs="Times New Roman"/>
          <w:sz w:val="16"/>
          <w:szCs w:val="16"/>
          <w:vertAlign w:val="superscript"/>
        </w:rPr>
        <w:t>***</w:t>
      </w:r>
      <w:r w:rsidRPr="00C617AE">
        <w:rPr>
          <w:rFonts w:ascii="Times New Roman" w:hAnsi="Times New Roman" w:cs="Times New Roman"/>
          <w:sz w:val="16"/>
          <w:szCs w:val="16"/>
        </w:rPr>
        <w:t xml:space="preserve"> </w:t>
      </w:r>
      <w:r w:rsidRPr="00C617AE">
        <w:rPr>
          <w:rFonts w:ascii="Times New Roman" w:hAnsi="Times New Roman" w:cs="Times New Roman"/>
          <w:i/>
          <w:iCs/>
          <w:sz w:val="16"/>
          <w:szCs w:val="16"/>
        </w:rPr>
        <w:t>p</w:t>
      </w:r>
      <w:r w:rsidRPr="00C617AE">
        <w:rPr>
          <w:rFonts w:ascii="Times New Roman" w:hAnsi="Times New Roman" w:cs="Times New Roman"/>
          <w:sz w:val="16"/>
          <w:szCs w:val="16"/>
        </w:rPr>
        <w:t xml:space="preserve"> &lt; 0.001</w:t>
      </w:r>
    </w:p>
    <w:p w14:paraId="6B41A6FB" w14:textId="50AFE611" w:rsidR="00472025" w:rsidRDefault="00472025" w:rsidP="002A5362">
      <w:pPr>
        <w:widowControl w:val="0"/>
        <w:autoSpaceDE w:val="0"/>
        <w:autoSpaceDN w:val="0"/>
        <w:adjustRightInd w:val="0"/>
        <w:spacing w:after="0" w:line="240" w:lineRule="auto"/>
        <w:rPr>
          <w:rFonts w:ascii="Times New Roman" w:hAnsi="Times New Roman" w:cs="Times New Roman"/>
          <w:sz w:val="16"/>
          <w:szCs w:val="16"/>
        </w:rPr>
      </w:pPr>
    </w:p>
    <w:p w14:paraId="0719EFD3" w14:textId="6EF50023" w:rsidR="00472025" w:rsidRDefault="00472025" w:rsidP="008E5B8E">
      <w:r>
        <w:t>These lagged results can also be viewed through the coefficients of an ordinal logit model.</w:t>
      </w:r>
      <w:r w:rsidR="002C063F">
        <w:t xml:space="preserve"> De jure CBI instantaneously increases lower house turnover but reduces later term head of government turnover</w:t>
      </w:r>
      <w:r w:rsidR="00A2509A">
        <w:t xml:space="preserve">, in a finding similar to those without the interaction term. </w:t>
      </w:r>
      <w:r w:rsidR="0059139E">
        <w:t xml:space="preserve">Fixed rates on their own reduce turnover for the </w:t>
      </w:r>
      <w:r w:rsidR="00B50522">
        <w:t>head of state and lower house from 2 to 6</w:t>
      </w:r>
      <w:r w:rsidR="008E5B8E">
        <w:t>-</w:t>
      </w:r>
      <w:r w:rsidR="00B50522">
        <w:t>year lags</w:t>
      </w:r>
      <w:r w:rsidR="00A2509A">
        <w:t>.</w:t>
      </w:r>
      <w:r w:rsidR="00636F50">
        <w:t xml:space="preserve"> The combination of de jure CBI and fixed rates, however, increases turnover in the head of state and lower house in the short term (2-3 year lags) and </w:t>
      </w:r>
      <w:r w:rsidR="0059139E">
        <w:t>in the mid</w:t>
      </w:r>
      <w:r w:rsidR="008E5B8E">
        <w:t>-</w:t>
      </w:r>
      <w:r w:rsidR="0059139E">
        <w:t>term for head of government (6-year lag)</w:t>
      </w:r>
      <w:r w:rsidR="008E5B8E">
        <w:t>.</w:t>
      </w:r>
      <w:r w:rsidR="00AD63A0">
        <w:t xml:space="preserve"> Again, the overall impact of fixed rates </w:t>
      </w:r>
      <w:r w:rsidR="00C968D8">
        <w:t xml:space="preserve">in increasing turnover and instability </w:t>
      </w:r>
      <w:r w:rsidR="00AD63A0">
        <w:t xml:space="preserve">is driven by </w:t>
      </w:r>
      <w:r w:rsidR="00C968D8">
        <w:t>cases when they are combined with a central bank that is de jure independent.</w:t>
      </w:r>
    </w:p>
    <w:p w14:paraId="15F0EE24" w14:textId="77777777" w:rsidR="00472025" w:rsidRPr="00C617AE" w:rsidRDefault="00472025" w:rsidP="002A5362">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tblGrid>
      <w:tr w:rsidR="006D5377" w:rsidRPr="00F3433B" w14:paraId="643761B6" w14:textId="77777777" w:rsidTr="00015B88">
        <w:tc>
          <w:tcPr>
            <w:tcW w:w="2136" w:type="dxa"/>
            <w:tcBorders>
              <w:top w:val="single" w:sz="4" w:space="0" w:color="auto"/>
              <w:left w:val="nil"/>
              <w:bottom w:val="nil"/>
              <w:right w:val="nil"/>
            </w:tcBorders>
          </w:tcPr>
          <w:p w14:paraId="3555AF9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33CF59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w:t>
            </w:r>
          </w:p>
        </w:tc>
        <w:tc>
          <w:tcPr>
            <w:tcW w:w="1656" w:type="dxa"/>
            <w:tcBorders>
              <w:top w:val="single" w:sz="4" w:space="0" w:color="auto"/>
              <w:left w:val="nil"/>
              <w:bottom w:val="nil"/>
              <w:right w:val="nil"/>
            </w:tcBorders>
          </w:tcPr>
          <w:p w14:paraId="44A75AC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w:t>
            </w:r>
          </w:p>
        </w:tc>
        <w:tc>
          <w:tcPr>
            <w:tcW w:w="1656" w:type="dxa"/>
            <w:tcBorders>
              <w:top w:val="single" w:sz="4" w:space="0" w:color="auto"/>
              <w:left w:val="nil"/>
              <w:bottom w:val="nil"/>
              <w:right w:val="nil"/>
            </w:tcBorders>
          </w:tcPr>
          <w:p w14:paraId="63518C5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w:t>
            </w:r>
          </w:p>
        </w:tc>
        <w:tc>
          <w:tcPr>
            <w:tcW w:w="1656" w:type="dxa"/>
            <w:tcBorders>
              <w:top w:val="single" w:sz="4" w:space="0" w:color="auto"/>
              <w:left w:val="nil"/>
              <w:bottom w:val="nil"/>
              <w:right w:val="nil"/>
            </w:tcBorders>
          </w:tcPr>
          <w:p w14:paraId="4A817A2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w:t>
            </w:r>
          </w:p>
        </w:tc>
      </w:tr>
      <w:tr w:rsidR="006D5377" w:rsidRPr="00F3433B" w14:paraId="44053DE3" w14:textId="77777777" w:rsidTr="00015B88">
        <w:tc>
          <w:tcPr>
            <w:tcW w:w="2136" w:type="dxa"/>
            <w:tcBorders>
              <w:top w:val="nil"/>
              <w:left w:val="nil"/>
              <w:bottom w:val="nil"/>
              <w:right w:val="nil"/>
            </w:tcBorders>
          </w:tcPr>
          <w:p w14:paraId="3BAC6A8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F3D4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Head of Govt. Turnover</w:t>
            </w:r>
          </w:p>
        </w:tc>
        <w:tc>
          <w:tcPr>
            <w:tcW w:w="1656" w:type="dxa"/>
            <w:tcBorders>
              <w:top w:val="nil"/>
              <w:left w:val="nil"/>
              <w:bottom w:val="nil"/>
              <w:right w:val="nil"/>
            </w:tcBorders>
          </w:tcPr>
          <w:p w14:paraId="0C5E487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Head of State Turnover</w:t>
            </w:r>
          </w:p>
        </w:tc>
        <w:tc>
          <w:tcPr>
            <w:tcW w:w="1656" w:type="dxa"/>
            <w:tcBorders>
              <w:top w:val="nil"/>
              <w:left w:val="nil"/>
              <w:bottom w:val="nil"/>
              <w:right w:val="nil"/>
            </w:tcBorders>
          </w:tcPr>
          <w:p w14:paraId="180E291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Lower House Turnover</w:t>
            </w:r>
          </w:p>
        </w:tc>
        <w:tc>
          <w:tcPr>
            <w:tcW w:w="1656" w:type="dxa"/>
            <w:tcBorders>
              <w:top w:val="nil"/>
              <w:left w:val="nil"/>
              <w:bottom w:val="nil"/>
              <w:right w:val="nil"/>
            </w:tcBorders>
          </w:tcPr>
          <w:p w14:paraId="724B0B8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Instability Event Indicator</w:t>
            </w:r>
          </w:p>
        </w:tc>
      </w:tr>
      <w:tr w:rsidR="006D5377" w:rsidRPr="00F3433B" w14:paraId="55E32318" w14:textId="77777777" w:rsidTr="00015B88">
        <w:tc>
          <w:tcPr>
            <w:tcW w:w="2136" w:type="dxa"/>
            <w:tcBorders>
              <w:top w:val="single" w:sz="4" w:space="0" w:color="auto"/>
              <w:left w:val="nil"/>
              <w:bottom w:val="nil"/>
              <w:right w:val="nil"/>
            </w:tcBorders>
          </w:tcPr>
          <w:p w14:paraId="182408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395B8B7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801D5C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974128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4F8BFC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6B649B6E" w14:textId="77777777" w:rsidTr="00015B88">
        <w:tc>
          <w:tcPr>
            <w:tcW w:w="2136" w:type="dxa"/>
            <w:tcBorders>
              <w:top w:val="nil"/>
              <w:left w:val="nil"/>
              <w:bottom w:val="nil"/>
              <w:right w:val="nil"/>
            </w:tcBorders>
          </w:tcPr>
          <w:p w14:paraId="05C620B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De Jure CBI (CNW Index)</w:t>
            </w:r>
          </w:p>
        </w:tc>
        <w:tc>
          <w:tcPr>
            <w:tcW w:w="1656" w:type="dxa"/>
            <w:tcBorders>
              <w:top w:val="nil"/>
              <w:left w:val="nil"/>
              <w:bottom w:val="nil"/>
              <w:right w:val="nil"/>
            </w:tcBorders>
          </w:tcPr>
          <w:p w14:paraId="1CE1F3E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1.946</w:t>
            </w:r>
          </w:p>
        </w:tc>
        <w:tc>
          <w:tcPr>
            <w:tcW w:w="1656" w:type="dxa"/>
            <w:tcBorders>
              <w:top w:val="nil"/>
              <w:left w:val="nil"/>
              <w:bottom w:val="nil"/>
              <w:right w:val="nil"/>
            </w:tcBorders>
          </w:tcPr>
          <w:p w14:paraId="2355F20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-0.692</w:t>
            </w:r>
          </w:p>
        </w:tc>
        <w:tc>
          <w:tcPr>
            <w:tcW w:w="1656" w:type="dxa"/>
            <w:tcBorders>
              <w:top w:val="nil"/>
              <w:left w:val="nil"/>
              <w:bottom w:val="nil"/>
              <w:right w:val="nil"/>
            </w:tcBorders>
          </w:tcPr>
          <w:p w14:paraId="3333CB7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3.236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65117F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3.682</w:t>
            </w:r>
          </w:p>
        </w:tc>
      </w:tr>
      <w:tr w:rsidR="006D5377" w:rsidRPr="00F3433B" w14:paraId="3F895DF3" w14:textId="77777777" w:rsidTr="00015B88">
        <w:tc>
          <w:tcPr>
            <w:tcW w:w="2136" w:type="dxa"/>
            <w:tcBorders>
              <w:top w:val="nil"/>
              <w:left w:val="nil"/>
              <w:bottom w:val="nil"/>
              <w:right w:val="nil"/>
            </w:tcBorders>
          </w:tcPr>
          <w:p w14:paraId="0DABB4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4B024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(0.78)</w:t>
            </w:r>
          </w:p>
        </w:tc>
        <w:tc>
          <w:tcPr>
            <w:tcW w:w="1656" w:type="dxa"/>
            <w:tcBorders>
              <w:top w:val="nil"/>
              <w:left w:val="nil"/>
              <w:bottom w:val="nil"/>
              <w:right w:val="nil"/>
            </w:tcBorders>
          </w:tcPr>
          <w:p w14:paraId="4BA3831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w:t>
            </w:r>
          </w:p>
        </w:tc>
        <w:tc>
          <w:tcPr>
            <w:tcW w:w="1656" w:type="dxa"/>
            <w:tcBorders>
              <w:top w:val="nil"/>
              <w:left w:val="nil"/>
              <w:bottom w:val="nil"/>
              <w:right w:val="nil"/>
            </w:tcBorders>
          </w:tcPr>
          <w:p w14:paraId="5AE8B14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(2.19)</w:t>
            </w:r>
          </w:p>
        </w:tc>
        <w:tc>
          <w:tcPr>
            <w:tcW w:w="1656" w:type="dxa"/>
            <w:tcBorders>
              <w:top w:val="nil"/>
              <w:left w:val="nil"/>
              <w:bottom w:val="nil"/>
              <w:right w:val="nil"/>
            </w:tcBorders>
          </w:tcPr>
          <w:p w14:paraId="2BE65CF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(1.80)</w:t>
            </w:r>
          </w:p>
        </w:tc>
      </w:tr>
      <w:tr w:rsidR="006D5377" w:rsidRPr="00F3433B" w14:paraId="42E801AA" w14:textId="77777777" w:rsidTr="00015B88">
        <w:tc>
          <w:tcPr>
            <w:tcW w:w="2136" w:type="dxa"/>
            <w:tcBorders>
              <w:top w:val="nil"/>
              <w:left w:val="nil"/>
              <w:bottom w:val="nil"/>
              <w:right w:val="nil"/>
            </w:tcBorders>
          </w:tcPr>
          <w:p w14:paraId="13E6148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E9CC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0F2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27F14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5F5FB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AB77CDC" w14:textId="77777777" w:rsidTr="00015B88">
        <w:tc>
          <w:tcPr>
            <w:tcW w:w="2136" w:type="dxa"/>
            <w:tcBorders>
              <w:top w:val="nil"/>
              <w:left w:val="nil"/>
              <w:bottom w:val="nil"/>
              <w:right w:val="nil"/>
            </w:tcBorders>
          </w:tcPr>
          <w:p w14:paraId="5994BF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A78418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-0.0568</w:t>
            </w:r>
          </w:p>
        </w:tc>
        <w:tc>
          <w:tcPr>
            <w:tcW w:w="1656" w:type="dxa"/>
            <w:tcBorders>
              <w:top w:val="nil"/>
              <w:left w:val="nil"/>
              <w:bottom w:val="nil"/>
              <w:right w:val="nil"/>
            </w:tcBorders>
          </w:tcPr>
          <w:p w14:paraId="32759EE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-0.389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655D97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0.0113</w:t>
            </w:r>
          </w:p>
        </w:tc>
        <w:tc>
          <w:tcPr>
            <w:tcW w:w="1656" w:type="dxa"/>
            <w:tcBorders>
              <w:top w:val="nil"/>
              <w:left w:val="nil"/>
              <w:bottom w:val="nil"/>
              <w:right w:val="nil"/>
            </w:tcBorders>
          </w:tcPr>
          <w:p w14:paraId="528606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0.127</w:t>
            </w:r>
          </w:p>
        </w:tc>
      </w:tr>
      <w:tr w:rsidR="006D5377" w:rsidRPr="00F3433B" w14:paraId="24CF2ED8" w14:textId="77777777" w:rsidTr="00015B88">
        <w:tc>
          <w:tcPr>
            <w:tcW w:w="2136" w:type="dxa"/>
            <w:tcBorders>
              <w:top w:val="nil"/>
              <w:left w:val="nil"/>
              <w:bottom w:val="nil"/>
              <w:right w:val="nil"/>
            </w:tcBorders>
          </w:tcPr>
          <w:p w14:paraId="6C3DF1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970A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(-0.41)</w:t>
            </w:r>
          </w:p>
        </w:tc>
        <w:tc>
          <w:tcPr>
            <w:tcW w:w="1656" w:type="dxa"/>
            <w:tcBorders>
              <w:top w:val="nil"/>
              <w:left w:val="nil"/>
              <w:bottom w:val="nil"/>
              <w:right w:val="nil"/>
            </w:tcBorders>
          </w:tcPr>
          <w:p w14:paraId="10E4306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(-2.00)</w:t>
            </w:r>
          </w:p>
        </w:tc>
        <w:tc>
          <w:tcPr>
            <w:tcW w:w="1656" w:type="dxa"/>
            <w:tcBorders>
              <w:top w:val="nil"/>
              <w:left w:val="nil"/>
              <w:bottom w:val="nil"/>
              <w:right w:val="nil"/>
            </w:tcBorders>
          </w:tcPr>
          <w:p w14:paraId="1D21C8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w:t>
            </w:r>
          </w:p>
        </w:tc>
        <w:tc>
          <w:tcPr>
            <w:tcW w:w="1656" w:type="dxa"/>
            <w:tcBorders>
              <w:top w:val="nil"/>
              <w:left w:val="nil"/>
              <w:bottom w:val="nil"/>
              <w:right w:val="nil"/>
            </w:tcBorders>
          </w:tcPr>
          <w:p w14:paraId="3425AF9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(1.28)</w:t>
            </w:r>
          </w:p>
        </w:tc>
      </w:tr>
      <w:tr w:rsidR="006D5377" w:rsidRPr="00F3433B" w14:paraId="7E5992AD" w14:textId="77777777" w:rsidTr="00015B88">
        <w:tc>
          <w:tcPr>
            <w:tcW w:w="2136" w:type="dxa"/>
            <w:tcBorders>
              <w:top w:val="nil"/>
              <w:left w:val="nil"/>
              <w:bottom w:val="nil"/>
              <w:right w:val="nil"/>
            </w:tcBorders>
          </w:tcPr>
          <w:p w14:paraId="3B44E44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F5EFB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98E8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E9FF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ABEAC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88A34BB" w14:textId="77777777" w:rsidTr="00015B88">
        <w:tc>
          <w:tcPr>
            <w:tcW w:w="2136" w:type="dxa"/>
            <w:tcBorders>
              <w:top w:val="nil"/>
              <w:left w:val="nil"/>
              <w:bottom w:val="nil"/>
              <w:right w:val="nil"/>
            </w:tcBorders>
          </w:tcPr>
          <w:p w14:paraId="4D5CE94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De Jure CBI * More Fixed Rate</w:t>
            </w:r>
          </w:p>
        </w:tc>
        <w:tc>
          <w:tcPr>
            <w:tcW w:w="1656" w:type="dxa"/>
            <w:tcBorders>
              <w:top w:val="nil"/>
              <w:left w:val="nil"/>
              <w:bottom w:val="nil"/>
              <w:right w:val="nil"/>
            </w:tcBorders>
          </w:tcPr>
          <w:p w14:paraId="006D974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-0.112</w:t>
            </w:r>
          </w:p>
        </w:tc>
        <w:tc>
          <w:tcPr>
            <w:tcW w:w="1656" w:type="dxa"/>
            <w:tcBorders>
              <w:top w:val="nil"/>
              <w:left w:val="nil"/>
              <w:bottom w:val="nil"/>
              <w:right w:val="nil"/>
            </w:tcBorders>
          </w:tcPr>
          <w:p w14:paraId="0750E31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0.397</w:t>
            </w:r>
          </w:p>
        </w:tc>
        <w:tc>
          <w:tcPr>
            <w:tcW w:w="1656" w:type="dxa"/>
            <w:tcBorders>
              <w:top w:val="nil"/>
              <w:left w:val="nil"/>
              <w:bottom w:val="nil"/>
              <w:right w:val="nil"/>
            </w:tcBorders>
          </w:tcPr>
          <w:p w14:paraId="4523FB7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-0.0286</w:t>
            </w:r>
          </w:p>
        </w:tc>
        <w:tc>
          <w:tcPr>
            <w:tcW w:w="1656" w:type="dxa"/>
            <w:tcBorders>
              <w:top w:val="nil"/>
              <w:left w:val="nil"/>
              <w:bottom w:val="nil"/>
              <w:right w:val="nil"/>
            </w:tcBorders>
          </w:tcPr>
          <w:p w14:paraId="1071CB2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-0.223</w:t>
            </w:r>
          </w:p>
        </w:tc>
      </w:tr>
      <w:tr w:rsidR="006D5377" w:rsidRPr="00F3433B" w14:paraId="2CCC1CB8" w14:textId="77777777" w:rsidTr="00015B88">
        <w:tc>
          <w:tcPr>
            <w:tcW w:w="2136" w:type="dxa"/>
            <w:tcBorders>
              <w:top w:val="nil"/>
              <w:left w:val="nil"/>
              <w:bottom w:val="nil"/>
              <w:right w:val="nil"/>
            </w:tcBorders>
          </w:tcPr>
          <w:p w14:paraId="6915ED4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CCD0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(-0.47)</w:t>
            </w:r>
          </w:p>
        </w:tc>
        <w:tc>
          <w:tcPr>
            <w:tcW w:w="1656" w:type="dxa"/>
            <w:tcBorders>
              <w:top w:val="nil"/>
              <w:left w:val="nil"/>
              <w:bottom w:val="nil"/>
              <w:right w:val="nil"/>
            </w:tcBorders>
          </w:tcPr>
          <w:p w14:paraId="7C9278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(1.38)</w:t>
            </w:r>
          </w:p>
        </w:tc>
        <w:tc>
          <w:tcPr>
            <w:tcW w:w="1656" w:type="dxa"/>
            <w:tcBorders>
              <w:top w:val="nil"/>
              <w:left w:val="nil"/>
              <w:bottom w:val="nil"/>
              <w:right w:val="nil"/>
            </w:tcBorders>
          </w:tcPr>
          <w:p w14:paraId="1A2AB8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(-0.10)</w:t>
            </w:r>
          </w:p>
        </w:tc>
        <w:tc>
          <w:tcPr>
            <w:tcW w:w="1656" w:type="dxa"/>
            <w:tcBorders>
              <w:top w:val="nil"/>
              <w:left w:val="nil"/>
              <w:bottom w:val="nil"/>
              <w:right w:val="nil"/>
            </w:tcBorders>
          </w:tcPr>
          <w:p w14:paraId="73FC300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(-1.19)</w:t>
            </w:r>
          </w:p>
        </w:tc>
      </w:tr>
      <w:tr w:rsidR="006D5377" w:rsidRPr="00F3433B" w14:paraId="6F237679" w14:textId="77777777" w:rsidTr="00015B88">
        <w:tc>
          <w:tcPr>
            <w:tcW w:w="2136" w:type="dxa"/>
            <w:tcBorders>
              <w:top w:val="nil"/>
              <w:left w:val="nil"/>
              <w:bottom w:val="nil"/>
              <w:right w:val="nil"/>
            </w:tcBorders>
          </w:tcPr>
          <w:p w14:paraId="2D7689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765E2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6980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2C4D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4661D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BB1B705" w14:textId="77777777" w:rsidTr="00015B88">
        <w:tc>
          <w:tcPr>
            <w:tcW w:w="2136" w:type="dxa"/>
            <w:tcBorders>
              <w:top w:val="nil"/>
              <w:left w:val="nil"/>
              <w:bottom w:val="nil"/>
              <w:right w:val="nil"/>
            </w:tcBorders>
          </w:tcPr>
          <w:p w14:paraId="3E8501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F3433B">
              <w:rPr>
                <w:rFonts w:ascii="Times New Roman" w:hAnsi="Times New Roman" w:cs="Times New Roman"/>
                <w:sz w:val="16"/>
                <w:szCs w:val="16"/>
              </w:rPr>
              <w:t>L.De</w:t>
            </w:r>
            <w:proofErr w:type="spellEnd"/>
            <w:r w:rsidRPr="00F3433B">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F8C34D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3.868</w:t>
            </w:r>
          </w:p>
        </w:tc>
        <w:tc>
          <w:tcPr>
            <w:tcW w:w="1656" w:type="dxa"/>
            <w:tcBorders>
              <w:top w:val="nil"/>
              <w:left w:val="nil"/>
              <w:bottom w:val="nil"/>
              <w:right w:val="nil"/>
            </w:tcBorders>
          </w:tcPr>
          <w:p w14:paraId="10D39C6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7.554</w:t>
            </w:r>
          </w:p>
        </w:tc>
        <w:tc>
          <w:tcPr>
            <w:tcW w:w="1656" w:type="dxa"/>
            <w:tcBorders>
              <w:top w:val="nil"/>
              <w:left w:val="nil"/>
              <w:bottom w:val="nil"/>
              <w:right w:val="nil"/>
            </w:tcBorders>
          </w:tcPr>
          <w:p w14:paraId="2124112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-1.568</w:t>
            </w:r>
          </w:p>
        </w:tc>
        <w:tc>
          <w:tcPr>
            <w:tcW w:w="1656" w:type="dxa"/>
            <w:tcBorders>
              <w:top w:val="nil"/>
              <w:left w:val="nil"/>
              <w:bottom w:val="nil"/>
              <w:right w:val="nil"/>
            </w:tcBorders>
          </w:tcPr>
          <w:p w14:paraId="7FB2068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-0.972</w:t>
            </w:r>
          </w:p>
        </w:tc>
      </w:tr>
      <w:tr w:rsidR="006D5377" w:rsidRPr="00F3433B" w14:paraId="148EBA27" w14:textId="77777777" w:rsidTr="00015B88">
        <w:tc>
          <w:tcPr>
            <w:tcW w:w="2136" w:type="dxa"/>
            <w:tcBorders>
              <w:top w:val="nil"/>
              <w:left w:val="nil"/>
              <w:bottom w:val="nil"/>
              <w:right w:val="nil"/>
            </w:tcBorders>
          </w:tcPr>
          <w:p w14:paraId="1BC7216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8ECC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(1.13)</w:t>
            </w:r>
          </w:p>
        </w:tc>
        <w:tc>
          <w:tcPr>
            <w:tcW w:w="1656" w:type="dxa"/>
            <w:tcBorders>
              <w:top w:val="nil"/>
              <w:left w:val="nil"/>
              <w:bottom w:val="nil"/>
              <w:right w:val="nil"/>
            </w:tcBorders>
          </w:tcPr>
          <w:p w14:paraId="0B80FE1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(1.95)</w:t>
            </w:r>
          </w:p>
        </w:tc>
        <w:tc>
          <w:tcPr>
            <w:tcW w:w="1656" w:type="dxa"/>
            <w:tcBorders>
              <w:top w:val="nil"/>
              <w:left w:val="nil"/>
              <w:bottom w:val="nil"/>
              <w:right w:val="nil"/>
            </w:tcBorders>
          </w:tcPr>
          <w:p w14:paraId="6E9F8F3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(-0.63)</w:t>
            </w:r>
          </w:p>
        </w:tc>
        <w:tc>
          <w:tcPr>
            <w:tcW w:w="1656" w:type="dxa"/>
            <w:tcBorders>
              <w:top w:val="nil"/>
              <w:left w:val="nil"/>
              <w:bottom w:val="nil"/>
              <w:right w:val="nil"/>
            </w:tcBorders>
          </w:tcPr>
          <w:p w14:paraId="7A4718C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(-0.80)</w:t>
            </w:r>
          </w:p>
        </w:tc>
      </w:tr>
      <w:tr w:rsidR="006D5377" w:rsidRPr="00F3433B" w14:paraId="247ACDAF" w14:textId="77777777" w:rsidTr="00015B88">
        <w:tc>
          <w:tcPr>
            <w:tcW w:w="2136" w:type="dxa"/>
            <w:tcBorders>
              <w:top w:val="nil"/>
              <w:left w:val="nil"/>
              <w:bottom w:val="nil"/>
              <w:right w:val="nil"/>
            </w:tcBorders>
          </w:tcPr>
          <w:p w14:paraId="428829A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B1FFE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3D2E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FD85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B605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3539AAEE" w14:textId="77777777" w:rsidTr="00015B88">
        <w:tc>
          <w:tcPr>
            <w:tcW w:w="2136" w:type="dxa"/>
            <w:tcBorders>
              <w:top w:val="nil"/>
              <w:left w:val="nil"/>
              <w:bottom w:val="nil"/>
              <w:right w:val="nil"/>
            </w:tcBorders>
          </w:tcPr>
          <w:p w14:paraId="1631664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L2.De Jure CBI (CNW Index)</w:t>
            </w:r>
          </w:p>
        </w:tc>
        <w:tc>
          <w:tcPr>
            <w:tcW w:w="1656" w:type="dxa"/>
            <w:tcBorders>
              <w:top w:val="nil"/>
              <w:left w:val="nil"/>
              <w:bottom w:val="nil"/>
              <w:right w:val="nil"/>
            </w:tcBorders>
          </w:tcPr>
          <w:p w14:paraId="002D720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-7.221</w:t>
            </w:r>
          </w:p>
        </w:tc>
        <w:tc>
          <w:tcPr>
            <w:tcW w:w="1656" w:type="dxa"/>
            <w:tcBorders>
              <w:top w:val="nil"/>
              <w:left w:val="nil"/>
              <w:bottom w:val="nil"/>
              <w:right w:val="nil"/>
            </w:tcBorders>
          </w:tcPr>
          <w:p w14:paraId="6A7B83C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-7.739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1F7A527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0.787</w:t>
            </w:r>
          </w:p>
        </w:tc>
        <w:tc>
          <w:tcPr>
            <w:tcW w:w="1656" w:type="dxa"/>
            <w:tcBorders>
              <w:top w:val="nil"/>
              <w:left w:val="nil"/>
              <w:bottom w:val="nil"/>
              <w:right w:val="nil"/>
            </w:tcBorders>
          </w:tcPr>
          <w:p w14:paraId="32BA6EC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-1.723</w:t>
            </w:r>
          </w:p>
        </w:tc>
      </w:tr>
      <w:tr w:rsidR="006D5377" w:rsidRPr="00F3433B" w14:paraId="03048A6E" w14:textId="77777777" w:rsidTr="00015B88">
        <w:tc>
          <w:tcPr>
            <w:tcW w:w="2136" w:type="dxa"/>
            <w:tcBorders>
              <w:top w:val="nil"/>
              <w:left w:val="nil"/>
              <w:bottom w:val="nil"/>
              <w:right w:val="nil"/>
            </w:tcBorders>
          </w:tcPr>
          <w:p w14:paraId="005F3A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6BD2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(-1.93)</w:t>
            </w:r>
          </w:p>
        </w:tc>
        <w:tc>
          <w:tcPr>
            <w:tcW w:w="1656" w:type="dxa"/>
            <w:tcBorders>
              <w:top w:val="nil"/>
              <w:left w:val="nil"/>
              <w:bottom w:val="nil"/>
              <w:right w:val="nil"/>
            </w:tcBorders>
          </w:tcPr>
          <w:p w14:paraId="607422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(-2.00)</w:t>
            </w:r>
          </w:p>
        </w:tc>
        <w:tc>
          <w:tcPr>
            <w:tcW w:w="1656" w:type="dxa"/>
            <w:tcBorders>
              <w:top w:val="nil"/>
              <w:left w:val="nil"/>
              <w:bottom w:val="nil"/>
              <w:right w:val="nil"/>
            </w:tcBorders>
          </w:tcPr>
          <w:p w14:paraId="626982D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w:t>
            </w:r>
          </w:p>
        </w:tc>
        <w:tc>
          <w:tcPr>
            <w:tcW w:w="1656" w:type="dxa"/>
            <w:tcBorders>
              <w:top w:val="nil"/>
              <w:left w:val="nil"/>
              <w:bottom w:val="nil"/>
              <w:right w:val="nil"/>
            </w:tcBorders>
          </w:tcPr>
          <w:p w14:paraId="04CE8D0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(-0.89)</w:t>
            </w:r>
          </w:p>
        </w:tc>
      </w:tr>
      <w:tr w:rsidR="006D5377" w:rsidRPr="00F3433B" w14:paraId="1C631E0C" w14:textId="77777777" w:rsidTr="00015B88">
        <w:tc>
          <w:tcPr>
            <w:tcW w:w="2136" w:type="dxa"/>
            <w:tcBorders>
              <w:top w:val="nil"/>
              <w:left w:val="nil"/>
              <w:bottom w:val="nil"/>
              <w:right w:val="nil"/>
            </w:tcBorders>
          </w:tcPr>
          <w:p w14:paraId="603F45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53C2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2AC6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D5A8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16450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E3A2085" w14:textId="77777777" w:rsidTr="00015B88">
        <w:tc>
          <w:tcPr>
            <w:tcW w:w="2136" w:type="dxa"/>
            <w:tcBorders>
              <w:top w:val="nil"/>
              <w:left w:val="nil"/>
              <w:bottom w:val="nil"/>
              <w:right w:val="nil"/>
            </w:tcBorders>
          </w:tcPr>
          <w:p w14:paraId="2184798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L3.De Jure CBI (CNW Index)</w:t>
            </w:r>
          </w:p>
        </w:tc>
        <w:tc>
          <w:tcPr>
            <w:tcW w:w="1656" w:type="dxa"/>
            <w:tcBorders>
              <w:top w:val="nil"/>
              <w:left w:val="nil"/>
              <w:bottom w:val="nil"/>
              <w:right w:val="nil"/>
            </w:tcBorders>
          </w:tcPr>
          <w:p w14:paraId="723792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-0.192</w:t>
            </w:r>
          </w:p>
        </w:tc>
        <w:tc>
          <w:tcPr>
            <w:tcW w:w="1656" w:type="dxa"/>
            <w:tcBorders>
              <w:top w:val="nil"/>
              <w:left w:val="nil"/>
              <w:bottom w:val="nil"/>
              <w:right w:val="nil"/>
            </w:tcBorders>
          </w:tcPr>
          <w:p w14:paraId="58F8492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-2.363</w:t>
            </w:r>
          </w:p>
        </w:tc>
        <w:tc>
          <w:tcPr>
            <w:tcW w:w="1656" w:type="dxa"/>
            <w:tcBorders>
              <w:top w:val="nil"/>
              <w:left w:val="nil"/>
              <w:bottom w:val="nil"/>
              <w:right w:val="nil"/>
            </w:tcBorders>
          </w:tcPr>
          <w:p w14:paraId="481ACE1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-5.222</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4761CE7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3.174</w:t>
            </w:r>
          </w:p>
        </w:tc>
      </w:tr>
      <w:tr w:rsidR="006D5377" w:rsidRPr="00F3433B" w14:paraId="5F3B57B8" w14:textId="77777777" w:rsidTr="00015B88">
        <w:tc>
          <w:tcPr>
            <w:tcW w:w="2136" w:type="dxa"/>
            <w:tcBorders>
              <w:top w:val="nil"/>
              <w:left w:val="nil"/>
              <w:bottom w:val="nil"/>
              <w:right w:val="nil"/>
            </w:tcBorders>
          </w:tcPr>
          <w:p w14:paraId="66FE42C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438B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w:t>
            </w:r>
          </w:p>
        </w:tc>
        <w:tc>
          <w:tcPr>
            <w:tcW w:w="1656" w:type="dxa"/>
            <w:tcBorders>
              <w:top w:val="nil"/>
              <w:left w:val="nil"/>
              <w:bottom w:val="nil"/>
              <w:right w:val="nil"/>
            </w:tcBorders>
          </w:tcPr>
          <w:p w14:paraId="111174D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(-0.64)</w:t>
            </w:r>
          </w:p>
        </w:tc>
        <w:tc>
          <w:tcPr>
            <w:tcW w:w="1656" w:type="dxa"/>
            <w:tcBorders>
              <w:top w:val="nil"/>
              <w:left w:val="nil"/>
              <w:bottom w:val="nil"/>
              <w:right w:val="nil"/>
            </w:tcBorders>
          </w:tcPr>
          <w:p w14:paraId="65BC2F3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(-1.98)</w:t>
            </w:r>
          </w:p>
        </w:tc>
        <w:tc>
          <w:tcPr>
            <w:tcW w:w="1656" w:type="dxa"/>
            <w:tcBorders>
              <w:top w:val="nil"/>
              <w:left w:val="nil"/>
              <w:bottom w:val="nil"/>
              <w:right w:val="nil"/>
            </w:tcBorders>
          </w:tcPr>
          <w:p w14:paraId="7F6BA23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(1.94)</w:t>
            </w:r>
          </w:p>
        </w:tc>
      </w:tr>
      <w:tr w:rsidR="006D5377" w:rsidRPr="00F3433B" w14:paraId="3C3D5728" w14:textId="77777777" w:rsidTr="00015B88">
        <w:tc>
          <w:tcPr>
            <w:tcW w:w="2136" w:type="dxa"/>
            <w:tcBorders>
              <w:top w:val="nil"/>
              <w:left w:val="nil"/>
              <w:bottom w:val="nil"/>
              <w:right w:val="nil"/>
            </w:tcBorders>
          </w:tcPr>
          <w:p w14:paraId="02A1272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7DFE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06825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C3C62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6CCD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86FF9D4" w14:textId="77777777" w:rsidTr="00015B88">
        <w:tc>
          <w:tcPr>
            <w:tcW w:w="2136" w:type="dxa"/>
            <w:tcBorders>
              <w:top w:val="nil"/>
              <w:left w:val="nil"/>
              <w:bottom w:val="nil"/>
              <w:right w:val="nil"/>
            </w:tcBorders>
          </w:tcPr>
          <w:p w14:paraId="1845677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L4.De Jure CBI (CNW Index)</w:t>
            </w:r>
          </w:p>
        </w:tc>
        <w:tc>
          <w:tcPr>
            <w:tcW w:w="1656" w:type="dxa"/>
            <w:tcBorders>
              <w:top w:val="nil"/>
              <w:left w:val="nil"/>
              <w:bottom w:val="nil"/>
              <w:right w:val="nil"/>
            </w:tcBorders>
          </w:tcPr>
          <w:p w14:paraId="399EC9B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1.554</w:t>
            </w:r>
          </w:p>
        </w:tc>
        <w:tc>
          <w:tcPr>
            <w:tcW w:w="1656" w:type="dxa"/>
            <w:tcBorders>
              <w:top w:val="nil"/>
              <w:left w:val="nil"/>
              <w:bottom w:val="nil"/>
              <w:right w:val="nil"/>
            </w:tcBorders>
          </w:tcPr>
          <w:p w14:paraId="1BAE80D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4.118</w:t>
            </w:r>
          </w:p>
        </w:tc>
        <w:tc>
          <w:tcPr>
            <w:tcW w:w="1656" w:type="dxa"/>
            <w:tcBorders>
              <w:top w:val="nil"/>
              <w:left w:val="nil"/>
              <w:bottom w:val="nil"/>
              <w:right w:val="nil"/>
            </w:tcBorders>
          </w:tcPr>
          <w:p w14:paraId="1091E43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3.683</w:t>
            </w:r>
          </w:p>
        </w:tc>
        <w:tc>
          <w:tcPr>
            <w:tcW w:w="1656" w:type="dxa"/>
            <w:tcBorders>
              <w:top w:val="nil"/>
              <w:left w:val="nil"/>
              <w:bottom w:val="nil"/>
              <w:right w:val="nil"/>
            </w:tcBorders>
          </w:tcPr>
          <w:p w14:paraId="47ECF4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-1.930</w:t>
            </w:r>
          </w:p>
        </w:tc>
      </w:tr>
      <w:tr w:rsidR="006D5377" w:rsidRPr="00F3433B" w14:paraId="364F5BA3" w14:textId="77777777" w:rsidTr="00015B88">
        <w:tc>
          <w:tcPr>
            <w:tcW w:w="2136" w:type="dxa"/>
            <w:tcBorders>
              <w:top w:val="nil"/>
              <w:left w:val="nil"/>
              <w:bottom w:val="nil"/>
              <w:right w:val="nil"/>
            </w:tcBorders>
          </w:tcPr>
          <w:p w14:paraId="2AD023F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008E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(0.56)</w:t>
            </w:r>
          </w:p>
        </w:tc>
        <w:tc>
          <w:tcPr>
            <w:tcW w:w="1656" w:type="dxa"/>
            <w:tcBorders>
              <w:top w:val="nil"/>
              <w:left w:val="nil"/>
              <w:bottom w:val="nil"/>
              <w:right w:val="nil"/>
            </w:tcBorders>
          </w:tcPr>
          <w:p w14:paraId="4664C15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(1.34)</w:t>
            </w:r>
          </w:p>
        </w:tc>
        <w:tc>
          <w:tcPr>
            <w:tcW w:w="1656" w:type="dxa"/>
            <w:tcBorders>
              <w:top w:val="nil"/>
              <w:left w:val="nil"/>
              <w:bottom w:val="nil"/>
              <w:right w:val="nil"/>
            </w:tcBorders>
          </w:tcPr>
          <w:p w14:paraId="2259127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(0.79)</w:t>
            </w:r>
          </w:p>
        </w:tc>
        <w:tc>
          <w:tcPr>
            <w:tcW w:w="1656" w:type="dxa"/>
            <w:tcBorders>
              <w:top w:val="nil"/>
              <w:left w:val="nil"/>
              <w:bottom w:val="nil"/>
              <w:right w:val="nil"/>
            </w:tcBorders>
          </w:tcPr>
          <w:p w14:paraId="4E2681D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(-1.51)</w:t>
            </w:r>
          </w:p>
        </w:tc>
      </w:tr>
      <w:tr w:rsidR="006D5377" w:rsidRPr="00F3433B" w14:paraId="2E244E38" w14:textId="77777777" w:rsidTr="00015B88">
        <w:tc>
          <w:tcPr>
            <w:tcW w:w="2136" w:type="dxa"/>
            <w:tcBorders>
              <w:top w:val="nil"/>
              <w:left w:val="nil"/>
              <w:bottom w:val="nil"/>
              <w:right w:val="nil"/>
            </w:tcBorders>
          </w:tcPr>
          <w:p w14:paraId="1D7B49D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CC9DD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007B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3C8D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FC10F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CF8E6A8" w14:textId="77777777" w:rsidTr="00015B88">
        <w:tc>
          <w:tcPr>
            <w:tcW w:w="2136" w:type="dxa"/>
            <w:tcBorders>
              <w:top w:val="nil"/>
              <w:left w:val="nil"/>
              <w:bottom w:val="nil"/>
              <w:right w:val="nil"/>
            </w:tcBorders>
          </w:tcPr>
          <w:p w14:paraId="41D9767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lastRenderedPageBreak/>
              <w:t>L5.De Jure CBI (CNW Index)</w:t>
            </w:r>
          </w:p>
        </w:tc>
        <w:tc>
          <w:tcPr>
            <w:tcW w:w="1656" w:type="dxa"/>
            <w:tcBorders>
              <w:top w:val="nil"/>
              <w:left w:val="nil"/>
              <w:bottom w:val="nil"/>
              <w:right w:val="nil"/>
            </w:tcBorders>
          </w:tcPr>
          <w:p w14:paraId="4EA1741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4.197</w:t>
            </w:r>
          </w:p>
        </w:tc>
        <w:tc>
          <w:tcPr>
            <w:tcW w:w="1656" w:type="dxa"/>
            <w:tcBorders>
              <w:top w:val="nil"/>
              <w:left w:val="nil"/>
              <w:bottom w:val="nil"/>
              <w:right w:val="nil"/>
            </w:tcBorders>
          </w:tcPr>
          <w:p w14:paraId="22EF622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3.871</w:t>
            </w:r>
          </w:p>
        </w:tc>
        <w:tc>
          <w:tcPr>
            <w:tcW w:w="1656" w:type="dxa"/>
            <w:tcBorders>
              <w:top w:val="nil"/>
              <w:left w:val="nil"/>
              <w:bottom w:val="nil"/>
              <w:right w:val="nil"/>
            </w:tcBorders>
          </w:tcPr>
          <w:p w14:paraId="5496780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1.730</w:t>
            </w:r>
          </w:p>
        </w:tc>
        <w:tc>
          <w:tcPr>
            <w:tcW w:w="1656" w:type="dxa"/>
            <w:tcBorders>
              <w:top w:val="nil"/>
              <w:left w:val="nil"/>
              <w:bottom w:val="nil"/>
              <w:right w:val="nil"/>
            </w:tcBorders>
          </w:tcPr>
          <w:p w14:paraId="2B87349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-1.037</w:t>
            </w:r>
          </w:p>
        </w:tc>
      </w:tr>
      <w:tr w:rsidR="006D5377" w:rsidRPr="00F3433B" w14:paraId="5309C064" w14:textId="77777777" w:rsidTr="00015B88">
        <w:tc>
          <w:tcPr>
            <w:tcW w:w="2136" w:type="dxa"/>
            <w:tcBorders>
              <w:top w:val="nil"/>
              <w:left w:val="nil"/>
              <w:bottom w:val="nil"/>
              <w:right w:val="nil"/>
            </w:tcBorders>
          </w:tcPr>
          <w:p w14:paraId="73B5B38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4ABC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(1.65)</w:t>
            </w:r>
          </w:p>
        </w:tc>
        <w:tc>
          <w:tcPr>
            <w:tcW w:w="1656" w:type="dxa"/>
            <w:tcBorders>
              <w:top w:val="nil"/>
              <w:left w:val="nil"/>
              <w:bottom w:val="nil"/>
              <w:right w:val="nil"/>
            </w:tcBorders>
          </w:tcPr>
          <w:p w14:paraId="5A2F405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(1.51)</w:t>
            </w:r>
          </w:p>
        </w:tc>
        <w:tc>
          <w:tcPr>
            <w:tcW w:w="1656" w:type="dxa"/>
            <w:tcBorders>
              <w:top w:val="nil"/>
              <w:left w:val="nil"/>
              <w:bottom w:val="nil"/>
              <w:right w:val="nil"/>
            </w:tcBorders>
          </w:tcPr>
          <w:p w14:paraId="61C35EC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(0.46)</w:t>
            </w:r>
          </w:p>
        </w:tc>
        <w:tc>
          <w:tcPr>
            <w:tcW w:w="1656" w:type="dxa"/>
            <w:tcBorders>
              <w:top w:val="nil"/>
              <w:left w:val="nil"/>
              <w:bottom w:val="nil"/>
              <w:right w:val="nil"/>
            </w:tcBorders>
          </w:tcPr>
          <w:p w14:paraId="1F17119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(-0.85)</w:t>
            </w:r>
          </w:p>
        </w:tc>
      </w:tr>
      <w:tr w:rsidR="006D5377" w:rsidRPr="00F3433B" w14:paraId="385EEBD2" w14:textId="77777777" w:rsidTr="00015B88">
        <w:tc>
          <w:tcPr>
            <w:tcW w:w="2136" w:type="dxa"/>
            <w:tcBorders>
              <w:top w:val="nil"/>
              <w:left w:val="nil"/>
              <w:bottom w:val="nil"/>
              <w:right w:val="nil"/>
            </w:tcBorders>
          </w:tcPr>
          <w:p w14:paraId="3826989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7BD2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0702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AC8E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3B209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386932B8" w14:textId="77777777" w:rsidTr="00015B88">
        <w:tc>
          <w:tcPr>
            <w:tcW w:w="2136" w:type="dxa"/>
            <w:tcBorders>
              <w:top w:val="nil"/>
              <w:left w:val="nil"/>
              <w:bottom w:val="nil"/>
              <w:right w:val="nil"/>
            </w:tcBorders>
          </w:tcPr>
          <w:p w14:paraId="2C89A76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L6.De Jure CBI (CNW Index)</w:t>
            </w:r>
          </w:p>
        </w:tc>
        <w:tc>
          <w:tcPr>
            <w:tcW w:w="1656" w:type="dxa"/>
            <w:tcBorders>
              <w:top w:val="nil"/>
              <w:left w:val="nil"/>
              <w:bottom w:val="nil"/>
              <w:right w:val="nil"/>
            </w:tcBorders>
          </w:tcPr>
          <w:p w14:paraId="37E7617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-6.363</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429336F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-1.672</w:t>
            </w:r>
          </w:p>
        </w:tc>
        <w:tc>
          <w:tcPr>
            <w:tcW w:w="1656" w:type="dxa"/>
            <w:tcBorders>
              <w:top w:val="nil"/>
              <w:left w:val="nil"/>
              <w:bottom w:val="nil"/>
              <w:right w:val="nil"/>
            </w:tcBorders>
          </w:tcPr>
          <w:p w14:paraId="24B1BEE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-2.568</w:t>
            </w:r>
          </w:p>
        </w:tc>
        <w:tc>
          <w:tcPr>
            <w:tcW w:w="1656" w:type="dxa"/>
            <w:tcBorders>
              <w:top w:val="nil"/>
              <w:left w:val="nil"/>
              <w:bottom w:val="nil"/>
              <w:right w:val="nil"/>
            </w:tcBorders>
          </w:tcPr>
          <w:p w14:paraId="51F4D3A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3.571</w:t>
            </w:r>
            <w:r w:rsidRPr="00F3433B">
              <w:rPr>
                <w:rFonts w:ascii="Times New Roman" w:hAnsi="Times New Roman" w:cs="Times New Roman"/>
                <w:sz w:val="16"/>
                <w:szCs w:val="16"/>
                <w:vertAlign w:val="superscript"/>
              </w:rPr>
              <w:t>*</w:t>
            </w:r>
          </w:p>
        </w:tc>
      </w:tr>
      <w:tr w:rsidR="006D5377" w:rsidRPr="00F3433B" w14:paraId="32E304E0" w14:textId="77777777" w:rsidTr="00015B88">
        <w:tc>
          <w:tcPr>
            <w:tcW w:w="2136" w:type="dxa"/>
            <w:tcBorders>
              <w:top w:val="nil"/>
              <w:left w:val="nil"/>
              <w:bottom w:val="nil"/>
              <w:right w:val="nil"/>
            </w:tcBorders>
          </w:tcPr>
          <w:p w14:paraId="36CB906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6F141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(-2.37)</w:t>
            </w:r>
          </w:p>
        </w:tc>
        <w:tc>
          <w:tcPr>
            <w:tcW w:w="1656" w:type="dxa"/>
            <w:tcBorders>
              <w:top w:val="nil"/>
              <w:left w:val="nil"/>
              <w:bottom w:val="nil"/>
              <w:right w:val="nil"/>
            </w:tcBorders>
          </w:tcPr>
          <w:p w14:paraId="5263507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(-0.44)</w:t>
            </w:r>
          </w:p>
        </w:tc>
        <w:tc>
          <w:tcPr>
            <w:tcW w:w="1656" w:type="dxa"/>
            <w:tcBorders>
              <w:top w:val="nil"/>
              <w:left w:val="nil"/>
              <w:bottom w:val="nil"/>
              <w:right w:val="nil"/>
            </w:tcBorders>
          </w:tcPr>
          <w:p w14:paraId="471293F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(-1.39)</w:t>
            </w:r>
          </w:p>
        </w:tc>
        <w:tc>
          <w:tcPr>
            <w:tcW w:w="1656" w:type="dxa"/>
            <w:tcBorders>
              <w:top w:val="nil"/>
              <w:left w:val="nil"/>
              <w:bottom w:val="nil"/>
              <w:right w:val="nil"/>
            </w:tcBorders>
          </w:tcPr>
          <w:p w14:paraId="2EC4119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(2.03)</w:t>
            </w:r>
          </w:p>
        </w:tc>
      </w:tr>
      <w:tr w:rsidR="006D5377" w:rsidRPr="00F3433B" w14:paraId="54A5F8FE" w14:textId="77777777" w:rsidTr="00015B88">
        <w:tc>
          <w:tcPr>
            <w:tcW w:w="2136" w:type="dxa"/>
            <w:tcBorders>
              <w:top w:val="nil"/>
              <w:left w:val="nil"/>
              <w:bottom w:val="nil"/>
              <w:right w:val="nil"/>
            </w:tcBorders>
          </w:tcPr>
          <w:p w14:paraId="4A3EE25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ECD3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93C97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4B83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B01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A30DF84" w14:textId="77777777" w:rsidTr="00015B88">
        <w:tc>
          <w:tcPr>
            <w:tcW w:w="2136" w:type="dxa"/>
            <w:tcBorders>
              <w:top w:val="nil"/>
              <w:left w:val="nil"/>
              <w:bottom w:val="nil"/>
              <w:right w:val="nil"/>
            </w:tcBorders>
          </w:tcPr>
          <w:p w14:paraId="7E4E169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L7.De Jure CBI (CNW Index)</w:t>
            </w:r>
          </w:p>
        </w:tc>
        <w:tc>
          <w:tcPr>
            <w:tcW w:w="1656" w:type="dxa"/>
            <w:tcBorders>
              <w:top w:val="nil"/>
              <w:left w:val="nil"/>
              <w:bottom w:val="nil"/>
              <w:right w:val="nil"/>
            </w:tcBorders>
          </w:tcPr>
          <w:p w14:paraId="14C4A0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4.340</w:t>
            </w:r>
          </w:p>
        </w:tc>
        <w:tc>
          <w:tcPr>
            <w:tcW w:w="1656" w:type="dxa"/>
            <w:tcBorders>
              <w:top w:val="nil"/>
              <w:left w:val="nil"/>
              <w:bottom w:val="nil"/>
              <w:right w:val="nil"/>
            </w:tcBorders>
          </w:tcPr>
          <w:p w14:paraId="565D8AD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-1.680</w:t>
            </w:r>
          </w:p>
        </w:tc>
        <w:tc>
          <w:tcPr>
            <w:tcW w:w="1656" w:type="dxa"/>
            <w:tcBorders>
              <w:top w:val="nil"/>
              <w:left w:val="nil"/>
              <w:bottom w:val="nil"/>
              <w:right w:val="nil"/>
            </w:tcBorders>
          </w:tcPr>
          <w:p w14:paraId="5DA5556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3.490</w:t>
            </w:r>
          </w:p>
        </w:tc>
        <w:tc>
          <w:tcPr>
            <w:tcW w:w="1656" w:type="dxa"/>
            <w:tcBorders>
              <w:top w:val="nil"/>
              <w:left w:val="nil"/>
              <w:bottom w:val="nil"/>
              <w:right w:val="nil"/>
            </w:tcBorders>
          </w:tcPr>
          <w:p w14:paraId="2AC9C90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-0.141</w:t>
            </w:r>
          </w:p>
        </w:tc>
      </w:tr>
      <w:tr w:rsidR="006D5377" w:rsidRPr="00F3433B" w14:paraId="5D153CA1" w14:textId="77777777" w:rsidTr="00015B88">
        <w:tc>
          <w:tcPr>
            <w:tcW w:w="2136" w:type="dxa"/>
            <w:tcBorders>
              <w:top w:val="nil"/>
              <w:left w:val="nil"/>
              <w:bottom w:val="nil"/>
              <w:right w:val="nil"/>
            </w:tcBorders>
          </w:tcPr>
          <w:p w14:paraId="5FFB8E9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9AF7B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(1.56)</w:t>
            </w:r>
          </w:p>
        </w:tc>
        <w:tc>
          <w:tcPr>
            <w:tcW w:w="1656" w:type="dxa"/>
            <w:tcBorders>
              <w:top w:val="nil"/>
              <w:left w:val="nil"/>
              <w:bottom w:val="nil"/>
              <w:right w:val="nil"/>
            </w:tcBorders>
          </w:tcPr>
          <w:p w14:paraId="641D5F9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(-0.44)</w:t>
            </w:r>
          </w:p>
        </w:tc>
        <w:tc>
          <w:tcPr>
            <w:tcW w:w="1656" w:type="dxa"/>
            <w:tcBorders>
              <w:top w:val="nil"/>
              <w:left w:val="nil"/>
              <w:bottom w:val="nil"/>
              <w:right w:val="nil"/>
            </w:tcBorders>
          </w:tcPr>
          <w:p w14:paraId="55EA4F8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(1.20)</w:t>
            </w:r>
          </w:p>
        </w:tc>
        <w:tc>
          <w:tcPr>
            <w:tcW w:w="1656" w:type="dxa"/>
            <w:tcBorders>
              <w:top w:val="nil"/>
              <w:left w:val="nil"/>
              <w:bottom w:val="nil"/>
              <w:right w:val="nil"/>
            </w:tcBorders>
          </w:tcPr>
          <w:p w14:paraId="18FA803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(-0.15)</w:t>
            </w:r>
          </w:p>
        </w:tc>
      </w:tr>
      <w:tr w:rsidR="006D5377" w:rsidRPr="00F3433B" w14:paraId="570469AB" w14:textId="77777777" w:rsidTr="00015B88">
        <w:tc>
          <w:tcPr>
            <w:tcW w:w="2136" w:type="dxa"/>
            <w:tcBorders>
              <w:top w:val="nil"/>
              <w:left w:val="nil"/>
              <w:bottom w:val="nil"/>
              <w:right w:val="nil"/>
            </w:tcBorders>
          </w:tcPr>
          <w:p w14:paraId="12C3E25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CF65D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1FBE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AAE72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2892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2390ABF3" w14:textId="77777777" w:rsidTr="00015B88">
        <w:tc>
          <w:tcPr>
            <w:tcW w:w="2136" w:type="dxa"/>
            <w:tcBorders>
              <w:top w:val="nil"/>
              <w:left w:val="nil"/>
              <w:bottom w:val="nil"/>
              <w:right w:val="nil"/>
            </w:tcBorders>
          </w:tcPr>
          <w:p w14:paraId="5F56B06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L8.De Jure CBI (CNW Index)</w:t>
            </w:r>
          </w:p>
        </w:tc>
        <w:tc>
          <w:tcPr>
            <w:tcW w:w="1656" w:type="dxa"/>
            <w:tcBorders>
              <w:top w:val="nil"/>
              <w:left w:val="nil"/>
              <w:bottom w:val="nil"/>
              <w:right w:val="nil"/>
            </w:tcBorders>
          </w:tcPr>
          <w:p w14:paraId="1BBAD6E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-4.058</w:t>
            </w:r>
          </w:p>
        </w:tc>
        <w:tc>
          <w:tcPr>
            <w:tcW w:w="1656" w:type="dxa"/>
            <w:tcBorders>
              <w:top w:val="nil"/>
              <w:left w:val="nil"/>
              <w:bottom w:val="nil"/>
              <w:right w:val="nil"/>
            </w:tcBorders>
          </w:tcPr>
          <w:p w14:paraId="69D35A8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0.843</w:t>
            </w:r>
          </w:p>
        </w:tc>
        <w:tc>
          <w:tcPr>
            <w:tcW w:w="1656" w:type="dxa"/>
            <w:tcBorders>
              <w:top w:val="nil"/>
              <w:left w:val="nil"/>
              <w:bottom w:val="nil"/>
              <w:right w:val="nil"/>
            </w:tcBorders>
          </w:tcPr>
          <w:p w14:paraId="6C4585A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-2.014</w:t>
            </w:r>
          </w:p>
        </w:tc>
        <w:tc>
          <w:tcPr>
            <w:tcW w:w="1656" w:type="dxa"/>
            <w:tcBorders>
              <w:top w:val="nil"/>
              <w:left w:val="nil"/>
              <w:bottom w:val="nil"/>
              <w:right w:val="nil"/>
            </w:tcBorders>
          </w:tcPr>
          <w:p w14:paraId="4225148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5.557</w:t>
            </w:r>
            <w:r w:rsidRPr="00F3433B">
              <w:rPr>
                <w:rFonts w:ascii="Times New Roman" w:hAnsi="Times New Roman" w:cs="Times New Roman"/>
                <w:sz w:val="16"/>
                <w:szCs w:val="16"/>
                <w:vertAlign w:val="superscript"/>
              </w:rPr>
              <w:t>*</w:t>
            </w:r>
          </w:p>
        </w:tc>
      </w:tr>
      <w:tr w:rsidR="006D5377" w:rsidRPr="00F3433B" w14:paraId="74D07A54" w14:textId="77777777" w:rsidTr="00015B88">
        <w:tc>
          <w:tcPr>
            <w:tcW w:w="2136" w:type="dxa"/>
            <w:tcBorders>
              <w:top w:val="nil"/>
              <w:left w:val="nil"/>
              <w:bottom w:val="nil"/>
              <w:right w:val="nil"/>
            </w:tcBorders>
          </w:tcPr>
          <w:p w14:paraId="0021524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5D84A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(-1.65)</w:t>
            </w:r>
          </w:p>
        </w:tc>
        <w:tc>
          <w:tcPr>
            <w:tcW w:w="1656" w:type="dxa"/>
            <w:tcBorders>
              <w:top w:val="nil"/>
              <w:left w:val="nil"/>
              <w:bottom w:val="nil"/>
              <w:right w:val="nil"/>
            </w:tcBorders>
          </w:tcPr>
          <w:p w14:paraId="33B7740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(0.25)</w:t>
            </w:r>
          </w:p>
        </w:tc>
        <w:tc>
          <w:tcPr>
            <w:tcW w:w="1656" w:type="dxa"/>
            <w:tcBorders>
              <w:top w:val="nil"/>
              <w:left w:val="nil"/>
              <w:bottom w:val="nil"/>
              <w:right w:val="nil"/>
            </w:tcBorders>
          </w:tcPr>
          <w:p w14:paraId="1FEB2BE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c>
          <w:tcPr>
            <w:tcW w:w="1656" w:type="dxa"/>
            <w:tcBorders>
              <w:top w:val="nil"/>
              <w:left w:val="nil"/>
              <w:bottom w:val="nil"/>
              <w:right w:val="nil"/>
            </w:tcBorders>
          </w:tcPr>
          <w:p w14:paraId="1C01316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(2.29)</w:t>
            </w:r>
          </w:p>
        </w:tc>
      </w:tr>
      <w:tr w:rsidR="006D5377" w:rsidRPr="00F3433B" w14:paraId="24DCFAD7" w14:textId="77777777" w:rsidTr="00015B88">
        <w:tc>
          <w:tcPr>
            <w:tcW w:w="2136" w:type="dxa"/>
            <w:tcBorders>
              <w:top w:val="nil"/>
              <w:left w:val="nil"/>
              <w:bottom w:val="nil"/>
              <w:right w:val="nil"/>
            </w:tcBorders>
          </w:tcPr>
          <w:p w14:paraId="7CF1E0C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8FA4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724E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0E9B7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EE1E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B725789" w14:textId="77777777" w:rsidTr="00015B88">
        <w:tc>
          <w:tcPr>
            <w:tcW w:w="2136" w:type="dxa"/>
            <w:tcBorders>
              <w:top w:val="nil"/>
              <w:left w:val="nil"/>
              <w:bottom w:val="nil"/>
              <w:right w:val="nil"/>
            </w:tcBorders>
          </w:tcPr>
          <w:p w14:paraId="4C8FCC1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L9.De Jure CBI (CNW Index)</w:t>
            </w:r>
          </w:p>
        </w:tc>
        <w:tc>
          <w:tcPr>
            <w:tcW w:w="1656" w:type="dxa"/>
            <w:tcBorders>
              <w:top w:val="nil"/>
              <w:left w:val="nil"/>
              <w:bottom w:val="nil"/>
              <w:right w:val="nil"/>
            </w:tcBorders>
          </w:tcPr>
          <w:p w14:paraId="439675B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1.073</w:t>
            </w:r>
          </w:p>
        </w:tc>
        <w:tc>
          <w:tcPr>
            <w:tcW w:w="1656" w:type="dxa"/>
            <w:tcBorders>
              <w:top w:val="nil"/>
              <w:left w:val="nil"/>
              <w:bottom w:val="nil"/>
              <w:right w:val="nil"/>
            </w:tcBorders>
          </w:tcPr>
          <w:p w14:paraId="7E2EA6A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1.280</w:t>
            </w:r>
          </w:p>
        </w:tc>
        <w:tc>
          <w:tcPr>
            <w:tcW w:w="1656" w:type="dxa"/>
            <w:tcBorders>
              <w:top w:val="nil"/>
              <w:left w:val="nil"/>
              <w:bottom w:val="nil"/>
              <w:right w:val="nil"/>
            </w:tcBorders>
          </w:tcPr>
          <w:p w14:paraId="5EBC1ED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-0.895</w:t>
            </w:r>
          </w:p>
        </w:tc>
        <w:tc>
          <w:tcPr>
            <w:tcW w:w="1656" w:type="dxa"/>
            <w:tcBorders>
              <w:top w:val="nil"/>
              <w:left w:val="nil"/>
              <w:bottom w:val="nil"/>
              <w:right w:val="nil"/>
            </w:tcBorders>
          </w:tcPr>
          <w:p w14:paraId="71F83E1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2.201</w:t>
            </w:r>
          </w:p>
        </w:tc>
      </w:tr>
      <w:tr w:rsidR="006D5377" w:rsidRPr="00F3433B" w14:paraId="75E7F818" w14:textId="77777777" w:rsidTr="00015B88">
        <w:tc>
          <w:tcPr>
            <w:tcW w:w="2136" w:type="dxa"/>
            <w:tcBorders>
              <w:top w:val="nil"/>
              <w:left w:val="nil"/>
              <w:bottom w:val="nil"/>
              <w:right w:val="nil"/>
            </w:tcBorders>
          </w:tcPr>
          <w:p w14:paraId="4C950DB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B20D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(0.43)</w:t>
            </w:r>
          </w:p>
        </w:tc>
        <w:tc>
          <w:tcPr>
            <w:tcW w:w="1656" w:type="dxa"/>
            <w:tcBorders>
              <w:top w:val="nil"/>
              <w:left w:val="nil"/>
              <w:bottom w:val="nil"/>
              <w:right w:val="nil"/>
            </w:tcBorders>
          </w:tcPr>
          <w:p w14:paraId="30685E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(0.43)</w:t>
            </w:r>
          </w:p>
        </w:tc>
        <w:tc>
          <w:tcPr>
            <w:tcW w:w="1656" w:type="dxa"/>
            <w:tcBorders>
              <w:top w:val="nil"/>
              <w:left w:val="nil"/>
              <w:bottom w:val="nil"/>
              <w:right w:val="nil"/>
            </w:tcBorders>
          </w:tcPr>
          <w:p w14:paraId="2EFB78E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(-0.37)</w:t>
            </w:r>
          </w:p>
        </w:tc>
        <w:tc>
          <w:tcPr>
            <w:tcW w:w="1656" w:type="dxa"/>
            <w:tcBorders>
              <w:top w:val="nil"/>
              <w:left w:val="nil"/>
              <w:bottom w:val="nil"/>
              <w:right w:val="nil"/>
            </w:tcBorders>
          </w:tcPr>
          <w:p w14:paraId="00591E3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(1.07)</w:t>
            </w:r>
          </w:p>
        </w:tc>
      </w:tr>
      <w:tr w:rsidR="006D5377" w:rsidRPr="00F3433B" w14:paraId="5108F473" w14:textId="77777777" w:rsidTr="00015B88">
        <w:tc>
          <w:tcPr>
            <w:tcW w:w="2136" w:type="dxa"/>
            <w:tcBorders>
              <w:top w:val="nil"/>
              <w:left w:val="nil"/>
              <w:bottom w:val="nil"/>
              <w:right w:val="nil"/>
            </w:tcBorders>
          </w:tcPr>
          <w:p w14:paraId="5F2596B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31B2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4B37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63E2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6AB75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3E47679" w14:textId="77777777" w:rsidTr="00015B88">
        <w:tc>
          <w:tcPr>
            <w:tcW w:w="2136" w:type="dxa"/>
            <w:tcBorders>
              <w:top w:val="nil"/>
              <w:left w:val="nil"/>
              <w:bottom w:val="nil"/>
              <w:right w:val="nil"/>
            </w:tcBorders>
          </w:tcPr>
          <w:p w14:paraId="5F96CA2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L10.De Jure CBI (CNW Index)</w:t>
            </w:r>
          </w:p>
        </w:tc>
        <w:tc>
          <w:tcPr>
            <w:tcW w:w="1656" w:type="dxa"/>
            <w:tcBorders>
              <w:top w:val="nil"/>
              <w:left w:val="nil"/>
              <w:bottom w:val="nil"/>
              <w:right w:val="nil"/>
            </w:tcBorders>
          </w:tcPr>
          <w:p w14:paraId="36D6F77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1.465</w:t>
            </w:r>
          </w:p>
        </w:tc>
        <w:tc>
          <w:tcPr>
            <w:tcW w:w="1656" w:type="dxa"/>
            <w:tcBorders>
              <w:top w:val="nil"/>
              <w:left w:val="nil"/>
              <w:bottom w:val="nil"/>
              <w:right w:val="nil"/>
            </w:tcBorders>
          </w:tcPr>
          <w:p w14:paraId="6FE159C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-2.015</w:t>
            </w:r>
          </w:p>
        </w:tc>
        <w:tc>
          <w:tcPr>
            <w:tcW w:w="1656" w:type="dxa"/>
            <w:tcBorders>
              <w:top w:val="nil"/>
              <w:left w:val="nil"/>
              <w:bottom w:val="nil"/>
              <w:right w:val="nil"/>
            </w:tcBorders>
          </w:tcPr>
          <w:p w14:paraId="333D888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1.755</w:t>
            </w:r>
          </w:p>
        </w:tc>
        <w:tc>
          <w:tcPr>
            <w:tcW w:w="1656" w:type="dxa"/>
            <w:tcBorders>
              <w:top w:val="nil"/>
              <w:left w:val="nil"/>
              <w:bottom w:val="nil"/>
              <w:right w:val="nil"/>
            </w:tcBorders>
          </w:tcPr>
          <w:p w14:paraId="5AAA575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0.473</w:t>
            </w:r>
          </w:p>
        </w:tc>
      </w:tr>
      <w:tr w:rsidR="006D5377" w:rsidRPr="00F3433B" w14:paraId="15410173" w14:textId="77777777" w:rsidTr="00015B88">
        <w:tc>
          <w:tcPr>
            <w:tcW w:w="2136" w:type="dxa"/>
            <w:tcBorders>
              <w:top w:val="nil"/>
              <w:left w:val="nil"/>
              <w:bottom w:val="nil"/>
              <w:right w:val="nil"/>
            </w:tcBorders>
          </w:tcPr>
          <w:p w14:paraId="7EA1D4B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69C19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(0.66)</w:t>
            </w:r>
          </w:p>
        </w:tc>
        <w:tc>
          <w:tcPr>
            <w:tcW w:w="1656" w:type="dxa"/>
            <w:tcBorders>
              <w:top w:val="nil"/>
              <w:left w:val="nil"/>
              <w:bottom w:val="nil"/>
              <w:right w:val="nil"/>
            </w:tcBorders>
          </w:tcPr>
          <w:p w14:paraId="713409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(-0.93)</w:t>
            </w:r>
          </w:p>
        </w:tc>
        <w:tc>
          <w:tcPr>
            <w:tcW w:w="1656" w:type="dxa"/>
            <w:tcBorders>
              <w:top w:val="nil"/>
              <w:left w:val="nil"/>
              <w:bottom w:val="nil"/>
              <w:right w:val="nil"/>
            </w:tcBorders>
          </w:tcPr>
          <w:p w14:paraId="74624E8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c>
          <w:tcPr>
            <w:tcW w:w="1656" w:type="dxa"/>
            <w:tcBorders>
              <w:top w:val="nil"/>
              <w:left w:val="nil"/>
              <w:bottom w:val="nil"/>
              <w:right w:val="nil"/>
            </w:tcBorders>
          </w:tcPr>
          <w:p w14:paraId="7A6BD11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(0.16)</w:t>
            </w:r>
          </w:p>
        </w:tc>
      </w:tr>
      <w:tr w:rsidR="006D5377" w:rsidRPr="00F3433B" w14:paraId="6754AE86" w14:textId="77777777" w:rsidTr="00015B88">
        <w:tc>
          <w:tcPr>
            <w:tcW w:w="2136" w:type="dxa"/>
            <w:tcBorders>
              <w:top w:val="nil"/>
              <w:left w:val="nil"/>
              <w:bottom w:val="nil"/>
              <w:right w:val="nil"/>
            </w:tcBorders>
          </w:tcPr>
          <w:p w14:paraId="79E1652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1805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D5BCC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B743E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B5D90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331AA1A" w14:textId="77777777" w:rsidTr="00015B88">
        <w:tc>
          <w:tcPr>
            <w:tcW w:w="2136" w:type="dxa"/>
            <w:tcBorders>
              <w:top w:val="nil"/>
              <w:left w:val="nil"/>
              <w:bottom w:val="nil"/>
              <w:right w:val="nil"/>
            </w:tcBorders>
          </w:tcPr>
          <w:p w14:paraId="36B82C9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F3433B">
              <w:rPr>
                <w:rFonts w:ascii="Times New Roman" w:hAnsi="Times New Roman" w:cs="Times New Roman"/>
                <w:sz w:val="16"/>
                <w:szCs w:val="16"/>
              </w:rPr>
              <w:t>L.Exchange</w:t>
            </w:r>
            <w:proofErr w:type="spellEnd"/>
            <w:r w:rsidRPr="00F3433B">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294460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0.196</w:t>
            </w:r>
          </w:p>
        </w:tc>
        <w:tc>
          <w:tcPr>
            <w:tcW w:w="1656" w:type="dxa"/>
            <w:tcBorders>
              <w:top w:val="nil"/>
              <w:left w:val="nil"/>
              <w:bottom w:val="nil"/>
              <w:right w:val="nil"/>
            </w:tcBorders>
          </w:tcPr>
          <w:p w14:paraId="1D4F167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0.598</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E1EB01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0.0104</w:t>
            </w:r>
          </w:p>
        </w:tc>
        <w:tc>
          <w:tcPr>
            <w:tcW w:w="1656" w:type="dxa"/>
            <w:tcBorders>
              <w:top w:val="nil"/>
              <w:left w:val="nil"/>
              <w:bottom w:val="nil"/>
              <w:right w:val="nil"/>
            </w:tcBorders>
          </w:tcPr>
          <w:p w14:paraId="7A567E2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-0.0146</w:t>
            </w:r>
          </w:p>
        </w:tc>
      </w:tr>
      <w:tr w:rsidR="006D5377" w:rsidRPr="00F3433B" w14:paraId="63F3FAF9" w14:textId="77777777" w:rsidTr="00015B88">
        <w:tc>
          <w:tcPr>
            <w:tcW w:w="2136" w:type="dxa"/>
            <w:tcBorders>
              <w:top w:val="nil"/>
              <w:left w:val="nil"/>
              <w:bottom w:val="nil"/>
              <w:right w:val="nil"/>
            </w:tcBorders>
          </w:tcPr>
          <w:p w14:paraId="035799D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B674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(1.09)</w:t>
            </w:r>
          </w:p>
        </w:tc>
        <w:tc>
          <w:tcPr>
            <w:tcW w:w="1656" w:type="dxa"/>
            <w:tcBorders>
              <w:top w:val="nil"/>
              <w:left w:val="nil"/>
              <w:bottom w:val="nil"/>
              <w:right w:val="nil"/>
            </w:tcBorders>
          </w:tcPr>
          <w:p w14:paraId="3CAAA05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(2.42)</w:t>
            </w:r>
          </w:p>
        </w:tc>
        <w:tc>
          <w:tcPr>
            <w:tcW w:w="1656" w:type="dxa"/>
            <w:tcBorders>
              <w:top w:val="nil"/>
              <w:left w:val="nil"/>
              <w:bottom w:val="nil"/>
              <w:right w:val="nil"/>
            </w:tcBorders>
          </w:tcPr>
          <w:p w14:paraId="78D58C8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w:t>
            </w:r>
          </w:p>
        </w:tc>
        <w:tc>
          <w:tcPr>
            <w:tcW w:w="1656" w:type="dxa"/>
            <w:tcBorders>
              <w:top w:val="nil"/>
              <w:left w:val="nil"/>
              <w:bottom w:val="nil"/>
              <w:right w:val="nil"/>
            </w:tcBorders>
          </w:tcPr>
          <w:p w14:paraId="337D2B5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(-0.23)</w:t>
            </w:r>
          </w:p>
        </w:tc>
      </w:tr>
      <w:tr w:rsidR="006D5377" w:rsidRPr="00F3433B" w14:paraId="735D4E1F" w14:textId="77777777" w:rsidTr="00015B88">
        <w:tc>
          <w:tcPr>
            <w:tcW w:w="2136" w:type="dxa"/>
            <w:tcBorders>
              <w:top w:val="nil"/>
              <w:left w:val="nil"/>
              <w:bottom w:val="nil"/>
              <w:right w:val="nil"/>
            </w:tcBorders>
          </w:tcPr>
          <w:p w14:paraId="21F00AE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DF481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C693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BDA0A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7E9B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202D2CC" w14:textId="77777777" w:rsidTr="00015B88">
        <w:tc>
          <w:tcPr>
            <w:tcW w:w="2136" w:type="dxa"/>
            <w:tcBorders>
              <w:top w:val="nil"/>
              <w:left w:val="nil"/>
              <w:bottom w:val="nil"/>
              <w:right w:val="nil"/>
            </w:tcBorders>
          </w:tcPr>
          <w:p w14:paraId="5D8AE0C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33DE840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-0.289</w:t>
            </w:r>
          </w:p>
        </w:tc>
        <w:tc>
          <w:tcPr>
            <w:tcW w:w="1656" w:type="dxa"/>
            <w:tcBorders>
              <w:top w:val="nil"/>
              <w:left w:val="nil"/>
              <w:bottom w:val="nil"/>
              <w:right w:val="nil"/>
            </w:tcBorders>
          </w:tcPr>
          <w:p w14:paraId="7A7B771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-0.580</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6D94FE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0.100</w:t>
            </w:r>
          </w:p>
        </w:tc>
        <w:tc>
          <w:tcPr>
            <w:tcW w:w="1656" w:type="dxa"/>
            <w:tcBorders>
              <w:top w:val="nil"/>
              <w:left w:val="nil"/>
              <w:bottom w:val="nil"/>
              <w:right w:val="nil"/>
            </w:tcBorders>
          </w:tcPr>
          <w:p w14:paraId="07F94CC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-0.121</w:t>
            </w:r>
          </w:p>
        </w:tc>
      </w:tr>
      <w:tr w:rsidR="006D5377" w:rsidRPr="00F3433B" w14:paraId="25FF6FF0" w14:textId="77777777" w:rsidTr="00015B88">
        <w:tc>
          <w:tcPr>
            <w:tcW w:w="2136" w:type="dxa"/>
            <w:tcBorders>
              <w:top w:val="nil"/>
              <w:left w:val="nil"/>
              <w:bottom w:val="nil"/>
              <w:right w:val="nil"/>
            </w:tcBorders>
          </w:tcPr>
          <w:p w14:paraId="415D9C8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B88C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(-1.69)</w:t>
            </w:r>
          </w:p>
        </w:tc>
        <w:tc>
          <w:tcPr>
            <w:tcW w:w="1656" w:type="dxa"/>
            <w:tcBorders>
              <w:top w:val="nil"/>
              <w:left w:val="nil"/>
              <w:bottom w:val="nil"/>
              <w:right w:val="nil"/>
            </w:tcBorders>
          </w:tcPr>
          <w:p w14:paraId="4FCBADB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(-2.92)</w:t>
            </w:r>
          </w:p>
        </w:tc>
        <w:tc>
          <w:tcPr>
            <w:tcW w:w="1656" w:type="dxa"/>
            <w:tcBorders>
              <w:top w:val="nil"/>
              <w:left w:val="nil"/>
              <w:bottom w:val="nil"/>
              <w:right w:val="nil"/>
            </w:tcBorders>
          </w:tcPr>
          <w:p w14:paraId="53D4E4E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(0.70)</w:t>
            </w:r>
          </w:p>
        </w:tc>
        <w:tc>
          <w:tcPr>
            <w:tcW w:w="1656" w:type="dxa"/>
            <w:tcBorders>
              <w:top w:val="nil"/>
              <w:left w:val="nil"/>
              <w:bottom w:val="nil"/>
              <w:right w:val="nil"/>
            </w:tcBorders>
          </w:tcPr>
          <w:p w14:paraId="295E69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(-1.56)</w:t>
            </w:r>
          </w:p>
        </w:tc>
      </w:tr>
      <w:tr w:rsidR="006D5377" w:rsidRPr="00F3433B" w14:paraId="559329C2" w14:textId="77777777" w:rsidTr="00015B88">
        <w:tc>
          <w:tcPr>
            <w:tcW w:w="2136" w:type="dxa"/>
            <w:tcBorders>
              <w:top w:val="nil"/>
              <w:left w:val="nil"/>
              <w:bottom w:val="nil"/>
              <w:right w:val="nil"/>
            </w:tcBorders>
          </w:tcPr>
          <w:p w14:paraId="53760EE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656A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D85C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560EA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7C2B3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525CF90" w14:textId="77777777" w:rsidTr="00015B88">
        <w:tc>
          <w:tcPr>
            <w:tcW w:w="2136" w:type="dxa"/>
            <w:tcBorders>
              <w:top w:val="nil"/>
              <w:left w:val="nil"/>
              <w:bottom w:val="nil"/>
              <w:right w:val="nil"/>
            </w:tcBorders>
          </w:tcPr>
          <w:p w14:paraId="09B5E19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219BA60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0.0121</w:t>
            </w:r>
          </w:p>
        </w:tc>
        <w:tc>
          <w:tcPr>
            <w:tcW w:w="1656" w:type="dxa"/>
            <w:tcBorders>
              <w:top w:val="nil"/>
              <w:left w:val="nil"/>
              <w:bottom w:val="nil"/>
              <w:right w:val="nil"/>
            </w:tcBorders>
          </w:tcPr>
          <w:p w14:paraId="6B3D74B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0.0448</w:t>
            </w:r>
          </w:p>
        </w:tc>
        <w:tc>
          <w:tcPr>
            <w:tcW w:w="1656" w:type="dxa"/>
            <w:tcBorders>
              <w:top w:val="nil"/>
              <w:left w:val="nil"/>
              <w:bottom w:val="nil"/>
              <w:right w:val="nil"/>
            </w:tcBorders>
          </w:tcPr>
          <w:p w14:paraId="2FB4962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-0.305</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3DF257F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-0.125</w:t>
            </w:r>
          </w:p>
        </w:tc>
      </w:tr>
      <w:tr w:rsidR="006D5377" w:rsidRPr="00F3433B" w14:paraId="5B67E1D4" w14:textId="77777777" w:rsidTr="00015B88">
        <w:tc>
          <w:tcPr>
            <w:tcW w:w="2136" w:type="dxa"/>
            <w:tcBorders>
              <w:top w:val="nil"/>
              <w:left w:val="nil"/>
              <w:bottom w:val="nil"/>
              <w:right w:val="nil"/>
            </w:tcBorders>
          </w:tcPr>
          <w:p w14:paraId="6698949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883C9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(0.09)</w:t>
            </w:r>
          </w:p>
        </w:tc>
        <w:tc>
          <w:tcPr>
            <w:tcW w:w="1656" w:type="dxa"/>
            <w:tcBorders>
              <w:top w:val="nil"/>
              <w:left w:val="nil"/>
              <w:bottom w:val="nil"/>
              <w:right w:val="nil"/>
            </w:tcBorders>
          </w:tcPr>
          <w:p w14:paraId="338861D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(0.26)</w:t>
            </w:r>
          </w:p>
        </w:tc>
        <w:tc>
          <w:tcPr>
            <w:tcW w:w="1656" w:type="dxa"/>
            <w:tcBorders>
              <w:top w:val="nil"/>
              <w:left w:val="nil"/>
              <w:bottom w:val="nil"/>
              <w:right w:val="nil"/>
            </w:tcBorders>
          </w:tcPr>
          <w:p w14:paraId="121F374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(-2.54)</w:t>
            </w:r>
          </w:p>
        </w:tc>
        <w:tc>
          <w:tcPr>
            <w:tcW w:w="1656" w:type="dxa"/>
            <w:tcBorders>
              <w:top w:val="nil"/>
              <w:left w:val="nil"/>
              <w:bottom w:val="nil"/>
              <w:right w:val="nil"/>
            </w:tcBorders>
          </w:tcPr>
          <w:p w14:paraId="52993A8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(-1.24)</w:t>
            </w:r>
          </w:p>
        </w:tc>
      </w:tr>
      <w:tr w:rsidR="006D5377" w:rsidRPr="00F3433B" w14:paraId="316D7F73" w14:textId="77777777" w:rsidTr="00015B88">
        <w:tc>
          <w:tcPr>
            <w:tcW w:w="2136" w:type="dxa"/>
            <w:tcBorders>
              <w:top w:val="nil"/>
              <w:left w:val="nil"/>
              <w:bottom w:val="nil"/>
              <w:right w:val="nil"/>
            </w:tcBorders>
          </w:tcPr>
          <w:p w14:paraId="3B4F5B1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66F38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9937E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2FCE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ADDFC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317504A" w14:textId="77777777" w:rsidTr="00015B88">
        <w:tc>
          <w:tcPr>
            <w:tcW w:w="2136" w:type="dxa"/>
            <w:tcBorders>
              <w:top w:val="nil"/>
              <w:left w:val="nil"/>
              <w:bottom w:val="nil"/>
              <w:right w:val="nil"/>
            </w:tcBorders>
          </w:tcPr>
          <w:p w14:paraId="50BF292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509BB1B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0.0761</w:t>
            </w:r>
          </w:p>
        </w:tc>
        <w:tc>
          <w:tcPr>
            <w:tcW w:w="1656" w:type="dxa"/>
            <w:tcBorders>
              <w:top w:val="nil"/>
              <w:left w:val="nil"/>
              <w:bottom w:val="nil"/>
              <w:right w:val="nil"/>
            </w:tcBorders>
          </w:tcPr>
          <w:p w14:paraId="7FFD717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0.274</w:t>
            </w:r>
          </w:p>
        </w:tc>
        <w:tc>
          <w:tcPr>
            <w:tcW w:w="1656" w:type="dxa"/>
            <w:tcBorders>
              <w:top w:val="nil"/>
              <w:left w:val="nil"/>
              <w:bottom w:val="nil"/>
              <w:right w:val="nil"/>
            </w:tcBorders>
          </w:tcPr>
          <w:p w14:paraId="38F63C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0.229</w:t>
            </w:r>
          </w:p>
        </w:tc>
        <w:tc>
          <w:tcPr>
            <w:tcW w:w="1656" w:type="dxa"/>
            <w:tcBorders>
              <w:top w:val="nil"/>
              <w:left w:val="nil"/>
              <w:bottom w:val="nil"/>
              <w:right w:val="nil"/>
            </w:tcBorders>
          </w:tcPr>
          <w:p w14:paraId="598BCBD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-0.0835</w:t>
            </w:r>
          </w:p>
        </w:tc>
      </w:tr>
      <w:tr w:rsidR="006D5377" w:rsidRPr="00F3433B" w14:paraId="167846C1" w14:textId="77777777" w:rsidTr="00015B88">
        <w:tc>
          <w:tcPr>
            <w:tcW w:w="2136" w:type="dxa"/>
            <w:tcBorders>
              <w:top w:val="nil"/>
              <w:left w:val="nil"/>
              <w:bottom w:val="nil"/>
              <w:right w:val="nil"/>
            </w:tcBorders>
          </w:tcPr>
          <w:p w14:paraId="107023A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140E9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(0.50)</w:t>
            </w:r>
          </w:p>
        </w:tc>
        <w:tc>
          <w:tcPr>
            <w:tcW w:w="1656" w:type="dxa"/>
            <w:tcBorders>
              <w:top w:val="nil"/>
              <w:left w:val="nil"/>
              <w:bottom w:val="nil"/>
              <w:right w:val="nil"/>
            </w:tcBorders>
          </w:tcPr>
          <w:p w14:paraId="5181742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(1.52)</w:t>
            </w:r>
          </w:p>
        </w:tc>
        <w:tc>
          <w:tcPr>
            <w:tcW w:w="1656" w:type="dxa"/>
            <w:tcBorders>
              <w:top w:val="nil"/>
              <w:left w:val="nil"/>
              <w:bottom w:val="nil"/>
              <w:right w:val="nil"/>
            </w:tcBorders>
          </w:tcPr>
          <w:p w14:paraId="6E52C5B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(1.22)</w:t>
            </w:r>
          </w:p>
        </w:tc>
        <w:tc>
          <w:tcPr>
            <w:tcW w:w="1656" w:type="dxa"/>
            <w:tcBorders>
              <w:top w:val="nil"/>
              <w:left w:val="nil"/>
              <w:bottom w:val="nil"/>
              <w:right w:val="nil"/>
            </w:tcBorders>
          </w:tcPr>
          <w:p w14:paraId="78775EA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(-1.28)</w:t>
            </w:r>
          </w:p>
        </w:tc>
      </w:tr>
      <w:tr w:rsidR="006D5377" w:rsidRPr="00F3433B" w14:paraId="351CA1FF" w14:textId="77777777" w:rsidTr="00015B88">
        <w:tc>
          <w:tcPr>
            <w:tcW w:w="2136" w:type="dxa"/>
            <w:tcBorders>
              <w:top w:val="nil"/>
              <w:left w:val="nil"/>
              <w:bottom w:val="nil"/>
              <w:right w:val="nil"/>
            </w:tcBorders>
          </w:tcPr>
          <w:p w14:paraId="1F3F123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B638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558A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F6E41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A50D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B67C0EB" w14:textId="77777777" w:rsidTr="00015B88">
        <w:tc>
          <w:tcPr>
            <w:tcW w:w="2136" w:type="dxa"/>
            <w:tcBorders>
              <w:top w:val="nil"/>
              <w:left w:val="nil"/>
              <w:bottom w:val="nil"/>
              <w:right w:val="nil"/>
            </w:tcBorders>
          </w:tcPr>
          <w:p w14:paraId="267F959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0799C50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0.0899</w:t>
            </w:r>
          </w:p>
        </w:tc>
        <w:tc>
          <w:tcPr>
            <w:tcW w:w="1656" w:type="dxa"/>
            <w:tcBorders>
              <w:top w:val="nil"/>
              <w:left w:val="nil"/>
              <w:bottom w:val="nil"/>
              <w:right w:val="nil"/>
            </w:tcBorders>
          </w:tcPr>
          <w:p w14:paraId="31285FD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0.0540</w:t>
            </w:r>
          </w:p>
        </w:tc>
        <w:tc>
          <w:tcPr>
            <w:tcW w:w="1656" w:type="dxa"/>
            <w:tcBorders>
              <w:top w:val="nil"/>
              <w:left w:val="nil"/>
              <w:bottom w:val="nil"/>
              <w:right w:val="nil"/>
            </w:tcBorders>
          </w:tcPr>
          <w:p w14:paraId="74F224E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0.116</w:t>
            </w:r>
          </w:p>
        </w:tc>
        <w:tc>
          <w:tcPr>
            <w:tcW w:w="1656" w:type="dxa"/>
            <w:tcBorders>
              <w:top w:val="nil"/>
              <w:left w:val="nil"/>
              <w:bottom w:val="nil"/>
              <w:right w:val="nil"/>
            </w:tcBorders>
          </w:tcPr>
          <w:p w14:paraId="087DC12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-0.0566</w:t>
            </w:r>
          </w:p>
        </w:tc>
      </w:tr>
      <w:tr w:rsidR="006D5377" w:rsidRPr="00F3433B" w14:paraId="31F4C267" w14:textId="77777777" w:rsidTr="00015B88">
        <w:tc>
          <w:tcPr>
            <w:tcW w:w="2136" w:type="dxa"/>
            <w:tcBorders>
              <w:top w:val="nil"/>
              <w:left w:val="nil"/>
              <w:bottom w:val="nil"/>
              <w:right w:val="nil"/>
            </w:tcBorders>
          </w:tcPr>
          <w:p w14:paraId="3660E9B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2CC0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(0.69)</w:t>
            </w:r>
          </w:p>
        </w:tc>
        <w:tc>
          <w:tcPr>
            <w:tcW w:w="1656" w:type="dxa"/>
            <w:tcBorders>
              <w:top w:val="nil"/>
              <w:left w:val="nil"/>
              <w:bottom w:val="nil"/>
              <w:right w:val="nil"/>
            </w:tcBorders>
          </w:tcPr>
          <w:p w14:paraId="0388F08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(0.36)</w:t>
            </w:r>
          </w:p>
        </w:tc>
        <w:tc>
          <w:tcPr>
            <w:tcW w:w="1656" w:type="dxa"/>
            <w:tcBorders>
              <w:top w:val="nil"/>
              <w:left w:val="nil"/>
              <w:bottom w:val="nil"/>
              <w:right w:val="nil"/>
            </w:tcBorders>
          </w:tcPr>
          <w:p w14:paraId="377FF3F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(0.66)</w:t>
            </w:r>
          </w:p>
        </w:tc>
        <w:tc>
          <w:tcPr>
            <w:tcW w:w="1656" w:type="dxa"/>
            <w:tcBorders>
              <w:top w:val="nil"/>
              <w:left w:val="nil"/>
              <w:bottom w:val="nil"/>
              <w:right w:val="nil"/>
            </w:tcBorders>
          </w:tcPr>
          <w:p w14:paraId="42BEEF7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(-1.01)</w:t>
            </w:r>
          </w:p>
        </w:tc>
      </w:tr>
      <w:tr w:rsidR="006D5377" w:rsidRPr="00F3433B" w14:paraId="187D50E8" w14:textId="77777777" w:rsidTr="00015B88">
        <w:tc>
          <w:tcPr>
            <w:tcW w:w="2136" w:type="dxa"/>
            <w:tcBorders>
              <w:top w:val="nil"/>
              <w:left w:val="nil"/>
              <w:bottom w:val="nil"/>
              <w:right w:val="nil"/>
            </w:tcBorders>
          </w:tcPr>
          <w:p w14:paraId="15D2C90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6E2B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E36F4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0BB8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60CF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470341E" w14:textId="77777777" w:rsidTr="00015B88">
        <w:tc>
          <w:tcPr>
            <w:tcW w:w="2136" w:type="dxa"/>
            <w:tcBorders>
              <w:top w:val="nil"/>
              <w:left w:val="nil"/>
              <w:bottom w:val="nil"/>
              <w:right w:val="nil"/>
            </w:tcBorders>
          </w:tcPr>
          <w:p w14:paraId="1A9585A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53572C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-0.260</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1E80C94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-0.169</w:t>
            </w:r>
          </w:p>
        </w:tc>
        <w:tc>
          <w:tcPr>
            <w:tcW w:w="1656" w:type="dxa"/>
            <w:tcBorders>
              <w:top w:val="nil"/>
              <w:left w:val="nil"/>
              <w:bottom w:val="nil"/>
              <w:right w:val="nil"/>
            </w:tcBorders>
          </w:tcPr>
          <w:p w14:paraId="4DB5ACC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-0.245</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4DB2839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0.0688</w:t>
            </w:r>
          </w:p>
        </w:tc>
      </w:tr>
      <w:tr w:rsidR="006D5377" w:rsidRPr="00F3433B" w14:paraId="2A467366" w14:textId="77777777" w:rsidTr="00015B88">
        <w:tc>
          <w:tcPr>
            <w:tcW w:w="2136" w:type="dxa"/>
            <w:tcBorders>
              <w:top w:val="nil"/>
              <w:left w:val="nil"/>
              <w:bottom w:val="nil"/>
              <w:right w:val="nil"/>
            </w:tcBorders>
          </w:tcPr>
          <w:p w14:paraId="6F8C361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031B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(-2.14)</w:t>
            </w:r>
          </w:p>
        </w:tc>
        <w:tc>
          <w:tcPr>
            <w:tcW w:w="1656" w:type="dxa"/>
            <w:tcBorders>
              <w:top w:val="nil"/>
              <w:left w:val="nil"/>
              <w:bottom w:val="nil"/>
              <w:right w:val="nil"/>
            </w:tcBorders>
          </w:tcPr>
          <w:p w14:paraId="1F4FF61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(-0.92)</w:t>
            </w:r>
          </w:p>
        </w:tc>
        <w:tc>
          <w:tcPr>
            <w:tcW w:w="1656" w:type="dxa"/>
            <w:tcBorders>
              <w:top w:val="nil"/>
              <w:left w:val="nil"/>
              <w:bottom w:val="nil"/>
              <w:right w:val="nil"/>
            </w:tcBorders>
          </w:tcPr>
          <w:p w14:paraId="59A0113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(-2.69)</w:t>
            </w:r>
          </w:p>
        </w:tc>
        <w:tc>
          <w:tcPr>
            <w:tcW w:w="1656" w:type="dxa"/>
            <w:tcBorders>
              <w:top w:val="nil"/>
              <w:left w:val="nil"/>
              <w:bottom w:val="nil"/>
              <w:right w:val="nil"/>
            </w:tcBorders>
          </w:tcPr>
          <w:p w14:paraId="6CC059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r>
      <w:tr w:rsidR="006D5377" w:rsidRPr="00F3433B" w14:paraId="0F0FE218" w14:textId="77777777" w:rsidTr="00015B88">
        <w:tc>
          <w:tcPr>
            <w:tcW w:w="2136" w:type="dxa"/>
            <w:tcBorders>
              <w:top w:val="nil"/>
              <w:left w:val="nil"/>
              <w:bottom w:val="nil"/>
              <w:right w:val="nil"/>
            </w:tcBorders>
          </w:tcPr>
          <w:p w14:paraId="6BC5E0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4657E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6F86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939BA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C7E7A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ED95629" w14:textId="77777777" w:rsidTr="00015B88">
        <w:tc>
          <w:tcPr>
            <w:tcW w:w="2136" w:type="dxa"/>
            <w:tcBorders>
              <w:top w:val="nil"/>
              <w:left w:val="nil"/>
              <w:bottom w:val="nil"/>
              <w:right w:val="nil"/>
            </w:tcBorders>
          </w:tcPr>
          <w:p w14:paraId="6F616B1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0755356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0.210</w:t>
            </w:r>
          </w:p>
        </w:tc>
        <w:tc>
          <w:tcPr>
            <w:tcW w:w="1656" w:type="dxa"/>
            <w:tcBorders>
              <w:top w:val="nil"/>
              <w:left w:val="nil"/>
              <w:bottom w:val="nil"/>
              <w:right w:val="nil"/>
            </w:tcBorders>
          </w:tcPr>
          <w:p w14:paraId="6AEF971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0.144</w:t>
            </w:r>
          </w:p>
        </w:tc>
        <w:tc>
          <w:tcPr>
            <w:tcW w:w="1656" w:type="dxa"/>
            <w:tcBorders>
              <w:top w:val="nil"/>
              <w:left w:val="nil"/>
              <w:bottom w:val="nil"/>
              <w:right w:val="nil"/>
            </w:tcBorders>
          </w:tcPr>
          <w:p w14:paraId="048487A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0.220</w:t>
            </w:r>
          </w:p>
        </w:tc>
        <w:tc>
          <w:tcPr>
            <w:tcW w:w="1656" w:type="dxa"/>
            <w:tcBorders>
              <w:top w:val="nil"/>
              <w:left w:val="nil"/>
              <w:bottom w:val="nil"/>
              <w:right w:val="nil"/>
            </w:tcBorders>
          </w:tcPr>
          <w:p w14:paraId="6B53F48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-0.0765</w:t>
            </w:r>
          </w:p>
        </w:tc>
      </w:tr>
      <w:tr w:rsidR="006D5377" w:rsidRPr="00F3433B" w14:paraId="168EC056" w14:textId="77777777" w:rsidTr="00015B88">
        <w:tc>
          <w:tcPr>
            <w:tcW w:w="2136" w:type="dxa"/>
            <w:tcBorders>
              <w:top w:val="nil"/>
              <w:left w:val="nil"/>
              <w:bottom w:val="nil"/>
              <w:right w:val="nil"/>
            </w:tcBorders>
          </w:tcPr>
          <w:p w14:paraId="42CB187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6889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(1.60)</w:t>
            </w:r>
          </w:p>
        </w:tc>
        <w:tc>
          <w:tcPr>
            <w:tcW w:w="1656" w:type="dxa"/>
            <w:tcBorders>
              <w:top w:val="nil"/>
              <w:left w:val="nil"/>
              <w:bottom w:val="nil"/>
              <w:right w:val="nil"/>
            </w:tcBorders>
          </w:tcPr>
          <w:p w14:paraId="5261D56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(0.76)</w:t>
            </w:r>
          </w:p>
        </w:tc>
        <w:tc>
          <w:tcPr>
            <w:tcW w:w="1656" w:type="dxa"/>
            <w:tcBorders>
              <w:top w:val="nil"/>
              <w:left w:val="nil"/>
              <w:bottom w:val="nil"/>
              <w:right w:val="nil"/>
            </w:tcBorders>
          </w:tcPr>
          <w:p w14:paraId="0E44A92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(1.53)</w:t>
            </w:r>
          </w:p>
        </w:tc>
        <w:tc>
          <w:tcPr>
            <w:tcW w:w="1656" w:type="dxa"/>
            <w:tcBorders>
              <w:top w:val="nil"/>
              <w:left w:val="nil"/>
              <w:bottom w:val="nil"/>
              <w:right w:val="nil"/>
            </w:tcBorders>
          </w:tcPr>
          <w:p w14:paraId="7B1959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(-1.02)</w:t>
            </w:r>
          </w:p>
        </w:tc>
      </w:tr>
      <w:tr w:rsidR="006D5377" w:rsidRPr="00F3433B" w14:paraId="2FC7372F" w14:textId="77777777" w:rsidTr="00015B88">
        <w:tc>
          <w:tcPr>
            <w:tcW w:w="2136" w:type="dxa"/>
            <w:tcBorders>
              <w:top w:val="nil"/>
              <w:left w:val="nil"/>
              <w:bottom w:val="nil"/>
              <w:right w:val="nil"/>
            </w:tcBorders>
          </w:tcPr>
          <w:p w14:paraId="7D756BF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CFDC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60F47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8E668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FFE37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AE952FF" w14:textId="77777777" w:rsidTr="00015B88">
        <w:tc>
          <w:tcPr>
            <w:tcW w:w="2136" w:type="dxa"/>
            <w:tcBorders>
              <w:top w:val="nil"/>
              <w:left w:val="nil"/>
              <w:bottom w:val="nil"/>
              <w:right w:val="nil"/>
            </w:tcBorders>
          </w:tcPr>
          <w:p w14:paraId="089CDAD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04836E7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-0.0247</w:t>
            </w:r>
          </w:p>
        </w:tc>
        <w:tc>
          <w:tcPr>
            <w:tcW w:w="1656" w:type="dxa"/>
            <w:tcBorders>
              <w:top w:val="nil"/>
              <w:left w:val="nil"/>
              <w:bottom w:val="nil"/>
              <w:right w:val="nil"/>
            </w:tcBorders>
          </w:tcPr>
          <w:p w14:paraId="4131FD0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0.0420</w:t>
            </w:r>
          </w:p>
        </w:tc>
        <w:tc>
          <w:tcPr>
            <w:tcW w:w="1656" w:type="dxa"/>
            <w:tcBorders>
              <w:top w:val="nil"/>
              <w:left w:val="nil"/>
              <w:bottom w:val="nil"/>
              <w:right w:val="nil"/>
            </w:tcBorders>
          </w:tcPr>
          <w:p w14:paraId="35C51D6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-0.241</w:t>
            </w:r>
          </w:p>
        </w:tc>
        <w:tc>
          <w:tcPr>
            <w:tcW w:w="1656" w:type="dxa"/>
            <w:tcBorders>
              <w:top w:val="nil"/>
              <w:left w:val="nil"/>
              <w:bottom w:val="nil"/>
              <w:right w:val="nil"/>
            </w:tcBorders>
          </w:tcPr>
          <w:p w14:paraId="66050DA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0.0209</w:t>
            </w:r>
          </w:p>
        </w:tc>
      </w:tr>
      <w:tr w:rsidR="006D5377" w:rsidRPr="00F3433B" w14:paraId="5D440BD6" w14:textId="77777777" w:rsidTr="00015B88">
        <w:tc>
          <w:tcPr>
            <w:tcW w:w="2136" w:type="dxa"/>
            <w:tcBorders>
              <w:top w:val="nil"/>
              <w:left w:val="nil"/>
              <w:bottom w:val="nil"/>
              <w:right w:val="nil"/>
            </w:tcBorders>
          </w:tcPr>
          <w:p w14:paraId="1421FB9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BDD2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w:t>
            </w:r>
          </w:p>
        </w:tc>
        <w:tc>
          <w:tcPr>
            <w:tcW w:w="1656" w:type="dxa"/>
            <w:tcBorders>
              <w:top w:val="nil"/>
              <w:left w:val="nil"/>
              <w:bottom w:val="nil"/>
              <w:right w:val="nil"/>
            </w:tcBorders>
          </w:tcPr>
          <w:p w14:paraId="6B50DC3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(0.29)</w:t>
            </w:r>
          </w:p>
        </w:tc>
        <w:tc>
          <w:tcPr>
            <w:tcW w:w="1656" w:type="dxa"/>
            <w:tcBorders>
              <w:top w:val="nil"/>
              <w:left w:val="nil"/>
              <w:bottom w:val="nil"/>
              <w:right w:val="nil"/>
            </w:tcBorders>
          </w:tcPr>
          <w:p w14:paraId="181CB38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(-1.66)</w:t>
            </w:r>
          </w:p>
        </w:tc>
        <w:tc>
          <w:tcPr>
            <w:tcW w:w="1656" w:type="dxa"/>
            <w:tcBorders>
              <w:top w:val="nil"/>
              <w:left w:val="nil"/>
              <w:bottom w:val="nil"/>
              <w:right w:val="nil"/>
            </w:tcBorders>
          </w:tcPr>
          <w:p w14:paraId="201EEBA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w:t>
            </w:r>
          </w:p>
        </w:tc>
      </w:tr>
      <w:tr w:rsidR="006D5377" w:rsidRPr="00F3433B" w14:paraId="1B92C126" w14:textId="77777777" w:rsidTr="00015B88">
        <w:tc>
          <w:tcPr>
            <w:tcW w:w="2136" w:type="dxa"/>
            <w:tcBorders>
              <w:top w:val="nil"/>
              <w:left w:val="nil"/>
              <w:bottom w:val="nil"/>
              <w:right w:val="nil"/>
            </w:tcBorders>
          </w:tcPr>
          <w:p w14:paraId="1686EF3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45FC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2B621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EA51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EFEE3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4CFDAB8E" w14:textId="77777777" w:rsidTr="00015B88">
        <w:tc>
          <w:tcPr>
            <w:tcW w:w="2136" w:type="dxa"/>
            <w:tcBorders>
              <w:top w:val="nil"/>
              <w:left w:val="nil"/>
              <w:bottom w:val="nil"/>
              <w:right w:val="nil"/>
            </w:tcBorders>
          </w:tcPr>
          <w:p w14:paraId="68088A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2AB147D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0.0140</w:t>
            </w:r>
          </w:p>
        </w:tc>
        <w:tc>
          <w:tcPr>
            <w:tcW w:w="1656" w:type="dxa"/>
            <w:tcBorders>
              <w:top w:val="nil"/>
              <w:left w:val="nil"/>
              <w:bottom w:val="nil"/>
              <w:right w:val="nil"/>
            </w:tcBorders>
          </w:tcPr>
          <w:p w14:paraId="6E1EAB9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-0.125</w:t>
            </w:r>
          </w:p>
        </w:tc>
        <w:tc>
          <w:tcPr>
            <w:tcW w:w="1656" w:type="dxa"/>
            <w:tcBorders>
              <w:top w:val="nil"/>
              <w:left w:val="nil"/>
              <w:bottom w:val="nil"/>
              <w:right w:val="nil"/>
            </w:tcBorders>
          </w:tcPr>
          <w:p w14:paraId="29A9DCE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0.0893</w:t>
            </w:r>
          </w:p>
        </w:tc>
        <w:tc>
          <w:tcPr>
            <w:tcW w:w="1656" w:type="dxa"/>
            <w:tcBorders>
              <w:top w:val="nil"/>
              <w:left w:val="nil"/>
              <w:bottom w:val="nil"/>
              <w:right w:val="nil"/>
            </w:tcBorders>
          </w:tcPr>
          <w:p w14:paraId="748C7F5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-0.0177</w:t>
            </w:r>
          </w:p>
        </w:tc>
      </w:tr>
      <w:tr w:rsidR="006D5377" w:rsidRPr="00F3433B" w14:paraId="269253D6" w14:textId="77777777" w:rsidTr="00015B88">
        <w:tc>
          <w:tcPr>
            <w:tcW w:w="2136" w:type="dxa"/>
            <w:tcBorders>
              <w:top w:val="nil"/>
              <w:left w:val="nil"/>
              <w:bottom w:val="nil"/>
              <w:right w:val="nil"/>
            </w:tcBorders>
          </w:tcPr>
          <w:p w14:paraId="3AAB521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9C8B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(0.15)</w:t>
            </w:r>
          </w:p>
        </w:tc>
        <w:tc>
          <w:tcPr>
            <w:tcW w:w="1656" w:type="dxa"/>
            <w:tcBorders>
              <w:top w:val="nil"/>
              <w:left w:val="nil"/>
              <w:bottom w:val="nil"/>
              <w:right w:val="nil"/>
            </w:tcBorders>
          </w:tcPr>
          <w:p w14:paraId="301739A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c>
          <w:tcPr>
            <w:tcW w:w="1656" w:type="dxa"/>
            <w:tcBorders>
              <w:top w:val="nil"/>
              <w:left w:val="nil"/>
              <w:bottom w:val="nil"/>
              <w:right w:val="nil"/>
            </w:tcBorders>
          </w:tcPr>
          <w:p w14:paraId="060B95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(0.61)</w:t>
            </w:r>
          </w:p>
        </w:tc>
        <w:tc>
          <w:tcPr>
            <w:tcW w:w="1656" w:type="dxa"/>
            <w:tcBorders>
              <w:top w:val="nil"/>
              <w:left w:val="nil"/>
              <w:bottom w:val="nil"/>
              <w:right w:val="nil"/>
            </w:tcBorders>
          </w:tcPr>
          <w:p w14:paraId="05764D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(-0.23)</w:t>
            </w:r>
          </w:p>
        </w:tc>
      </w:tr>
      <w:tr w:rsidR="006D5377" w:rsidRPr="00F3433B" w14:paraId="5208610E" w14:textId="77777777" w:rsidTr="00015B88">
        <w:tc>
          <w:tcPr>
            <w:tcW w:w="2136" w:type="dxa"/>
            <w:tcBorders>
              <w:top w:val="nil"/>
              <w:left w:val="nil"/>
              <w:bottom w:val="nil"/>
              <w:right w:val="nil"/>
            </w:tcBorders>
          </w:tcPr>
          <w:p w14:paraId="56A7075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1833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3194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0D021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63BF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5B3DC73" w14:textId="77777777" w:rsidTr="00015B88">
        <w:tc>
          <w:tcPr>
            <w:tcW w:w="2136" w:type="dxa"/>
            <w:tcBorders>
              <w:top w:val="nil"/>
              <w:left w:val="nil"/>
              <w:bottom w:val="nil"/>
              <w:right w:val="nil"/>
            </w:tcBorders>
          </w:tcPr>
          <w:p w14:paraId="2680318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 xml:space="preserve">L10.Exchange Rate </w:t>
            </w:r>
            <w:r w:rsidRPr="00F3433B">
              <w:rPr>
                <w:rFonts w:ascii="Times New Roman" w:hAnsi="Times New Roman" w:cs="Times New Roman"/>
                <w:sz w:val="16"/>
                <w:szCs w:val="16"/>
              </w:rPr>
              <w:lastRenderedPageBreak/>
              <w:t>Classification (RR inverted, higher = more fixed)</w:t>
            </w:r>
          </w:p>
        </w:tc>
        <w:tc>
          <w:tcPr>
            <w:tcW w:w="1656" w:type="dxa"/>
            <w:tcBorders>
              <w:top w:val="nil"/>
              <w:left w:val="nil"/>
              <w:bottom w:val="nil"/>
              <w:right w:val="nil"/>
            </w:tcBorders>
          </w:tcPr>
          <w:p w14:paraId="1EF7C60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lastRenderedPageBreak/>
              <w:t>-0.0110</w:t>
            </w:r>
          </w:p>
        </w:tc>
        <w:tc>
          <w:tcPr>
            <w:tcW w:w="1656" w:type="dxa"/>
            <w:tcBorders>
              <w:top w:val="nil"/>
              <w:left w:val="nil"/>
              <w:bottom w:val="nil"/>
              <w:right w:val="nil"/>
            </w:tcBorders>
          </w:tcPr>
          <w:p w14:paraId="2275D6A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-0.00231</w:t>
            </w:r>
          </w:p>
        </w:tc>
        <w:tc>
          <w:tcPr>
            <w:tcW w:w="1656" w:type="dxa"/>
            <w:tcBorders>
              <w:top w:val="nil"/>
              <w:left w:val="nil"/>
              <w:bottom w:val="nil"/>
              <w:right w:val="nil"/>
            </w:tcBorders>
          </w:tcPr>
          <w:p w14:paraId="1DB8E77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0.0824</w:t>
            </w:r>
          </w:p>
        </w:tc>
        <w:tc>
          <w:tcPr>
            <w:tcW w:w="1656" w:type="dxa"/>
            <w:tcBorders>
              <w:top w:val="nil"/>
              <w:left w:val="nil"/>
              <w:bottom w:val="nil"/>
              <w:right w:val="nil"/>
            </w:tcBorders>
          </w:tcPr>
          <w:p w14:paraId="599574E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0.0101</w:t>
            </w:r>
          </w:p>
        </w:tc>
      </w:tr>
      <w:tr w:rsidR="006D5377" w:rsidRPr="00F3433B" w14:paraId="72D4C378" w14:textId="77777777" w:rsidTr="00015B88">
        <w:tc>
          <w:tcPr>
            <w:tcW w:w="2136" w:type="dxa"/>
            <w:tcBorders>
              <w:top w:val="nil"/>
              <w:left w:val="nil"/>
              <w:bottom w:val="nil"/>
              <w:right w:val="nil"/>
            </w:tcBorders>
          </w:tcPr>
          <w:p w14:paraId="701D09A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76E3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w:t>
            </w:r>
          </w:p>
        </w:tc>
        <w:tc>
          <w:tcPr>
            <w:tcW w:w="1656" w:type="dxa"/>
            <w:tcBorders>
              <w:top w:val="nil"/>
              <w:left w:val="nil"/>
              <w:bottom w:val="nil"/>
              <w:right w:val="nil"/>
            </w:tcBorders>
          </w:tcPr>
          <w:p w14:paraId="291CBA4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w:t>
            </w:r>
          </w:p>
        </w:tc>
        <w:tc>
          <w:tcPr>
            <w:tcW w:w="1656" w:type="dxa"/>
            <w:tcBorders>
              <w:top w:val="nil"/>
              <w:left w:val="nil"/>
              <w:bottom w:val="nil"/>
              <w:right w:val="nil"/>
            </w:tcBorders>
          </w:tcPr>
          <w:p w14:paraId="4E24194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c>
          <w:tcPr>
            <w:tcW w:w="1656" w:type="dxa"/>
            <w:tcBorders>
              <w:top w:val="nil"/>
              <w:left w:val="nil"/>
              <w:bottom w:val="nil"/>
              <w:right w:val="nil"/>
            </w:tcBorders>
          </w:tcPr>
          <w:p w14:paraId="59E9A11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(0.13)</w:t>
            </w:r>
          </w:p>
        </w:tc>
      </w:tr>
      <w:tr w:rsidR="006D5377" w:rsidRPr="00F3433B" w14:paraId="19A549FB" w14:textId="77777777" w:rsidTr="00015B88">
        <w:tc>
          <w:tcPr>
            <w:tcW w:w="2136" w:type="dxa"/>
            <w:tcBorders>
              <w:top w:val="nil"/>
              <w:left w:val="nil"/>
              <w:bottom w:val="nil"/>
              <w:right w:val="nil"/>
            </w:tcBorders>
          </w:tcPr>
          <w:p w14:paraId="675BB89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C49B1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7FC52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BC7C8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1584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0A3AB01" w14:textId="77777777" w:rsidTr="00015B88">
        <w:tc>
          <w:tcPr>
            <w:tcW w:w="2136" w:type="dxa"/>
            <w:tcBorders>
              <w:top w:val="nil"/>
              <w:left w:val="nil"/>
              <w:bottom w:val="nil"/>
              <w:right w:val="nil"/>
            </w:tcBorders>
          </w:tcPr>
          <w:p w14:paraId="7513EB0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F3433B">
              <w:rPr>
                <w:rFonts w:ascii="Times New Roman" w:hAnsi="Times New Roman" w:cs="Times New Roman"/>
                <w:sz w:val="16"/>
                <w:szCs w:val="16"/>
              </w:rPr>
              <w:t>L.De</w:t>
            </w:r>
            <w:proofErr w:type="spellEnd"/>
            <w:r w:rsidRPr="00F3433B">
              <w:rPr>
                <w:rFonts w:ascii="Times New Roman" w:hAnsi="Times New Roman" w:cs="Times New Roman"/>
                <w:sz w:val="16"/>
                <w:szCs w:val="16"/>
              </w:rPr>
              <w:t xml:space="preserve"> Jure CBI * More Fixed Rate</w:t>
            </w:r>
          </w:p>
        </w:tc>
        <w:tc>
          <w:tcPr>
            <w:tcW w:w="1656" w:type="dxa"/>
            <w:tcBorders>
              <w:top w:val="nil"/>
              <w:left w:val="nil"/>
              <w:bottom w:val="nil"/>
              <w:right w:val="nil"/>
            </w:tcBorders>
          </w:tcPr>
          <w:p w14:paraId="182BC13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-0.238</w:t>
            </w:r>
          </w:p>
        </w:tc>
        <w:tc>
          <w:tcPr>
            <w:tcW w:w="1656" w:type="dxa"/>
            <w:tcBorders>
              <w:top w:val="nil"/>
              <w:left w:val="nil"/>
              <w:bottom w:val="nil"/>
              <w:right w:val="nil"/>
            </w:tcBorders>
          </w:tcPr>
          <w:p w14:paraId="619FF67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-0.875</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50BF998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-0.0232</w:t>
            </w:r>
          </w:p>
        </w:tc>
        <w:tc>
          <w:tcPr>
            <w:tcW w:w="1656" w:type="dxa"/>
            <w:tcBorders>
              <w:top w:val="nil"/>
              <w:left w:val="nil"/>
              <w:bottom w:val="nil"/>
              <w:right w:val="nil"/>
            </w:tcBorders>
          </w:tcPr>
          <w:p w14:paraId="6172EAB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0.0932</w:t>
            </w:r>
          </w:p>
        </w:tc>
      </w:tr>
      <w:tr w:rsidR="006D5377" w:rsidRPr="00F3433B" w14:paraId="197AE415" w14:textId="77777777" w:rsidTr="00015B88">
        <w:tc>
          <w:tcPr>
            <w:tcW w:w="2136" w:type="dxa"/>
            <w:tcBorders>
              <w:top w:val="nil"/>
              <w:left w:val="nil"/>
              <w:bottom w:val="nil"/>
              <w:right w:val="nil"/>
            </w:tcBorders>
          </w:tcPr>
          <w:p w14:paraId="71E3F92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D9A14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c>
          <w:tcPr>
            <w:tcW w:w="1656" w:type="dxa"/>
            <w:tcBorders>
              <w:top w:val="nil"/>
              <w:left w:val="nil"/>
              <w:bottom w:val="nil"/>
              <w:right w:val="nil"/>
            </w:tcBorders>
          </w:tcPr>
          <w:p w14:paraId="250C50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(-2.26)</w:t>
            </w:r>
          </w:p>
        </w:tc>
        <w:tc>
          <w:tcPr>
            <w:tcW w:w="1656" w:type="dxa"/>
            <w:tcBorders>
              <w:top w:val="nil"/>
              <w:left w:val="nil"/>
              <w:bottom w:val="nil"/>
              <w:right w:val="nil"/>
            </w:tcBorders>
          </w:tcPr>
          <w:p w14:paraId="6475105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w:t>
            </w:r>
          </w:p>
        </w:tc>
        <w:tc>
          <w:tcPr>
            <w:tcW w:w="1656" w:type="dxa"/>
            <w:tcBorders>
              <w:top w:val="nil"/>
              <w:left w:val="nil"/>
              <w:bottom w:val="nil"/>
              <w:right w:val="nil"/>
            </w:tcBorders>
          </w:tcPr>
          <w:p w14:paraId="7A01287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(0.76)</w:t>
            </w:r>
          </w:p>
        </w:tc>
      </w:tr>
      <w:tr w:rsidR="006D5377" w:rsidRPr="00F3433B" w14:paraId="0C042DB9" w14:textId="77777777" w:rsidTr="00015B88">
        <w:tc>
          <w:tcPr>
            <w:tcW w:w="2136" w:type="dxa"/>
            <w:tcBorders>
              <w:top w:val="nil"/>
              <w:left w:val="nil"/>
              <w:bottom w:val="nil"/>
              <w:right w:val="nil"/>
            </w:tcBorders>
          </w:tcPr>
          <w:p w14:paraId="1A8CB4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F9298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BBC32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A096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879FA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C3EAD48" w14:textId="77777777" w:rsidTr="00015B88">
        <w:tc>
          <w:tcPr>
            <w:tcW w:w="2136" w:type="dxa"/>
            <w:tcBorders>
              <w:top w:val="nil"/>
              <w:left w:val="nil"/>
              <w:bottom w:val="nil"/>
              <w:right w:val="nil"/>
            </w:tcBorders>
          </w:tcPr>
          <w:p w14:paraId="175ACF3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L2.De Jure CBI * More Fixed Rate</w:t>
            </w:r>
          </w:p>
        </w:tc>
        <w:tc>
          <w:tcPr>
            <w:tcW w:w="1656" w:type="dxa"/>
            <w:tcBorders>
              <w:top w:val="nil"/>
              <w:left w:val="nil"/>
              <w:bottom w:val="nil"/>
              <w:right w:val="nil"/>
            </w:tcBorders>
          </w:tcPr>
          <w:p w14:paraId="11CBABD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0.499</w:t>
            </w:r>
          </w:p>
        </w:tc>
        <w:tc>
          <w:tcPr>
            <w:tcW w:w="1656" w:type="dxa"/>
            <w:tcBorders>
              <w:top w:val="nil"/>
              <w:left w:val="nil"/>
              <w:bottom w:val="nil"/>
              <w:right w:val="nil"/>
            </w:tcBorders>
          </w:tcPr>
          <w:p w14:paraId="4D8B7E6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0.932</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B7C99C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-0.175</w:t>
            </w:r>
          </w:p>
        </w:tc>
        <w:tc>
          <w:tcPr>
            <w:tcW w:w="1656" w:type="dxa"/>
            <w:tcBorders>
              <w:top w:val="nil"/>
              <w:left w:val="nil"/>
              <w:bottom w:val="nil"/>
              <w:right w:val="nil"/>
            </w:tcBorders>
          </w:tcPr>
          <w:p w14:paraId="7623F3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0.306</w:t>
            </w:r>
          </w:p>
        </w:tc>
      </w:tr>
      <w:tr w:rsidR="006D5377" w:rsidRPr="00F3433B" w14:paraId="74ABED8E" w14:textId="77777777" w:rsidTr="00015B88">
        <w:tc>
          <w:tcPr>
            <w:tcW w:w="2136" w:type="dxa"/>
            <w:tcBorders>
              <w:top w:val="nil"/>
              <w:left w:val="nil"/>
              <w:bottom w:val="nil"/>
              <w:right w:val="nil"/>
            </w:tcBorders>
          </w:tcPr>
          <w:p w14:paraId="6B8A99C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9E2A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(1.44)</w:t>
            </w:r>
          </w:p>
        </w:tc>
        <w:tc>
          <w:tcPr>
            <w:tcW w:w="1656" w:type="dxa"/>
            <w:tcBorders>
              <w:top w:val="nil"/>
              <w:left w:val="nil"/>
              <w:bottom w:val="nil"/>
              <w:right w:val="nil"/>
            </w:tcBorders>
          </w:tcPr>
          <w:p w14:paraId="2AB8CA4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(2.65)</w:t>
            </w:r>
          </w:p>
        </w:tc>
        <w:tc>
          <w:tcPr>
            <w:tcW w:w="1656" w:type="dxa"/>
            <w:tcBorders>
              <w:top w:val="nil"/>
              <w:left w:val="nil"/>
              <w:bottom w:val="nil"/>
              <w:right w:val="nil"/>
            </w:tcBorders>
          </w:tcPr>
          <w:p w14:paraId="0E33F23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(-0.65)</w:t>
            </w:r>
          </w:p>
        </w:tc>
        <w:tc>
          <w:tcPr>
            <w:tcW w:w="1656" w:type="dxa"/>
            <w:tcBorders>
              <w:top w:val="nil"/>
              <w:left w:val="nil"/>
              <w:bottom w:val="nil"/>
              <w:right w:val="nil"/>
            </w:tcBorders>
          </w:tcPr>
          <w:p w14:paraId="79DED55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(1.89)</w:t>
            </w:r>
          </w:p>
        </w:tc>
      </w:tr>
      <w:tr w:rsidR="006D5377" w:rsidRPr="00F3433B" w14:paraId="066747CB" w14:textId="77777777" w:rsidTr="00015B88">
        <w:tc>
          <w:tcPr>
            <w:tcW w:w="2136" w:type="dxa"/>
            <w:tcBorders>
              <w:top w:val="nil"/>
              <w:left w:val="nil"/>
              <w:bottom w:val="nil"/>
              <w:right w:val="nil"/>
            </w:tcBorders>
          </w:tcPr>
          <w:p w14:paraId="02C5573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AF07A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69B5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42567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FCB2E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F36F8AF" w14:textId="77777777" w:rsidTr="00015B88">
        <w:tc>
          <w:tcPr>
            <w:tcW w:w="2136" w:type="dxa"/>
            <w:tcBorders>
              <w:top w:val="nil"/>
              <w:left w:val="nil"/>
              <w:bottom w:val="nil"/>
              <w:right w:val="nil"/>
            </w:tcBorders>
          </w:tcPr>
          <w:p w14:paraId="4339F98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L3.De Jure CBI * More Fixed Rate</w:t>
            </w:r>
          </w:p>
        </w:tc>
        <w:tc>
          <w:tcPr>
            <w:tcW w:w="1656" w:type="dxa"/>
            <w:tcBorders>
              <w:top w:val="nil"/>
              <w:left w:val="nil"/>
              <w:bottom w:val="nil"/>
              <w:right w:val="nil"/>
            </w:tcBorders>
          </w:tcPr>
          <w:p w14:paraId="2225C40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-0.0133</w:t>
            </w:r>
          </w:p>
        </w:tc>
        <w:tc>
          <w:tcPr>
            <w:tcW w:w="1656" w:type="dxa"/>
            <w:tcBorders>
              <w:top w:val="nil"/>
              <w:left w:val="nil"/>
              <w:bottom w:val="nil"/>
              <w:right w:val="nil"/>
            </w:tcBorders>
          </w:tcPr>
          <w:p w14:paraId="1DDCEA5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-0.111</w:t>
            </w:r>
          </w:p>
        </w:tc>
        <w:tc>
          <w:tcPr>
            <w:tcW w:w="1656" w:type="dxa"/>
            <w:tcBorders>
              <w:top w:val="nil"/>
              <w:left w:val="nil"/>
              <w:bottom w:val="nil"/>
              <w:right w:val="nil"/>
            </w:tcBorders>
          </w:tcPr>
          <w:p w14:paraId="3F16401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0.598</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53A5158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0.135</w:t>
            </w:r>
          </w:p>
        </w:tc>
      </w:tr>
      <w:tr w:rsidR="006D5377" w:rsidRPr="00F3433B" w14:paraId="00B74CE3" w14:textId="77777777" w:rsidTr="00015B88">
        <w:tc>
          <w:tcPr>
            <w:tcW w:w="2136" w:type="dxa"/>
            <w:tcBorders>
              <w:top w:val="nil"/>
              <w:left w:val="nil"/>
              <w:bottom w:val="nil"/>
              <w:right w:val="nil"/>
            </w:tcBorders>
          </w:tcPr>
          <w:p w14:paraId="7AEF575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5C77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w:t>
            </w:r>
          </w:p>
        </w:tc>
        <w:tc>
          <w:tcPr>
            <w:tcW w:w="1656" w:type="dxa"/>
            <w:tcBorders>
              <w:top w:val="nil"/>
              <w:left w:val="nil"/>
              <w:bottom w:val="nil"/>
              <w:right w:val="nil"/>
            </w:tcBorders>
          </w:tcPr>
          <w:p w14:paraId="51F228F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(-0.34)</w:t>
            </w:r>
          </w:p>
        </w:tc>
        <w:tc>
          <w:tcPr>
            <w:tcW w:w="1656" w:type="dxa"/>
            <w:tcBorders>
              <w:top w:val="nil"/>
              <w:left w:val="nil"/>
              <w:bottom w:val="nil"/>
              <w:right w:val="nil"/>
            </w:tcBorders>
          </w:tcPr>
          <w:p w14:paraId="521AC54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(2.47)</w:t>
            </w:r>
          </w:p>
        </w:tc>
        <w:tc>
          <w:tcPr>
            <w:tcW w:w="1656" w:type="dxa"/>
            <w:tcBorders>
              <w:top w:val="nil"/>
              <w:left w:val="nil"/>
              <w:bottom w:val="nil"/>
              <w:right w:val="nil"/>
            </w:tcBorders>
          </w:tcPr>
          <w:p w14:paraId="680E1E8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r>
      <w:tr w:rsidR="006D5377" w:rsidRPr="00F3433B" w14:paraId="19345486" w14:textId="77777777" w:rsidTr="00015B88">
        <w:tc>
          <w:tcPr>
            <w:tcW w:w="2136" w:type="dxa"/>
            <w:tcBorders>
              <w:top w:val="nil"/>
              <w:left w:val="nil"/>
              <w:bottom w:val="nil"/>
              <w:right w:val="nil"/>
            </w:tcBorders>
          </w:tcPr>
          <w:p w14:paraId="130D5A6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14B1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B003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354E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CBC6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4F296309" w14:textId="77777777" w:rsidTr="00015B88">
        <w:tc>
          <w:tcPr>
            <w:tcW w:w="2136" w:type="dxa"/>
            <w:tcBorders>
              <w:top w:val="nil"/>
              <w:left w:val="nil"/>
              <w:bottom w:val="nil"/>
              <w:right w:val="nil"/>
            </w:tcBorders>
          </w:tcPr>
          <w:p w14:paraId="079B467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L4.De Jure CBI * More Fixed Rate</w:t>
            </w:r>
          </w:p>
        </w:tc>
        <w:tc>
          <w:tcPr>
            <w:tcW w:w="1656" w:type="dxa"/>
            <w:tcBorders>
              <w:top w:val="nil"/>
              <w:left w:val="nil"/>
              <w:bottom w:val="nil"/>
              <w:right w:val="nil"/>
            </w:tcBorders>
          </w:tcPr>
          <w:p w14:paraId="6AEAF60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0.0208</w:t>
            </w:r>
          </w:p>
        </w:tc>
        <w:tc>
          <w:tcPr>
            <w:tcW w:w="1656" w:type="dxa"/>
            <w:tcBorders>
              <w:top w:val="nil"/>
              <w:left w:val="nil"/>
              <w:bottom w:val="nil"/>
              <w:right w:val="nil"/>
            </w:tcBorders>
          </w:tcPr>
          <w:p w14:paraId="52ED709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-0.288</w:t>
            </w:r>
          </w:p>
        </w:tc>
        <w:tc>
          <w:tcPr>
            <w:tcW w:w="1656" w:type="dxa"/>
            <w:tcBorders>
              <w:top w:val="nil"/>
              <w:left w:val="nil"/>
              <w:bottom w:val="nil"/>
              <w:right w:val="nil"/>
            </w:tcBorders>
          </w:tcPr>
          <w:p w14:paraId="7A05290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-0.456</w:t>
            </w:r>
          </w:p>
        </w:tc>
        <w:tc>
          <w:tcPr>
            <w:tcW w:w="1656" w:type="dxa"/>
            <w:tcBorders>
              <w:top w:val="nil"/>
              <w:left w:val="nil"/>
              <w:bottom w:val="nil"/>
              <w:right w:val="nil"/>
            </w:tcBorders>
          </w:tcPr>
          <w:p w14:paraId="3304832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0.0997</w:t>
            </w:r>
          </w:p>
        </w:tc>
      </w:tr>
      <w:tr w:rsidR="006D5377" w:rsidRPr="00F3433B" w14:paraId="13A80B41" w14:textId="77777777" w:rsidTr="00015B88">
        <w:tc>
          <w:tcPr>
            <w:tcW w:w="2136" w:type="dxa"/>
            <w:tcBorders>
              <w:top w:val="nil"/>
              <w:left w:val="nil"/>
              <w:bottom w:val="nil"/>
              <w:right w:val="nil"/>
            </w:tcBorders>
          </w:tcPr>
          <w:p w14:paraId="01C93C9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2745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w:t>
            </w:r>
          </w:p>
        </w:tc>
        <w:tc>
          <w:tcPr>
            <w:tcW w:w="1656" w:type="dxa"/>
            <w:tcBorders>
              <w:top w:val="nil"/>
              <w:left w:val="nil"/>
              <w:bottom w:val="nil"/>
              <w:right w:val="nil"/>
            </w:tcBorders>
          </w:tcPr>
          <w:p w14:paraId="1DB173D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(-0.90)</w:t>
            </w:r>
          </w:p>
        </w:tc>
        <w:tc>
          <w:tcPr>
            <w:tcW w:w="1656" w:type="dxa"/>
            <w:tcBorders>
              <w:top w:val="nil"/>
              <w:left w:val="nil"/>
              <w:bottom w:val="nil"/>
              <w:right w:val="nil"/>
            </w:tcBorders>
          </w:tcPr>
          <w:p w14:paraId="3BB6673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(-1.13)</w:t>
            </w:r>
          </w:p>
        </w:tc>
        <w:tc>
          <w:tcPr>
            <w:tcW w:w="1656" w:type="dxa"/>
            <w:tcBorders>
              <w:top w:val="nil"/>
              <w:left w:val="nil"/>
              <w:bottom w:val="nil"/>
              <w:right w:val="nil"/>
            </w:tcBorders>
          </w:tcPr>
          <w:p w14:paraId="5FA337F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(0.86)</w:t>
            </w:r>
          </w:p>
        </w:tc>
      </w:tr>
      <w:tr w:rsidR="006D5377" w:rsidRPr="00F3433B" w14:paraId="4BF97096" w14:textId="77777777" w:rsidTr="00015B88">
        <w:tc>
          <w:tcPr>
            <w:tcW w:w="2136" w:type="dxa"/>
            <w:tcBorders>
              <w:top w:val="nil"/>
              <w:left w:val="nil"/>
              <w:bottom w:val="nil"/>
              <w:right w:val="nil"/>
            </w:tcBorders>
          </w:tcPr>
          <w:p w14:paraId="30C4796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7163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5D46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813D4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844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6DC94F8" w14:textId="77777777" w:rsidTr="00015B88">
        <w:tc>
          <w:tcPr>
            <w:tcW w:w="2136" w:type="dxa"/>
            <w:tcBorders>
              <w:top w:val="nil"/>
              <w:left w:val="nil"/>
              <w:bottom w:val="nil"/>
              <w:right w:val="nil"/>
            </w:tcBorders>
          </w:tcPr>
          <w:p w14:paraId="3B610DD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L5.De Jure CBI * More Fixed Rate</w:t>
            </w:r>
          </w:p>
        </w:tc>
        <w:tc>
          <w:tcPr>
            <w:tcW w:w="1656" w:type="dxa"/>
            <w:tcBorders>
              <w:top w:val="nil"/>
              <w:left w:val="nil"/>
              <w:bottom w:val="nil"/>
              <w:right w:val="nil"/>
            </w:tcBorders>
          </w:tcPr>
          <w:p w14:paraId="155D122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-0.347</w:t>
            </w:r>
          </w:p>
        </w:tc>
        <w:tc>
          <w:tcPr>
            <w:tcW w:w="1656" w:type="dxa"/>
            <w:tcBorders>
              <w:top w:val="nil"/>
              <w:left w:val="nil"/>
              <w:bottom w:val="nil"/>
              <w:right w:val="nil"/>
            </w:tcBorders>
          </w:tcPr>
          <w:p w14:paraId="2E8D3CB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-0.244</w:t>
            </w:r>
          </w:p>
        </w:tc>
        <w:tc>
          <w:tcPr>
            <w:tcW w:w="1656" w:type="dxa"/>
            <w:tcBorders>
              <w:top w:val="nil"/>
              <w:left w:val="nil"/>
              <w:bottom w:val="nil"/>
              <w:right w:val="nil"/>
            </w:tcBorders>
          </w:tcPr>
          <w:p w14:paraId="7B5F830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-0.116</w:t>
            </w:r>
          </w:p>
        </w:tc>
        <w:tc>
          <w:tcPr>
            <w:tcW w:w="1656" w:type="dxa"/>
            <w:tcBorders>
              <w:top w:val="nil"/>
              <w:left w:val="nil"/>
              <w:bottom w:val="nil"/>
              <w:right w:val="nil"/>
            </w:tcBorders>
          </w:tcPr>
          <w:p w14:paraId="1A31E2F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0.218</w:t>
            </w:r>
          </w:p>
        </w:tc>
      </w:tr>
      <w:tr w:rsidR="006D5377" w:rsidRPr="00F3433B" w14:paraId="20BC0A64" w14:textId="77777777" w:rsidTr="00015B88">
        <w:tc>
          <w:tcPr>
            <w:tcW w:w="2136" w:type="dxa"/>
            <w:tcBorders>
              <w:top w:val="nil"/>
              <w:left w:val="nil"/>
              <w:bottom w:val="nil"/>
              <w:right w:val="nil"/>
            </w:tcBorders>
          </w:tcPr>
          <w:p w14:paraId="574B97E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F60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(-1.44)</w:t>
            </w:r>
          </w:p>
        </w:tc>
        <w:tc>
          <w:tcPr>
            <w:tcW w:w="1656" w:type="dxa"/>
            <w:tcBorders>
              <w:top w:val="nil"/>
              <w:left w:val="nil"/>
              <w:bottom w:val="nil"/>
              <w:right w:val="nil"/>
            </w:tcBorders>
          </w:tcPr>
          <w:p w14:paraId="0AF1D69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(-0.87)</w:t>
            </w:r>
          </w:p>
        </w:tc>
        <w:tc>
          <w:tcPr>
            <w:tcW w:w="1656" w:type="dxa"/>
            <w:tcBorders>
              <w:top w:val="nil"/>
              <w:left w:val="nil"/>
              <w:bottom w:val="nil"/>
              <w:right w:val="nil"/>
            </w:tcBorders>
          </w:tcPr>
          <w:p w14:paraId="7AC3094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(-0.33)</w:t>
            </w:r>
          </w:p>
        </w:tc>
        <w:tc>
          <w:tcPr>
            <w:tcW w:w="1656" w:type="dxa"/>
            <w:tcBorders>
              <w:top w:val="nil"/>
              <w:left w:val="nil"/>
              <w:bottom w:val="nil"/>
              <w:right w:val="nil"/>
            </w:tcBorders>
          </w:tcPr>
          <w:p w14:paraId="27486E4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(1.58)</w:t>
            </w:r>
          </w:p>
        </w:tc>
      </w:tr>
      <w:tr w:rsidR="006D5377" w:rsidRPr="00F3433B" w14:paraId="2E5529D6" w14:textId="77777777" w:rsidTr="00015B88">
        <w:tc>
          <w:tcPr>
            <w:tcW w:w="2136" w:type="dxa"/>
            <w:tcBorders>
              <w:top w:val="nil"/>
              <w:left w:val="nil"/>
              <w:bottom w:val="nil"/>
              <w:right w:val="nil"/>
            </w:tcBorders>
          </w:tcPr>
          <w:p w14:paraId="68E75B5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A72D1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965B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408E6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A2D1B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4292FB33" w14:textId="77777777" w:rsidTr="00015B88">
        <w:tc>
          <w:tcPr>
            <w:tcW w:w="2136" w:type="dxa"/>
            <w:tcBorders>
              <w:top w:val="nil"/>
              <w:left w:val="nil"/>
              <w:bottom w:val="nil"/>
              <w:right w:val="nil"/>
            </w:tcBorders>
          </w:tcPr>
          <w:p w14:paraId="1432B8F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L6.De Jure CBI * More Fixed Rate</w:t>
            </w:r>
          </w:p>
        </w:tc>
        <w:tc>
          <w:tcPr>
            <w:tcW w:w="1656" w:type="dxa"/>
            <w:tcBorders>
              <w:top w:val="nil"/>
              <w:left w:val="nil"/>
              <w:bottom w:val="nil"/>
              <w:right w:val="nil"/>
            </w:tcBorders>
          </w:tcPr>
          <w:p w14:paraId="78EF3E8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0.546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0D3F074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0.249</w:t>
            </w:r>
          </w:p>
        </w:tc>
        <w:tc>
          <w:tcPr>
            <w:tcW w:w="1656" w:type="dxa"/>
            <w:tcBorders>
              <w:top w:val="nil"/>
              <w:left w:val="nil"/>
              <w:bottom w:val="nil"/>
              <w:right w:val="nil"/>
            </w:tcBorders>
          </w:tcPr>
          <w:p w14:paraId="460806C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0.371</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3CF949D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-0.147</w:t>
            </w:r>
          </w:p>
        </w:tc>
      </w:tr>
      <w:tr w:rsidR="006D5377" w:rsidRPr="00F3433B" w14:paraId="54F6B48A" w14:textId="77777777" w:rsidTr="00015B88">
        <w:tc>
          <w:tcPr>
            <w:tcW w:w="2136" w:type="dxa"/>
            <w:tcBorders>
              <w:top w:val="nil"/>
              <w:left w:val="nil"/>
              <w:bottom w:val="nil"/>
              <w:right w:val="nil"/>
            </w:tcBorders>
          </w:tcPr>
          <w:p w14:paraId="1BBBA68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F12C9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(2.07)</w:t>
            </w:r>
          </w:p>
        </w:tc>
        <w:tc>
          <w:tcPr>
            <w:tcW w:w="1656" w:type="dxa"/>
            <w:tcBorders>
              <w:top w:val="nil"/>
              <w:left w:val="nil"/>
              <w:bottom w:val="nil"/>
              <w:right w:val="nil"/>
            </w:tcBorders>
          </w:tcPr>
          <w:p w14:paraId="27486D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(0.67)</w:t>
            </w:r>
          </w:p>
        </w:tc>
        <w:tc>
          <w:tcPr>
            <w:tcW w:w="1656" w:type="dxa"/>
            <w:tcBorders>
              <w:top w:val="nil"/>
              <w:left w:val="nil"/>
              <w:bottom w:val="nil"/>
              <w:right w:val="nil"/>
            </w:tcBorders>
          </w:tcPr>
          <w:p w14:paraId="20A28BF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(2.49)</w:t>
            </w:r>
          </w:p>
        </w:tc>
        <w:tc>
          <w:tcPr>
            <w:tcW w:w="1656" w:type="dxa"/>
            <w:tcBorders>
              <w:top w:val="nil"/>
              <w:left w:val="nil"/>
              <w:bottom w:val="nil"/>
              <w:right w:val="nil"/>
            </w:tcBorders>
          </w:tcPr>
          <w:p w14:paraId="16E11BD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(-0.94)</w:t>
            </w:r>
          </w:p>
        </w:tc>
      </w:tr>
      <w:tr w:rsidR="006D5377" w:rsidRPr="00F3433B" w14:paraId="313C5411" w14:textId="77777777" w:rsidTr="00015B88">
        <w:tc>
          <w:tcPr>
            <w:tcW w:w="2136" w:type="dxa"/>
            <w:tcBorders>
              <w:top w:val="nil"/>
              <w:left w:val="nil"/>
              <w:bottom w:val="nil"/>
              <w:right w:val="nil"/>
            </w:tcBorders>
          </w:tcPr>
          <w:p w14:paraId="177908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42F01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26CF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1A1C5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CFCD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7330C88" w14:textId="77777777" w:rsidTr="00015B88">
        <w:tc>
          <w:tcPr>
            <w:tcW w:w="2136" w:type="dxa"/>
            <w:tcBorders>
              <w:top w:val="nil"/>
              <w:left w:val="nil"/>
              <w:bottom w:val="nil"/>
              <w:right w:val="nil"/>
            </w:tcBorders>
          </w:tcPr>
          <w:p w14:paraId="7271DE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L7.De Jure CBI * More Fixed Rate</w:t>
            </w:r>
          </w:p>
        </w:tc>
        <w:tc>
          <w:tcPr>
            <w:tcW w:w="1656" w:type="dxa"/>
            <w:tcBorders>
              <w:top w:val="nil"/>
              <w:left w:val="nil"/>
              <w:bottom w:val="nil"/>
              <w:right w:val="nil"/>
            </w:tcBorders>
          </w:tcPr>
          <w:p w14:paraId="156261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-0.278</w:t>
            </w:r>
          </w:p>
        </w:tc>
        <w:tc>
          <w:tcPr>
            <w:tcW w:w="1656" w:type="dxa"/>
            <w:tcBorders>
              <w:top w:val="nil"/>
              <w:left w:val="nil"/>
              <w:bottom w:val="nil"/>
              <w:right w:val="nil"/>
            </w:tcBorders>
          </w:tcPr>
          <w:p w14:paraId="7A4A797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-0.120</w:t>
            </w:r>
          </w:p>
        </w:tc>
        <w:tc>
          <w:tcPr>
            <w:tcW w:w="1656" w:type="dxa"/>
            <w:tcBorders>
              <w:top w:val="nil"/>
              <w:left w:val="nil"/>
              <w:bottom w:val="nil"/>
              <w:right w:val="nil"/>
            </w:tcBorders>
          </w:tcPr>
          <w:p w14:paraId="1622FD5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-0.306</w:t>
            </w:r>
          </w:p>
        </w:tc>
        <w:tc>
          <w:tcPr>
            <w:tcW w:w="1656" w:type="dxa"/>
            <w:tcBorders>
              <w:top w:val="nil"/>
              <w:left w:val="nil"/>
              <w:bottom w:val="nil"/>
              <w:right w:val="nil"/>
            </w:tcBorders>
          </w:tcPr>
          <w:p w14:paraId="575C9E5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0.168</w:t>
            </w:r>
          </w:p>
        </w:tc>
      </w:tr>
      <w:tr w:rsidR="006D5377" w:rsidRPr="00F3433B" w14:paraId="3AD596CE" w14:textId="77777777" w:rsidTr="00015B88">
        <w:tc>
          <w:tcPr>
            <w:tcW w:w="2136" w:type="dxa"/>
            <w:tcBorders>
              <w:top w:val="nil"/>
              <w:left w:val="nil"/>
              <w:bottom w:val="nil"/>
              <w:right w:val="nil"/>
            </w:tcBorders>
          </w:tcPr>
          <w:p w14:paraId="1C74753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C2184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(-1.10)</w:t>
            </w:r>
          </w:p>
        </w:tc>
        <w:tc>
          <w:tcPr>
            <w:tcW w:w="1656" w:type="dxa"/>
            <w:tcBorders>
              <w:top w:val="nil"/>
              <w:left w:val="nil"/>
              <w:bottom w:val="nil"/>
              <w:right w:val="nil"/>
            </w:tcBorders>
          </w:tcPr>
          <w:p w14:paraId="432A05F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(-0.32)</w:t>
            </w:r>
          </w:p>
        </w:tc>
        <w:tc>
          <w:tcPr>
            <w:tcW w:w="1656" w:type="dxa"/>
            <w:tcBorders>
              <w:top w:val="nil"/>
              <w:left w:val="nil"/>
              <w:bottom w:val="nil"/>
              <w:right w:val="nil"/>
            </w:tcBorders>
          </w:tcPr>
          <w:p w14:paraId="3E342B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(-1.23)</w:t>
            </w:r>
          </w:p>
        </w:tc>
        <w:tc>
          <w:tcPr>
            <w:tcW w:w="1656" w:type="dxa"/>
            <w:tcBorders>
              <w:top w:val="nil"/>
              <w:left w:val="nil"/>
              <w:bottom w:val="nil"/>
              <w:right w:val="nil"/>
            </w:tcBorders>
          </w:tcPr>
          <w:p w14:paraId="7280309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(1.03)</w:t>
            </w:r>
          </w:p>
        </w:tc>
      </w:tr>
      <w:tr w:rsidR="006D5377" w:rsidRPr="00F3433B" w14:paraId="0CF8B66B" w14:textId="77777777" w:rsidTr="00015B88">
        <w:tc>
          <w:tcPr>
            <w:tcW w:w="2136" w:type="dxa"/>
            <w:tcBorders>
              <w:top w:val="nil"/>
              <w:left w:val="nil"/>
              <w:bottom w:val="nil"/>
              <w:right w:val="nil"/>
            </w:tcBorders>
          </w:tcPr>
          <w:p w14:paraId="2F07374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05B7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282D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01F6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5E47E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3A604BF8" w14:textId="77777777" w:rsidTr="00015B88">
        <w:tc>
          <w:tcPr>
            <w:tcW w:w="2136" w:type="dxa"/>
            <w:tcBorders>
              <w:top w:val="nil"/>
              <w:left w:val="nil"/>
              <w:bottom w:val="nil"/>
              <w:right w:val="nil"/>
            </w:tcBorders>
          </w:tcPr>
          <w:p w14:paraId="3C7AF06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L8.De Jure CBI * More Fixed Rate</w:t>
            </w:r>
          </w:p>
        </w:tc>
        <w:tc>
          <w:tcPr>
            <w:tcW w:w="1656" w:type="dxa"/>
            <w:tcBorders>
              <w:top w:val="nil"/>
              <w:left w:val="nil"/>
              <w:bottom w:val="nil"/>
              <w:right w:val="nil"/>
            </w:tcBorders>
          </w:tcPr>
          <w:p w14:paraId="536473F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-0.0543</w:t>
            </w:r>
          </w:p>
        </w:tc>
        <w:tc>
          <w:tcPr>
            <w:tcW w:w="1656" w:type="dxa"/>
            <w:tcBorders>
              <w:top w:val="nil"/>
              <w:left w:val="nil"/>
              <w:bottom w:val="nil"/>
              <w:right w:val="nil"/>
            </w:tcBorders>
          </w:tcPr>
          <w:p w14:paraId="4FC24D9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-0.117</w:t>
            </w:r>
          </w:p>
        </w:tc>
        <w:tc>
          <w:tcPr>
            <w:tcW w:w="1656" w:type="dxa"/>
            <w:tcBorders>
              <w:top w:val="nil"/>
              <w:left w:val="nil"/>
              <w:bottom w:val="nil"/>
              <w:right w:val="nil"/>
            </w:tcBorders>
          </w:tcPr>
          <w:p w14:paraId="6C2822F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0.356</w:t>
            </w:r>
          </w:p>
        </w:tc>
        <w:tc>
          <w:tcPr>
            <w:tcW w:w="1656" w:type="dxa"/>
            <w:tcBorders>
              <w:top w:val="nil"/>
              <w:left w:val="nil"/>
              <w:bottom w:val="nil"/>
              <w:right w:val="nil"/>
            </w:tcBorders>
          </w:tcPr>
          <w:p w14:paraId="5AD1B6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-0.0120</w:t>
            </w:r>
          </w:p>
        </w:tc>
      </w:tr>
      <w:tr w:rsidR="006D5377" w:rsidRPr="00F3433B" w14:paraId="173710A6" w14:textId="77777777" w:rsidTr="00015B88">
        <w:tc>
          <w:tcPr>
            <w:tcW w:w="2136" w:type="dxa"/>
            <w:tcBorders>
              <w:top w:val="nil"/>
              <w:left w:val="nil"/>
              <w:bottom w:val="nil"/>
              <w:right w:val="nil"/>
            </w:tcBorders>
          </w:tcPr>
          <w:p w14:paraId="1B4F383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2C8EF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w:t>
            </w:r>
          </w:p>
        </w:tc>
        <w:tc>
          <w:tcPr>
            <w:tcW w:w="1656" w:type="dxa"/>
            <w:tcBorders>
              <w:top w:val="nil"/>
              <w:left w:val="nil"/>
              <w:bottom w:val="nil"/>
              <w:right w:val="nil"/>
            </w:tcBorders>
          </w:tcPr>
          <w:p w14:paraId="4D76672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(-0.47)</w:t>
            </w:r>
          </w:p>
        </w:tc>
        <w:tc>
          <w:tcPr>
            <w:tcW w:w="1656" w:type="dxa"/>
            <w:tcBorders>
              <w:top w:val="nil"/>
              <w:left w:val="nil"/>
              <w:bottom w:val="nil"/>
              <w:right w:val="nil"/>
            </w:tcBorders>
          </w:tcPr>
          <w:p w14:paraId="5260754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(1.25)</w:t>
            </w:r>
          </w:p>
        </w:tc>
        <w:tc>
          <w:tcPr>
            <w:tcW w:w="1656" w:type="dxa"/>
            <w:tcBorders>
              <w:top w:val="nil"/>
              <w:left w:val="nil"/>
              <w:bottom w:val="nil"/>
              <w:right w:val="nil"/>
            </w:tcBorders>
          </w:tcPr>
          <w:p w14:paraId="597FCF0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w:t>
            </w:r>
          </w:p>
        </w:tc>
      </w:tr>
      <w:tr w:rsidR="006D5377" w:rsidRPr="00F3433B" w14:paraId="44222086" w14:textId="77777777" w:rsidTr="00015B88">
        <w:tc>
          <w:tcPr>
            <w:tcW w:w="2136" w:type="dxa"/>
            <w:tcBorders>
              <w:top w:val="nil"/>
              <w:left w:val="nil"/>
              <w:bottom w:val="nil"/>
              <w:right w:val="nil"/>
            </w:tcBorders>
          </w:tcPr>
          <w:p w14:paraId="36866B8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D6D40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027A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4DB36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7E3F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8F4BBBC" w14:textId="77777777" w:rsidTr="00015B88">
        <w:tc>
          <w:tcPr>
            <w:tcW w:w="2136" w:type="dxa"/>
            <w:tcBorders>
              <w:top w:val="nil"/>
              <w:left w:val="nil"/>
              <w:bottom w:val="nil"/>
              <w:right w:val="nil"/>
            </w:tcBorders>
          </w:tcPr>
          <w:p w14:paraId="6C4696C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L9.De Jure CBI * More Fixed Rate</w:t>
            </w:r>
          </w:p>
        </w:tc>
        <w:tc>
          <w:tcPr>
            <w:tcW w:w="1656" w:type="dxa"/>
            <w:tcBorders>
              <w:top w:val="nil"/>
              <w:left w:val="nil"/>
              <w:bottom w:val="nil"/>
              <w:right w:val="nil"/>
            </w:tcBorders>
          </w:tcPr>
          <w:p w14:paraId="6B1287C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0.0107</w:t>
            </w:r>
          </w:p>
        </w:tc>
        <w:tc>
          <w:tcPr>
            <w:tcW w:w="1656" w:type="dxa"/>
            <w:tcBorders>
              <w:top w:val="nil"/>
              <w:left w:val="nil"/>
              <w:bottom w:val="nil"/>
              <w:right w:val="nil"/>
            </w:tcBorders>
          </w:tcPr>
          <w:p w14:paraId="40EF244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0.196</w:t>
            </w:r>
          </w:p>
        </w:tc>
        <w:tc>
          <w:tcPr>
            <w:tcW w:w="1656" w:type="dxa"/>
            <w:tcBorders>
              <w:top w:val="nil"/>
              <w:left w:val="nil"/>
              <w:bottom w:val="nil"/>
              <w:right w:val="nil"/>
            </w:tcBorders>
          </w:tcPr>
          <w:p w14:paraId="314F629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-0.191</w:t>
            </w:r>
          </w:p>
        </w:tc>
        <w:tc>
          <w:tcPr>
            <w:tcW w:w="1656" w:type="dxa"/>
            <w:tcBorders>
              <w:top w:val="nil"/>
              <w:left w:val="nil"/>
              <w:bottom w:val="nil"/>
              <w:right w:val="nil"/>
            </w:tcBorders>
          </w:tcPr>
          <w:p w14:paraId="4D8596B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0.132</w:t>
            </w:r>
          </w:p>
        </w:tc>
      </w:tr>
      <w:tr w:rsidR="006D5377" w:rsidRPr="00F3433B" w14:paraId="12B6624B" w14:textId="77777777" w:rsidTr="00015B88">
        <w:tc>
          <w:tcPr>
            <w:tcW w:w="2136" w:type="dxa"/>
            <w:tcBorders>
              <w:top w:val="nil"/>
              <w:left w:val="nil"/>
              <w:bottom w:val="nil"/>
              <w:right w:val="nil"/>
            </w:tcBorders>
          </w:tcPr>
          <w:p w14:paraId="7FD2E46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20E3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(0.06)</w:t>
            </w:r>
          </w:p>
        </w:tc>
        <w:tc>
          <w:tcPr>
            <w:tcW w:w="1656" w:type="dxa"/>
            <w:tcBorders>
              <w:top w:val="nil"/>
              <w:left w:val="nil"/>
              <w:bottom w:val="nil"/>
              <w:right w:val="nil"/>
            </w:tcBorders>
          </w:tcPr>
          <w:p w14:paraId="76389EC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(0.96)</w:t>
            </w:r>
          </w:p>
        </w:tc>
        <w:tc>
          <w:tcPr>
            <w:tcW w:w="1656" w:type="dxa"/>
            <w:tcBorders>
              <w:top w:val="nil"/>
              <w:left w:val="nil"/>
              <w:bottom w:val="nil"/>
              <w:right w:val="nil"/>
            </w:tcBorders>
          </w:tcPr>
          <w:p w14:paraId="75315FE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c>
          <w:tcPr>
            <w:tcW w:w="1656" w:type="dxa"/>
            <w:tcBorders>
              <w:top w:val="nil"/>
              <w:left w:val="nil"/>
              <w:bottom w:val="nil"/>
              <w:right w:val="nil"/>
            </w:tcBorders>
          </w:tcPr>
          <w:p w14:paraId="023A540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(0.65)</w:t>
            </w:r>
          </w:p>
        </w:tc>
      </w:tr>
      <w:tr w:rsidR="006D5377" w:rsidRPr="00F3433B" w14:paraId="0764AB76" w14:textId="77777777" w:rsidTr="00015B88">
        <w:tc>
          <w:tcPr>
            <w:tcW w:w="2136" w:type="dxa"/>
            <w:tcBorders>
              <w:top w:val="nil"/>
              <w:left w:val="nil"/>
              <w:bottom w:val="nil"/>
              <w:right w:val="nil"/>
            </w:tcBorders>
          </w:tcPr>
          <w:p w14:paraId="79E5913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01D8A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E081E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4B75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B3DF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9509F13" w14:textId="77777777" w:rsidTr="00015B88">
        <w:tc>
          <w:tcPr>
            <w:tcW w:w="2136" w:type="dxa"/>
            <w:tcBorders>
              <w:top w:val="nil"/>
              <w:left w:val="nil"/>
              <w:bottom w:val="nil"/>
              <w:right w:val="nil"/>
            </w:tcBorders>
          </w:tcPr>
          <w:p w14:paraId="3C127DF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L10.De Jure CBI * More Fixed Rate</w:t>
            </w:r>
          </w:p>
        </w:tc>
        <w:tc>
          <w:tcPr>
            <w:tcW w:w="1656" w:type="dxa"/>
            <w:tcBorders>
              <w:top w:val="nil"/>
              <w:left w:val="nil"/>
              <w:bottom w:val="nil"/>
              <w:right w:val="nil"/>
            </w:tcBorders>
          </w:tcPr>
          <w:p w14:paraId="2C77847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-0.0259</w:t>
            </w:r>
          </w:p>
        </w:tc>
        <w:tc>
          <w:tcPr>
            <w:tcW w:w="1656" w:type="dxa"/>
            <w:tcBorders>
              <w:top w:val="nil"/>
              <w:left w:val="nil"/>
              <w:bottom w:val="nil"/>
              <w:right w:val="nil"/>
            </w:tcBorders>
          </w:tcPr>
          <w:p w14:paraId="002175E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0.0512</w:t>
            </w:r>
          </w:p>
        </w:tc>
        <w:tc>
          <w:tcPr>
            <w:tcW w:w="1656" w:type="dxa"/>
            <w:tcBorders>
              <w:top w:val="nil"/>
              <w:left w:val="nil"/>
              <w:bottom w:val="nil"/>
              <w:right w:val="nil"/>
            </w:tcBorders>
          </w:tcPr>
          <w:p w14:paraId="1EB4693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-0.128</w:t>
            </w:r>
          </w:p>
        </w:tc>
        <w:tc>
          <w:tcPr>
            <w:tcW w:w="1656" w:type="dxa"/>
            <w:tcBorders>
              <w:top w:val="nil"/>
              <w:left w:val="nil"/>
              <w:bottom w:val="nil"/>
              <w:right w:val="nil"/>
            </w:tcBorders>
          </w:tcPr>
          <w:p w14:paraId="0A3473F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-0.0854</w:t>
            </w:r>
          </w:p>
        </w:tc>
      </w:tr>
      <w:tr w:rsidR="006D5377" w:rsidRPr="00F3433B" w14:paraId="61791F72" w14:textId="77777777" w:rsidTr="00015B88">
        <w:tc>
          <w:tcPr>
            <w:tcW w:w="2136" w:type="dxa"/>
            <w:tcBorders>
              <w:top w:val="nil"/>
              <w:left w:val="nil"/>
              <w:bottom w:val="nil"/>
              <w:right w:val="nil"/>
            </w:tcBorders>
          </w:tcPr>
          <w:p w14:paraId="44F34A0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6CF71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(-0.15)</w:t>
            </w:r>
          </w:p>
        </w:tc>
        <w:tc>
          <w:tcPr>
            <w:tcW w:w="1656" w:type="dxa"/>
            <w:tcBorders>
              <w:top w:val="nil"/>
              <w:left w:val="nil"/>
              <w:bottom w:val="nil"/>
              <w:right w:val="nil"/>
            </w:tcBorders>
          </w:tcPr>
          <w:p w14:paraId="23501EC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w:t>
            </w:r>
          </w:p>
        </w:tc>
        <w:tc>
          <w:tcPr>
            <w:tcW w:w="1656" w:type="dxa"/>
            <w:tcBorders>
              <w:top w:val="nil"/>
              <w:left w:val="nil"/>
              <w:bottom w:val="nil"/>
              <w:right w:val="nil"/>
            </w:tcBorders>
          </w:tcPr>
          <w:p w14:paraId="53BA521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(-0.77)</w:t>
            </w:r>
          </w:p>
        </w:tc>
        <w:tc>
          <w:tcPr>
            <w:tcW w:w="1656" w:type="dxa"/>
            <w:tcBorders>
              <w:top w:val="nil"/>
              <w:left w:val="nil"/>
              <w:bottom w:val="nil"/>
              <w:right w:val="nil"/>
            </w:tcBorders>
          </w:tcPr>
          <w:p w14:paraId="2DEC68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(-0.45)</w:t>
            </w:r>
          </w:p>
        </w:tc>
      </w:tr>
      <w:tr w:rsidR="006D5377" w:rsidRPr="00F3433B" w14:paraId="5824DBF0" w14:textId="77777777" w:rsidTr="00015B88">
        <w:tc>
          <w:tcPr>
            <w:tcW w:w="2136" w:type="dxa"/>
            <w:tcBorders>
              <w:top w:val="nil"/>
              <w:left w:val="nil"/>
              <w:bottom w:val="nil"/>
              <w:right w:val="nil"/>
            </w:tcBorders>
          </w:tcPr>
          <w:p w14:paraId="7EB84DC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8BA9D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FECCD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05D93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6B86F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2DBEDF9B" w14:textId="77777777" w:rsidTr="00015B88">
        <w:tc>
          <w:tcPr>
            <w:tcW w:w="2136" w:type="dxa"/>
            <w:tcBorders>
              <w:top w:val="nil"/>
              <w:left w:val="nil"/>
              <w:bottom w:val="nil"/>
              <w:right w:val="nil"/>
            </w:tcBorders>
          </w:tcPr>
          <w:p w14:paraId="191660D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0A8E5CC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28AAA2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CAF05F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184C67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-5.111</w:t>
            </w:r>
            <w:r w:rsidRPr="00F3433B">
              <w:rPr>
                <w:rFonts w:ascii="Times New Roman" w:hAnsi="Times New Roman" w:cs="Times New Roman"/>
                <w:sz w:val="16"/>
                <w:szCs w:val="16"/>
                <w:vertAlign w:val="superscript"/>
              </w:rPr>
              <w:t>**</w:t>
            </w:r>
          </w:p>
        </w:tc>
      </w:tr>
      <w:tr w:rsidR="006D5377" w:rsidRPr="00F3433B" w14:paraId="65638829" w14:textId="77777777" w:rsidTr="00015B88">
        <w:tc>
          <w:tcPr>
            <w:tcW w:w="2136" w:type="dxa"/>
            <w:tcBorders>
              <w:top w:val="nil"/>
              <w:left w:val="nil"/>
              <w:bottom w:val="nil"/>
              <w:right w:val="nil"/>
            </w:tcBorders>
          </w:tcPr>
          <w:p w14:paraId="0E951A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2178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428910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34FD81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920AB9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(-3.19)</w:t>
            </w:r>
          </w:p>
        </w:tc>
      </w:tr>
      <w:tr w:rsidR="006D5377" w:rsidRPr="00F3433B" w14:paraId="029242C4" w14:textId="77777777" w:rsidTr="00015B88">
        <w:tc>
          <w:tcPr>
            <w:tcW w:w="2136" w:type="dxa"/>
            <w:tcBorders>
              <w:top w:val="single" w:sz="4" w:space="0" w:color="auto"/>
              <w:left w:val="nil"/>
              <w:bottom w:val="nil"/>
              <w:right w:val="nil"/>
            </w:tcBorders>
          </w:tcPr>
          <w:p w14:paraId="366B88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5664518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197F91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3AB8E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DD514F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3E3275F5" w14:textId="77777777" w:rsidTr="00015B88">
        <w:tc>
          <w:tcPr>
            <w:tcW w:w="2136" w:type="dxa"/>
            <w:tcBorders>
              <w:top w:val="nil"/>
              <w:left w:val="nil"/>
              <w:bottom w:val="nil"/>
              <w:right w:val="nil"/>
            </w:tcBorders>
          </w:tcPr>
          <w:p w14:paraId="4018166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7720F01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0.577</w:t>
            </w:r>
          </w:p>
        </w:tc>
        <w:tc>
          <w:tcPr>
            <w:tcW w:w="1656" w:type="dxa"/>
            <w:tcBorders>
              <w:top w:val="nil"/>
              <w:left w:val="nil"/>
              <w:bottom w:val="nil"/>
              <w:right w:val="nil"/>
            </w:tcBorders>
          </w:tcPr>
          <w:p w14:paraId="45A6D44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2.259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2C2A9DC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1.546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9F4C4E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525681F0" w14:textId="77777777" w:rsidTr="00015B88">
        <w:tc>
          <w:tcPr>
            <w:tcW w:w="2136" w:type="dxa"/>
            <w:tcBorders>
              <w:top w:val="nil"/>
              <w:left w:val="nil"/>
              <w:bottom w:val="nil"/>
              <w:right w:val="nil"/>
            </w:tcBorders>
          </w:tcPr>
          <w:p w14:paraId="30E4201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F849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(0.94)</w:t>
            </w:r>
          </w:p>
        </w:tc>
        <w:tc>
          <w:tcPr>
            <w:tcW w:w="1656" w:type="dxa"/>
            <w:tcBorders>
              <w:top w:val="nil"/>
              <w:left w:val="nil"/>
              <w:bottom w:val="nil"/>
              <w:right w:val="nil"/>
            </w:tcBorders>
          </w:tcPr>
          <w:p w14:paraId="7A7D9E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(2.54)</w:t>
            </w:r>
          </w:p>
        </w:tc>
        <w:tc>
          <w:tcPr>
            <w:tcW w:w="1656" w:type="dxa"/>
            <w:tcBorders>
              <w:top w:val="nil"/>
              <w:left w:val="nil"/>
              <w:bottom w:val="nil"/>
              <w:right w:val="nil"/>
            </w:tcBorders>
          </w:tcPr>
          <w:p w14:paraId="403DDB5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(2.26)</w:t>
            </w:r>
          </w:p>
        </w:tc>
        <w:tc>
          <w:tcPr>
            <w:tcW w:w="1656" w:type="dxa"/>
            <w:tcBorders>
              <w:top w:val="nil"/>
              <w:left w:val="nil"/>
              <w:bottom w:val="nil"/>
              <w:right w:val="nil"/>
            </w:tcBorders>
          </w:tcPr>
          <w:p w14:paraId="2014A04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25AE8D97" w14:textId="77777777" w:rsidTr="00015B88">
        <w:tc>
          <w:tcPr>
            <w:tcW w:w="2136" w:type="dxa"/>
            <w:tcBorders>
              <w:top w:val="single" w:sz="4" w:space="0" w:color="auto"/>
              <w:left w:val="nil"/>
              <w:bottom w:val="nil"/>
              <w:right w:val="nil"/>
            </w:tcBorders>
          </w:tcPr>
          <w:p w14:paraId="5BC3B77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E6243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AD4799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449935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5A713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6E7BBE0A" w14:textId="77777777" w:rsidTr="00015B88">
        <w:tc>
          <w:tcPr>
            <w:tcW w:w="2136" w:type="dxa"/>
            <w:tcBorders>
              <w:top w:val="nil"/>
              <w:left w:val="nil"/>
              <w:bottom w:val="nil"/>
              <w:right w:val="nil"/>
            </w:tcBorders>
          </w:tcPr>
          <w:p w14:paraId="347A9AA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5E8C708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0.998</w:t>
            </w:r>
          </w:p>
        </w:tc>
        <w:tc>
          <w:tcPr>
            <w:tcW w:w="1656" w:type="dxa"/>
            <w:tcBorders>
              <w:top w:val="nil"/>
              <w:left w:val="nil"/>
              <w:bottom w:val="nil"/>
              <w:right w:val="nil"/>
            </w:tcBorders>
          </w:tcPr>
          <w:p w14:paraId="4CC5E62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2.839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5F1B2A5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2.933</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3034A3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1D2FF56A" w14:textId="77777777" w:rsidTr="00015B88">
        <w:tc>
          <w:tcPr>
            <w:tcW w:w="2136" w:type="dxa"/>
            <w:tcBorders>
              <w:top w:val="nil"/>
              <w:left w:val="nil"/>
              <w:bottom w:val="nil"/>
              <w:right w:val="nil"/>
            </w:tcBorders>
          </w:tcPr>
          <w:p w14:paraId="1C36810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013CC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(1.61)</w:t>
            </w:r>
          </w:p>
        </w:tc>
        <w:tc>
          <w:tcPr>
            <w:tcW w:w="1656" w:type="dxa"/>
            <w:tcBorders>
              <w:top w:val="nil"/>
              <w:left w:val="nil"/>
              <w:bottom w:val="nil"/>
              <w:right w:val="nil"/>
            </w:tcBorders>
          </w:tcPr>
          <w:p w14:paraId="348506C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(3.20)</w:t>
            </w:r>
          </w:p>
        </w:tc>
        <w:tc>
          <w:tcPr>
            <w:tcW w:w="1656" w:type="dxa"/>
            <w:tcBorders>
              <w:top w:val="nil"/>
              <w:left w:val="nil"/>
              <w:bottom w:val="nil"/>
              <w:right w:val="nil"/>
            </w:tcBorders>
          </w:tcPr>
          <w:p w14:paraId="6E6165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(4.12)</w:t>
            </w:r>
          </w:p>
        </w:tc>
        <w:tc>
          <w:tcPr>
            <w:tcW w:w="1656" w:type="dxa"/>
            <w:tcBorders>
              <w:top w:val="nil"/>
              <w:left w:val="nil"/>
              <w:bottom w:val="nil"/>
              <w:right w:val="nil"/>
            </w:tcBorders>
          </w:tcPr>
          <w:p w14:paraId="298CE4B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206BFDE3" w14:textId="77777777" w:rsidTr="00015B88">
        <w:tc>
          <w:tcPr>
            <w:tcW w:w="2136" w:type="dxa"/>
            <w:tcBorders>
              <w:top w:val="single" w:sz="4" w:space="0" w:color="auto"/>
              <w:left w:val="nil"/>
              <w:bottom w:val="nil"/>
              <w:right w:val="nil"/>
            </w:tcBorders>
          </w:tcPr>
          <w:p w14:paraId="53E6935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4FAE398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9E2E01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FBBB4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F0BBD5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7062C939" w14:textId="77777777" w:rsidTr="00015B88">
        <w:tc>
          <w:tcPr>
            <w:tcW w:w="2136" w:type="dxa"/>
            <w:tcBorders>
              <w:top w:val="nil"/>
              <w:left w:val="nil"/>
              <w:bottom w:val="nil"/>
              <w:right w:val="nil"/>
            </w:tcBorders>
          </w:tcPr>
          <w:p w14:paraId="69F7BF4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60723AD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0.986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19485CD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3.129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081D8A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0.664</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05462E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5E47E8F3" w14:textId="77777777" w:rsidTr="00015B88">
        <w:tc>
          <w:tcPr>
            <w:tcW w:w="2136" w:type="dxa"/>
            <w:tcBorders>
              <w:top w:val="nil"/>
              <w:left w:val="nil"/>
              <w:bottom w:val="nil"/>
              <w:right w:val="nil"/>
            </w:tcBorders>
          </w:tcPr>
          <w:p w14:paraId="18CE8E6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A31F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(3.53)</w:t>
            </w:r>
          </w:p>
        </w:tc>
        <w:tc>
          <w:tcPr>
            <w:tcW w:w="1656" w:type="dxa"/>
            <w:tcBorders>
              <w:top w:val="nil"/>
              <w:left w:val="nil"/>
              <w:bottom w:val="nil"/>
              <w:right w:val="nil"/>
            </w:tcBorders>
          </w:tcPr>
          <w:p w14:paraId="1E9C29E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(4.14)</w:t>
            </w:r>
          </w:p>
        </w:tc>
        <w:tc>
          <w:tcPr>
            <w:tcW w:w="1656" w:type="dxa"/>
            <w:tcBorders>
              <w:top w:val="nil"/>
              <w:left w:val="nil"/>
              <w:bottom w:val="nil"/>
              <w:right w:val="nil"/>
            </w:tcBorders>
          </w:tcPr>
          <w:p w14:paraId="67FF38F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(3.16)</w:t>
            </w:r>
          </w:p>
        </w:tc>
        <w:tc>
          <w:tcPr>
            <w:tcW w:w="1656" w:type="dxa"/>
            <w:tcBorders>
              <w:top w:val="nil"/>
              <w:left w:val="nil"/>
              <w:bottom w:val="nil"/>
              <w:right w:val="nil"/>
            </w:tcBorders>
          </w:tcPr>
          <w:p w14:paraId="453A07B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4CEE398F" w14:textId="77777777" w:rsidTr="00015B88">
        <w:tc>
          <w:tcPr>
            <w:tcW w:w="2136" w:type="dxa"/>
            <w:tcBorders>
              <w:top w:val="single" w:sz="4" w:space="0" w:color="auto"/>
              <w:left w:val="nil"/>
              <w:bottom w:val="nil"/>
              <w:right w:val="nil"/>
            </w:tcBorders>
          </w:tcPr>
          <w:p w14:paraId="07C0A5D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w:t>
            </w:r>
          </w:p>
        </w:tc>
        <w:tc>
          <w:tcPr>
            <w:tcW w:w="1656" w:type="dxa"/>
            <w:tcBorders>
              <w:top w:val="single" w:sz="4" w:space="0" w:color="auto"/>
              <w:left w:val="nil"/>
              <w:bottom w:val="nil"/>
              <w:right w:val="nil"/>
            </w:tcBorders>
          </w:tcPr>
          <w:p w14:paraId="04A6203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42E96E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A60DDB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2754D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78BCCE6E" w14:textId="77777777" w:rsidTr="00015B88">
        <w:tc>
          <w:tcPr>
            <w:tcW w:w="2136" w:type="dxa"/>
            <w:tcBorders>
              <w:top w:val="nil"/>
              <w:left w:val="nil"/>
              <w:bottom w:val="nil"/>
              <w:right w:val="nil"/>
            </w:tcBorders>
          </w:tcPr>
          <w:p w14:paraId="6A22F60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lnsig2u</w:t>
            </w:r>
          </w:p>
        </w:tc>
        <w:tc>
          <w:tcPr>
            <w:tcW w:w="1656" w:type="dxa"/>
            <w:tcBorders>
              <w:top w:val="nil"/>
              <w:left w:val="nil"/>
              <w:bottom w:val="nil"/>
              <w:right w:val="nil"/>
            </w:tcBorders>
          </w:tcPr>
          <w:p w14:paraId="5A45EE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7E2EF5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803C94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44E3E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2.314</w:t>
            </w:r>
            <w:r w:rsidRPr="00F3433B">
              <w:rPr>
                <w:rFonts w:ascii="Times New Roman" w:hAnsi="Times New Roman" w:cs="Times New Roman"/>
                <w:sz w:val="16"/>
                <w:szCs w:val="16"/>
                <w:vertAlign w:val="superscript"/>
              </w:rPr>
              <w:t>***</w:t>
            </w:r>
          </w:p>
        </w:tc>
      </w:tr>
      <w:tr w:rsidR="006D5377" w:rsidRPr="00F3433B" w14:paraId="64018B4E" w14:textId="77777777" w:rsidTr="00015B88">
        <w:tc>
          <w:tcPr>
            <w:tcW w:w="2136" w:type="dxa"/>
            <w:tcBorders>
              <w:top w:val="nil"/>
              <w:left w:val="nil"/>
              <w:bottom w:val="single" w:sz="4" w:space="0" w:color="auto"/>
              <w:right w:val="nil"/>
            </w:tcBorders>
          </w:tcPr>
          <w:p w14:paraId="7E484A1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64E74F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AEA459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087D1A4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266276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(7.01)</w:t>
            </w:r>
          </w:p>
        </w:tc>
      </w:tr>
      <w:tr w:rsidR="006D5377" w:rsidRPr="00F3433B" w14:paraId="1814CC61" w14:textId="77777777" w:rsidTr="00015B88">
        <w:tc>
          <w:tcPr>
            <w:tcW w:w="2136" w:type="dxa"/>
            <w:tcBorders>
              <w:top w:val="nil"/>
              <w:left w:val="nil"/>
              <w:bottom w:val="single" w:sz="4" w:space="0" w:color="auto"/>
              <w:right w:val="nil"/>
            </w:tcBorders>
          </w:tcPr>
          <w:p w14:paraId="2A4A0BB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5B0909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11A90A7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1D04387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799</w:t>
            </w:r>
          </w:p>
        </w:tc>
        <w:tc>
          <w:tcPr>
            <w:tcW w:w="1656" w:type="dxa"/>
            <w:tcBorders>
              <w:top w:val="nil"/>
              <w:left w:val="nil"/>
              <w:bottom w:val="single" w:sz="4" w:space="0" w:color="auto"/>
              <w:right w:val="nil"/>
            </w:tcBorders>
          </w:tcPr>
          <w:p w14:paraId="45F661D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2679</w:t>
            </w:r>
          </w:p>
        </w:tc>
      </w:tr>
    </w:tbl>
    <w:p w14:paraId="70F15317" w14:textId="77777777" w:rsidR="006D5377" w:rsidRPr="00F3433B" w:rsidRDefault="006D5377" w:rsidP="006D5377">
      <w:pPr>
        <w:widowControl w:val="0"/>
        <w:autoSpaceDE w:val="0"/>
        <w:autoSpaceDN w:val="0"/>
        <w:adjustRightInd w:val="0"/>
        <w:spacing w:after="0" w:line="240" w:lineRule="auto"/>
        <w:rPr>
          <w:rFonts w:ascii="Times New Roman" w:hAnsi="Times New Roman" w:cs="Times New Roman"/>
          <w:sz w:val="12"/>
          <w:szCs w:val="12"/>
        </w:rPr>
      </w:pPr>
      <w:r w:rsidRPr="00F3433B">
        <w:rPr>
          <w:rFonts w:ascii="Times New Roman" w:hAnsi="Times New Roman" w:cs="Times New Roman"/>
          <w:i/>
          <w:iCs/>
          <w:sz w:val="12"/>
          <w:szCs w:val="12"/>
        </w:rPr>
        <w:t>t</w:t>
      </w:r>
      <w:r w:rsidRPr="00F3433B">
        <w:rPr>
          <w:rFonts w:ascii="Times New Roman" w:hAnsi="Times New Roman" w:cs="Times New Roman"/>
          <w:sz w:val="12"/>
          <w:szCs w:val="12"/>
        </w:rPr>
        <w:t xml:space="preserve"> statistics in parentheses</w:t>
      </w:r>
    </w:p>
    <w:p w14:paraId="750D9FD9" w14:textId="77777777" w:rsidR="006D5377" w:rsidRPr="00F3433B" w:rsidRDefault="006D5377" w:rsidP="006D5377">
      <w:pPr>
        <w:widowControl w:val="0"/>
        <w:autoSpaceDE w:val="0"/>
        <w:autoSpaceDN w:val="0"/>
        <w:adjustRightInd w:val="0"/>
        <w:spacing w:after="0" w:line="240" w:lineRule="auto"/>
        <w:rPr>
          <w:rFonts w:ascii="Times New Roman" w:hAnsi="Times New Roman" w:cs="Times New Roman"/>
          <w:sz w:val="12"/>
          <w:szCs w:val="12"/>
        </w:rPr>
      </w:pPr>
      <w:r w:rsidRPr="00F3433B">
        <w:rPr>
          <w:rFonts w:ascii="Times New Roman" w:hAnsi="Times New Roman" w:cs="Times New Roman"/>
          <w:sz w:val="12"/>
          <w:szCs w:val="12"/>
          <w:vertAlign w:val="superscript"/>
        </w:rPr>
        <w:t>*</w:t>
      </w:r>
      <w:r w:rsidRPr="00F3433B">
        <w:rPr>
          <w:rFonts w:ascii="Times New Roman" w:hAnsi="Times New Roman" w:cs="Times New Roman"/>
          <w:sz w:val="12"/>
          <w:szCs w:val="12"/>
        </w:rPr>
        <w:t xml:space="preserve"> </w:t>
      </w:r>
      <w:r w:rsidRPr="00F3433B">
        <w:rPr>
          <w:rFonts w:ascii="Times New Roman" w:hAnsi="Times New Roman" w:cs="Times New Roman"/>
          <w:i/>
          <w:iCs/>
          <w:sz w:val="12"/>
          <w:szCs w:val="12"/>
        </w:rPr>
        <w:t>p</w:t>
      </w:r>
      <w:r w:rsidRPr="00F3433B">
        <w:rPr>
          <w:rFonts w:ascii="Times New Roman" w:hAnsi="Times New Roman" w:cs="Times New Roman"/>
          <w:sz w:val="12"/>
          <w:szCs w:val="12"/>
        </w:rPr>
        <w:t xml:space="preserve"> &lt; 0.05, </w:t>
      </w:r>
      <w:r w:rsidRPr="00F3433B">
        <w:rPr>
          <w:rFonts w:ascii="Times New Roman" w:hAnsi="Times New Roman" w:cs="Times New Roman"/>
          <w:sz w:val="12"/>
          <w:szCs w:val="12"/>
          <w:vertAlign w:val="superscript"/>
        </w:rPr>
        <w:t>**</w:t>
      </w:r>
      <w:r w:rsidRPr="00F3433B">
        <w:rPr>
          <w:rFonts w:ascii="Times New Roman" w:hAnsi="Times New Roman" w:cs="Times New Roman"/>
          <w:sz w:val="12"/>
          <w:szCs w:val="12"/>
        </w:rPr>
        <w:t xml:space="preserve"> </w:t>
      </w:r>
      <w:r w:rsidRPr="00F3433B">
        <w:rPr>
          <w:rFonts w:ascii="Times New Roman" w:hAnsi="Times New Roman" w:cs="Times New Roman"/>
          <w:i/>
          <w:iCs/>
          <w:sz w:val="12"/>
          <w:szCs w:val="12"/>
        </w:rPr>
        <w:t>p</w:t>
      </w:r>
      <w:r w:rsidRPr="00F3433B">
        <w:rPr>
          <w:rFonts w:ascii="Times New Roman" w:hAnsi="Times New Roman" w:cs="Times New Roman"/>
          <w:sz w:val="12"/>
          <w:szCs w:val="12"/>
        </w:rPr>
        <w:t xml:space="preserve"> &lt; 0.01, </w:t>
      </w:r>
      <w:r w:rsidRPr="00F3433B">
        <w:rPr>
          <w:rFonts w:ascii="Times New Roman" w:hAnsi="Times New Roman" w:cs="Times New Roman"/>
          <w:sz w:val="12"/>
          <w:szCs w:val="12"/>
          <w:vertAlign w:val="superscript"/>
        </w:rPr>
        <w:t>***</w:t>
      </w:r>
      <w:r w:rsidRPr="00F3433B">
        <w:rPr>
          <w:rFonts w:ascii="Times New Roman" w:hAnsi="Times New Roman" w:cs="Times New Roman"/>
          <w:sz w:val="12"/>
          <w:szCs w:val="12"/>
        </w:rPr>
        <w:t xml:space="preserve"> </w:t>
      </w:r>
      <w:r w:rsidRPr="00F3433B">
        <w:rPr>
          <w:rFonts w:ascii="Times New Roman" w:hAnsi="Times New Roman" w:cs="Times New Roman"/>
          <w:i/>
          <w:iCs/>
          <w:sz w:val="12"/>
          <w:szCs w:val="12"/>
        </w:rPr>
        <w:t>p</w:t>
      </w:r>
      <w:r w:rsidRPr="00F3433B">
        <w:rPr>
          <w:rFonts w:ascii="Times New Roman" w:hAnsi="Times New Roman" w:cs="Times New Roman"/>
          <w:sz w:val="12"/>
          <w:szCs w:val="12"/>
        </w:rPr>
        <w:t xml:space="preserve"> &lt; 0.001</w:t>
      </w:r>
    </w:p>
    <w:p w14:paraId="26BA49D6" w14:textId="3B513166" w:rsidR="006D5377" w:rsidRDefault="006D5377" w:rsidP="006D5377">
      <w:pPr>
        <w:widowControl w:val="0"/>
        <w:autoSpaceDE w:val="0"/>
        <w:autoSpaceDN w:val="0"/>
        <w:adjustRightInd w:val="0"/>
        <w:spacing w:after="0" w:line="240" w:lineRule="auto"/>
        <w:rPr>
          <w:rFonts w:ascii="Times New Roman" w:hAnsi="Times New Roman" w:cs="Times New Roman"/>
          <w:sz w:val="24"/>
          <w:szCs w:val="24"/>
        </w:rPr>
      </w:pPr>
    </w:p>
    <w:p w14:paraId="34E0E64E" w14:textId="13AB786B" w:rsidR="00B50522" w:rsidRDefault="00681B12" w:rsidP="008350DE">
      <w:r>
        <w:t>Signs appear unclear for a lagged ordinal logit model containing de facto CBI and fixed exchange rates.</w:t>
      </w:r>
      <w:r w:rsidR="00194B48">
        <w:t xml:space="preserve"> For the head of state variable</w:t>
      </w:r>
      <w:r w:rsidR="007441DF">
        <w:t xml:space="preserve"> in particular</w:t>
      </w:r>
      <w:r w:rsidR="00194B48">
        <w:t>, signs for de facto CBI swing wildly</w:t>
      </w:r>
      <w:r w:rsidR="007441DF">
        <w:t xml:space="preserve">. The same is generally the case for the few significant instances </w:t>
      </w:r>
      <w:r w:rsidR="0086119C">
        <w:t xml:space="preserve">of significance for fixed rates and the interaction of de facto CBI and fixed rates, with different signs </w:t>
      </w:r>
      <w:r w:rsidR="008A7CA6">
        <w:t>for 6 and 7 year lags.</w:t>
      </w:r>
      <w:r w:rsidR="008B6FB2">
        <w:t xml:space="preserve"> Overall, a</w:t>
      </w:r>
      <w:r w:rsidR="00702DA7">
        <w:t xml:space="preserve">n effect </w:t>
      </w:r>
      <w:r w:rsidR="008B6FB2">
        <w:t xml:space="preserve">in the lagged model for de facto CBI is difficult to </w:t>
      </w:r>
      <w:r w:rsidR="00702DA7">
        <w:t>identify.</w:t>
      </w:r>
    </w:p>
    <w:p w14:paraId="3D3306AC" w14:textId="77777777" w:rsidR="00B50522" w:rsidRDefault="00B50522" w:rsidP="006D5377">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AB0274" w:rsidRPr="00C40C4F" w14:paraId="63F861A5" w14:textId="77777777" w:rsidTr="00015B88">
        <w:tc>
          <w:tcPr>
            <w:tcW w:w="2136" w:type="dxa"/>
            <w:tcBorders>
              <w:top w:val="single" w:sz="4" w:space="0" w:color="auto"/>
              <w:left w:val="nil"/>
              <w:bottom w:val="nil"/>
              <w:right w:val="nil"/>
            </w:tcBorders>
          </w:tcPr>
          <w:p w14:paraId="43C9EB10"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single" w:sz="4" w:space="0" w:color="auto"/>
              <w:left w:val="nil"/>
              <w:bottom w:val="nil"/>
              <w:right w:val="nil"/>
            </w:tcBorders>
          </w:tcPr>
          <w:p w14:paraId="344BAB5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w:t>
            </w:r>
          </w:p>
        </w:tc>
        <w:tc>
          <w:tcPr>
            <w:tcW w:w="1656" w:type="dxa"/>
            <w:tcBorders>
              <w:top w:val="single" w:sz="4" w:space="0" w:color="auto"/>
              <w:left w:val="nil"/>
              <w:bottom w:val="nil"/>
              <w:right w:val="nil"/>
            </w:tcBorders>
          </w:tcPr>
          <w:p w14:paraId="55F81F7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(2)</w:t>
            </w:r>
          </w:p>
        </w:tc>
        <w:tc>
          <w:tcPr>
            <w:tcW w:w="1656" w:type="dxa"/>
            <w:tcBorders>
              <w:top w:val="single" w:sz="4" w:space="0" w:color="auto"/>
              <w:left w:val="nil"/>
              <w:bottom w:val="nil"/>
              <w:right w:val="nil"/>
            </w:tcBorders>
          </w:tcPr>
          <w:p w14:paraId="2ADCC8D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(3)</w:t>
            </w:r>
          </w:p>
        </w:tc>
        <w:tc>
          <w:tcPr>
            <w:tcW w:w="1656" w:type="dxa"/>
            <w:tcBorders>
              <w:top w:val="single" w:sz="4" w:space="0" w:color="auto"/>
              <w:left w:val="nil"/>
              <w:bottom w:val="nil"/>
              <w:right w:val="nil"/>
            </w:tcBorders>
          </w:tcPr>
          <w:p w14:paraId="7310BB8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(4)</w:t>
            </w:r>
          </w:p>
        </w:tc>
      </w:tr>
      <w:tr w:rsidR="00AB0274" w:rsidRPr="00C40C4F" w14:paraId="554A1D3A" w14:textId="77777777" w:rsidTr="00015B88">
        <w:tc>
          <w:tcPr>
            <w:tcW w:w="2136" w:type="dxa"/>
            <w:tcBorders>
              <w:top w:val="nil"/>
              <w:left w:val="nil"/>
              <w:bottom w:val="nil"/>
              <w:right w:val="nil"/>
            </w:tcBorders>
          </w:tcPr>
          <w:p w14:paraId="4AC6EB2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C382CC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Head of Govt. Turnover</w:t>
            </w:r>
          </w:p>
        </w:tc>
        <w:tc>
          <w:tcPr>
            <w:tcW w:w="1656" w:type="dxa"/>
            <w:tcBorders>
              <w:top w:val="nil"/>
              <w:left w:val="nil"/>
              <w:bottom w:val="nil"/>
              <w:right w:val="nil"/>
            </w:tcBorders>
          </w:tcPr>
          <w:p w14:paraId="221BBB6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Head of State Turnover</w:t>
            </w:r>
          </w:p>
        </w:tc>
        <w:tc>
          <w:tcPr>
            <w:tcW w:w="1656" w:type="dxa"/>
            <w:tcBorders>
              <w:top w:val="nil"/>
              <w:left w:val="nil"/>
              <w:bottom w:val="nil"/>
              <w:right w:val="nil"/>
            </w:tcBorders>
          </w:tcPr>
          <w:p w14:paraId="1CF1D6E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Lower House Turnover</w:t>
            </w:r>
          </w:p>
        </w:tc>
        <w:tc>
          <w:tcPr>
            <w:tcW w:w="1656" w:type="dxa"/>
            <w:tcBorders>
              <w:top w:val="nil"/>
              <w:left w:val="nil"/>
              <w:bottom w:val="nil"/>
              <w:right w:val="nil"/>
            </w:tcBorders>
          </w:tcPr>
          <w:p w14:paraId="04CD5BD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Instability Event Indicator</w:t>
            </w:r>
          </w:p>
        </w:tc>
      </w:tr>
      <w:tr w:rsidR="00AB0274" w:rsidRPr="00C40C4F" w14:paraId="1CA7A8D5" w14:textId="77777777" w:rsidTr="00015B88">
        <w:tc>
          <w:tcPr>
            <w:tcW w:w="2136" w:type="dxa"/>
            <w:tcBorders>
              <w:top w:val="single" w:sz="4" w:space="0" w:color="auto"/>
              <w:left w:val="nil"/>
              <w:bottom w:val="nil"/>
              <w:right w:val="nil"/>
            </w:tcBorders>
          </w:tcPr>
          <w:p w14:paraId="17502226"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main</w:t>
            </w:r>
          </w:p>
        </w:tc>
        <w:tc>
          <w:tcPr>
            <w:tcW w:w="1656" w:type="dxa"/>
            <w:tcBorders>
              <w:top w:val="single" w:sz="4" w:space="0" w:color="auto"/>
              <w:left w:val="nil"/>
              <w:bottom w:val="nil"/>
              <w:right w:val="nil"/>
            </w:tcBorders>
          </w:tcPr>
          <w:p w14:paraId="783ACAB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single" w:sz="4" w:space="0" w:color="auto"/>
              <w:left w:val="nil"/>
              <w:bottom w:val="nil"/>
              <w:right w:val="nil"/>
            </w:tcBorders>
          </w:tcPr>
          <w:p w14:paraId="0280CB0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single" w:sz="4" w:space="0" w:color="auto"/>
              <w:left w:val="nil"/>
              <w:bottom w:val="nil"/>
              <w:right w:val="nil"/>
            </w:tcBorders>
          </w:tcPr>
          <w:p w14:paraId="21FA2DC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single" w:sz="4" w:space="0" w:color="auto"/>
              <w:left w:val="nil"/>
              <w:bottom w:val="nil"/>
              <w:right w:val="nil"/>
            </w:tcBorders>
          </w:tcPr>
          <w:p w14:paraId="15BA06E8"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r>
      <w:tr w:rsidR="00AB0274" w:rsidRPr="00C40C4F" w14:paraId="1AFC9E87" w14:textId="77777777" w:rsidTr="00015B88">
        <w:tc>
          <w:tcPr>
            <w:tcW w:w="2136" w:type="dxa"/>
            <w:tcBorders>
              <w:top w:val="nil"/>
              <w:left w:val="nil"/>
              <w:bottom w:val="nil"/>
              <w:right w:val="nil"/>
            </w:tcBorders>
          </w:tcPr>
          <w:p w14:paraId="6704AFD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(Lack of) Irregular CB Governor Turnover (higher = more de facto CBI)</w:t>
            </w:r>
          </w:p>
        </w:tc>
        <w:tc>
          <w:tcPr>
            <w:tcW w:w="1656" w:type="dxa"/>
            <w:tcBorders>
              <w:top w:val="nil"/>
              <w:left w:val="nil"/>
              <w:bottom w:val="nil"/>
              <w:right w:val="nil"/>
            </w:tcBorders>
          </w:tcPr>
          <w:p w14:paraId="39DAE1B6"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-0.330</w:t>
            </w:r>
          </w:p>
        </w:tc>
        <w:tc>
          <w:tcPr>
            <w:tcW w:w="1656" w:type="dxa"/>
            <w:tcBorders>
              <w:top w:val="nil"/>
              <w:left w:val="nil"/>
              <w:bottom w:val="nil"/>
              <w:right w:val="nil"/>
            </w:tcBorders>
          </w:tcPr>
          <w:p w14:paraId="1D11E0B5"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-1.120</w:t>
            </w:r>
          </w:p>
        </w:tc>
        <w:tc>
          <w:tcPr>
            <w:tcW w:w="1656" w:type="dxa"/>
            <w:tcBorders>
              <w:top w:val="nil"/>
              <w:left w:val="nil"/>
              <w:bottom w:val="nil"/>
              <w:right w:val="nil"/>
            </w:tcBorders>
          </w:tcPr>
          <w:p w14:paraId="51E62E35"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-0.820</w:t>
            </w:r>
          </w:p>
        </w:tc>
        <w:tc>
          <w:tcPr>
            <w:tcW w:w="1656" w:type="dxa"/>
            <w:tcBorders>
              <w:top w:val="nil"/>
              <w:left w:val="nil"/>
              <w:bottom w:val="nil"/>
              <w:right w:val="nil"/>
            </w:tcBorders>
          </w:tcPr>
          <w:p w14:paraId="068798C6"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-0.0636</w:t>
            </w:r>
          </w:p>
        </w:tc>
      </w:tr>
      <w:tr w:rsidR="00AB0274" w:rsidRPr="00C40C4F" w14:paraId="2D8409F8" w14:textId="77777777" w:rsidTr="00015B88">
        <w:tc>
          <w:tcPr>
            <w:tcW w:w="2136" w:type="dxa"/>
            <w:tcBorders>
              <w:top w:val="nil"/>
              <w:left w:val="nil"/>
              <w:bottom w:val="nil"/>
              <w:right w:val="nil"/>
            </w:tcBorders>
          </w:tcPr>
          <w:p w14:paraId="685A562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CA8812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(-0.72)</w:t>
            </w:r>
          </w:p>
        </w:tc>
        <w:tc>
          <w:tcPr>
            <w:tcW w:w="1656" w:type="dxa"/>
            <w:tcBorders>
              <w:top w:val="nil"/>
              <w:left w:val="nil"/>
              <w:bottom w:val="nil"/>
              <w:right w:val="nil"/>
            </w:tcBorders>
          </w:tcPr>
          <w:p w14:paraId="176F33E6"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(-1.95)</w:t>
            </w:r>
          </w:p>
        </w:tc>
        <w:tc>
          <w:tcPr>
            <w:tcW w:w="1656" w:type="dxa"/>
            <w:tcBorders>
              <w:top w:val="nil"/>
              <w:left w:val="nil"/>
              <w:bottom w:val="nil"/>
              <w:right w:val="nil"/>
            </w:tcBorders>
          </w:tcPr>
          <w:p w14:paraId="2026AEB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(-1.94)</w:t>
            </w:r>
          </w:p>
        </w:tc>
        <w:tc>
          <w:tcPr>
            <w:tcW w:w="1656" w:type="dxa"/>
            <w:tcBorders>
              <w:top w:val="nil"/>
              <w:left w:val="nil"/>
              <w:bottom w:val="nil"/>
              <w:right w:val="nil"/>
            </w:tcBorders>
          </w:tcPr>
          <w:p w14:paraId="070A3446"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(-0.24)</w:t>
            </w:r>
          </w:p>
        </w:tc>
      </w:tr>
      <w:tr w:rsidR="00AB0274" w:rsidRPr="00C40C4F" w14:paraId="7967FC59" w14:textId="77777777" w:rsidTr="00015B88">
        <w:tc>
          <w:tcPr>
            <w:tcW w:w="2136" w:type="dxa"/>
            <w:tcBorders>
              <w:top w:val="nil"/>
              <w:left w:val="nil"/>
              <w:bottom w:val="nil"/>
              <w:right w:val="nil"/>
            </w:tcBorders>
          </w:tcPr>
          <w:p w14:paraId="3D7F2CD6"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2E7DAFE"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3C9268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6D7E43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35B8772"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3227CF70" w14:textId="77777777" w:rsidTr="00015B88">
        <w:tc>
          <w:tcPr>
            <w:tcW w:w="2136" w:type="dxa"/>
            <w:tcBorders>
              <w:top w:val="nil"/>
              <w:left w:val="nil"/>
              <w:bottom w:val="nil"/>
              <w:right w:val="nil"/>
            </w:tcBorders>
          </w:tcPr>
          <w:p w14:paraId="2548DDA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Exchange Rate Classification (RR inverted, higher = more fixed)</w:t>
            </w:r>
          </w:p>
        </w:tc>
        <w:tc>
          <w:tcPr>
            <w:tcW w:w="1656" w:type="dxa"/>
            <w:tcBorders>
              <w:top w:val="nil"/>
              <w:left w:val="nil"/>
              <w:bottom w:val="nil"/>
              <w:right w:val="nil"/>
            </w:tcBorders>
          </w:tcPr>
          <w:p w14:paraId="776C9BF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-0.0125</w:t>
            </w:r>
          </w:p>
        </w:tc>
        <w:tc>
          <w:tcPr>
            <w:tcW w:w="1656" w:type="dxa"/>
            <w:tcBorders>
              <w:top w:val="nil"/>
              <w:left w:val="nil"/>
              <w:bottom w:val="nil"/>
              <w:right w:val="nil"/>
            </w:tcBorders>
          </w:tcPr>
          <w:p w14:paraId="1CA96C4A"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-0.165</w:t>
            </w:r>
            <w:r w:rsidRPr="00C40C4F">
              <w:rPr>
                <w:rFonts w:ascii="Times New Roman" w:hAnsi="Times New Roman" w:cs="Times New Roman"/>
                <w:sz w:val="20"/>
                <w:szCs w:val="20"/>
                <w:vertAlign w:val="superscript"/>
              </w:rPr>
              <w:t>*</w:t>
            </w:r>
          </w:p>
        </w:tc>
        <w:tc>
          <w:tcPr>
            <w:tcW w:w="1656" w:type="dxa"/>
            <w:tcBorders>
              <w:top w:val="nil"/>
              <w:left w:val="nil"/>
              <w:bottom w:val="nil"/>
              <w:right w:val="nil"/>
            </w:tcBorders>
          </w:tcPr>
          <w:p w14:paraId="2AAC2707"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0.0277</w:t>
            </w:r>
          </w:p>
        </w:tc>
        <w:tc>
          <w:tcPr>
            <w:tcW w:w="1656" w:type="dxa"/>
            <w:tcBorders>
              <w:top w:val="nil"/>
              <w:left w:val="nil"/>
              <w:bottom w:val="nil"/>
              <w:right w:val="nil"/>
            </w:tcBorders>
          </w:tcPr>
          <w:p w14:paraId="296210B6"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0.0384</w:t>
            </w:r>
          </w:p>
        </w:tc>
      </w:tr>
      <w:tr w:rsidR="00AB0274" w:rsidRPr="00C40C4F" w14:paraId="41CBC423" w14:textId="77777777" w:rsidTr="00015B88">
        <w:tc>
          <w:tcPr>
            <w:tcW w:w="2136" w:type="dxa"/>
            <w:tcBorders>
              <w:top w:val="nil"/>
              <w:left w:val="nil"/>
              <w:bottom w:val="nil"/>
              <w:right w:val="nil"/>
            </w:tcBorders>
          </w:tcPr>
          <w:p w14:paraId="3C4DD3CE"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0C350B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(-0.20)</w:t>
            </w:r>
          </w:p>
        </w:tc>
        <w:tc>
          <w:tcPr>
            <w:tcW w:w="1656" w:type="dxa"/>
            <w:tcBorders>
              <w:top w:val="nil"/>
              <w:left w:val="nil"/>
              <w:bottom w:val="nil"/>
              <w:right w:val="nil"/>
            </w:tcBorders>
          </w:tcPr>
          <w:p w14:paraId="2FFB5B63"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(-2.13)</w:t>
            </w:r>
          </w:p>
        </w:tc>
        <w:tc>
          <w:tcPr>
            <w:tcW w:w="1656" w:type="dxa"/>
            <w:tcBorders>
              <w:top w:val="nil"/>
              <w:left w:val="nil"/>
              <w:bottom w:val="nil"/>
              <w:right w:val="nil"/>
            </w:tcBorders>
          </w:tcPr>
          <w:p w14:paraId="58EDAA9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(0.46)</w:t>
            </w:r>
          </w:p>
        </w:tc>
        <w:tc>
          <w:tcPr>
            <w:tcW w:w="1656" w:type="dxa"/>
            <w:tcBorders>
              <w:top w:val="nil"/>
              <w:left w:val="nil"/>
              <w:bottom w:val="nil"/>
              <w:right w:val="nil"/>
            </w:tcBorders>
          </w:tcPr>
          <w:p w14:paraId="30B5996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(0.86)</w:t>
            </w:r>
          </w:p>
        </w:tc>
      </w:tr>
      <w:tr w:rsidR="00AB0274" w:rsidRPr="00C40C4F" w14:paraId="0A341684" w14:textId="77777777" w:rsidTr="00015B88">
        <w:tc>
          <w:tcPr>
            <w:tcW w:w="2136" w:type="dxa"/>
            <w:tcBorders>
              <w:top w:val="nil"/>
              <w:left w:val="nil"/>
              <w:bottom w:val="nil"/>
              <w:right w:val="nil"/>
            </w:tcBorders>
          </w:tcPr>
          <w:p w14:paraId="41304EE0"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54ED13F"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BBE50F9"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F3560A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DCA0524"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501373A8" w14:textId="77777777" w:rsidTr="00015B88">
        <w:tc>
          <w:tcPr>
            <w:tcW w:w="2136" w:type="dxa"/>
            <w:tcBorders>
              <w:top w:val="nil"/>
              <w:left w:val="nil"/>
              <w:bottom w:val="nil"/>
              <w:right w:val="nil"/>
            </w:tcBorders>
          </w:tcPr>
          <w:p w14:paraId="0B5070A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De Facto CBI * More Fixed Rate</w:t>
            </w:r>
          </w:p>
        </w:tc>
        <w:tc>
          <w:tcPr>
            <w:tcW w:w="1656" w:type="dxa"/>
            <w:tcBorders>
              <w:top w:val="nil"/>
              <w:left w:val="nil"/>
              <w:bottom w:val="nil"/>
              <w:right w:val="nil"/>
            </w:tcBorders>
          </w:tcPr>
          <w:p w14:paraId="27FEF1C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-0.00245</w:t>
            </w:r>
          </w:p>
        </w:tc>
        <w:tc>
          <w:tcPr>
            <w:tcW w:w="1656" w:type="dxa"/>
            <w:tcBorders>
              <w:top w:val="nil"/>
              <w:left w:val="nil"/>
              <w:bottom w:val="nil"/>
              <w:right w:val="nil"/>
            </w:tcBorders>
          </w:tcPr>
          <w:p w14:paraId="7A8DB508"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0.135</w:t>
            </w:r>
          </w:p>
        </w:tc>
        <w:tc>
          <w:tcPr>
            <w:tcW w:w="1656" w:type="dxa"/>
            <w:tcBorders>
              <w:top w:val="nil"/>
              <w:left w:val="nil"/>
              <w:bottom w:val="nil"/>
              <w:right w:val="nil"/>
            </w:tcBorders>
          </w:tcPr>
          <w:p w14:paraId="2966E307"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0.0291</w:t>
            </w:r>
          </w:p>
        </w:tc>
        <w:tc>
          <w:tcPr>
            <w:tcW w:w="1656" w:type="dxa"/>
            <w:tcBorders>
              <w:top w:val="nil"/>
              <w:left w:val="nil"/>
              <w:bottom w:val="nil"/>
              <w:right w:val="nil"/>
            </w:tcBorders>
          </w:tcPr>
          <w:p w14:paraId="6B204567"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0.0323</w:t>
            </w:r>
          </w:p>
        </w:tc>
      </w:tr>
      <w:tr w:rsidR="00AB0274" w:rsidRPr="00C40C4F" w14:paraId="409D72DD" w14:textId="77777777" w:rsidTr="00015B88">
        <w:tc>
          <w:tcPr>
            <w:tcW w:w="2136" w:type="dxa"/>
            <w:tcBorders>
              <w:top w:val="nil"/>
              <w:left w:val="nil"/>
              <w:bottom w:val="nil"/>
              <w:right w:val="nil"/>
            </w:tcBorders>
          </w:tcPr>
          <w:p w14:paraId="1548DBF6"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72B1D5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(-0.05)</w:t>
            </w:r>
          </w:p>
        </w:tc>
        <w:tc>
          <w:tcPr>
            <w:tcW w:w="1656" w:type="dxa"/>
            <w:tcBorders>
              <w:top w:val="nil"/>
              <w:left w:val="nil"/>
              <w:bottom w:val="nil"/>
              <w:right w:val="nil"/>
            </w:tcBorders>
          </w:tcPr>
          <w:p w14:paraId="3C129769"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(1.83)</w:t>
            </w:r>
          </w:p>
        </w:tc>
        <w:tc>
          <w:tcPr>
            <w:tcW w:w="1656" w:type="dxa"/>
            <w:tcBorders>
              <w:top w:val="nil"/>
              <w:left w:val="nil"/>
              <w:bottom w:val="nil"/>
              <w:right w:val="nil"/>
            </w:tcBorders>
          </w:tcPr>
          <w:p w14:paraId="30475F1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(0.61)</w:t>
            </w:r>
          </w:p>
        </w:tc>
        <w:tc>
          <w:tcPr>
            <w:tcW w:w="1656" w:type="dxa"/>
            <w:tcBorders>
              <w:top w:val="nil"/>
              <w:left w:val="nil"/>
              <w:bottom w:val="nil"/>
              <w:right w:val="nil"/>
            </w:tcBorders>
          </w:tcPr>
          <w:p w14:paraId="3D17442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(0.92)</w:t>
            </w:r>
          </w:p>
        </w:tc>
      </w:tr>
      <w:tr w:rsidR="00AB0274" w:rsidRPr="00C40C4F" w14:paraId="1F2EE93B" w14:textId="77777777" w:rsidTr="00015B88">
        <w:tc>
          <w:tcPr>
            <w:tcW w:w="2136" w:type="dxa"/>
            <w:tcBorders>
              <w:top w:val="nil"/>
              <w:left w:val="nil"/>
              <w:bottom w:val="nil"/>
              <w:right w:val="nil"/>
            </w:tcBorders>
          </w:tcPr>
          <w:p w14:paraId="734C700F"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673DF3E"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64827A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9266BF2"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207C575"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01E6F6FE" w14:textId="77777777" w:rsidTr="00015B88">
        <w:tc>
          <w:tcPr>
            <w:tcW w:w="2136" w:type="dxa"/>
            <w:tcBorders>
              <w:top w:val="nil"/>
              <w:left w:val="nil"/>
              <w:bottom w:val="nil"/>
              <w:right w:val="nil"/>
            </w:tcBorders>
          </w:tcPr>
          <w:p w14:paraId="65B63A19"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L.(Lack of) Irregular CB Governor Turnover (higher = more de facto CBI)</w:t>
            </w:r>
          </w:p>
        </w:tc>
        <w:tc>
          <w:tcPr>
            <w:tcW w:w="1656" w:type="dxa"/>
            <w:tcBorders>
              <w:top w:val="nil"/>
              <w:left w:val="nil"/>
              <w:bottom w:val="nil"/>
              <w:right w:val="nil"/>
            </w:tcBorders>
          </w:tcPr>
          <w:p w14:paraId="1ADFBDB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-0.171</w:t>
            </w:r>
          </w:p>
        </w:tc>
        <w:tc>
          <w:tcPr>
            <w:tcW w:w="1656" w:type="dxa"/>
            <w:tcBorders>
              <w:top w:val="nil"/>
              <w:left w:val="nil"/>
              <w:bottom w:val="nil"/>
              <w:right w:val="nil"/>
            </w:tcBorders>
          </w:tcPr>
          <w:p w14:paraId="147E70F3"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-0.297</w:t>
            </w:r>
          </w:p>
        </w:tc>
        <w:tc>
          <w:tcPr>
            <w:tcW w:w="1656" w:type="dxa"/>
            <w:tcBorders>
              <w:top w:val="nil"/>
              <w:left w:val="nil"/>
              <w:bottom w:val="nil"/>
              <w:right w:val="nil"/>
            </w:tcBorders>
          </w:tcPr>
          <w:p w14:paraId="51BFCEBA"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-0.497</w:t>
            </w:r>
          </w:p>
        </w:tc>
        <w:tc>
          <w:tcPr>
            <w:tcW w:w="1656" w:type="dxa"/>
            <w:tcBorders>
              <w:top w:val="nil"/>
              <w:left w:val="nil"/>
              <w:bottom w:val="nil"/>
              <w:right w:val="nil"/>
            </w:tcBorders>
          </w:tcPr>
          <w:p w14:paraId="466A951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0.334</w:t>
            </w:r>
          </w:p>
        </w:tc>
      </w:tr>
      <w:tr w:rsidR="00AB0274" w:rsidRPr="00C40C4F" w14:paraId="459DBC5F" w14:textId="77777777" w:rsidTr="00015B88">
        <w:tc>
          <w:tcPr>
            <w:tcW w:w="2136" w:type="dxa"/>
            <w:tcBorders>
              <w:top w:val="nil"/>
              <w:left w:val="nil"/>
              <w:bottom w:val="nil"/>
              <w:right w:val="nil"/>
            </w:tcBorders>
          </w:tcPr>
          <w:p w14:paraId="149E1B02"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07EE01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(-0.40)</w:t>
            </w:r>
          </w:p>
        </w:tc>
        <w:tc>
          <w:tcPr>
            <w:tcW w:w="1656" w:type="dxa"/>
            <w:tcBorders>
              <w:top w:val="nil"/>
              <w:left w:val="nil"/>
              <w:bottom w:val="nil"/>
              <w:right w:val="nil"/>
            </w:tcBorders>
          </w:tcPr>
          <w:p w14:paraId="6E66A977"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(-0.61)</w:t>
            </w:r>
          </w:p>
        </w:tc>
        <w:tc>
          <w:tcPr>
            <w:tcW w:w="1656" w:type="dxa"/>
            <w:tcBorders>
              <w:top w:val="nil"/>
              <w:left w:val="nil"/>
              <w:bottom w:val="nil"/>
              <w:right w:val="nil"/>
            </w:tcBorders>
          </w:tcPr>
          <w:p w14:paraId="73802A65"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(-1.03)</w:t>
            </w:r>
          </w:p>
        </w:tc>
        <w:tc>
          <w:tcPr>
            <w:tcW w:w="1656" w:type="dxa"/>
            <w:tcBorders>
              <w:top w:val="nil"/>
              <w:left w:val="nil"/>
              <w:bottom w:val="nil"/>
              <w:right w:val="nil"/>
            </w:tcBorders>
          </w:tcPr>
          <w:p w14:paraId="16E761C0"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(1.34)</w:t>
            </w:r>
          </w:p>
        </w:tc>
      </w:tr>
      <w:tr w:rsidR="00AB0274" w:rsidRPr="00C40C4F" w14:paraId="6D108093" w14:textId="77777777" w:rsidTr="00015B88">
        <w:tc>
          <w:tcPr>
            <w:tcW w:w="2136" w:type="dxa"/>
            <w:tcBorders>
              <w:top w:val="nil"/>
              <w:left w:val="nil"/>
              <w:bottom w:val="nil"/>
              <w:right w:val="nil"/>
            </w:tcBorders>
          </w:tcPr>
          <w:p w14:paraId="4F505623"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8055D72"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0DECB5C"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E2C664E"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85DAF07"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6E8F1429" w14:textId="77777777" w:rsidTr="00015B88">
        <w:tc>
          <w:tcPr>
            <w:tcW w:w="2136" w:type="dxa"/>
            <w:tcBorders>
              <w:top w:val="nil"/>
              <w:left w:val="nil"/>
              <w:bottom w:val="nil"/>
              <w:right w:val="nil"/>
            </w:tcBorders>
          </w:tcPr>
          <w:p w14:paraId="2D2169DC"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L2.(Lack of) Irregular CB Governor Turnover (higher = more de facto CBI)</w:t>
            </w:r>
          </w:p>
        </w:tc>
        <w:tc>
          <w:tcPr>
            <w:tcW w:w="1656" w:type="dxa"/>
            <w:tcBorders>
              <w:top w:val="nil"/>
              <w:left w:val="nil"/>
              <w:bottom w:val="nil"/>
              <w:right w:val="nil"/>
            </w:tcBorders>
          </w:tcPr>
          <w:p w14:paraId="75E6EA78"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-0.446</w:t>
            </w:r>
          </w:p>
        </w:tc>
        <w:tc>
          <w:tcPr>
            <w:tcW w:w="1656" w:type="dxa"/>
            <w:tcBorders>
              <w:top w:val="nil"/>
              <w:left w:val="nil"/>
              <w:bottom w:val="nil"/>
              <w:right w:val="nil"/>
            </w:tcBorders>
          </w:tcPr>
          <w:p w14:paraId="36BDFDB9"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-0.0844</w:t>
            </w:r>
          </w:p>
        </w:tc>
        <w:tc>
          <w:tcPr>
            <w:tcW w:w="1656" w:type="dxa"/>
            <w:tcBorders>
              <w:top w:val="nil"/>
              <w:left w:val="nil"/>
              <w:bottom w:val="nil"/>
              <w:right w:val="nil"/>
            </w:tcBorders>
          </w:tcPr>
          <w:p w14:paraId="31BB6D10"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-0.555</w:t>
            </w:r>
          </w:p>
        </w:tc>
        <w:tc>
          <w:tcPr>
            <w:tcW w:w="1656" w:type="dxa"/>
            <w:tcBorders>
              <w:top w:val="nil"/>
              <w:left w:val="nil"/>
              <w:bottom w:val="nil"/>
              <w:right w:val="nil"/>
            </w:tcBorders>
          </w:tcPr>
          <w:p w14:paraId="7E53C3E5"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0.120</w:t>
            </w:r>
          </w:p>
        </w:tc>
      </w:tr>
      <w:tr w:rsidR="00AB0274" w:rsidRPr="00C40C4F" w14:paraId="7EAE771C" w14:textId="77777777" w:rsidTr="00015B88">
        <w:tc>
          <w:tcPr>
            <w:tcW w:w="2136" w:type="dxa"/>
            <w:tcBorders>
              <w:top w:val="nil"/>
              <w:left w:val="nil"/>
              <w:bottom w:val="nil"/>
              <w:right w:val="nil"/>
            </w:tcBorders>
          </w:tcPr>
          <w:p w14:paraId="02055F5C"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32806A5"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(-1.16)</w:t>
            </w:r>
          </w:p>
        </w:tc>
        <w:tc>
          <w:tcPr>
            <w:tcW w:w="1656" w:type="dxa"/>
            <w:tcBorders>
              <w:top w:val="nil"/>
              <w:left w:val="nil"/>
              <w:bottom w:val="nil"/>
              <w:right w:val="nil"/>
            </w:tcBorders>
          </w:tcPr>
          <w:p w14:paraId="5193A097"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(-0.17)</w:t>
            </w:r>
          </w:p>
        </w:tc>
        <w:tc>
          <w:tcPr>
            <w:tcW w:w="1656" w:type="dxa"/>
            <w:tcBorders>
              <w:top w:val="nil"/>
              <w:left w:val="nil"/>
              <w:bottom w:val="nil"/>
              <w:right w:val="nil"/>
            </w:tcBorders>
          </w:tcPr>
          <w:p w14:paraId="278497A0"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(-1.26)</w:t>
            </w:r>
          </w:p>
        </w:tc>
        <w:tc>
          <w:tcPr>
            <w:tcW w:w="1656" w:type="dxa"/>
            <w:tcBorders>
              <w:top w:val="nil"/>
              <w:left w:val="nil"/>
              <w:bottom w:val="nil"/>
              <w:right w:val="nil"/>
            </w:tcBorders>
          </w:tcPr>
          <w:p w14:paraId="24B995A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(0.54)</w:t>
            </w:r>
          </w:p>
        </w:tc>
      </w:tr>
      <w:tr w:rsidR="00AB0274" w:rsidRPr="00C40C4F" w14:paraId="20984808" w14:textId="77777777" w:rsidTr="00015B88">
        <w:tc>
          <w:tcPr>
            <w:tcW w:w="2136" w:type="dxa"/>
            <w:tcBorders>
              <w:top w:val="nil"/>
              <w:left w:val="nil"/>
              <w:bottom w:val="nil"/>
              <w:right w:val="nil"/>
            </w:tcBorders>
          </w:tcPr>
          <w:p w14:paraId="061C78C4"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D51B9F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3580C81"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3E46730"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C576A5D"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4E606375" w14:textId="77777777" w:rsidTr="00015B88">
        <w:tc>
          <w:tcPr>
            <w:tcW w:w="2136" w:type="dxa"/>
            <w:tcBorders>
              <w:top w:val="nil"/>
              <w:left w:val="nil"/>
              <w:bottom w:val="nil"/>
              <w:right w:val="nil"/>
            </w:tcBorders>
          </w:tcPr>
          <w:p w14:paraId="0D101102"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L3.(Lack of) Irregular CB Governor Turnover (higher = more de facto CBI)</w:t>
            </w:r>
          </w:p>
        </w:tc>
        <w:tc>
          <w:tcPr>
            <w:tcW w:w="1656" w:type="dxa"/>
            <w:tcBorders>
              <w:top w:val="nil"/>
              <w:left w:val="nil"/>
              <w:bottom w:val="nil"/>
              <w:right w:val="nil"/>
            </w:tcBorders>
          </w:tcPr>
          <w:p w14:paraId="3C6932B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-0.391</w:t>
            </w:r>
          </w:p>
        </w:tc>
        <w:tc>
          <w:tcPr>
            <w:tcW w:w="1656" w:type="dxa"/>
            <w:tcBorders>
              <w:top w:val="nil"/>
              <w:left w:val="nil"/>
              <w:bottom w:val="nil"/>
              <w:right w:val="nil"/>
            </w:tcBorders>
          </w:tcPr>
          <w:p w14:paraId="2ACCABF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-0.270</w:t>
            </w:r>
          </w:p>
        </w:tc>
        <w:tc>
          <w:tcPr>
            <w:tcW w:w="1656" w:type="dxa"/>
            <w:tcBorders>
              <w:top w:val="nil"/>
              <w:left w:val="nil"/>
              <w:bottom w:val="nil"/>
              <w:right w:val="nil"/>
            </w:tcBorders>
          </w:tcPr>
          <w:p w14:paraId="08EF0A9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0.0167</w:t>
            </w:r>
          </w:p>
        </w:tc>
        <w:tc>
          <w:tcPr>
            <w:tcW w:w="1656" w:type="dxa"/>
            <w:tcBorders>
              <w:top w:val="nil"/>
              <w:left w:val="nil"/>
              <w:bottom w:val="nil"/>
              <w:right w:val="nil"/>
            </w:tcBorders>
          </w:tcPr>
          <w:p w14:paraId="5576EC9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-0.112</w:t>
            </w:r>
          </w:p>
        </w:tc>
      </w:tr>
      <w:tr w:rsidR="00AB0274" w:rsidRPr="00C40C4F" w14:paraId="5166EB9E" w14:textId="77777777" w:rsidTr="00015B88">
        <w:tc>
          <w:tcPr>
            <w:tcW w:w="2136" w:type="dxa"/>
            <w:tcBorders>
              <w:top w:val="nil"/>
              <w:left w:val="nil"/>
              <w:bottom w:val="nil"/>
              <w:right w:val="nil"/>
            </w:tcBorders>
          </w:tcPr>
          <w:p w14:paraId="62D4553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6D63DC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(-1.02)</w:t>
            </w:r>
          </w:p>
        </w:tc>
        <w:tc>
          <w:tcPr>
            <w:tcW w:w="1656" w:type="dxa"/>
            <w:tcBorders>
              <w:top w:val="nil"/>
              <w:left w:val="nil"/>
              <w:bottom w:val="nil"/>
              <w:right w:val="nil"/>
            </w:tcBorders>
          </w:tcPr>
          <w:p w14:paraId="640BEAF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(-0.62)</w:t>
            </w:r>
          </w:p>
        </w:tc>
        <w:tc>
          <w:tcPr>
            <w:tcW w:w="1656" w:type="dxa"/>
            <w:tcBorders>
              <w:top w:val="nil"/>
              <w:left w:val="nil"/>
              <w:bottom w:val="nil"/>
              <w:right w:val="nil"/>
            </w:tcBorders>
          </w:tcPr>
          <w:p w14:paraId="38427F2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(0.04)</w:t>
            </w:r>
          </w:p>
        </w:tc>
        <w:tc>
          <w:tcPr>
            <w:tcW w:w="1656" w:type="dxa"/>
            <w:tcBorders>
              <w:top w:val="nil"/>
              <w:left w:val="nil"/>
              <w:bottom w:val="nil"/>
              <w:right w:val="nil"/>
            </w:tcBorders>
          </w:tcPr>
          <w:p w14:paraId="6A15623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(-0.52)</w:t>
            </w:r>
          </w:p>
        </w:tc>
      </w:tr>
      <w:tr w:rsidR="00AB0274" w:rsidRPr="00C40C4F" w14:paraId="0419DCD4" w14:textId="77777777" w:rsidTr="00015B88">
        <w:tc>
          <w:tcPr>
            <w:tcW w:w="2136" w:type="dxa"/>
            <w:tcBorders>
              <w:top w:val="nil"/>
              <w:left w:val="nil"/>
              <w:bottom w:val="nil"/>
              <w:right w:val="nil"/>
            </w:tcBorders>
          </w:tcPr>
          <w:p w14:paraId="7469F957"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08F82DB"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C9BD5F7"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16C265E"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D08C27B"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30DA83C4" w14:textId="77777777" w:rsidTr="00015B88">
        <w:tc>
          <w:tcPr>
            <w:tcW w:w="2136" w:type="dxa"/>
            <w:tcBorders>
              <w:top w:val="nil"/>
              <w:left w:val="nil"/>
              <w:bottom w:val="nil"/>
              <w:right w:val="nil"/>
            </w:tcBorders>
          </w:tcPr>
          <w:p w14:paraId="6F39531B"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L4.(Lack of) Irregular CB Governor Turnover (higher = more de facto CBI)</w:t>
            </w:r>
          </w:p>
        </w:tc>
        <w:tc>
          <w:tcPr>
            <w:tcW w:w="1656" w:type="dxa"/>
            <w:tcBorders>
              <w:top w:val="nil"/>
              <w:left w:val="nil"/>
              <w:bottom w:val="nil"/>
              <w:right w:val="nil"/>
            </w:tcBorders>
          </w:tcPr>
          <w:p w14:paraId="0536257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0.269</w:t>
            </w:r>
          </w:p>
        </w:tc>
        <w:tc>
          <w:tcPr>
            <w:tcW w:w="1656" w:type="dxa"/>
            <w:tcBorders>
              <w:top w:val="nil"/>
              <w:left w:val="nil"/>
              <w:bottom w:val="nil"/>
              <w:right w:val="nil"/>
            </w:tcBorders>
          </w:tcPr>
          <w:p w14:paraId="09478353"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-0.161</w:t>
            </w:r>
          </w:p>
        </w:tc>
        <w:tc>
          <w:tcPr>
            <w:tcW w:w="1656" w:type="dxa"/>
            <w:tcBorders>
              <w:top w:val="nil"/>
              <w:left w:val="nil"/>
              <w:bottom w:val="nil"/>
              <w:right w:val="nil"/>
            </w:tcBorders>
          </w:tcPr>
          <w:p w14:paraId="1785B2C3"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0.666</w:t>
            </w:r>
          </w:p>
        </w:tc>
        <w:tc>
          <w:tcPr>
            <w:tcW w:w="1656" w:type="dxa"/>
            <w:tcBorders>
              <w:top w:val="nil"/>
              <w:left w:val="nil"/>
              <w:bottom w:val="nil"/>
              <w:right w:val="nil"/>
            </w:tcBorders>
          </w:tcPr>
          <w:p w14:paraId="7F27B1B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-0.343</w:t>
            </w:r>
          </w:p>
        </w:tc>
      </w:tr>
      <w:tr w:rsidR="00AB0274" w:rsidRPr="00C40C4F" w14:paraId="717BBAE7" w14:textId="77777777" w:rsidTr="00015B88">
        <w:tc>
          <w:tcPr>
            <w:tcW w:w="2136" w:type="dxa"/>
            <w:tcBorders>
              <w:top w:val="nil"/>
              <w:left w:val="nil"/>
              <w:bottom w:val="nil"/>
              <w:right w:val="nil"/>
            </w:tcBorders>
          </w:tcPr>
          <w:p w14:paraId="49FDC374"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7401D66"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(0.66)</w:t>
            </w:r>
          </w:p>
        </w:tc>
        <w:tc>
          <w:tcPr>
            <w:tcW w:w="1656" w:type="dxa"/>
            <w:tcBorders>
              <w:top w:val="nil"/>
              <w:left w:val="nil"/>
              <w:bottom w:val="nil"/>
              <w:right w:val="nil"/>
            </w:tcBorders>
          </w:tcPr>
          <w:p w14:paraId="61B486E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(-0.32)</w:t>
            </w:r>
          </w:p>
        </w:tc>
        <w:tc>
          <w:tcPr>
            <w:tcW w:w="1656" w:type="dxa"/>
            <w:tcBorders>
              <w:top w:val="nil"/>
              <w:left w:val="nil"/>
              <w:bottom w:val="nil"/>
              <w:right w:val="nil"/>
            </w:tcBorders>
          </w:tcPr>
          <w:p w14:paraId="65A741C0"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(1.53)</w:t>
            </w:r>
          </w:p>
        </w:tc>
        <w:tc>
          <w:tcPr>
            <w:tcW w:w="1656" w:type="dxa"/>
            <w:tcBorders>
              <w:top w:val="nil"/>
              <w:left w:val="nil"/>
              <w:bottom w:val="nil"/>
              <w:right w:val="nil"/>
            </w:tcBorders>
          </w:tcPr>
          <w:p w14:paraId="5C923EB0"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(-1.58)</w:t>
            </w:r>
          </w:p>
        </w:tc>
      </w:tr>
      <w:tr w:rsidR="00AB0274" w:rsidRPr="00C40C4F" w14:paraId="49798002" w14:textId="77777777" w:rsidTr="00015B88">
        <w:tc>
          <w:tcPr>
            <w:tcW w:w="2136" w:type="dxa"/>
            <w:tcBorders>
              <w:top w:val="nil"/>
              <w:left w:val="nil"/>
              <w:bottom w:val="nil"/>
              <w:right w:val="nil"/>
            </w:tcBorders>
          </w:tcPr>
          <w:p w14:paraId="32BE2F5F"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52C284D"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A12F52D"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454AC11"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F59F785"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65A1D0AA" w14:textId="77777777" w:rsidTr="00015B88">
        <w:tc>
          <w:tcPr>
            <w:tcW w:w="2136" w:type="dxa"/>
            <w:tcBorders>
              <w:top w:val="nil"/>
              <w:left w:val="nil"/>
              <w:bottom w:val="nil"/>
              <w:right w:val="nil"/>
            </w:tcBorders>
          </w:tcPr>
          <w:p w14:paraId="5530ACA2"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L5.(Lack of) Irregular CB Governor Turnover (higher = more de facto CBI)</w:t>
            </w:r>
          </w:p>
        </w:tc>
        <w:tc>
          <w:tcPr>
            <w:tcW w:w="1656" w:type="dxa"/>
            <w:tcBorders>
              <w:top w:val="nil"/>
              <w:left w:val="nil"/>
              <w:bottom w:val="nil"/>
              <w:right w:val="nil"/>
            </w:tcBorders>
          </w:tcPr>
          <w:p w14:paraId="475BAFD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0.303</w:t>
            </w:r>
          </w:p>
        </w:tc>
        <w:tc>
          <w:tcPr>
            <w:tcW w:w="1656" w:type="dxa"/>
            <w:tcBorders>
              <w:top w:val="nil"/>
              <w:left w:val="nil"/>
              <w:bottom w:val="nil"/>
              <w:right w:val="nil"/>
            </w:tcBorders>
          </w:tcPr>
          <w:p w14:paraId="2376E2D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-0.183</w:t>
            </w:r>
          </w:p>
        </w:tc>
        <w:tc>
          <w:tcPr>
            <w:tcW w:w="1656" w:type="dxa"/>
            <w:tcBorders>
              <w:top w:val="nil"/>
              <w:left w:val="nil"/>
              <w:bottom w:val="nil"/>
              <w:right w:val="nil"/>
            </w:tcBorders>
          </w:tcPr>
          <w:p w14:paraId="22EA24D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0.419</w:t>
            </w:r>
          </w:p>
        </w:tc>
        <w:tc>
          <w:tcPr>
            <w:tcW w:w="1656" w:type="dxa"/>
            <w:tcBorders>
              <w:top w:val="nil"/>
              <w:left w:val="nil"/>
              <w:bottom w:val="nil"/>
              <w:right w:val="nil"/>
            </w:tcBorders>
          </w:tcPr>
          <w:p w14:paraId="0B94C6F8"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-0.0780</w:t>
            </w:r>
          </w:p>
        </w:tc>
      </w:tr>
      <w:tr w:rsidR="00AB0274" w:rsidRPr="00C40C4F" w14:paraId="5A639401" w14:textId="77777777" w:rsidTr="00015B88">
        <w:tc>
          <w:tcPr>
            <w:tcW w:w="2136" w:type="dxa"/>
            <w:tcBorders>
              <w:top w:val="nil"/>
              <w:left w:val="nil"/>
              <w:bottom w:val="nil"/>
              <w:right w:val="nil"/>
            </w:tcBorders>
          </w:tcPr>
          <w:p w14:paraId="0BCEE8EC"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BCA4D13"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(0.76)</w:t>
            </w:r>
          </w:p>
        </w:tc>
        <w:tc>
          <w:tcPr>
            <w:tcW w:w="1656" w:type="dxa"/>
            <w:tcBorders>
              <w:top w:val="nil"/>
              <w:left w:val="nil"/>
              <w:bottom w:val="nil"/>
              <w:right w:val="nil"/>
            </w:tcBorders>
          </w:tcPr>
          <w:p w14:paraId="3AFB933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(-0.37)</w:t>
            </w:r>
          </w:p>
        </w:tc>
        <w:tc>
          <w:tcPr>
            <w:tcW w:w="1656" w:type="dxa"/>
            <w:tcBorders>
              <w:top w:val="nil"/>
              <w:left w:val="nil"/>
              <w:bottom w:val="nil"/>
              <w:right w:val="nil"/>
            </w:tcBorders>
          </w:tcPr>
          <w:p w14:paraId="604C73F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(0.90)</w:t>
            </w:r>
          </w:p>
        </w:tc>
        <w:tc>
          <w:tcPr>
            <w:tcW w:w="1656" w:type="dxa"/>
            <w:tcBorders>
              <w:top w:val="nil"/>
              <w:left w:val="nil"/>
              <w:bottom w:val="nil"/>
              <w:right w:val="nil"/>
            </w:tcBorders>
          </w:tcPr>
          <w:p w14:paraId="700A68C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(-0.31)</w:t>
            </w:r>
          </w:p>
        </w:tc>
      </w:tr>
      <w:tr w:rsidR="00AB0274" w:rsidRPr="00C40C4F" w14:paraId="614813E5" w14:textId="77777777" w:rsidTr="00015B88">
        <w:tc>
          <w:tcPr>
            <w:tcW w:w="2136" w:type="dxa"/>
            <w:tcBorders>
              <w:top w:val="nil"/>
              <w:left w:val="nil"/>
              <w:bottom w:val="nil"/>
              <w:right w:val="nil"/>
            </w:tcBorders>
          </w:tcPr>
          <w:p w14:paraId="3931DD3B"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900E55E"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26C252F"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9DB5457"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E3F6664"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263462D6" w14:textId="77777777" w:rsidTr="00015B88">
        <w:tc>
          <w:tcPr>
            <w:tcW w:w="2136" w:type="dxa"/>
            <w:tcBorders>
              <w:top w:val="nil"/>
              <w:left w:val="nil"/>
              <w:bottom w:val="nil"/>
              <w:right w:val="nil"/>
            </w:tcBorders>
          </w:tcPr>
          <w:p w14:paraId="253024E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L6.(Lack of) Irregular CB Governor Turnover (higher = more de facto CBI)</w:t>
            </w:r>
          </w:p>
        </w:tc>
        <w:tc>
          <w:tcPr>
            <w:tcW w:w="1656" w:type="dxa"/>
            <w:tcBorders>
              <w:top w:val="nil"/>
              <w:left w:val="nil"/>
              <w:bottom w:val="nil"/>
              <w:right w:val="nil"/>
            </w:tcBorders>
          </w:tcPr>
          <w:p w14:paraId="4304EDF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-0.800</w:t>
            </w:r>
            <w:r w:rsidRPr="00C40C4F">
              <w:rPr>
                <w:rFonts w:ascii="Times New Roman" w:hAnsi="Times New Roman" w:cs="Times New Roman"/>
                <w:sz w:val="20"/>
                <w:szCs w:val="20"/>
                <w:vertAlign w:val="superscript"/>
              </w:rPr>
              <w:t>*</w:t>
            </w:r>
          </w:p>
        </w:tc>
        <w:tc>
          <w:tcPr>
            <w:tcW w:w="1656" w:type="dxa"/>
            <w:tcBorders>
              <w:top w:val="nil"/>
              <w:left w:val="nil"/>
              <w:bottom w:val="nil"/>
              <w:right w:val="nil"/>
            </w:tcBorders>
          </w:tcPr>
          <w:p w14:paraId="2F2AD99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-0.791</w:t>
            </w:r>
          </w:p>
        </w:tc>
        <w:tc>
          <w:tcPr>
            <w:tcW w:w="1656" w:type="dxa"/>
            <w:tcBorders>
              <w:top w:val="nil"/>
              <w:left w:val="nil"/>
              <w:bottom w:val="nil"/>
              <w:right w:val="nil"/>
            </w:tcBorders>
          </w:tcPr>
          <w:p w14:paraId="19EAC8D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-1.194</w:t>
            </w:r>
            <w:r w:rsidRPr="00C40C4F">
              <w:rPr>
                <w:rFonts w:ascii="Times New Roman" w:hAnsi="Times New Roman" w:cs="Times New Roman"/>
                <w:sz w:val="20"/>
                <w:szCs w:val="20"/>
                <w:vertAlign w:val="superscript"/>
              </w:rPr>
              <w:t>**</w:t>
            </w:r>
          </w:p>
        </w:tc>
        <w:tc>
          <w:tcPr>
            <w:tcW w:w="1656" w:type="dxa"/>
            <w:tcBorders>
              <w:top w:val="nil"/>
              <w:left w:val="nil"/>
              <w:bottom w:val="nil"/>
              <w:right w:val="nil"/>
            </w:tcBorders>
          </w:tcPr>
          <w:p w14:paraId="5F284037"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0.298</w:t>
            </w:r>
          </w:p>
        </w:tc>
      </w:tr>
      <w:tr w:rsidR="00AB0274" w:rsidRPr="00C40C4F" w14:paraId="0194FC5A" w14:textId="77777777" w:rsidTr="00015B88">
        <w:tc>
          <w:tcPr>
            <w:tcW w:w="2136" w:type="dxa"/>
            <w:tcBorders>
              <w:top w:val="nil"/>
              <w:left w:val="nil"/>
              <w:bottom w:val="nil"/>
              <w:right w:val="nil"/>
            </w:tcBorders>
          </w:tcPr>
          <w:p w14:paraId="42C071F3"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BE058A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(-2.31)</w:t>
            </w:r>
          </w:p>
        </w:tc>
        <w:tc>
          <w:tcPr>
            <w:tcW w:w="1656" w:type="dxa"/>
            <w:tcBorders>
              <w:top w:val="nil"/>
              <w:left w:val="nil"/>
              <w:bottom w:val="nil"/>
              <w:right w:val="nil"/>
            </w:tcBorders>
          </w:tcPr>
          <w:p w14:paraId="18B71083"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(-1.72)</w:t>
            </w:r>
          </w:p>
        </w:tc>
        <w:tc>
          <w:tcPr>
            <w:tcW w:w="1656" w:type="dxa"/>
            <w:tcBorders>
              <w:top w:val="nil"/>
              <w:left w:val="nil"/>
              <w:bottom w:val="nil"/>
              <w:right w:val="nil"/>
            </w:tcBorders>
          </w:tcPr>
          <w:p w14:paraId="42012A76"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(-3.14)</w:t>
            </w:r>
          </w:p>
        </w:tc>
        <w:tc>
          <w:tcPr>
            <w:tcW w:w="1656" w:type="dxa"/>
            <w:tcBorders>
              <w:top w:val="nil"/>
              <w:left w:val="nil"/>
              <w:bottom w:val="nil"/>
              <w:right w:val="nil"/>
            </w:tcBorders>
          </w:tcPr>
          <w:p w14:paraId="41C6C589"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(1.17)</w:t>
            </w:r>
          </w:p>
        </w:tc>
      </w:tr>
      <w:tr w:rsidR="00AB0274" w:rsidRPr="00C40C4F" w14:paraId="2CAEFCA9" w14:textId="77777777" w:rsidTr="00015B88">
        <w:tc>
          <w:tcPr>
            <w:tcW w:w="2136" w:type="dxa"/>
            <w:tcBorders>
              <w:top w:val="nil"/>
              <w:left w:val="nil"/>
              <w:bottom w:val="nil"/>
              <w:right w:val="nil"/>
            </w:tcBorders>
          </w:tcPr>
          <w:p w14:paraId="4BA1CB8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909FB26"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EF49E79"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9704E3D"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4766289"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7886DCA4" w14:textId="77777777" w:rsidTr="00015B88">
        <w:tc>
          <w:tcPr>
            <w:tcW w:w="2136" w:type="dxa"/>
            <w:tcBorders>
              <w:top w:val="nil"/>
              <w:left w:val="nil"/>
              <w:bottom w:val="nil"/>
              <w:right w:val="nil"/>
            </w:tcBorders>
          </w:tcPr>
          <w:p w14:paraId="501F9F8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L7.(Lack of) Irregular CB Governor Turnover (higher = more de facto CBI)</w:t>
            </w:r>
          </w:p>
        </w:tc>
        <w:tc>
          <w:tcPr>
            <w:tcW w:w="1656" w:type="dxa"/>
            <w:tcBorders>
              <w:top w:val="nil"/>
              <w:left w:val="nil"/>
              <w:bottom w:val="nil"/>
              <w:right w:val="nil"/>
            </w:tcBorders>
          </w:tcPr>
          <w:p w14:paraId="683810D3"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0.0498</w:t>
            </w:r>
          </w:p>
        </w:tc>
        <w:tc>
          <w:tcPr>
            <w:tcW w:w="1656" w:type="dxa"/>
            <w:tcBorders>
              <w:top w:val="nil"/>
              <w:left w:val="nil"/>
              <w:bottom w:val="nil"/>
              <w:right w:val="nil"/>
            </w:tcBorders>
          </w:tcPr>
          <w:p w14:paraId="49EA687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1.218</w:t>
            </w:r>
            <w:r w:rsidRPr="00C40C4F">
              <w:rPr>
                <w:rFonts w:ascii="Times New Roman" w:hAnsi="Times New Roman" w:cs="Times New Roman"/>
                <w:sz w:val="20"/>
                <w:szCs w:val="20"/>
                <w:vertAlign w:val="superscript"/>
              </w:rPr>
              <w:t>*</w:t>
            </w:r>
          </w:p>
        </w:tc>
        <w:tc>
          <w:tcPr>
            <w:tcW w:w="1656" w:type="dxa"/>
            <w:tcBorders>
              <w:top w:val="nil"/>
              <w:left w:val="nil"/>
              <w:bottom w:val="nil"/>
              <w:right w:val="nil"/>
            </w:tcBorders>
          </w:tcPr>
          <w:p w14:paraId="40B74439"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-0.393</w:t>
            </w:r>
          </w:p>
        </w:tc>
        <w:tc>
          <w:tcPr>
            <w:tcW w:w="1656" w:type="dxa"/>
            <w:tcBorders>
              <w:top w:val="nil"/>
              <w:left w:val="nil"/>
              <w:bottom w:val="nil"/>
              <w:right w:val="nil"/>
            </w:tcBorders>
          </w:tcPr>
          <w:p w14:paraId="51C11D1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0.0968</w:t>
            </w:r>
          </w:p>
        </w:tc>
      </w:tr>
      <w:tr w:rsidR="00AB0274" w:rsidRPr="00C40C4F" w14:paraId="475847F0" w14:textId="77777777" w:rsidTr="00015B88">
        <w:tc>
          <w:tcPr>
            <w:tcW w:w="2136" w:type="dxa"/>
            <w:tcBorders>
              <w:top w:val="nil"/>
              <w:left w:val="nil"/>
              <w:bottom w:val="nil"/>
              <w:right w:val="nil"/>
            </w:tcBorders>
          </w:tcPr>
          <w:p w14:paraId="68CB6A20"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EB332DA"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(0.13)</w:t>
            </w:r>
          </w:p>
        </w:tc>
        <w:tc>
          <w:tcPr>
            <w:tcW w:w="1656" w:type="dxa"/>
            <w:tcBorders>
              <w:top w:val="nil"/>
              <w:left w:val="nil"/>
              <w:bottom w:val="nil"/>
              <w:right w:val="nil"/>
            </w:tcBorders>
          </w:tcPr>
          <w:p w14:paraId="1BB2BE3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(2.55)</w:t>
            </w:r>
          </w:p>
        </w:tc>
        <w:tc>
          <w:tcPr>
            <w:tcW w:w="1656" w:type="dxa"/>
            <w:tcBorders>
              <w:top w:val="nil"/>
              <w:left w:val="nil"/>
              <w:bottom w:val="nil"/>
              <w:right w:val="nil"/>
            </w:tcBorders>
          </w:tcPr>
          <w:p w14:paraId="333943B0"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(-0.85)</w:t>
            </w:r>
          </w:p>
        </w:tc>
        <w:tc>
          <w:tcPr>
            <w:tcW w:w="1656" w:type="dxa"/>
            <w:tcBorders>
              <w:top w:val="nil"/>
              <w:left w:val="nil"/>
              <w:bottom w:val="nil"/>
              <w:right w:val="nil"/>
            </w:tcBorders>
          </w:tcPr>
          <w:p w14:paraId="36E697B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(0.35)</w:t>
            </w:r>
          </w:p>
        </w:tc>
      </w:tr>
      <w:tr w:rsidR="00AB0274" w:rsidRPr="00C40C4F" w14:paraId="08B94895" w14:textId="77777777" w:rsidTr="00015B88">
        <w:tc>
          <w:tcPr>
            <w:tcW w:w="2136" w:type="dxa"/>
            <w:tcBorders>
              <w:top w:val="nil"/>
              <w:left w:val="nil"/>
              <w:bottom w:val="nil"/>
              <w:right w:val="nil"/>
            </w:tcBorders>
          </w:tcPr>
          <w:p w14:paraId="20CC9BF4"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487AA5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39ECF7B"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E8A6F89"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FE5AA0B"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0CE1E40C" w14:textId="77777777" w:rsidTr="00015B88">
        <w:tc>
          <w:tcPr>
            <w:tcW w:w="2136" w:type="dxa"/>
            <w:tcBorders>
              <w:top w:val="nil"/>
              <w:left w:val="nil"/>
              <w:bottom w:val="nil"/>
              <w:right w:val="nil"/>
            </w:tcBorders>
          </w:tcPr>
          <w:p w14:paraId="472234C6"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L8.(Lack of) Irregular CB Governor Turnover (higher = more de facto CBI)</w:t>
            </w:r>
          </w:p>
        </w:tc>
        <w:tc>
          <w:tcPr>
            <w:tcW w:w="1656" w:type="dxa"/>
            <w:tcBorders>
              <w:top w:val="nil"/>
              <w:left w:val="nil"/>
              <w:bottom w:val="nil"/>
              <w:right w:val="nil"/>
            </w:tcBorders>
          </w:tcPr>
          <w:p w14:paraId="064F7610"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0.234</w:t>
            </w:r>
          </w:p>
        </w:tc>
        <w:tc>
          <w:tcPr>
            <w:tcW w:w="1656" w:type="dxa"/>
            <w:tcBorders>
              <w:top w:val="nil"/>
              <w:left w:val="nil"/>
              <w:bottom w:val="nil"/>
              <w:right w:val="nil"/>
            </w:tcBorders>
          </w:tcPr>
          <w:p w14:paraId="3170E708"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1.030</w:t>
            </w:r>
            <w:r w:rsidRPr="00C40C4F">
              <w:rPr>
                <w:rFonts w:ascii="Times New Roman" w:hAnsi="Times New Roman" w:cs="Times New Roman"/>
                <w:sz w:val="20"/>
                <w:szCs w:val="20"/>
                <w:vertAlign w:val="superscript"/>
              </w:rPr>
              <w:t>*</w:t>
            </w:r>
          </w:p>
        </w:tc>
        <w:tc>
          <w:tcPr>
            <w:tcW w:w="1656" w:type="dxa"/>
            <w:tcBorders>
              <w:top w:val="nil"/>
              <w:left w:val="nil"/>
              <w:bottom w:val="nil"/>
              <w:right w:val="nil"/>
            </w:tcBorders>
          </w:tcPr>
          <w:p w14:paraId="535BDF9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-0.196</w:t>
            </w:r>
          </w:p>
        </w:tc>
        <w:tc>
          <w:tcPr>
            <w:tcW w:w="1656" w:type="dxa"/>
            <w:tcBorders>
              <w:top w:val="nil"/>
              <w:left w:val="nil"/>
              <w:bottom w:val="nil"/>
              <w:right w:val="nil"/>
            </w:tcBorders>
          </w:tcPr>
          <w:p w14:paraId="069E95B5"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-0.334</w:t>
            </w:r>
          </w:p>
        </w:tc>
      </w:tr>
      <w:tr w:rsidR="00AB0274" w:rsidRPr="00C40C4F" w14:paraId="1178B0A6" w14:textId="77777777" w:rsidTr="00015B88">
        <w:tc>
          <w:tcPr>
            <w:tcW w:w="2136" w:type="dxa"/>
            <w:tcBorders>
              <w:top w:val="nil"/>
              <w:left w:val="nil"/>
              <w:bottom w:val="nil"/>
              <w:right w:val="nil"/>
            </w:tcBorders>
          </w:tcPr>
          <w:p w14:paraId="50F6690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82885D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(0.62)</w:t>
            </w:r>
          </w:p>
        </w:tc>
        <w:tc>
          <w:tcPr>
            <w:tcW w:w="1656" w:type="dxa"/>
            <w:tcBorders>
              <w:top w:val="nil"/>
              <w:left w:val="nil"/>
              <w:bottom w:val="nil"/>
              <w:right w:val="nil"/>
            </w:tcBorders>
          </w:tcPr>
          <w:p w14:paraId="65A26CF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(2.09)</w:t>
            </w:r>
          </w:p>
        </w:tc>
        <w:tc>
          <w:tcPr>
            <w:tcW w:w="1656" w:type="dxa"/>
            <w:tcBorders>
              <w:top w:val="nil"/>
              <w:left w:val="nil"/>
              <w:bottom w:val="nil"/>
              <w:right w:val="nil"/>
            </w:tcBorders>
          </w:tcPr>
          <w:p w14:paraId="233AB82A"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(-0.47)</w:t>
            </w:r>
          </w:p>
        </w:tc>
        <w:tc>
          <w:tcPr>
            <w:tcW w:w="1656" w:type="dxa"/>
            <w:tcBorders>
              <w:top w:val="nil"/>
              <w:left w:val="nil"/>
              <w:bottom w:val="nil"/>
              <w:right w:val="nil"/>
            </w:tcBorders>
          </w:tcPr>
          <w:p w14:paraId="1EB7EFD6"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(-1.42)</w:t>
            </w:r>
          </w:p>
        </w:tc>
      </w:tr>
      <w:tr w:rsidR="00AB0274" w:rsidRPr="00C40C4F" w14:paraId="4DCC1811" w14:textId="77777777" w:rsidTr="00015B88">
        <w:tc>
          <w:tcPr>
            <w:tcW w:w="2136" w:type="dxa"/>
            <w:tcBorders>
              <w:top w:val="nil"/>
              <w:left w:val="nil"/>
              <w:bottom w:val="nil"/>
              <w:right w:val="nil"/>
            </w:tcBorders>
          </w:tcPr>
          <w:p w14:paraId="5E1D83DB"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D584133"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DCA16CC"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CD95EB6"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A13345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689E0B7A" w14:textId="77777777" w:rsidTr="00015B88">
        <w:tc>
          <w:tcPr>
            <w:tcW w:w="2136" w:type="dxa"/>
            <w:tcBorders>
              <w:top w:val="nil"/>
              <w:left w:val="nil"/>
              <w:bottom w:val="nil"/>
              <w:right w:val="nil"/>
            </w:tcBorders>
          </w:tcPr>
          <w:p w14:paraId="29C42702"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L9.(Lack of) Irregular CB Governor Turnover (higher = more de facto CBI)</w:t>
            </w:r>
          </w:p>
        </w:tc>
        <w:tc>
          <w:tcPr>
            <w:tcW w:w="1656" w:type="dxa"/>
            <w:tcBorders>
              <w:top w:val="nil"/>
              <w:left w:val="nil"/>
              <w:bottom w:val="nil"/>
              <w:right w:val="nil"/>
            </w:tcBorders>
          </w:tcPr>
          <w:p w14:paraId="6519419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-0.358</w:t>
            </w:r>
          </w:p>
        </w:tc>
        <w:tc>
          <w:tcPr>
            <w:tcW w:w="1656" w:type="dxa"/>
            <w:tcBorders>
              <w:top w:val="nil"/>
              <w:left w:val="nil"/>
              <w:bottom w:val="nil"/>
              <w:right w:val="nil"/>
            </w:tcBorders>
          </w:tcPr>
          <w:p w14:paraId="14F6B4E6"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-1.279</w:t>
            </w:r>
            <w:r w:rsidRPr="00C40C4F">
              <w:rPr>
                <w:rFonts w:ascii="Times New Roman" w:hAnsi="Times New Roman" w:cs="Times New Roman"/>
                <w:sz w:val="20"/>
                <w:szCs w:val="20"/>
                <w:vertAlign w:val="superscript"/>
              </w:rPr>
              <w:t>**</w:t>
            </w:r>
          </w:p>
        </w:tc>
        <w:tc>
          <w:tcPr>
            <w:tcW w:w="1656" w:type="dxa"/>
            <w:tcBorders>
              <w:top w:val="nil"/>
              <w:left w:val="nil"/>
              <w:bottom w:val="nil"/>
              <w:right w:val="nil"/>
            </w:tcBorders>
          </w:tcPr>
          <w:p w14:paraId="57868A0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-0.542</w:t>
            </w:r>
          </w:p>
        </w:tc>
        <w:tc>
          <w:tcPr>
            <w:tcW w:w="1656" w:type="dxa"/>
            <w:tcBorders>
              <w:top w:val="nil"/>
              <w:left w:val="nil"/>
              <w:bottom w:val="nil"/>
              <w:right w:val="nil"/>
            </w:tcBorders>
          </w:tcPr>
          <w:p w14:paraId="5F69603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0.0210</w:t>
            </w:r>
          </w:p>
        </w:tc>
      </w:tr>
      <w:tr w:rsidR="00AB0274" w:rsidRPr="00C40C4F" w14:paraId="53D16AFE" w14:textId="77777777" w:rsidTr="00015B88">
        <w:tc>
          <w:tcPr>
            <w:tcW w:w="2136" w:type="dxa"/>
            <w:tcBorders>
              <w:top w:val="nil"/>
              <w:left w:val="nil"/>
              <w:bottom w:val="nil"/>
              <w:right w:val="nil"/>
            </w:tcBorders>
          </w:tcPr>
          <w:p w14:paraId="122B492D"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1A2EE8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(-0.90)</w:t>
            </w:r>
          </w:p>
        </w:tc>
        <w:tc>
          <w:tcPr>
            <w:tcW w:w="1656" w:type="dxa"/>
            <w:tcBorders>
              <w:top w:val="nil"/>
              <w:left w:val="nil"/>
              <w:bottom w:val="nil"/>
              <w:right w:val="nil"/>
            </w:tcBorders>
          </w:tcPr>
          <w:p w14:paraId="02A4BCA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(-3.03)</w:t>
            </w:r>
          </w:p>
        </w:tc>
        <w:tc>
          <w:tcPr>
            <w:tcW w:w="1656" w:type="dxa"/>
            <w:tcBorders>
              <w:top w:val="nil"/>
              <w:left w:val="nil"/>
              <w:bottom w:val="nil"/>
              <w:right w:val="nil"/>
            </w:tcBorders>
          </w:tcPr>
          <w:p w14:paraId="04E735A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(-1.30)</w:t>
            </w:r>
          </w:p>
        </w:tc>
        <w:tc>
          <w:tcPr>
            <w:tcW w:w="1656" w:type="dxa"/>
            <w:tcBorders>
              <w:top w:val="nil"/>
              <w:left w:val="nil"/>
              <w:bottom w:val="nil"/>
              <w:right w:val="nil"/>
            </w:tcBorders>
          </w:tcPr>
          <w:p w14:paraId="35031F38"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(0.09)</w:t>
            </w:r>
          </w:p>
        </w:tc>
      </w:tr>
      <w:tr w:rsidR="00AB0274" w:rsidRPr="00C40C4F" w14:paraId="32A64438" w14:textId="77777777" w:rsidTr="00015B88">
        <w:tc>
          <w:tcPr>
            <w:tcW w:w="2136" w:type="dxa"/>
            <w:tcBorders>
              <w:top w:val="nil"/>
              <w:left w:val="nil"/>
              <w:bottom w:val="nil"/>
              <w:right w:val="nil"/>
            </w:tcBorders>
          </w:tcPr>
          <w:p w14:paraId="2402840E"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F90CCEE"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11270A5"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B784DE4"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1512FDE"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2A781412" w14:textId="77777777" w:rsidTr="00015B88">
        <w:tc>
          <w:tcPr>
            <w:tcW w:w="2136" w:type="dxa"/>
            <w:tcBorders>
              <w:top w:val="nil"/>
              <w:left w:val="nil"/>
              <w:bottom w:val="nil"/>
              <w:right w:val="nil"/>
            </w:tcBorders>
          </w:tcPr>
          <w:p w14:paraId="2F93F9C0"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L10.(Lack of) Irregular CB Governor Turnover (higher = more de facto CBI)</w:t>
            </w:r>
          </w:p>
        </w:tc>
        <w:tc>
          <w:tcPr>
            <w:tcW w:w="1656" w:type="dxa"/>
            <w:tcBorders>
              <w:top w:val="nil"/>
              <w:left w:val="nil"/>
              <w:bottom w:val="nil"/>
              <w:right w:val="nil"/>
            </w:tcBorders>
          </w:tcPr>
          <w:p w14:paraId="5AE119A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0.0715</w:t>
            </w:r>
          </w:p>
        </w:tc>
        <w:tc>
          <w:tcPr>
            <w:tcW w:w="1656" w:type="dxa"/>
            <w:tcBorders>
              <w:top w:val="nil"/>
              <w:left w:val="nil"/>
              <w:bottom w:val="nil"/>
              <w:right w:val="nil"/>
            </w:tcBorders>
          </w:tcPr>
          <w:p w14:paraId="08A32DB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-0.993</w:t>
            </w:r>
            <w:r w:rsidRPr="00C40C4F">
              <w:rPr>
                <w:rFonts w:ascii="Times New Roman" w:hAnsi="Times New Roman" w:cs="Times New Roman"/>
                <w:sz w:val="20"/>
                <w:szCs w:val="20"/>
                <w:vertAlign w:val="superscript"/>
              </w:rPr>
              <w:t>*</w:t>
            </w:r>
          </w:p>
        </w:tc>
        <w:tc>
          <w:tcPr>
            <w:tcW w:w="1656" w:type="dxa"/>
            <w:tcBorders>
              <w:top w:val="nil"/>
              <w:left w:val="nil"/>
              <w:bottom w:val="nil"/>
              <w:right w:val="nil"/>
            </w:tcBorders>
          </w:tcPr>
          <w:p w14:paraId="771E52F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0.115</w:t>
            </w:r>
          </w:p>
        </w:tc>
        <w:tc>
          <w:tcPr>
            <w:tcW w:w="1656" w:type="dxa"/>
            <w:tcBorders>
              <w:top w:val="nil"/>
              <w:left w:val="nil"/>
              <w:bottom w:val="nil"/>
              <w:right w:val="nil"/>
            </w:tcBorders>
          </w:tcPr>
          <w:p w14:paraId="6162E856"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0.107</w:t>
            </w:r>
          </w:p>
        </w:tc>
      </w:tr>
      <w:tr w:rsidR="00AB0274" w:rsidRPr="00C40C4F" w14:paraId="5DCBB630" w14:textId="77777777" w:rsidTr="00015B88">
        <w:tc>
          <w:tcPr>
            <w:tcW w:w="2136" w:type="dxa"/>
            <w:tcBorders>
              <w:top w:val="nil"/>
              <w:left w:val="nil"/>
              <w:bottom w:val="nil"/>
              <w:right w:val="nil"/>
            </w:tcBorders>
          </w:tcPr>
          <w:p w14:paraId="5BA6AE6F"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47EC57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(0.20)</w:t>
            </w:r>
          </w:p>
        </w:tc>
        <w:tc>
          <w:tcPr>
            <w:tcW w:w="1656" w:type="dxa"/>
            <w:tcBorders>
              <w:top w:val="nil"/>
              <w:left w:val="nil"/>
              <w:bottom w:val="nil"/>
              <w:right w:val="nil"/>
            </w:tcBorders>
          </w:tcPr>
          <w:p w14:paraId="2E6B659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(-2.22)</w:t>
            </w:r>
          </w:p>
        </w:tc>
        <w:tc>
          <w:tcPr>
            <w:tcW w:w="1656" w:type="dxa"/>
            <w:tcBorders>
              <w:top w:val="nil"/>
              <w:left w:val="nil"/>
              <w:bottom w:val="nil"/>
              <w:right w:val="nil"/>
            </w:tcBorders>
          </w:tcPr>
          <w:p w14:paraId="692429A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(0.32)</w:t>
            </w:r>
          </w:p>
        </w:tc>
        <w:tc>
          <w:tcPr>
            <w:tcW w:w="1656" w:type="dxa"/>
            <w:tcBorders>
              <w:top w:val="nil"/>
              <w:left w:val="nil"/>
              <w:bottom w:val="nil"/>
              <w:right w:val="nil"/>
            </w:tcBorders>
          </w:tcPr>
          <w:p w14:paraId="2B5E5AB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(0.46)</w:t>
            </w:r>
          </w:p>
        </w:tc>
      </w:tr>
      <w:tr w:rsidR="00AB0274" w:rsidRPr="00C40C4F" w14:paraId="6BB43FD9" w14:textId="77777777" w:rsidTr="00015B88">
        <w:tc>
          <w:tcPr>
            <w:tcW w:w="2136" w:type="dxa"/>
            <w:tcBorders>
              <w:top w:val="nil"/>
              <w:left w:val="nil"/>
              <w:bottom w:val="nil"/>
              <w:right w:val="nil"/>
            </w:tcBorders>
          </w:tcPr>
          <w:p w14:paraId="6B192BBF"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FB03633"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61C0716"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C48B88C"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CDCBFB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69504F21" w14:textId="77777777" w:rsidTr="00015B88">
        <w:tc>
          <w:tcPr>
            <w:tcW w:w="2136" w:type="dxa"/>
            <w:tcBorders>
              <w:top w:val="nil"/>
              <w:left w:val="nil"/>
              <w:bottom w:val="nil"/>
              <w:right w:val="nil"/>
            </w:tcBorders>
          </w:tcPr>
          <w:p w14:paraId="7D025CA4"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roofErr w:type="spellStart"/>
            <w:r w:rsidRPr="00C40C4F">
              <w:rPr>
                <w:rFonts w:ascii="Times New Roman" w:hAnsi="Times New Roman" w:cs="Times New Roman"/>
                <w:sz w:val="20"/>
                <w:szCs w:val="20"/>
              </w:rPr>
              <w:t>L.Exchange</w:t>
            </w:r>
            <w:proofErr w:type="spellEnd"/>
            <w:r w:rsidRPr="00C40C4F">
              <w:rPr>
                <w:rFonts w:ascii="Times New Roman" w:hAnsi="Times New Roman" w:cs="Times New Roman"/>
                <w:sz w:val="20"/>
                <w:szCs w:val="20"/>
              </w:rPr>
              <w:t xml:space="preserve"> Rate Classification (RR inverted, higher = more fixed)</w:t>
            </w:r>
          </w:p>
        </w:tc>
        <w:tc>
          <w:tcPr>
            <w:tcW w:w="1656" w:type="dxa"/>
            <w:tcBorders>
              <w:top w:val="nil"/>
              <w:left w:val="nil"/>
              <w:bottom w:val="nil"/>
              <w:right w:val="nil"/>
            </w:tcBorders>
          </w:tcPr>
          <w:p w14:paraId="5EA906A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-0.0149</w:t>
            </w:r>
          </w:p>
        </w:tc>
        <w:tc>
          <w:tcPr>
            <w:tcW w:w="1656" w:type="dxa"/>
            <w:tcBorders>
              <w:top w:val="nil"/>
              <w:left w:val="nil"/>
              <w:bottom w:val="nil"/>
              <w:right w:val="nil"/>
            </w:tcBorders>
          </w:tcPr>
          <w:p w14:paraId="1571E18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-0.0289</w:t>
            </w:r>
          </w:p>
        </w:tc>
        <w:tc>
          <w:tcPr>
            <w:tcW w:w="1656" w:type="dxa"/>
            <w:tcBorders>
              <w:top w:val="nil"/>
              <w:left w:val="nil"/>
              <w:bottom w:val="nil"/>
              <w:right w:val="nil"/>
            </w:tcBorders>
          </w:tcPr>
          <w:p w14:paraId="4CE4F6B7"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-0.109</w:t>
            </w:r>
          </w:p>
        </w:tc>
        <w:tc>
          <w:tcPr>
            <w:tcW w:w="1656" w:type="dxa"/>
            <w:tcBorders>
              <w:top w:val="nil"/>
              <w:left w:val="nil"/>
              <w:bottom w:val="nil"/>
              <w:right w:val="nil"/>
            </w:tcBorders>
          </w:tcPr>
          <w:p w14:paraId="06D9B70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0.0227</w:t>
            </w:r>
          </w:p>
        </w:tc>
      </w:tr>
      <w:tr w:rsidR="00AB0274" w:rsidRPr="00C40C4F" w14:paraId="2D881118" w14:textId="77777777" w:rsidTr="00015B88">
        <w:tc>
          <w:tcPr>
            <w:tcW w:w="2136" w:type="dxa"/>
            <w:tcBorders>
              <w:top w:val="nil"/>
              <w:left w:val="nil"/>
              <w:bottom w:val="nil"/>
              <w:right w:val="nil"/>
            </w:tcBorders>
          </w:tcPr>
          <w:p w14:paraId="48F883EC"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0E9D3E6"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(-0.22)</w:t>
            </w:r>
          </w:p>
        </w:tc>
        <w:tc>
          <w:tcPr>
            <w:tcW w:w="1656" w:type="dxa"/>
            <w:tcBorders>
              <w:top w:val="nil"/>
              <w:left w:val="nil"/>
              <w:bottom w:val="nil"/>
              <w:right w:val="nil"/>
            </w:tcBorders>
          </w:tcPr>
          <w:p w14:paraId="2572C5E5"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(-0.30)</w:t>
            </w:r>
          </w:p>
        </w:tc>
        <w:tc>
          <w:tcPr>
            <w:tcW w:w="1656" w:type="dxa"/>
            <w:tcBorders>
              <w:top w:val="nil"/>
              <w:left w:val="nil"/>
              <w:bottom w:val="nil"/>
              <w:right w:val="nil"/>
            </w:tcBorders>
          </w:tcPr>
          <w:p w14:paraId="3F1EA388"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(-1.82)</w:t>
            </w:r>
          </w:p>
        </w:tc>
        <w:tc>
          <w:tcPr>
            <w:tcW w:w="1656" w:type="dxa"/>
            <w:tcBorders>
              <w:top w:val="nil"/>
              <w:left w:val="nil"/>
              <w:bottom w:val="nil"/>
              <w:right w:val="nil"/>
            </w:tcBorders>
          </w:tcPr>
          <w:p w14:paraId="1574665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(0.76)</w:t>
            </w:r>
          </w:p>
        </w:tc>
      </w:tr>
      <w:tr w:rsidR="00AB0274" w:rsidRPr="00C40C4F" w14:paraId="469A8D15" w14:textId="77777777" w:rsidTr="00015B88">
        <w:tc>
          <w:tcPr>
            <w:tcW w:w="2136" w:type="dxa"/>
            <w:tcBorders>
              <w:top w:val="nil"/>
              <w:left w:val="nil"/>
              <w:bottom w:val="nil"/>
              <w:right w:val="nil"/>
            </w:tcBorders>
          </w:tcPr>
          <w:p w14:paraId="5804A39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5053BA3"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4CDBD3E"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3E1FC5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F9A8985"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5E4E90FF" w14:textId="77777777" w:rsidTr="00015B88">
        <w:tc>
          <w:tcPr>
            <w:tcW w:w="2136" w:type="dxa"/>
            <w:tcBorders>
              <w:top w:val="nil"/>
              <w:left w:val="nil"/>
              <w:bottom w:val="nil"/>
              <w:right w:val="nil"/>
            </w:tcBorders>
          </w:tcPr>
          <w:p w14:paraId="32232955"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L2.Exchange Rate Classification (RR inverted, higher = more fixed)</w:t>
            </w:r>
          </w:p>
        </w:tc>
        <w:tc>
          <w:tcPr>
            <w:tcW w:w="1656" w:type="dxa"/>
            <w:tcBorders>
              <w:top w:val="nil"/>
              <w:left w:val="nil"/>
              <w:bottom w:val="nil"/>
              <w:right w:val="nil"/>
            </w:tcBorders>
          </w:tcPr>
          <w:p w14:paraId="09F57F65"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-0.0254</w:t>
            </w:r>
          </w:p>
        </w:tc>
        <w:tc>
          <w:tcPr>
            <w:tcW w:w="1656" w:type="dxa"/>
            <w:tcBorders>
              <w:top w:val="nil"/>
              <w:left w:val="nil"/>
              <w:bottom w:val="nil"/>
              <w:right w:val="nil"/>
            </w:tcBorders>
          </w:tcPr>
          <w:p w14:paraId="2A24ED2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-0.00669</w:t>
            </w:r>
          </w:p>
        </w:tc>
        <w:tc>
          <w:tcPr>
            <w:tcW w:w="1656" w:type="dxa"/>
            <w:tcBorders>
              <w:top w:val="nil"/>
              <w:left w:val="nil"/>
              <w:bottom w:val="nil"/>
              <w:right w:val="nil"/>
            </w:tcBorders>
          </w:tcPr>
          <w:p w14:paraId="65ABCCF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0.00148</w:t>
            </w:r>
          </w:p>
        </w:tc>
        <w:tc>
          <w:tcPr>
            <w:tcW w:w="1656" w:type="dxa"/>
            <w:tcBorders>
              <w:top w:val="nil"/>
              <w:left w:val="nil"/>
              <w:bottom w:val="nil"/>
              <w:right w:val="nil"/>
            </w:tcBorders>
          </w:tcPr>
          <w:p w14:paraId="0AE3C02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0.0171</w:t>
            </w:r>
          </w:p>
        </w:tc>
      </w:tr>
      <w:tr w:rsidR="00AB0274" w:rsidRPr="00C40C4F" w14:paraId="74D6BA9A" w14:textId="77777777" w:rsidTr="00015B88">
        <w:tc>
          <w:tcPr>
            <w:tcW w:w="2136" w:type="dxa"/>
            <w:tcBorders>
              <w:top w:val="nil"/>
              <w:left w:val="nil"/>
              <w:bottom w:val="nil"/>
              <w:right w:val="nil"/>
            </w:tcBorders>
          </w:tcPr>
          <w:p w14:paraId="071D6CC5"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EE264C9"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(-0.41)</w:t>
            </w:r>
          </w:p>
        </w:tc>
        <w:tc>
          <w:tcPr>
            <w:tcW w:w="1656" w:type="dxa"/>
            <w:tcBorders>
              <w:top w:val="nil"/>
              <w:left w:val="nil"/>
              <w:bottom w:val="nil"/>
              <w:right w:val="nil"/>
            </w:tcBorders>
          </w:tcPr>
          <w:p w14:paraId="1E4134B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(-0.08)</w:t>
            </w:r>
          </w:p>
        </w:tc>
        <w:tc>
          <w:tcPr>
            <w:tcW w:w="1656" w:type="dxa"/>
            <w:tcBorders>
              <w:top w:val="nil"/>
              <w:left w:val="nil"/>
              <w:bottom w:val="nil"/>
              <w:right w:val="nil"/>
            </w:tcBorders>
          </w:tcPr>
          <w:p w14:paraId="4690CF3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(0.02)</w:t>
            </w:r>
          </w:p>
        </w:tc>
        <w:tc>
          <w:tcPr>
            <w:tcW w:w="1656" w:type="dxa"/>
            <w:tcBorders>
              <w:top w:val="nil"/>
              <w:left w:val="nil"/>
              <w:bottom w:val="nil"/>
              <w:right w:val="nil"/>
            </w:tcBorders>
          </w:tcPr>
          <w:p w14:paraId="3C6B20D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(0.59)</w:t>
            </w:r>
          </w:p>
        </w:tc>
      </w:tr>
      <w:tr w:rsidR="00AB0274" w:rsidRPr="00C40C4F" w14:paraId="178D7297" w14:textId="77777777" w:rsidTr="00015B88">
        <w:tc>
          <w:tcPr>
            <w:tcW w:w="2136" w:type="dxa"/>
            <w:tcBorders>
              <w:top w:val="nil"/>
              <w:left w:val="nil"/>
              <w:bottom w:val="nil"/>
              <w:right w:val="nil"/>
            </w:tcBorders>
          </w:tcPr>
          <w:p w14:paraId="6CC1AD7D"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D2984E0"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CDB77F1"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A9527F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72B69F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7EB70F6A" w14:textId="77777777" w:rsidTr="00015B88">
        <w:tc>
          <w:tcPr>
            <w:tcW w:w="2136" w:type="dxa"/>
            <w:tcBorders>
              <w:top w:val="nil"/>
              <w:left w:val="nil"/>
              <w:bottom w:val="nil"/>
              <w:right w:val="nil"/>
            </w:tcBorders>
          </w:tcPr>
          <w:p w14:paraId="2871CB5F"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L3.Exchange Rate Classification (RR inverted, higher = more fixed)</w:t>
            </w:r>
          </w:p>
        </w:tc>
        <w:tc>
          <w:tcPr>
            <w:tcW w:w="1656" w:type="dxa"/>
            <w:tcBorders>
              <w:top w:val="nil"/>
              <w:left w:val="nil"/>
              <w:bottom w:val="nil"/>
              <w:right w:val="nil"/>
            </w:tcBorders>
          </w:tcPr>
          <w:p w14:paraId="3093BE0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-0.0885</w:t>
            </w:r>
          </w:p>
        </w:tc>
        <w:tc>
          <w:tcPr>
            <w:tcW w:w="1656" w:type="dxa"/>
            <w:tcBorders>
              <w:top w:val="nil"/>
              <w:left w:val="nil"/>
              <w:bottom w:val="nil"/>
              <w:right w:val="nil"/>
            </w:tcBorders>
          </w:tcPr>
          <w:p w14:paraId="2EEEB797"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-0.0108</w:t>
            </w:r>
          </w:p>
        </w:tc>
        <w:tc>
          <w:tcPr>
            <w:tcW w:w="1656" w:type="dxa"/>
            <w:tcBorders>
              <w:top w:val="nil"/>
              <w:left w:val="nil"/>
              <w:bottom w:val="nil"/>
              <w:right w:val="nil"/>
            </w:tcBorders>
          </w:tcPr>
          <w:p w14:paraId="1705DE8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-0.0131</w:t>
            </w:r>
          </w:p>
        </w:tc>
        <w:tc>
          <w:tcPr>
            <w:tcW w:w="1656" w:type="dxa"/>
            <w:tcBorders>
              <w:top w:val="nil"/>
              <w:left w:val="nil"/>
              <w:bottom w:val="nil"/>
              <w:right w:val="nil"/>
            </w:tcBorders>
          </w:tcPr>
          <w:p w14:paraId="5737474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-0.0442</w:t>
            </w:r>
          </w:p>
        </w:tc>
      </w:tr>
      <w:tr w:rsidR="00AB0274" w:rsidRPr="00C40C4F" w14:paraId="0779F137" w14:textId="77777777" w:rsidTr="00015B88">
        <w:tc>
          <w:tcPr>
            <w:tcW w:w="2136" w:type="dxa"/>
            <w:tcBorders>
              <w:top w:val="nil"/>
              <w:left w:val="nil"/>
              <w:bottom w:val="nil"/>
              <w:right w:val="nil"/>
            </w:tcBorders>
          </w:tcPr>
          <w:p w14:paraId="4FD7496C"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1288E1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(-1.34)</w:t>
            </w:r>
          </w:p>
        </w:tc>
        <w:tc>
          <w:tcPr>
            <w:tcW w:w="1656" w:type="dxa"/>
            <w:tcBorders>
              <w:top w:val="nil"/>
              <w:left w:val="nil"/>
              <w:bottom w:val="nil"/>
              <w:right w:val="nil"/>
            </w:tcBorders>
          </w:tcPr>
          <w:p w14:paraId="5BDF4093"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(-0.14)</w:t>
            </w:r>
          </w:p>
        </w:tc>
        <w:tc>
          <w:tcPr>
            <w:tcW w:w="1656" w:type="dxa"/>
            <w:tcBorders>
              <w:top w:val="nil"/>
              <w:left w:val="nil"/>
              <w:bottom w:val="nil"/>
              <w:right w:val="nil"/>
            </w:tcBorders>
          </w:tcPr>
          <w:p w14:paraId="1EBD20C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(-0.19)</w:t>
            </w:r>
          </w:p>
        </w:tc>
        <w:tc>
          <w:tcPr>
            <w:tcW w:w="1656" w:type="dxa"/>
            <w:tcBorders>
              <w:top w:val="nil"/>
              <w:left w:val="nil"/>
              <w:bottom w:val="nil"/>
              <w:right w:val="nil"/>
            </w:tcBorders>
          </w:tcPr>
          <w:p w14:paraId="589FD9F8"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(-1.30)</w:t>
            </w:r>
          </w:p>
        </w:tc>
      </w:tr>
      <w:tr w:rsidR="00AB0274" w:rsidRPr="00C40C4F" w14:paraId="58B5E9D5" w14:textId="77777777" w:rsidTr="00015B88">
        <w:tc>
          <w:tcPr>
            <w:tcW w:w="2136" w:type="dxa"/>
            <w:tcBorders>
              <w:top w:val="nil"/>
              <w:left w:val="nil"/>
              <w:bottom w:val="nil"/>
              <w:right w:val="nil"/>
            </w:tcBorders>
          </w:tcPr>
          <w:p w14:paraId="6C27709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017581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A9BB20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20A063F"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59E65D7"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29D631BF" w14:textId="77777777" w:rsidTr="00015B88">
        <w:tc>
          <w:tcPr>
            <w:tcW w:w="2136" w:type="dxa"/>
            <w:tcBorders>
              <w:top w:val="nil"/>
              <w:left w:val="nil"/>
              <w:bottom w:val="nil"/>
              <w:right w:val="nil"/>
            </w:tcBorders>
          </w:tcPr>
          <w:p w14:paraId="55D86C9D"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L4.Exchange Rate Classification (RR inverted, higher = more fixed)</w:t>
            </w:r>
          </w:p>
        </w:tc>
        <w:tc>
          <w:tcPr>
            <w:tcW w:w="1656" w:type="dxa"/>
            <w:tcBorders>
              <w:top w:val="nil"/>
              <w:left w:val="nil"/>
              <w:bottom w:val="nil"/>
              <w:right w:val="nil"/>
            </w:tcBorders>
          </w:tcPr>
          <w:p w14:paraId="6ACBB3E0"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0.0949</w:t>
            </w:r>
          </w:p>
        </w:tc>
        <w:tc>
          <w:tcPr>
            <w:tcW w:w="1656" w:type="dxa"/>
            <w:tcBorders>
              <w:top w:val="nil"/>
              <w:left w:val="nil"/>
              <w:bottom w:val="nil"/>
              <w:right w:val="nil"/>
            </w:tcBorders>
          </w:tcPr>
          <w:p w14:paraId="23C08759"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0.0901</w:t>
            </w:r>
          </w:p>
        </w:tc>
        <w:tc>
          <w:tcPr>
            <w:tcW w:w="1656" w:type="dxa"/>
            <w:tcBorders>
              <w:top w:val="nil"/>
              <w:left w:val="nil"/>
              <w:bottom w:val="nil"/>
              <w:right w:val="nil"/>
            </w:tcBorders>
          </w:tcPr>
          <w:p w14:paraId="2C15154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0.0755</w:t>
            </w:r>
          </w:p>
        </w:tc>
        <w:tc>
          <w:tcPr>
            <w:tcW w:w="1656" w:type="dxa"/>
            <w:tcBorders>
              <w:top w:val="nil"/>
              <w:left w:val="nil"/>
              <w:bottom w:val="nil"/>
              <w:right w:val="nil"/>
            </w:tcBorders>
          </w:tcPr>
          <w:p w14:paraId="3FDD5A18"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-0.0433</w:t>
            </w:r>
          </w:p>
        </w:tc>
      </w:tr>
      <w:tr w:rsidR="00AB0274" w:rsidRPr="00C40C4F" w14:paraId="4FFFE565" w14:textId="77777777" w:rsidTr="00015B88">
        <w:tc>
          <w:tcPr>
            <w:tcW w:w="2136" w:type="dxa"/>
            <w:tcBorders>
              <w:top w:val="nil"/>
              <w:left w:val="nil"/>
              <w:bottom w:val="nil"/>
              <w:right w:val="nil"/>
            </w:tcBorders>
          </w:tcPr>
          <w:p w14:paraId="193F3CDD"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A0EA0E9"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(1.73)</w:t>
            </w:r>
          </w:p>
        </w:tc>
        <w:tc>
          <w:tcPr>
            <w:tcW w:w="1656" w:type="dxa"/>
            <w:tcBorders>
              <w:top w:val="nil"/>
              <w:left w:val="nil"/>
              <w:bottom w:val="nil"/>
              <w:right w:val="nil"/>
            </w:tcBorders>
          </w:tcPr>
          <w:p w14:paraId="0E3FCE15"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(1.39)</w:t>
            </w:r>
          </w:p>
        </w:tc>
        <w:tc>
          <w:tcPr>
            <w:tcW w:w="1656" w:type="dxa"/>
            <w:tcBorders>
              <w:top w:val="nil"/>
              <w:left w:val="nil"/>
              <w:bottom w:val="nil"/>
              <w:right w:val="nil"/>
            </w:tcBorders>
          </w:tcPr>
          <w:p w14:paraId="40D1C163"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(1.17)</w:t>
            </w:r>
          </w:p>
        </w:tc>
        <w:tc>
          <w:tcPr>
            <w:tcW w:w="1656" w:type="dxa"/>
            <w:tcBorders>
              <w:top w:val="nil"/>
              <w:left w:val="nil"/>
              <w:bottom w:val="nil"/>
              <w:right w:val="nil"/>
            </w:tcBorders>
          </w:tcPr>
          <w:p w14:paraId="49F4D0E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(-1.37)</w:t>
            </w:r>
          </w:p>
        </w:tc>
      </w:tr>
      <w:tr w:rsidR="00AB0274" w:rsidRPr="00C40C4F" w14:paraId="7B96B312" w14:textId="77777777" w:rsidTr="00015B88">
        <w:tc>
          <w:tcPr>
            <w:tcW w:w="2136" w:type="dxa"/>
            <w:tcBorders>
              <w:top w:val="nil"/>
              <w:left w:val="nil"/>
              <w:bottom w:val="nil"/>
              <w:right w:val="nil"/>
            </w:tcBorders>
          </w:tcPr>
          <w:p w14:paraId="2710309B"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32566C7"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CE4AA2C"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B613792"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B9DB0DC"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1AA7F4C1" w14:textId="77777777" w:rsidTr="00015B88">
        <w:tc>
          <w:tcPr>
            <w:tcW w:w="2136" w:type="dxa"/>
            <w:tcBorders>
              <w:top w:val="nil"/>
              <w:left w:val="nil"/>
              <w:bottom w:val="nil"/>
              <w:right w:val="nil"/>
            </w:tcBorders>
          </w:tcPr>
          <w:p w14:paraId="5F60C0DC"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L5.Exchange Rate Classification (RR inverted, higher = more fixed)</w:t>
            </w:r>
          </w:p>
        </w:tc>
        <w:tc>
          <w:tcPr>
            <w:tcW w:w="1656" w:type="dxa"/>
            <w:tcBorders>
              <w:top w:val="nil"/>
              <w:left w:val="nil"/>
              <w:bottom w:val="nil"/>
              <w:right w:val="nil"/>
            </w:tcBorders>
          </w:tcPr>
          <w:p w14:paraId="1DD39390"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-0.00732</w:t>
            </w:r>
          </w:p>
        </w:tc>
        <w:tc>
          <w:tcPr>
            <w:tcW w:w="1656" w:type="dxa"/>
            <w:tcBorders>
              <w:top w:val="nil"/>
              <w:left w:val="nil"/>
              <w:bottom w:val="nil"/>
              <w:right w:val="nil"/>
            </w:tcBorders>
          </w:tcPr>
          <w:p w14:paraId="58D0B468"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-0.0289</w:t>
            </w:r>
          </w:p>
        </w:tc>
        <w:tc>
          <w:tcPr>
            <w:tcW w:w="1656" w:type="dxa"/>
            <w:tcBorders>
              <w:top w:val="nil"/>
              <w:left w:val="nil"/>
              <w:bottom w:val="nil"/>
              <w:right w:val="nil"/>
            </w:tcBorders>
          </w:tcPr>
          <w:p w14:paraId="59A5E35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0.0502</w:t>
            </w:r>
          </w:p>
        </w:tc>
        <w:tc>
          <w:tcPr>
            <w:tcW w:w="1656" w:type="dxa"/>
            <w:tcBorders>
              <w:top w:val="nil"/>
              <w:left w:val="nil"/>
              <w:bottom w:val="nil"/>
              <w:right w:val="nil"/>
            </w:tcBorders>
          </w:tcPr>
          <w:p w14:paraId="4C0FF146"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0.0285</w:t>
            </w:r>
          </w:p>
        </w:tc>
      </w:tr>
      <w:tr w:rsidR="00AB0274" w:rsidRPr="00C40C4F" w14:paraId="095E84F8" w14:textId="77777777" w:rsidTr="00015B88">
        <w:tc>
          <w:tcPr>
            <w:tcW w:w="2136" w:type="dxa"/>
            <w:tcBorders>
              <w:top w:val="nil"/>
              <w:left w:val="nil"/>
              <w:bottom w:val="nil"/>
              <w:right w:val="nil"/>
            </w:tcBorders>
          </w:tcPr>
          <w:p w14:paraId="3865604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42BB7F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(-0.12)</w:t>
            </w:r>
          </w:p>
        </w:tc>
        <w:tc>
          <w:tcPr>
            <w:tcW w:w="1656" w:type="dxa"/>
            <w:tcBorders>
              <w:top w:val="nil"/>
              <w:left w:val="nil"/>
              <w:bottom w:val="nil"/>
              <w:right w:val="nil"/>
            </w:tcBorders>
          </w:tcPr>
          <w:p w14:paraId="3C3E858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(-0.40)</w:t>
            </w:r>
          </w:p>
        </w:tc>
        <w:tc>
          <w:tcPr>
            <w:tcW w:w="1656" w:type="dxa"/>
            <w:tcBorders>
              <w:top w:val="nil"/>
              <w:left w:val="nil"/>
              <w:bottom w:val="nil"/>
              <w:right w:val="nil"/>
            </w:tcBorders>
          </w:tcPr>
          <w:p w14:paraId="45968335"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(0.68)</w:t>
            </w:r>
          </w:p>
        </w:tc>
        <w:tc>
          <w:tcPr>
            <w:tcW w:w="1656" w:type="dxa"/>
            <w:tcBorders>
              <w:top w:val="nil"/>
              <w:left w:val="nil"/>
              <w:bottom w:val="nil"/>
              <w:right w:val="nil"/>
            </w:tcBorders>
          </w:tcPr>
          <w:p w14:paraId="3A34744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(0.90)</w:t>
            </w:r>
          </w:p>
        </w:tc>
      </w:tr>
      <w:tr w:rsidR="00AB0274" w:rsidRPr="00C40C4F" w14:paraId="701C01D6" w14:textId="77777777" w:rsidTr="00015B88">
        <w:tc>
          <w:tcPr>
            <w:tcW w:w="2136" w:type="dxa"/>
            <w:tcBorders>
              <w:top w:val="nil"/>
              <w:left w:val="nil"/>
              <w:bottom w:val="nil"/>
              <w:right w:val="nil"/>
            </w:tcBorders>
          </w:tcPr>
          <w:p w14:paraId="0A1FCD27"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10E075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23C7AF6"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545E77E"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5CE8D9F"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3B61F716" w14:textId="77777777" w:rsidTr="00015B88">
        <w:tc>
          <w:tcPr>
            <w:tcW w:w="2136" w:type="dxa"/>
            <w:tcBorders>
              <w:top w:val="nil"/>
              <w:left w:val="nil"/>
              <w:bottom w:val="nil"/>
              <w:right w:val="nil"/>
            </w:tcBorders>
          </w:tcPr>
          <w:p w14:paraId="7D7F54A4"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 xml:space="preserve">L6.Exchange Rate </w:t>
            </w:r>
            <w:r w:rsidRPr="00C40C4F">
              <w:rPr>
                <w:rFonts w:ascii="Times New Roman" w:hAnsi="Times New Roman" w:cs="Times New Roman"/>
                <w:sz w:val="20"/>
                <w:szCs w:val="20"/>
              </w:rPr>
              <w:lastRenderedPageBreak/>
              <w:t>Classification (RR inverted, higher = more fixed)</w:t>
            </w:r>
          </w:p>
        </w:tc>
        <w:tc>
          <w:tcPr>
            <w:tcW w:w="1656" w:type="dxa"/>
            <w:tcBorders>
              <w:top w:val="nil"/>
              <w:left w:val="nil"/>
              <w:bottom w:val="nil"/>
              <w:right w:val="nil"/>
            </w:tcBorders>
          </w:tcPr>
          <w:p w14:paraId="18DF18F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lastRenderedPageBreak/>
              <w:t>-0.0674</w:t>
            </w:r>
          </w:p>
        </w:tc>
        <w:tc>
          <w:tcPr>
            <w:tcW w:w="1656" w:type="dxa"/>
            <w:tcBorders>
              <w:top w:val="nil"/>
              <w:left w:val="nil"/>
              <w:bottom w:val="nil"/>
              <w:right w:val="nil"/>
            </w:tcBorders>
          </w:tcPr>
          <w:p w14:paraId="41CE2356"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-0.176</w:t>
            </w:r>
            <w:r w:rsidRPr="00C40C4F">
              <w:rPr>
                <w:rFonts w:ascii="Times New Roman" w:hAnsi="Times New Roman" w:cs="Times New Roman"/>
                <w:sz w:val="20"/>
                <w:szCs w:val="20"/>
                <w:vertAlign w:val="superscript"/>
              </w:rPr>
              <w:t>**</w:t>
            </w:r>
          </w:p>
        </w:tc>
        <w:tc>
          <w:tcPr>
            <w:tcW w:w="1656" w:type="dxa"/>
            <w:tcBorders>
              <w:top w:val="nil"/>
              <w:left w:val="nil"/>
              <w:bottom w:val="nil"/>
              <w:right w:val="nil"/>
            </w:tcBorders>
          </w:tcPr>
          <w:p w14:paraId="1C2E5F07"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-0.143</w:t>
            </w:r>
            <w:r w:rsidRPr="00C40C4F">
              <w:rPr>
                <w:rFonts w:ascii="Times New Roman" w:hAnsi="Times New Roman" w:cs="Times New Roman"/>
                <w:sz w:val="20"/>
                <w:szCs w:val="20"/>
                <w:vertAlign w:val="superscript"/>
              </w:rPr>
              <w:t>*</w:t>
            </w:r>
          </w:p>
        </w:tc>
        <w:tc>
          <w:tcPr>
            <w:tcW w:w="1656" w:type="dxa"/>
            <w:tcBorders>
              <w:top w:val="nil"/>
              <w:left w:val="nil"/>
              <w:bottom w:val="nil"/>
              <w:right w:val="nil"/>
            </w:tcBorders>
          </w:tcPr>
          <w:p w14:paraId="3A005FA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0.0348</w:t>
            </w:r>
          </w:p>
        </w:tc>
      </w:tr>
      <w:tr w:rsidR="00AB0274" w:rsidRPr="00C40C4F" w14:paraId="01884072" w14:textId="77777777" w:rsidTr="00015B88">
        <w:tc>
          <w:tcPr>
            <w:tcW w:w="2136" w:type="dxa"/>
            <w:tcBorders>
              <w:top w:val="nil"/>
              <w:left w:val="nil"/>
              <w:bottom w:val="nil"/>
              <w:right w:val="nil"/>
            </w:tcBorders>
          </w:tcPr>
          <w:p w14:paraId="3850DF09"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1892028"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(-1.30)</w:t>
            </w:r>
          </w:p>
        </w:tc>
        <w:tc>
          <w:tcPr>
            <w:tcW w:w="1656" w:type="dxa"/>
            <w:tcBorders>
              <w:top w:val="nil"/>
              <w:left w:val="nil"/>
              <w:bottom w:val="nil"/>
              <w:right w:val="nil"/>
            </w:tcBorders>
          </w:tcPr>
          <w:p w14:paraId="54A367B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(-2.58)</w:t>
            </w:r>
          </w:p>
        </w:tc>
        <w:tc>
          <w:tcPr>
            <w:tcW w:w="1656" w:type="dxa"/>
            <w:tcBorders>
              <w:top w:val="nil"/>
              <w:left w:val="nil"/>
              <w:bottom w:val="nil"/>
              <w:right w:val="nil"/>
            </w:tcBorders>
          </w:tcPr>
          <w:p w14:paraId="1BCF82E5"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(-2.29)</w:t>
            </w:r>
          </w:p>
        </w:tc>
        <w:tc>
          <w:tcPr>
            <w:tcW w:w="1656" w:type="dxa"/>
            <w:tcBorders>
              <w:top w:val="nil"/>
              <w:left w:val="nil"/>
              <w:bottom w:val="nil"/>
              <w:right w:val="nil"/>
            </w:tcBorders>
          </w:tcPr>
          <w:p w14:paraId="02DD5EB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(1.06)</w:t>
            </w:r>
          </w:p>
        </w:tc>
      </w:tr>
      <w:tr w:rsidR="00AB0274" w:rsidRPr="00C40C4F" w14:paraId="12A6962D" w14:textId="77777777" w:rsidTr="00015B88">
        <w:tc>
          <w:tcPr>
            <w:tcW w:w="2136" w:type="dxa"/>
            <w:tcBorders>
              <w:top w:val="nil"/>
              <w:left w:val="nil"/>
              <w:bottom w:val="nil"/>
              <w:right w:val="nil"/>
            </w:tcBorders>
          </w:tcPr>
          <w:p w14:paraId="631D0957"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BFC3AB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665960F"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23AA8F9"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F71250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08E83241" w14:textId="77777777" w:rsidTr="00015B88">
        <w:tc>
          <w:tcPr>
            <w:tcW w:w="2136" w:type="dxa"/>
            <w:tcBorders>
              <w:top w:val="nil"/>
              <w:left w:val="nil"/>
              <w:bottom w:val="nil"/>
              <w:right w:val="nil"/>
            </w:tcBorders>
          </w:tcPr>
          <w:p w14:paraId="1BDBEFE7"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L7.Exchange Rate Classification (RR inverted, higher = more fixed)</w:t>
            </w:r>
          </w:p>
        </w:tc>
        <w:tc>
          <w:tcPr>
            <w:tcW w:w="1656" w:type="dxa"/>
            <w:tcBorders>
              <w:top w:val="nil"/>
              <w:left w:val="nil"/>
              <w:bottom w:val="nil"/>
              <w:right w:val="nil"/>
            </w:tcBorders>
          </w:tcPr>
          <w:p w14:paraId="5F8F233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0.107</w:t>
            </w:r>
          </w:p>
        </w:tc>
        <w:tc>
          <w:tcPr>
            <w:tcW w:w="1656" w:type="dxa"/>
            <w:tcBorders>
              <w:top w:val="nil"/>
              <w:left w:val="nil"/>
              <w:bottom w:val="nil"/>
              <w:right w:val="nil"/>
            </w:tcBorders>
          </w:tcPr>
          <w:p w14:paraId="11460A70"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0.192</w:t>
            </w:r>
            <w:r w:rsidRPr="00C40C4F">
              <w:rPr>
                <w:rFonts w:ascii="Times New Roman" w:hAnsi="Times New Roman" w:cs="Times New Roman"/>
                <w:sz w:val="20"/>
                <w:szCs w:val="20"/>
                <w:vertAlign w:val="superscript"/>
              </w:rPr>
              <w:t>**</w:t>
            </w:r>
          </w:p>
        </w:tc>
        <w:tc>
          <w:tcPr>
            <w:tcW w:w="1656" w:type="dxa"/>
            <w:tcBorders>
              <w:top w:val="nil"/>
              <w:left w:val="nil"/>
              <w:bottom w:val="nil"/>
              <w:right w:val="nil"/>
            </w:tcBorders>
          </w:tcPr>
          <w:p w14:paraId="470B12E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0.0261</w:t>
            </w:r>
          </w:p>
        </w:tc>
        <w:tc>
          <w:tcPr>
            <w:tcW w:w="1656" w:type="dxa"/>
            <w:tcBorders>
              <w:top w:val="nil"/>
              <w:left w:val="nil"/>
              <w:bottom w:val="nil"/>
              <w:right w:val="nil"/>
            </w:tcBorders>
          </w:tcPr>
          <w:p w14:paraId="0EE1D655"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0.0155</w:t>
            </w:r>
          </w:p>
        </w:tc>
      </w:tr>
      <w:tr w:rsidR="00AB0274" w:rsidRPr="00C40C4F" w14:paraId="4B60C350" w14:textId="77777777" w:rsidTr="00015B88">
        <w:tc>
          <w:tcPr>
            <w:tcW w:w="2136" w:type="dxa"/>
            <w:tcBorders>
              <w:top w:val="nil"/>
              <w:left w:val="nil"/>
              <w:bottom w:val="nil"/>
              <w:right w:val="nil"/>
            </w:tcBorders>
          </w:tcPr>
          <w:p w14:paraId="4EDCA401"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18CA3A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(1.66)</w:t>
            </w:r>
          </w:p>
        </w:tc>
        <w:tc>
          <w:tcPr>
            <w:tcW w:w="1656" w:type="dxa"/>
            <w:tcBorders>
              <w:top w:val="nil"/>
              <w:left w:val="nil"/>
              <w:bottom w:val="nil"/>
              <w:right w:val="nil"/>
            </w:tcBorders>
          </w:tcPr>
          <w:p w14:paraId="0B6E85E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(2.58)</w:t>
            </w:r>
          </w:p>
        </w:tc>
        <w:tc>
          <w:tcPr>
            <w:tcW w:w="1656" w:type="dxa"/>
            <w:tcBorders>
              <w:top w:val="nil"/>
              <w:left w:val="nil"/>
              <w:bottom w:val="nil"/>
              <w:right w:val="nil"/>
            </w:tcBorders>
          </w:tcPr>
          <w:p w14:paraId="2A14832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(0.37)</w:t>
            </w:r>
          </w:p>
        </w:tc>
        <w:tc>
          <w:tcPr>
            <w:tcW w:w="1656" w:type="dxa"/>
            <w:tcBorders>
              <w:top w:val="nil"/>
              <w:left w:val="nil"/>
              <w:bottom w:val="nil"/>
              <w:right w:val="nil"/>
            </w:tcBorders>
          </w:tcPr>
          <w:p w14:paraId="6FF955E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(0.54)</w:t>
            </w:r>
          </w:p>
        </w:tc>
      </w:tr>
      <w:tr w:rsidR="00AB0274" w:rsidRPr="00C40C4F" w14:paraId="54AAA37C" w14:textId="77777777" w:rsidTr="00015B88">
        <w:tc>
          <w:tcPr>
            <w:tcW w:w="2136" w:type="dxa"/>
            <w:tcBorders>
              <w:top w:val="nil"/>
              <w:left w:val="nil"/>
              <w:bottom w:val="nil"/>
              <w:right w:val="nil"/>
            </w:tcBorders>
          </w:tcPr>
          <w:p w14:paraId="5A31AE33"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EF4C813"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FAC49CF"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F9859ED"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2BE96C4"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05C6F003" w14:textId="77777777" w:rsidTr="00015B88">
        <w:tc>
          <w:tcPr>
            <w:tcW w:w="2136" w:type="dxa"/>
            <w:tcBorders>
              <w:top w:val="nil"/>
              <w:left w:val="nil"/>
              <w:bottom w:val="nil"/>
              <w:right w:val="nil"/>
            </w:tcBorders>
          </w:tcPr>
          <w:p w14:paraId="314EB46C"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L8.Exchange Rate Classification (RR inverted, higher = more fixed)</w:t>
            </w:r>
          </w:p>
        </w:tc>
        <w:tc>
          <w:tcPr>
            <w:tcW w:w="1656" w:type="dxa"/>
            <w:tcBorders>
              <w:top w:val="nil"/>
              <w:left w:val="nil"/>
              <w:bottom w:val="nil"/>
              <w:right w:val="nil"/>
            </w:tcBorders>
          </w:tcPr>
          <w:p w14:paraId="336C6E0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-0.0361</w:t>
            </w:r>
          </w:p>
        </w:tc>
        <w:tc>
          <w:tcPr>
            <w:tcW w:w="1656" w:type="dxa"/>
            <w:tcBorders>
              <w:top w:val="nil"/>
              <w:left w:val="nil"/>
              <w:bottom w:val="nil"/>
              <w:right w:val="nil"/>
            </w:tcBorders>
          </w:tcPr>
          <w:p w14:paraId="61C6A1E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0.0443</w:t>
            </w:r>
          </w:p>
        </w:tc>
        <w:tc>
          <w:tcPr>
            <w:tcW w:w="1656" w:type="dxa"/>
            <w:tcBorders>
              <w:top w:val="nil"/>
              <w:left w:val="nil"/>
              <w:bottom w:val="nil"/>
              <w:right w:val="nil"/>
            </w:tcBorders>
          </w:tcPr>
          <w:p w14:paraId="1C3D985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-0.0699</w:t>
            </w:r>
          </w:p>
        </w:tc>
        <w:tc>
          <w:tcPr>
            <w:tcW w:w="1656" w:type="dxa"/>
            <w:tcBorders>
              <w:top w:val="nil"/>
              <w:left w:val="nil"/>
              <w:bottom w:val="nil"/>
              <w:right w:val="nil"/>
            </w:tcBorders>
          </w:tcPr>
          <w:p w14:paraId="020B479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-0.0327</w:t>
            </w:r>
          </w:p>
        </w:tc>
      </w:tr>
      <w:tr w:rsidR="00AB0274" w:rsidRPr="00C40C4F" w14:paraId="565D02DD" w14:textId="77777777" w:rsidTr="00015B88">
        <w:tc>
          <w:tcPr>
            <w:tcW w:w="2136" w:type="dxa"/>
            <w:tcBorders>
              <w:top w:val="nil"/>
              <w:left w:val="nil"/>
              <w:bottom w:val="nil"/>
              <w:right w:val="nil"/>
            </w:tcBorders>
          </w:tcPr>
          <w:p w14:paraId="3BF24962"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8F5F81A"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(-0.67)</w:t>
            </w:r>
          </w:p>
        </w:tc>
        <w:tc>
          <w:tcPr>
            <w:tcW w:w="1656" w:type="dxa"/>
            <w:tcBorders>
              <w:top w:val="nil"/>
              <w:left w:val="nil"/>
              <w:bottom w:val="nil"/>
              <w:right w:val="nil"/>
            </w:tcBorders>
          </w:tcPr>
          <w:p w14:paraId="6F3BE13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(0.58)</w:t>
            </w:r>
          </w:p>
        </w:tc>
        <w:tc>
          <w:tcPr>
            <w:tcW w:w="1656" w:type="dxa"/>
            <w:tcBorders>
              <w:top w:val="nil"/>
              <w:left w:val="nil"/>
              <w:bottom w:val="nil"/>
              <w:right w:val="nil"/>
            </w:tcBorders>
          </w:tcPr>
          <w:p w14:paraId="673D2BF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(-1.23)</w:t>
            </w:r>
          </w:p>
        </w:tc>
        <w:tc>
          <w:tcPr>
            <w:tcW w:w="1656" w:type="dxa"/>
            <w:tcBorders>
              <w:top w:val="nil"/>
              <w:left w:val="nil"/>
              <w:bottom w:val="nil"/>
              <w:right w:val="nil"/>
            </w:tcBorders>
          </w:tcPr>
          <w:p w14:paraId="30CD7DBA"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(-1.22)</w:t>
            </w:r>
          </w:p>
        </w:tc>
      </w:tr>
      <w:tr w:rsidR="00AB0274" w:rsidRPr="00C40C4F" w14:paraId="6A4DB379" w14:textId="77777777" w:rsidTr="00015B88">
        <w:tc>
          <w:tcPr>
            <w:tcW w:w="2136" w:type="dxa"/>
            <w:tcBorders>
              <w:top w:val="nil"/>
              <w:left w:val="nil"/>
              <w:bottom w:val="nil"/>
              <w:right w:val="nil"/>
            </w:tcBorders>
          </w:tcPr>
          <w:p w14:paraId="4943BE43"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6E6F259"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4EC0A4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E537714"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30BE49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2E165144" w14:textId="77777777" w:rsidTr="00015B88">
        <w:tc>
          <w:tcPr>
            <w:tcW w:w="2136" w:type="dxa"/>
            <w:tcBorders>
              <w:top w:val="nil"/>
              <w:left w:val="nil"/>
              <w:bottom w:val="nil"/>
              <w:right w:val="nil"/>
            </w:tcBorders>
          </w:tcPr>
          <w:p w14:paraId="41EB0665"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L9.Exchange Rate Classification (RR inverted, higher = more fixed)</w:t>
            </w:r>
          </w:p>
        </w:tc>
        <w:tc>
          <w:tcPr>
            <w:tcW w:w="1656" w:type="dxa"/>
            <w:tcBorders>
              <w:top w:val="nil"/>
              <w:left w:val="nil"/>
              <w:bottom w:val="nil"/>
              <w:right w:val="nil"/>
            </w:tcBorders>
          </w:tcPr>
          <w:p w14:paraId="7061179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0.00281</w:t>
            </w:r>
          </w:p>
        </w:tc>
        <w:tc>
          <w:tcPr>
            <w:tcW w:w="1656" w:type="dxa"/>
            <w:tcBorders>
              <w:top w:val="nil"/>
              <w:left w:val="nil"/>
              <w:bottom w:val="nil"/>
              <w:right w:val="nil"/>
            </w:tcBorders>
          </w:tcPr>
          <w:p w14:paraId="57D235C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-0.0677</w:t>
            </w:r>
          </w:p>
        </w:tc>
        <w:tc>
          <w:tcPr>
            <w:tcW w:w="1656" w:type="dxa"/>
            <w:tcBorders>
              <w:top w:val="nil"/>
              <w:left w:val="nil"/>
              <w:bottom w:val="nil"/>
              <w:right w:val="nil"/>
            </w:tcBorders>
          </w:tcPr>
          <w:p w14:paraId="3666B365"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-0.0406</w:t>
            </w:r>
          </w:p>
        </w:tc>
        <w:tc>
          <w:tcPr>
            <w:tcW w:w="1656" w:type="dxa"/>
            <w:tcBorders>
              <w:top w:val="nil"/>
              <w:left w:val="nil"/>
              <w:bottom w:val="nil"/>
              <w:right w:val="nil"/>
            </w:tcBorders>
          </w:tcPr>
          <w:p w14:paraId="1CFCECD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0.0480</w:t>
            </w:r>
          </w:p>
        </w:tc>
      </w:tr>
      <w:tr w:rsidR="00AB0274" w:rsidRPr="00C40C4F" w14:paraId="033AC3DE" w14:textId="77777777" w:rsidTr="00015B88">
        <w:tc>
          <w:tcPr>
            <w:tcW w:w="2136" w:type="dxa"/>
            <w:tcBorders>
              <w:top w:val="nil"/>
              <w:left w:val="nil"/>
              <w:bottom w:val="nil"/>
              <w:right w:val="nil"/>
            </w:tcBorders>
          </w:tcPr>
          <w:p w14:paraId="293865C9"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3A59FD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(0.06)</w:t>
            </w:r>
          </w:p>
        </w:tc>
        <w:tc>
          <w:tcPr>
            <w:tcW w:w="1656" w:type="dxa"/>
            <w:tcBorders>
              <w:top w:val="nil"/>
              <w:left w:val="nil"/>
              <w:bottom w:val="nil"/>
              <w:right w:val="nil"/>
            </w:tcBorders>
          </w:tcPr>
          <w:p w14:paraId="33F0FFE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(-1.09)</w:t>
            </w:r>
          </w:p>
        </w:tc>
        <w:tc>
          <w:tcPr>
            <w:tcW w:w="1656" w:type="dxa"/>
            <w:tcBorders>
              <w:top w:val="nil"/>
              <w:left w:val="nil"/>
              <w:bottom w:val="nil"/>
              <w:right w:val="nil"/>
            </w:tcBorders>
          </w:tcPr>
          <w:p w14:paraId="3F96E94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(-0.71)</w:t>
            </w:r>
          </w:p>
        </w:tc>
        <w:tc>
          <w:tcPr>
            <w:tcW w:w="1656" w:type="dxa"/>
            <w:tcBorders>
              <w:top w:val="nil"/>
              <w:left w:val="nil"/>
              <w:bottom w:val="nil"/>
              <w:right w:val="nil"/>
            </w:tcBorders>
          </w:tcPr>
          <w:p w14:paraId="1B7F71B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(1.51)</w:t>
            </w:r>
          </w:p>
        </w:tc>
      </w:tr>
      <w:tr w:rsidR="00AB0274" w:rsidRPr="00C40C4F" w14:paraId="7DFC5A58" w14:textId="77777777" w:rsidTr="00015B88">
        <w:tc>
          <w:tcPr>
            <w:tcW w:w="2136" w:type="dxa"/>
            <w:tcBorders>
              <w:top w:val="nil"/>
              <w:left w:val="nil"/>
              <w:bottom w:val="nil"/>
              <w:right w:val="nil"/>
            </w:tcBorders>
          </w:tcPr>
          <w:p w14:paraId="0078C03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372CA09"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5BD93C1"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4DA2DA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116AD20"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6AFD476B" w14:textId="77777777" w:rsidTr="00015B88">
        <w:tc>
          <w:tcPr>
            <w:tcW w:w="2136" w:type="dxa"/>
            <w:tcBorders>
              <w:top w:val="nil"/>
              <w:left w:val="nil"/>
              <w:bottom w:val="nil"/>
              <w:right w:val="nil"/>
            </w:tcBorders>
          </w:tcPr>
          <w:p w14:paraId="5522EB3D"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L10.Exchange Rate Classification (RR inverted, higher = more fixed)</w:t>
            </w:r>
          </w:p>
        </w:tc>
        <w:tc>
          <w:tcPr>
            <w:tcW w:w="1656" w:type="dxa"/>
            <w:tcBorders>
              <w:top w:val="nil"/>
              <w:left w:val="nil"/>
              <w:bottom w:val="nil"/>
              <w:right w:val="nil"/>
            </w:tcBorders>
          </w:tcPr>
          <w:p w14:paraId="37A7540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-0.00896</w:t>
            </w:r>
          </w:p>
        </w:tc>
        <w:tc>
          <w:tcPr>
            <w:tcW w:w="1656" w:type="dxa"/>
            <w:tcBorders>
              <w:top w:val="nil"/>
              <w:left w:val="nil"/>
              <w:bottom w:val="nil"/>
              <w:right w:val="nil"/>
            </w:tcBorders>
          </w:tcPr>
          <w:p w14:paraId="294EAA3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-0.0660</w:t>
            </w:r>
          </w:p>
        </w:tc>
        <w:tc>
          <w:tcPr>
            <w:tcW w:w="1656" w:type="dxa"/>
            <w:tcBorders>
              <w:top w:val="nil"/>
              <w:left w:val="nil"/>
              <w:bottom w:val="nil"/>
              <w:right w:val="nil"/>
            </w:tcBorders>
          </w:tcPr>
          <w:p w14:paraId="49E3EEF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0.0624</w:t>
            </w:r>
          </w:p>
        </w:tc>
        <w:tc>
          <w:tcPr>
            <w:tcW w:w="1656" w:type="dxa"/>
            <w:tcBorders>
              <w:top w:val="nil"/>
              <w:left w:val="nil"/>
              <w:bottom w:val="nil"/>
              <w:right w:val="nil"/>
            </w:tcBorders>
          </w:tcPr>
          <w:p w14:paraId="48547445"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-0.0731</w:t>
            </w:r>
          </w:p>
        </w:tc>
      </w:tr>
      <w:tr w:rsidR="00AB0274" w:rsidRPr="00C40C4F" w14:paraId="72BF65D6" w14:textId="77777777" w:rsidTr="00015B88">
        <w:tc>
          <w:tcPr>
            <w:tcW w:w="2136" w:type="dxa"/>
            <w:tcBorders>
              <w:top w:val="nil"/>
              <w:left w:val="nil"/>
              <w:bottom w:val="nil"/>
              <w:right w:val="nil"/>
            </w:tcBorders>
          </w:tcPr>
          <w:p w14:paraId="11A9B13C"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6010AD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(-0.16)</w:t>
            </w:r>
          </w:p>
        </w:tc>
        <w:tc>
          <w:tcPr>
            <w:tcW w:w="1656" w:type="dxa"/>
            <w:tcBorders>
              <w:top w:val="nil"/>
              <w:left w:val="nil"/>
              <w:bottom w:val="nil"/>
              <w:right w:val="nil"/>
            </w:tcBorders>
          </w:tcPr>
          <w:p w14:paraId="610A7F60"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(-1.12)</w:t>
            </w:r>
          </w:p>
        </w:tc>
        <w:tc>
          <w:tcPr>
            <w:tcW w:w="1656" w:type="dxa"/>
            <w:tcBorders>
              <w:top w:val="nil"/>
              <w:left w:val="nil"/>
              <w:bottom w:val="nil"/>
              <w:right w:val="nil"/>
            </w:tcBorders>
          </w:tcPr>
          <w:p w14:paraId="6AC55D77"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(1.25)</w:t>
            </w:r>
          </w:p>
        </w:tc>
        <w:tc>
          <w:tcPr>
            <w:tcW w:w="1656" w:type="dxa"/>
            <w:tcBorders>
              <w:top w:val="nil"/>
              <w:left w:val="nil"/>
              <w:bottom w:val="nil"/>
              <w:right w:val="nil"/>
            </w:tcBorders>
          </w:tcPr>
          <w:p w14:paraId="309F8509"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(-1.94)</w:t>
            </w:r>
          </w:p>
        </w:tc>
      </w:tr>
      <w:tr w:rsidR="00AB0274" w:rsidRPr="00C40C4F" w14:paraId="3EEC1F51" w14:textId="77777777" w:rsidTr="00015B88">
        <w:tc>
          <w:tcPr>
            <w:tcW w:w="2136" w:type="dxa"/>
            <w:tcBorders>
              <w:top w:val="nil"/>
              <w:left w:val="nil"/>
              <w:bottom w:val="nil"/>
              <w:right w:val="nil"/>
            </w:tcBorders>
          </w:tcPr>
          <w:p w14:paraId="33B2AC1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880D72E"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1CBDDF9"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50F6043"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9ECDD21"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334A66B9" w14:textId="77777777" w:rsidTr="00015B88">
        <w:tc>
          <w:tcPr>
            <w:tcW w:w="2136" w:type="dxa"/>
            <w:tcBorders>
              <w:top w:val="nil"/>
              <w:left w:val="nil"/>
              <w:bottom w:val="nil"/>
              <w:right w:val="nil"/>
            </w:tcBorders>
          </w:tcPr>
          <w:p w14:paraId="037A4896"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roofErr w:type="spellStart"/>
            <w:r w:rsidRPr="00C40C4F">
              <w:rPr>
                <w:rFonts w:ascii="Times New Roman" w:hAnsi="Times New Roman" w:cs="Times New Roman"/>
                <w:sz w:val="20"/>
                <w:szCs w:val="20"/>
              </w:rPr>
              <w:t>L.De</w:t>
            </w:r>
            <w:proofErr w:type="spellEnd"/>
            <w:r w:rsidRPr="00C40C4F">
              <w:rPr>
                <w:rFonts w:ascii="Times New Roman" w:hAnsi="Times New Roman" w:cs="Times New Roman"/>
                <w:sz w:val="20"/>
                <w:szCs w:val="20"/>
              </w:rPr>
              <w:t xml:space="preserve"> Facto CBI * More Fixed Rate</w:t>
            </w:r>
          </w:p>
        </w:tc>
        <w:tc>
          <w:tcPr>
            <w:tcW w:w="1656" w:type="dxa"/>
            <w:tcBorders>
              <w:top w:val="nil"/>
              <w:left w:val="nil"/>
              <w:bottom w:val="nil"/>
              <w:right w:val="nil"/>
            </w:tcBorders>
          </w:tcPr>
          <w:p w14:paraId="053F5406"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0.0265</w:t>
            </w:r>
          </w:p>
        </w:tc>
        <w:tc>
          <w:tcPr>
            <w:tcW w:w="1656" w:type="dxa"/>
            <w:tcBorders>
              <w:top w:val="nil"/>
              <w:left w:val="nil"/>
              <w:bottom w:val="nil"/>
              <w:right w:val="nil"/>
            </w:tcBorders>
          </w:tcPr>
          <w:p w14:paraId="69872020"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0.0680</w:t>
            </w:r>
          </w:p>
        </w:tc>
        <w:tc>
          <w:tcPr>
            <w:tcW w:w="1656" w:type="dxa"/>
            <w:tcBorders>
              <w:top w:val="nil"/>
              <w:left w:val="nil"/>
              <w:bottom w:val="nil"/>
              <w:right w:val="nil"/>
            </w:tcBorders>
          </w:tcPr>
          <w:p w14:paraId="7FE8636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0.0703</w:t>
            </w:r>
          </w:p>
        </w:tc>
        <w:tc>
          <w:tcPr>
            <w:tcW w:w="1656" w:type="dxa"/>
            <w:tcBorders>
              <w:top w:val="nil"/>
              <w:left w:val="nil"/>
              <w:bottom w:val="nil"/>
              <w:right w:val="nil"/>
            </w:tcBorders>
          </w:tcPr>
          <w:p w14:paraId="113B842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0.00490</w:t>
            </w:r>
          </w:p>
        </w:tc>
      </w:tr>
      <w:tr w:rsidR="00AB0274" w:rsidRPr="00C40C4F" w14:paraId="706D4B93" w14:textId="77777777" w:rsidTr="00015B88">
        <w:tc>
          <w:tcPr>
            <w:tcW w:w="2136" w:type="dxa"/>
            <w:tcBorders>
              <w:top w:val="nil"/>
              <w:left w:val="nil"/>
              <w:bottom w:val="nil"/>
              <w:right w:val="nil"/>
            </w:tcBorders>
          </w:tcPr>
          <w:p w14:paraId="48539FC6"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B253D3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(0.48)</w:t>
            </w:r>
          </w:p>
        </w:tc>
        <w:tc>
          <w:tcPr>
            <w:tcW w:w="1656" w:type="dxa"/>
            <w:tcBorders>
              <w:top w:val="nil"/>
              <w:left w:val="nil"/>
              <w:bottom w:val="nil"/>
              <w:right w:val="nil"/>
            </w:tcBorders>
          </w:tcPr>
          <w:p w14:paraId="6EAAD327"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(1.15)</w:t>
            </w:r>
          </w:p>
        </w:tc>
        <w:tc>
          <w:tcPr>
            <w:tcW w:w="1656" w:type="dxa"/>
            <w:tcBorders>
              <w:top w:val="nil"/>
              <w:left w:val="nil"/>
              <w:bottom w:val="nil"/>
              <w:right w:val="nil"/>
            </w:tcBorders>
          </w:tcPr>
          <w:p w14:paraId="2A736D6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(1.30)</w:t>
            </w:r>
          </w:p>
        </w:tc>
        <w:tc>
          <w:tcPr>
            <w:tcW w:w="1656" w:type="dxa"/>
            <w:tcBorders>
              <w:top w:val="nil"/>
              <w:left w:val="nil"/>
              <w:bottom w:val="nil"/>
              <w:right w:val="nil"/>
            </w:tcBorders>
          </w:tcPr>
          <w:p w14:paraId="2938504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(0.16)</w:t>
            </w:r>
          </w:p>
        </w:tc>
      </w:tr>
      <w:tr w:rsidR="00AB0274" w:rsidRPr="00C40C4F" w14:paraId="57C61BFC" w14:textId="77777777" w:rsidTr="00015B88">
        <w:tc>
          <w:tcPr>
            <w:tcW w:w="2136" w:type="dxa"/>
            <w:tcBorders>
              <w:top w:val="nil"/>
              <w:left w:val="nil"/>
              <w:bottom w:val="nil"/>
              <w:right w:val="nil"/>
            </w:tcBorders>
          </w:tcPr>
          <w:p w14:paraId="2BF929AF"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0C0EBF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429A1A6"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C2B3040"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FE6E402"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09A05834" w14:textId="77777777" w:rsidTr="00015B88">
        <w:tc>
          <w:tcPr>
            <w:tcW w:w="2136" w:type="dxa"/>
            <w:tcBorders>
              <w:top w:val="nil"/>
              <w:left w:val="nil"/>
              <w:bottom w:val="nil"/>
              <w:right w:val="nil"/>
            </w:tcBorders>
          </w:tcPr>
          <w:p w14:paraId="662C64BE"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L2.De Facto CBI * More Fixed Rate</w:t>
            </w:r>
          </w:p>
        </w:tc>
        <w:tc>
          <w:tcPr>
            <w:tcW w:w="1656" w:type="dxa"/>
            <w:tcBorders>
              <w:top w:val="nil"/>
              <w:left w:val="nil"/>
              <w:bottom w:val="nil"/>
              <w:right w:val="nil"/>
            </w:tcBorders>
          </w:tcPr>
          <w:p w14:paraId="5021B0D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0.0355</w:t>
            </w:r>
          </w:p>
        </w:tc>
        <w:tc>
          <w:tcPr>
            <w:tcW w:w="1656" w:type="dxa"/>
            <w:tcBorders>
              <w:top w:val="nil"/>
              <w:left w:val="nil"/>
              <w:bottom w:val="nil"/>
              <w:right w:val="nil"/>
            </w:tcBorders>
          </w:tcPr>
          <w:p w14:paraId="37898CC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-0.0461</w:t>
            </w:r>
          </w:p>
        </w:tc>
        <w:tc>
          <w:tcPr>
            <w:tcW w:w="1656" w:type="dxa"/>
            <w:tcBorders>
              <w:top w:val="nil"/>
              <w:left w:val="nil"/>
              <w:bottom w:val="nil"/>
              <w:right w:val="nil"/>
            </w:tcBorders>
          </w:tcPr>
          <w:p w14:paraId="32E9BCDA"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0.0356</w:t>
            </w:r>
          </w:p>
        </w:tc>
        <w:tc>
          <w:tcPr>
            <w:tcW w:w="1656" w:type="dxa"/>
            <w:tcBorders>
              <w:top w:val="nil"/>
              <w:left w:val="nil"/>
              <w:bottom w:val="nil"/>
              <w:right w:val="nil"/>
            </w:tcBorders>
          </w:tcPr>
          <w:p w14:paraId="4BFED0E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0.0280</w:t>
            </w:r>
          </w:p>
        </w:tc>
      </w:tr>
      <w:tr w:rsidR="00AB0274" w:rsidRPr="00C40C4F" w14:paraId="17B9C04D" w14:textId="77777777" w:rsidTr="00015B88">
        <w:tc>
          <w:tcPr>
            <w:tcW w:w="2136" w:type="dxa"/>
            <w:tcBorders>
              <w:top w:val="nil"/>
              <w:left w:val="nil"/>
              <w:bottom w:val="nil"/>
              <w:right w:val="nil"/>
            </w:tcBorders>
          </w:tcPr>
          <w:p w14:paraId="67647E2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548B860"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(0.72)</w:t>
            </w:r>
          </w:p>
        </w:tc>
        <w:tc>
          <w:tcPr>
            <w:tcW w:w="1656" w:type="dxa"/>
            <w:tcBorders>
              <w:top w:val="nil"/>
              <w:left w:val="nil"/>
              <w:bottom w:val="nil"/>
              <w:right w:val="nil"/>
            </w:tcBorders>
          </w:tcPr>
          <w:p w14:paraId="21D5E74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(-0.78)</w:t>
            </w:r>
          </w:p>
        </w:tc>
        <w:tc>
          <w:tcPr>
            <w:tcW w:w="1656" w:type="dxa"/>
            <w:tcBorders>
              <w:top w:val="nil"/>
              <w:left w:val="nil"/>
              <w:bottom w:val="nil"/>
              <w:right w:val="nil"/>
            </w:tcBorders>
          </w:tcPr>
          <w:p w14:paraId="26179087"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(0.64)</w:t>
            </w:r>
          </w:p>
        </w:tc>
        <w:tc>
          <w:tcPr>
            <w:tcW w:w="1656" w:type="dxa"/>
            <w:tcBorders>
              <w:top w:val="nil"/>
              <w:left w:val="nil"/>
              <w:bottom w:val="nil"/>
              <w:right w:val="nil"/>
            </w:tcBorders>
          </w:tcPr>
          <w:p w14:paraId="711041D0"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(0.91)</w:t>
            </w:r>
          </w:p>
        </w:tc>
      </w:tr>
      <w:tr w:rsidR="00AB0274" w:rsidRPr="00C40C4F" w14:paraId="2A8EAEC0" w14:textId="77777777" w:rsidTr="00015B88">
        <w:tc>
          <w:tcPr>
            <w:tcW w:w="2136" w:type="dxa"/>
            <w:tcBorders>
              <w:top w:val="nil"/>
              <w:left w:val="nil"/>
              <w:bottom w:val="nil"/>
              <w:right w:val="nil"/>
            </w:tcBorders>
          </w:tcPr>
          <w:p w14:paraId="4C1307A3"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118E4DD"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310B44D"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2E1A26C"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520E8C6"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32BF708A" w14:textId="77777777" w:rsidTr="00015B88">
        <w:tc>
          <w:tcPr>
            <w:tcW w:w="2136" w:type="dxa"/>
            <w:tcBorders>
              <w:top w:val="nil"/>
              <w:left w:val="nil"/>
              <w:bottom w:val="nil"/>
              <w:right w:val="nil"/>
            </w:tcBorders>
          </w:tcPr>
          <w:p w14:paraId="3ED2C5C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L3.De Facto CBI * More Fixed Rate</w:t>
            </w:r>
          </w:p>
        </w:tc>
        <w:tc>
          <w:tcPr>
            <w:tcW w:w="1656" w:type="dxa"/>
            <w:tcBorders>
              <w:top w:val="nil"/>
              <w:left w:val="nil"/>
              <w:bottom w:val="nil"/>
              <w:right w:val="nil"/>
            </w:tcBorders>
          </w:tcPr>
          <w:p w14:paraId="36FA4ED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0.0335</w:t>
            </w:r>
          </w:p>
        </w:tc>
        <w:tc>
          <w:tcPr>
            <w:tcW w:w="1656" w:type="dxa"/>
            <w:tcBorders>
              <w:top w:val="nil"/>
              <w:left w:val="nil"/>
              <w:bottom w:val="nil"/>
              <w:right w:val="nil"/>
            </w:tcBorders>
          </w:tcPr>
          <w:p w14:paraId="3BAE748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0.0127</w:t>
            </w:r>
          </w:p>
        </w:tc>
        <w:tc>
          <w:tcPr>
            <w:tcW w:w="1656" w:type="dxa"/>
            <w:tcBorders>
              <w:top w:val="nil"/>
              <w:left w:val="nil"/>
              <w:bottom w:val="nil"/>
              <w:right w:val="nil"/>
            </w:tcBorders>
          </w:tcPr>
          <w:p w14:paraId="2EB844C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-0.0368</w:t>
            </w:r>
          </w:p>
        </w:tc>
        <w:tc>
          <w:tcPr>
            <w:tcW w:w="1656" w:type="dxa"/>
            <w:tcBorders>
              <w:top w:val="nil"/>
              <w:left w:val="nil"/>
              <w:bottom w:val="nil"/>
              <w:right w:val="nil"/>
            </w:tcBorders>
          </w:tcPr>
          <w:p w14:paraId="6E32ED1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0.0180</w:t>
            </w:r>
          </w:p>
        </w:tc>
      </w:tr>
      <w:tr w:rsidR="00AB0274" w:rsidRPr="00C40C4F" w14:paraId="7DD2949D" w14:textId="77777777" w:rsidTr="00015B88">
        <w:tc>
          <w:tcPr>
            <w:tcW w:w="2136" w:type="dxa"/>
            <w:tcBorders>
              <w:top w:val="nil"/>
              <w:left w:val="nil"/>
              <w:bottom w:val="nil"/>
              <w:right w:val="nil"/>
            </w:tcBorders>
          </w:tcPr>
          <w:p w14:paraId="754D3379"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DBCA4E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(0.71)</w:t>
            </w:r>
          </w:p>
        </w:tc>
        <w:tc>
          <w:tcPr>
            <w:tcW w:w="1656" w:type="dxa"/>
            <w:tcBorders>
              <w:top w:val="nil"/>
              <w:left w:val="nil"/>
              <w:bottom w:val="nil"/>
              <w:right w:val="nil"/>
            </w:tcBorders>
          </w:tcPr>
          <w:p w14:paraId="390E8317"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(0.21)</w:t>
            </w:r>
          </w:p>
        </w:tc>
        <w:tc>
          <w:tcPr>
            <w:tcW w:w="1656" w:type="dxa"/>
            <w:tcBorders>
              <w:top w:val="nil"/>
              <w:left w:val="nil"/>
              <w:bottom w:val="nil"/>
              <w:right w:val="nil"/>
            </w:tcBorders>
          </w:tcPr>
          <w:p w14:paraId="7CC7CF09"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(-0.78)</w:t>
            </w:r>
          </w:p>
        </w:tc>
        <w:tc>
          <w:tcPr>
            <w:tcW w:w="1656" w:type="dxa"/>
            <w:tcBorders>
              <w:top w:val="nil"/>
              <w:left w:val="nil"/>
              <w:bottom w:val="nil"/>
              <w:right w:val="nil"/>
            </w:tcBorders>
          </w:tcPr>
          <w:p w14:paraId="185E89A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(0.54)</w:t>
            </w:r>
          </w:p>
        </w:tc>
      </w:tr>
      <w:tr w:rsidR="00AB0274" w:rsidRPr="00C40C4F" w14:paraId="7B4C1F68" w14:textId="77777777" w:rsidTr="00015B88">
        <w:tc>
          <w:tcPr>
            <w:tcW w:w="2136" w:type="dxa"/>
            <w:tcBorders>
              <w:top w:val="nil"/>
              <w:left w:val="nil"/>
              <w:bottom w:val="nil"/>
              <w:right w:val="nil"/>
            </w:tcBorders>
          </w:tcPr>
          <w:p w14:paraId="129C54E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2720427"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B1604A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6BDC5F3"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95FCD19"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7C4552D4" w14:textId="77777777" w:rsidTr="00015B88">
        <w:tc>
          <w:tcPr>
            <w:tcW w:w="2136" w:type="dxa"/>
            <w:tcBorders>
              <w:top w:val="nil"/>
              <w:left w:val="nil"/>
              <w:bottom w:val="nil"/>
              <w:right w:val="nil"/>
            </w:tcBorders>
          </w:tcPr>
          <w:p w14:paraId="325DC521"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L4.De Facto CBI * More Fixed Rate</w:t>
            </w:r>
          </w:p>
        </w:tc>
        <w:tc>
          <w:tcPr>
            <w:tcW w:w="1656" w:type="dxa"/>
            <w:tcBorders>
              <w:top w:val="nil"/>
              <w:left w:val="nil"/>
              <w:bottom w:val="nil"/>
              <w:right w:val="nil"/>
            </w:tcBorders>
          </w:tcPr>
          <w:p w14:paraId="52604FA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-0.0175</w:t>
            </w:r>
          </w:p>
        </w:tc>
        <w:tc>
          <w:tcPr>
            <w:tcW w:w="1656" w:type="dxa"/>
            <w:tcBorders>
              <w:top w:val="nil"/>
              <w:left w:val="nil"/>
              <w:bottom w:val="nil"/>
              <w:right w:val="nil"/>
            </w:tcBorders>
          </w:tcPr>
          <w:p w14:paraId="53DC1973"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0.0172</w:t>
            </w:r>
          </w:p>
        </w:tc>
        <w:tc>
          <w:tcPr>
            <w:tcW w:w="1656" w:type="dxa"/>
            <w:tcBorders>
              <w:top w:val="nil"/>
              <w:left w:val="nil"/>
              <w:bottom w:val="nil"/>
              <w:right w:val="nil"/>
            </w:tcBorders>
          </w:tcPr>
          <w:p w14:paraId="3DC9269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-0.0344</w:t>
            </w:r>
          </w:p>
        </w:tc>
        <w:tc>
          <w:tcPr>
            <w:tcW w:w="1656" w:type="dxa"/>
            <w:tcBorders>
              <w:top w:val="nil"/>
              <w:left w:val="nil"/>
              <w:bottom w:val="nil"/>
              <w:right w:val="nil"/>
            </w:tcBorders>
          </w:tcPr>
          <w:p w14:paraId="68D9880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0.0740</w:t>
            </w:r>
            <w:r w:rsidRPr="00C40C4F">
              <w:rPr>
                <w:rFonts w:ascii="Times New Roman" w:hAnsi="Times New Roman" w:cs="Times New Roman"/>
                <w:sz w:val="20"/>
                <w:szCs w:val="20"/>
                <w:vertAlign w:val="superscript"/>
              </w:rPr>
              <w:t>*</w:t>
            </w:r>
          </w:p>
        </w:tc>
      </w:tr>
      <w:tr w:rsidR="00AB0274" w:rsidRPr="00C40C4F" w14:paraId="621B1772" w14:textId="77777777" w:rsidTr="00015B88">
        <w:tc>
          <w:tcPr>
            <w:tcW w:w="2136" w:type="dxa"/>
            <w:tcBorders>
              <w:top w:val="nil"/>
              <w:left w:val="nil"/>
              <w:bottom w:val="nil"/>
              <w:right w:val="nil"/>
            </w:tcBorders>
          </w:tcPr>
          <w:p w14:paraId="0A8795BE"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E883DE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(-0.37)</w:t>
            </w:r>
          </w:p>
        </w:tc>
        <w:tc>
          <w:tcPr>
            <w:tcW w:w="1656" w:type="dxa"/>
            <w:tcBorders>
              <w:top w:val="nil"/>
              <w:left w:val="nil"/>
              <w:bottom w:val="nil"/>
              <w:right w:val="nil"/>
            </w:tcBorders>
          </w:tcPr>
          <w:p w14:paraId="1BBC1413"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(0.32)</w:t>
            </w:r>
          </w:p>
        </w:tc>
        <w:tc>
          <w:tcPr>
            <w:tcW w:w="1656" w:type="dxa"/>
            <w:tcBorders>
              <w:top w:val="nil"/>
              <w:left w:val="nil"/>
              <w:bottom w:val="nil"/>
              <w:right w:val="nil"/>
            </w:tcBorders>
          </w:tcPr>
          <w:p w14:paraId="195ADD1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(-0.67)</w:t>
            </w:r>
          </w:p>
        </w:tc>
        <w:tc>
          <w:tcPr>
            <w:tcW w:w="1656" w:type="dxa"/>
            <w:tcBorders>
              <w:top w:val="nil"/>
              <w:left w:val="nil"/>
              <w:bottom w:val="nil"/>
              <w:right w:val="nil"/>
            </w:tcBorders>
          </w:tcPr>
          <w:p w14:paraId="4DE194E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(2.24)</w:t>
            </w:r>
          </w:p>
        </w:tc>
      </w:tr>
      <w:tr w:rsidR="00AB0274" w:rsidRPr="00C40C4F" w14:paraId="5E63430F" w14:textId="77777777" w:rsidTr="00015B88">
        <w:tc>
          <w:tcPr>
            <w:tcW w:w="2136" w:type="dxa"/>
            <w:tcBorders>
              <w:top w:val="nil"/>
              <w:left w:val="nil"/>
              <w:bottom w:val="nil"/>
              <w:right w:val="nil"/>
            </w:tcBorders>
          </w:tcPr>
          <w:p w14:paraId="445F57F7"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8BE799F"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E4C88E6"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92CCBF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69A094B"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68B712AD" w14:textId="77777777" w:rsidTr="00015B88">
        <w:tc>
          <w:tcPr>
            <w:tcW w:w="2136" w:type="dxa"/>
            <w:tcBorders>
              <w:top w:val="nil"/>
              <w:left w:val="nil"/>
              <w:bottom w:val="nil"/>
              <w:right w:val="nil"/>
            </w:tcBorders>
          </w:tcPr>
          <w:p w14:paraId="211074DC"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L5.De Facto CBI * More Fixed Rate</w:t>
            </w:r>
          </w:p>
        </w:tc>
        <w:tc>
          <w:tcPr>
            <w:tcW w:w="1656" w:type="dxa"/>
            <w:tcBorders>
              <w:top w:val="nil"/>
              <w:left w:val="nil"/>
              <w:bottom w:val="nil"/>
              <w:right w:val="nil"/>
            </w:tcBorders>
          </w:tcPr>
          <w:p w14:paraId="0F5FF0A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-0.0332</w:t>
            </w:r>
          </w:p>
        </w:tc>
        <w:tc>
          <w:tcPr>
            <w:tcW w:w="1656" w:type="dxa"/>
            <w:tcBorders>
              <w:top w:val="nil"/>
              <w:left w:val="nil"/>
              <w:bottom w:val="nil"/>
              <w:right w:val="nil"/>
            </w:tcBorders>
          </w:tcPr>
          <w:p w14:paraId="6EA0944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0.00336</w:t>
            </w:r>
          </w:p>
        </w:tc>
        <w:tc>
          <w:tcPr>
            <w:tcW w:w="1656" w:type="dxa"/>
            <w:tcBorders>
              <w:top w:val="nil"/>
              <w:left w:val="nil"/>
              <w:bottom w:val="nil"/>
              <w:right w:val="nil"/>
            </w:tcBorders>
          </w:tcPr>
          <w:p w14:paraId="2166596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0.00112</w:t>
            </w:r>
          </w:p>
        </w:tc>
        <w:tc>
          <w:tcPr>
            <w:tcW w:w="1656" w:type="dxa"/>
            <w:tcBorders>
              <w:top w:val="nil"/>
              <w:left w:val="nil"/>
              <w:bottom w:val="nil"/>
              <w:right w:val="nil"/>
            </w:tcBorders>
          </w:tcPr>
          <w:p w14:paraId="6E8112B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0.0329</w:t>
            </w:r>
          </w:p>
        </w:tc>
      </w:tr>
      <w:tr w:rsidR="00AB0274" w:rsidRPr="00C40C4F" w14:paraId="737B3965" w14:textId="77777777" w:rsidTr="00015B88">
        <w:tc>
          <w:tcPr>
            <w:tcW w:w="2136" w:type="dxa"/>
            <w:tcBorders>
              <w:top w:val="nil"/>
              <w:left w:val="nil"/>
              <w:bottom w:val="nil"/>
              <w:right w:val="nil"/>
            </w:tcBorders>
          </w:tcPr>
          <w:p w14:paraId="525452C9"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7F8BDF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(-0.70)</w:t>
            </w:r>
          </w:p>
        </w:tc>
        <w:tc>
          <w:tcPr>
            <w:tcW w:w="1656" w:type="dxa"/>
            <w:tcBorders>
              <w:top w:val="nil"/>
              <w:left w:val="nil"/>
              <w:bottom w:val="nil"/>
              <w:right w:val="nil"/>
            </w:tcBorders>
          </w:tcPr>
          <w:p w14:paraId="6C9D6BF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(0.06)</w:t>
            </w:r>
          </w:p>
        </w:tc>
        <w:tc>
          <w:tcPr>
            <w:tcW w:w="1656" w:type="dxa"/>
            <w:tcBorders>
              <w:top w:val="nil"/>
              <w:left w:val="nil"/>
              <w:bottom w:val="nil"/>
              <w:right w:val="nil"/>
            </w:tcBorders>
          </w:tcPr>
          <w:p w14:paraId="6E4514B6"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(0.02)</w:t>
            </w:r>
          </w:p>
        </w:tc>
        <w:tc>
          <w:tcPr>
            <w:tcW w:w="1656" w:type="dxa"/>
            <w:tcBorders>
              <w:top w:val="nil"/>
              <w:left w:val="nil"/>
              <w:bottom w:val="nil"/>
              <w:right w:val="nil"/>
            </w:tcBorders>
          </w:tcPr>
          <w:p w14:paraId="6B388CB7"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(0.96)</w:t>
            </w:r>
          </w:p>
        </w:tc>
      </w:tr>
      <w:tr w:rsidR="00AB0274" w:rsidRPr="00C40C4F" w14:paraId="0F544C1B" w14:textId="77777777" w:rsidTr="00015B88">
        <w:tc>
          <w:tcPr>
            <w:tcW w:w="2136" w:type="dxa"/>
            <w:tcBorders>
              <w:top w:val="nil"/>
              <w:left w:val="nil"/>
              <w:bottom w:val="nil"/>
              <w:right w:val="nil"/>
            </w:tcBorders>
          </w:tcPr>
          <w:p w14:paraId="5955CDB4"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BC14F87"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214BF6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1002964"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E4099AC"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6D131E9E" w14:textId="77777777" w:rsidTr="00015B88">
        <w:tc>
          <w:tcPr>
            <w:tcW w:w="2136" w:type="dxa"/>
            <w:tcBorders>
              <w:top w:val="nil"/>
              <w:left w:val="nil"/>
              <w:bottom w:val="nil"/>
              <w:right w:val="nil"/>
            </w:tcBorders>
          </w:tcPr>
          <w:p w14:paraId="2FF86720"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L6.De Facto CBI * More Fixed Rate</w:t>
            </w:r>
          </w:p>
        </w:tc>
        <w:tc>
          <w:tcPr>
            <w:tcW w:w="1656" w:type="dxa"/>
            <w:tcBorders>
              <w:top w:val="nil"/>
              <w:left w:val="nil"/>
              <w:bottom w:val="nil"/>
              <w:right w:val="nil"/>
            </w:tcBorders>
          </w:tcPr>
          <w:p w14:paraId="6798FCC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0.0814</w:t>
            </w:r>
            <w:r w:rsidRPr="00C40C4F">
              <w:rPr>
                <w:rFonts w:ascii="Times New Roman" w:hAnsi="Times New Roman" w:cs="Times New Roman"/>
                <w:sz w:val="20"/>
                <w:szCs w:val="20"/>
                <w:vertAlign w:val="superscript"/>
              </w:rPr>
              <w:t>*</w:t>
            </w:r>
          </w:p>
        </w:tc>
        <w:tc>
          <w:tcPr>
            <w:tcW w:w="1656" w:type="dxa"/>
            <w:tcBorders>
              <w:top w:val="nil"/>
              <w:left w:val="nil"/>
              <w:bottom w:val="nil"/>
              <w:right w:val="nil"/>
            </w:tcBorders>
          </w:tcPr>
          <w:p w14:paraId="732578EA"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0.0685</w:t>
            </w:r>
          </w:p>
        </w:tc>
        <w:tc>
          <w:tcPr>
            <w:tcW w:w="1656" w:type="dxa"/>
            <w:tcBorders>
              <w:top w:val="nil"/>
              <w:left w:val="nil"/>
              <w:bottom w:val="nil"/>
              <w:right w:val="nil"/>
            </w:tcBorders>
          </w:tcPr>
          <w:p w14:paraId="7F9C8C0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0.147</w:t>
            </w:r>
            <w:r w:rsidRPr="00C40C4F">
              <w:rPr>
                <w:rFonts w:ascii="Times New Roman" w:hAnsi="Times New Roman" w:cs="Times New Roman"/>
                <w:sz w:val="20"/>
                <w:szCs w:val="20"/>
                <w:vertAlign w:val="superscript"/>
              </w:rPr>
              <w:t>**</w:t>
            </w:r>
          </w:p>
        </w:tc>
        <w:tc>
          <w:tcPr>
            <w:tcW w:w="1656" w:type="dxa"/>
            <w:tcBorders>
              <w:top w:val="nil"/>
              <w:left w:val="nil"/>
              <w:bottom w:val="nil"/>
              <w:right w:val="nil"/>
            </w:tcBorders>
          </w:tcPr>
          <w:p w14:paraId="33B620B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-0.0328</w:t>
            </w:r>
          </w:p>
        </w:tc>
      </w:tr>
      <w:tr w:rsidR="00AB0274" w:rsidRPr="00C40C4F" w14:paraId="556958C4" w14:textId="77777777" w:rsidTr="00015B88">
        <w:tc>
          <w:tcPr>
            <w:tcW w:w="2136" w:type="dxa"/>
            <w:tcBorders>
              <w:top w:val="nil"/>
              <w:left w:val="nil"/>
              <w:bottom w:val="nil"/>
              <w:right w:val="nil"/>
            </w:tcBorders>
          </w:tcPr>
          <w:p w14:paraId="118A8E6F"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B86F5B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(1.97)</w:t>
            </w:r>
          </w:p>
        </w:tc>
        <w:tc>
          <w:tcPr>
            <w:tcW w:w="1656" w:type="dxa"/>
            <w:tcBorders>
              <w:top w:val="nil"/>
              <w:left w:val="nil"/>
              <w:bottom w:val="nil"/>
              <w:right w:val="nil"/>
            </w:tcBorders>
          </w:tcPr>
          <w:p w14:paraId="538C5813"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(1.21)</w:t>
            </w:r>
          </w:p>
        </w:tc>
        <w:tc>
          <w:tcPr>
            <w:tcW w:w="1656" w:type="dxa"/>
            <w:tcBorders>
              <w:top w:val="nil"/>
              <w:left w:val="nil"/>
              <w:bottom w:val="nil"/>
              <w:right w:val="nil"/>
            </w:tcBorders>
          </w:tcPr>
          <w:p w14:paraId="4A1BA366"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(2.90)</w:t>
            </w:r>
          </w:p>
        </w:tc>
        <w:tc>
          <w:tcPr>
            <w:tcW w:w="1656" w:type="dxa"/>
            <w:tcBorders>
              <w:top w:val="nil"/>
              <w:left w:val="nil"/>
              <w:bottom w:val="nil"/>
              <w:right w:val="nil"/>
            </w:tcBorders>
          </w:tcPr>
          <w:p w14:paraId="2158595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(-0.93)</w:t>
            </w:r>
          </w:p>
        </w:tc>
      </w:tr>
      <w:tr w:rsidR="00AB0274" w:rsidRPr="00C40C4F" w14:paraId="6BFF7DBA" w14:textId="77777777" w:rsidTr="00015B88">
        <w:tc>
          <w:tcPr>
            <w:tcW w:w="2136" w:type="dxa"/>
            <w:tcBorders>
              <w:top w:val="nil"/>
              <w:left w:val="nil"/>
              <w:bottom w:val="nil"/>
              <w:right w:val="nil"/>
            </w:tcBorders>
          </w:tcPr>
          <w:p w14:paraId="457F4D71"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FCAB3A7"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E5AF212"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20585A9"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8E59E8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001C2E31" w14:textId="77777777" w:rsidTr="00015B88">
        <w:tc>
          <w:tcPr>
            <w:tcW w:w="2136" w:type="dxa"/>
            <w:tcBorders>
              <w:top w:val="nil"/>
              <w:left w:val="nil"/>
              <w:bottom w:val="nil"/>
              <w:right w:val="nil"/>
            </w:tcBorders>
          </w:tcPr>
          <w:p w14:paraId="43873CDC"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L7.De Facto CBI * More Fixed Rate</w:t>
            </w:r>
          </w:p>
        </w:tc>
        <w:tc>
          <w:tcPr>
            <w:tcW w:w="1656" w:type="dxa"/>
            <w:tcBorders>
              <w:top w:val="nil"/>
              <w:left w:val="nil"/>
              <w:bottom w:val="nil"/>
              <w:right w:val="nil"/>
            </w:tcBorders>
          </w:tcPr>
          <w:p w14:paraId="36369A2A"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-0.0283</w:t>
            </w:r>
          </w:p>
        </w:tc>
        <w:tc>
          <w:tcPr>
            <w:tcW w:w="1656" w:type="dxa"/>
            <w:tcBorders>
              <w:top w:val="nil"/>
              <w:left w:val="nil"/>
              <w:bottom w:val="nil"/>
              <w:right w:val="nil"/>
            </w:tcBorders>
          </w:tcPr>
          <w:p w14:paraId="67C519B8"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-0.112</w:t>
            </w:r>
            <w:r w:rsidRPr="00C40C4F">
              <w:rPr>
                <w:rFonts w:ascii="Times New Roman" w:hAnsi="Times New Roman" w:cs="Times New Roman"/>
                <w:sz w:val="20"/>
                <w:szCs w:val="20"/>
                <w:vertAlign w:val="superscript"/>
              </w:rPr>
              <w:t>*</w:t>
            </w:r>
          </w:p>
        </w:tc>
        <w:tc>
          <w:tcPr>
            <w:tcW w:w="1656" w:type="dxa"/>
            <w:tcBorders>
              <w:top w:val="nil"/>
              <w:left w:val="nil"/>
              <w:bottom w:val="nil"/>
              <w:right w:val="nil"/>
            </w:tcBorders>
          </w:tcPr>
          <w:p w14:paraId="0F78873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0.0132</w:t>
            </w:r>
          </w:p>
        </w:tc>
        <w:tc>
          <w:tcPr>
            <w:tcW w:w="1656" w:type="dxa"/>
            <w:tcBorders>
              <w:top w:val="nil"/>
              <w:left w:val="nil"/>
              <w:bottom w:val="nil"/>
              <w:right w:val="nil"/>
            </w:tcBorders>
          </w:tcPr>
          <w:p w14:paraId="1DE89EA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0.00654</w:t>
            </w:r>
          </w:p>
        </w:tc>
      </w:tr>
      <w:tr w:rsidR="00AB0274" w:rsidRPr="00C40C4F" w14:paraId="212D8F75" w14:textId="77777777" w:rsidTr="00015B88">
        <w:tc>
          <w:tcPr>
            <w:tcW w:w="2136" w:type="dxa"/>
            <w:tcBorders>
              <w:top w:val="nil"/>
              <w:left w:val="nil"/>
              <w:bottom w:val="nil"/>
              <w:right w:val="nil"/>
            </w:tcBorders>
          </w:tcPr>
          <w:p w14:paraId="5424AB06"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DC1D8E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(-0.58)</w:t>
            </w:r>
          </w:p>
        </w:tc>
        <w:tc>
          <w:tcPr>
            <w:tcW w:w="1656" w:type="dxa"/>
            <w:tcBorders>
              <w:top w:val="nil"/>
              <w:left w:val="nil"/>
              <w:bottom w:val="nil"/>
              <w:right w:val="nil"/>
            </w:tcBorders>
          </w:tcPr>
          <w:p w14:paraId="30A9ED7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(-2.12)</w:t>
            </w:r>
          </w:p>
        </w:tc>
        <w:tc>
          <w:tcPr>
            <w:tcW w:w="1656" w:type="dxa"/>
            <w:tcBorders>
              <w:top w:val="nil"/>
              <w:left w:val="nil"/>
              <w:bottom w:val="nil"/>
              <w:right w:val="nil"/>
            </w:tcBorders>
          </w:tcPr>
          <w:p w14:paraId="020854F0"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(0.27)</w:t>
            </w:r>
          </w:p>
        </w:tc>
        <w:tc>
          <w:tcPr>
            <w:tcW w:w="1656" w:type="dxa"/>
            <w:tcBorders>
              <w:top w:val="nil"/>
              <w:left w:val="nil"/>
              <w:bottom w:val="nil"/>
              <w:right w:val="nil"/>
            </w:tcBorders>
          </w:tcPr>
          <w:p w14:paraId="14AF3915"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(0.19)</w:t>
            </w:r>
          </w:p>
        </w:tc>
      </w:tr>
      <w:tr w:rsidR="00AB0274" w:rsidRPr="00C40C4F" w14:paraId="4578F816" w14:textId="77777777" w:rsidTr="00015B88">
        <w:tc>
          <w:tcPr>
            <w:tcW w:w="2136" w:type="dxa"/>
            <w:tcBorders>
              <w:top w:val="nil"/>
              <w:left w:val="nil"/>
              <w:bottom w:val="nil"/>
              <w:right w:val="nil"/>
            </w:tcBorders>
          </w:tcPr>
          <w:p w14:paraId="6BE54827"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60DF967"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125BA5C"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F6B425F"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0DE2687"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34533C07" w14:textId="77777777" w:rsidTr="00015B88">
        <w:tc>
          <w:tcPr>
            <w:tcW w:w="2136" w:type="dxa"/>
            <w:tcBorders>
              <w:top w:val="nil"/>
              <w:left w:val="nil"/>
              <w:bottom w:val="nil"/>
              <w:right w:val="nil"/>
            </w:tcBorders>
          </w:tcPr>
          <w:p w14:paraId="4CD2452C"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L8.De Facto CBI * More Fixed Rate</w:t>
            </w:r>
          </w:p>
        </w:tc>
        <w:tc>
          <w:tcPr>
            <w:tcW w:w="1656" w:type="dxa"/>
            <w:tcBorders>
              <w:top w:val="nil"/>
              <w:left w:val="nil"/>
              <w:bottom w:val="nil"/>
              <w:right w:val="nil"/>
            </w:tcBorders>
          </w:tcPr>
          <w:p w14:paraId="39B4996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-0.0373</w:t>
            </w:r>
          </w:p>
        </w:tc>
        <w:tc>
          <w:tcPr>
            <w:tcW w:w="1656" w:type="dxa"/>
            <w:tcBorders>
              <w:top w:val="nil"/>
              <w:left w:val="nil"/>
              <w:bottom w:val="nil"/>
              <w:right w:val="nil"/>
            </w:tcBorders>
          </w:tcPr>
          <w:p w14:paraId="606CE365"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-0.0604</w:t>
            </w:r>
          </w:p>
        </w:tc>
        <w:tc>
          <w:tcPr>
            <w:tcW w:w="1656" w:type="dxa"/>
            <w:tcBorders>
              <w:top w:val="nil"/>
              <w:left w:val="nil"/>
              <w:bottom w:val="nil"/>
              <w:right w:val="nil"/>
            </w:tcBorders>
          </w:tcPr>
          <w:p w14:paraId="4C5C8CA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0.0156</w:t>
            </w:r>
          </w:p>
        </w:tc>
        <w:tc>
          <w:tcPr>
            <w:tcW w:w="1656" w:type="dxa"/>
            <w:tcBorders>
              <w:top w:val="nil"/>
              <w:left w:val="nil"/>
              <w:bottom w:val="nil"/>
              <w:right w:val="nil"/>
            </w:tcBorders>
          </w:tcPr>
          <w:p w14:paraId="158BEEC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0.0324</w:t>
            </w:r>
          </w:p>
        </w:tc>
      </w:tr>
      <w:tr w:rsidR="00AB0274" w:rsidRPr="00C40C4F" w14:paraId="001B83A3" w14:textId="77777777" w:rsidTr="00015B88">
        <w:tc>
          <w:tcPr>
            <w:tcW w:w="2136" w:type="dxa"/>
            <w:tcBorders>
              <w:top w:val="nil"/>
              <w:left w:val="nil"/>
              <w:bottom w:val="nil"/>
              <w:right w:val="nil"/>
            </w:tcBorders>
          </w:tcPr>
          <w:p w14:paraId="7832B12E"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BC42D58"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(-0.77)</w:t>
            </w:r>
          </w:p>
        </w:tc>
        <w:tc>
          <w:tcPr>
            <w:tcW w:w="1656" w:type="dxa"/>
            <w:tcBorders>
              <w:top w:val="nil"/>
              <w:left w:val="nil"/>
              <w:bottom w:val="nil"/>
              <w:right w:val="nil"/>
            </w:tcBorders>
          </w:tcPr>
          <w:p w14:paraId="400C57B8"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(-1.04)</w:t>
            </w:r>
          </w:p>
        </w:tc>
        <w:tc>
          <w:tcPr>
            <w:tcW w:w="1656" w:type="dxa"/>
            <w:tcBorders>
              <w:top w:val="nil"/>
              <w:left w:val="nil"/>
              <w:bottom w:val="nil"/>
              <w:right w:val="nil"/>
            </w:tcBorders>
          </w:tcPr>
          <w:p w14:paraId="348E0403"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(0.34)</w:t>
            </w:r>
          </w:p>
        </w:tc>
        <w:tc>
          <w:tcPr>
            <w:tcW w:w="1656" w:type="dxa"/>
            <w:tcBorders>
              <w:top w:val="nil"/>
              <w:left w:val="nil"/>
              <w:bottom w:val="nil"/>
              <w:right w:val="nil"/>
            </w:tcBorders>
          </w:tcPr>
          <w:p w14:paraId="473CBC95"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(1.10)</w:t>
            </w:r>
          </w:p>
        </w:tc>
      </w:tr>
      <w:tr w:rsidR="00AB0274" w:rsidRPr="00C40C4F" w14:paraId="7E246C51" w14:textId="77777777" w:rsidTr="00015B88">
        <w:tc>
          <w:tcPr>
            <w:tcW w:w="2136" w:type="dxa"/>
            <w:tcBorders>
              <w:top w:val="nil"/>
              <w:left w:val="nil"/>
              <w:bottom w:val="nil"/>
              <w:right w:val="nil"/>
            </w:tcBorders>
          </w:tcPr>
          <w:p w14:paraId="3A95C015"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DF6C47E"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EDCD5FD"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90A17F0"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345218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03C1391E" w14:textId="77777777" w:rsidTr="00015B88">
        <w:tc>
          <w:tcPr>
            <w:tcW w:w="2136" w:type="dxa"/>
            <w:tcBorders>
              <w:top w:val="nil"/>
              <w:left w:val="nil"/>
              <w:bottom w:val="nil"/>
              <w:right w:val="nil"/>
            </w:tcBorders>
          </w:tcPr>
          <w:p w14:paraId="565C60AD"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L9.De Facto CBI * More Fixed Rate</w:t>
            </w:r>
          </w:p>
        </w:tc>
        <w:tc>
          <w:tcPr>
            <w:tcW w:w="1656" w:type="dxa"/>
            <w:tcBorders>
              <w:top w:val="nil"/>
              <w:left w:val="nil"/>
              <w:bottom w:val="nil"/>
              <w:right w:val="nil"/>
            </w:tcBorders>
          </w:tcPr>
          <w:p w14:paraId="30F5B36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0.0208</w:t>
            </w:r>
          </w:p>
        </w:tc>
        <w:tc>
          <w:tcPr>
            <w:tcW w:w="1656" w:type="dxa"/>
            <w:tcBorders>
              <w:top w:val="nil"/>
              <w:left w:val="nil"/>
              <w:bottom w:val="nil"/>
              <w:right w:val="nil"/>
            </w:tcBorders>
          </w:tcPr>
          <w:p w14:paraId="5CF1299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0.0876</w:t>
            </w:r>
          </w:p>
        </w:tc>
        <w:tc>
          <w:tcPr>
            <w:tcW w:w="1656" w:type="dxa"/>
            <w:tcBorders>
              <w:top w:val="nil"/>
              <w:left w:val="nil"/>
              <w:bottom w:val="nil"/>
              <w:right w:val="nil"/>
            </w:tcBorders>
          </w:tcPr>
          <w:p w14:paraId="2AD6AE7A"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0.0243</w:t>
            </w:r>
          </w:p>
        </w:tc>
        <w:tc>
          <w:tcPr>
            <w:tcW w:w="1656" w:type="dxa"/>
            <w:tcBorders>
              <w:top w:val="nil"/>
              <w:left w:val="nil"/>
              <w:bottom w:val="nil"/>
              <w:right w:val="nil"/>
            </w:tcBorders>
          </w:tcPr>
          <w:p w14:paraId="08F03F83"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-0.00459</w:t>
            </w:r>
          </w:p>
        </w:tc>
      </w:tr>
      <w:tr w:rsidR="00AB0274" w:rsidRPr="00C40C4F" w14:paraId="6F36D411" w14:textId="77777777" w:rsidTr="00015B88">
        <w:tc>
          <w:tcPr>
            <w:tcW w:w="2136" w:type="dxa"/>
            <w:tcBorders>
              <w:top w:val="nil"/>
              <w:left w:val="nil"/>
              <w:bottom w:val="nil"/>
              <w:right w:val="nil"/>
            </w:tcBorders>
          </w:tcPr>
          <w:p w14:paraId="26B8F40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076E9B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(0.46)</w:t>
            </w:r>
          </w:p>
        </w:tc>
        <w:tc>
          <w:tcPr>
            <w:tcW w:w="1656" w:type="dxa"/>
            <w:tcBorders>
              <w:top w:val="nil"/>
              <w:left w:val="nil"/>
              <w:bottom w:val="nil"/>
              <w:right w:val="nil"/>
            </w:tcBorders>
          </w:tcPr>
          <w:p w14:paraId="0CEFFEC6"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(1.74)</w:t>
            </w:r>
          </w:p>
        </w:tc>
        <w:tc>
          <w:tcPr>
            <w:tcW w:w="1656" w:type="dxa"/>
            <w:tcBorders>
              <w:top w:val="nil"/>
              <w:left w:val="nil"/>
              <w:bottom w:val="nil"/>
              <w:right w:val="nil"/>
            </w:tcBorders>
          </w:tcPr>
          <w:p w14:paraId="6E0DB2B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(0.49)</w:t>
            </w:r>
          </w:p>
        </w:tc>
        <w:tc>
          <w:tcPr>
            <w:tcW w:w="1656" w:type="dxa"/>
            <w:tcBorders>
              <w:top w:val="nil"/>
              <w:left w:val="nil"/>
              <w:bottom w:val="nil"/>
              <w:right w:val="nil"/>
            </w:tcBorders>
          </w:tcPr>
          <w:p w14:paraId="1E8F016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(-0.15)</w:t>
            </w:r>
          </w:p>
        </w:tc>
      </w:tr>
      <w:tr w:rsidR="00AB0274" w:rsidRPr="00C40C4F" w14:paraId="3F33E174" w14:textId="77777777" w:rsidTr="00015B88">
        <w:tc>
          <w:tcPr>
            <w:tcW w:w="2136" w:type="dxa"/>
            <w:tcBorders>
              <w:top w:val="nil"/>
              <w:left w:val="nil"/>
              <w:bottom w:val="nil"/>
              <w:right w:val="nil"/>
            </w:tcBorders>
          </w:tcPr>
          <w:p w14:paraId="25727AB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3DAF070"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146BB5F"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18F1EAD"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2A98B3BB"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0D82269E" w14:textId="77777777" w:rsidTr="00015B88">
        <w:tc>
          <w:tcPr>
            <w:tcW w:w="2136" w:type="dxa"/>
            <w:tcBorders>
              <w:top w:val="nil"/>
              <w:left w:val="nil"/>
              <w:bottom w:val="nil"/>
              <w:right w:val="nil"/>
            </w:tcBorders>
          </w:tcPr>
          <w:p w14:paraId="445CF4C9"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L10.De Facto CBI * More Fixed Rate</w:t>
            </w:r>
          </w:p>
        </w:tc>
        <w:tc>
          <w:tcPr>
            <w:tcW w:w="1656" w:type="dxa"/>
            <w:tcBorders>
              <w:top w:val="nil"/>
              <w:left w:val="nil"/>
              <w:bottom w:val="nil"/>
              <w:right w:val="nil"/>
            </w:tcBorders>
          </w:tcPr>
          <w:p w14:paraId="3D278E19"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-0.0225</w:t>
            </w:r>
          </w:p>
        </w:tc>
        <w:tc>
          <w:tcPr>
            <w:tcW w:w="1656" w:type="dxa"/>
            <w:tcBorders>
              <w:top w:val="nil"/>
              <w:left w:val="nil"/>
              <w:bottom w:val="nil"/>
              <w:right w:val="nil"/>
            </w:tcBorders>
          </w:tcPr>
          <w:p w14:paraId="31832F1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0.0630</w:t>
            </w:r>
          </w:p>
        </w:tc>
        <w:tc>
          <w:tcPr>
            <w:tcW w:w="1656" w:type="dxa"/>
            <w:tcBorders>
              <w:top w:val="nil"/>
              <w:left w:val="nil"/>
              <w:bottom w:val="nil"/>
              <w:right w:val="nil"/>
            </w:tcBorders>
          </w:tcPr>
          <w:p w14:paraId="10B1A527"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-0.0530</w:t>
            </w:r>
          </w:p>
        </w:tc>
        <w:tc>
          <w:tcPr>
            <w:tcW w:w="1656" w:type="dxa"/>
            <w:tcBorders>
              <w:top w:val="nil"/>
              <w:left w:val="nil"/>
              <w:bottom w:val="nil"/>
              <w:right w:val="nil"/>
            </w:tcBorders>
          </w:tcPr>
          <w:p w14:paraId="0A1973F5"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-0.00569</w:t>
            </w:r>
          </w:p>
        </w:tc>
      </w:tr>
      <w:tr w:rsidR="00AB0274" w:rsidRPr="00C40C4F" w14:paraId="362D40A0" w14:textId="77777777" w:rsidTr="00015B88">
        <w:tc>
          <w:tcPr>
            <w:tcW w:w="2136" w:type="dxa"/>
            <w:tcBorders>
              <w:top w:val="nil"/>
              <w:left w:val="nil"/>
              <w:bottom w:val="nil"/>
              <w:right w:val="nil"/>
            </w:tcBorders>
          </w:tcPr>
          <w:p w14:paraId="5510401B"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6B783B4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(-0.50)</w:t>
            </w:r>
          </w:p>
        </w:tc>
        <w:tc>
          <w:tcPr>
            <w:tcW w:w="1656" w:type="dxa"/>
            <w:tcBorders>
              <w:top w:val="nil"/>
              <w:left w:val="nil"/>
              <w:bottom w:val="nil"/>
              <w:right w:val="nil"/>
            </w:tcBorders>
          </w:tcPr>
          <w:p w14:paraId="7E87DD99"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(1.18)</w:t>
            </w:r>
          </w:p>
        </w:tc>
        <w:tc>
          <w:tcPr>
            <w:tcW w:w="1656" w:type="dxa"/>
            <w:tcBorders>
              <w:top w:val="nil"/>
              <w:left w:val="nil"/>
              <w:bottom w:val="nil"/>
              <w:right w:val="nil"/>
            </w:tcBorders>
          </w:tcPr>
          <w:p w14:paraId="3D4D34B0"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(-1.24)</w:t>
            </w:r>
          </w:p>
        </w:tc>
        <w:tc>
          <w:tcPr>
            <w:tcW w:w="1656" w:type="dxa"/>
            <w:tcBorders>
              <w:top w:val="nil"/>
              <w:left w:val="nil"/>
              <w:bottom w:val="nil"/>
              <w:right w:val="nil"/>
            </w:tcBorders>
          </w:tcPr>
          <w:p w14:paraId="55EB1263"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(-0.19)</w:t>
            </w:r>
          </w:p>
        </w:tc>
      </w:tr>
      <w:tr w:rsidR="00AB0274" w:rsidRPr="00C40C4F" w14:paraId="44D3D9AC" w14:textId="77777777" w:rsidTr="00015B88">
        <w:tc>
          <w:tcPr>
            <w:tcW w:w="2136" w:type="dxa"/>
            <w:tcBorders>
              <w:top w:val="nil"/>
              <w:left w:val="nil"/>
              <w:bottom w:val="nil"/>
              <w:right w:val="nil"/>
            </w:tcBorders>
          </w:tcPr>
          <w:p w14:paraId="0114F9BE"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CBDA9AB"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3322CF14"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96EFBF5"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11C4C55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r>
      <w:tr w:rsidR="00AB0274" w:rsidRPr="00C40C4F" w14:paraId="14D2180E" w14:textId="77777777" w:rsidTr="00015B88">
        <w:tc>
          <w:tcPr>
            <w:tcW w:w="2136" w:type="dxa"/>
            <w:tcBorders>
              <w:top w:val="nil"/>
              <w:left w:val="nil"/>
              <w:bottom w:val="nil"/>
              <w:right w:val="nil"/>
            </w:tcBorders>
          </w:tcPr>
          <w:p w14:paraId="0E527C5F"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Constant</w:t>
            </w:r>
          </w:p>
        </w:tc>
        <w:tc>
          <w:tcPr>
            <w:tcW w:w="1656" w:type="dxa"/>
            <w:tcBorders>
              <w:top w:val="nil"/>
              <w:left w:val="nil"/>
              <w:bottom w:val="nil"/>
              <w:right w:val="nil"/>
            </w:tcBorders>
          </w:tcPr>
          <w:p w14:paraId="0D79F6A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nil"/>
              <w:left w:val="nil"/>
              <w:bottom w:val="nil"/>
              <w:right w:val="nil"/>
            </w:tcBorders>
          </w:tcPr>
          <w:p w14:paraId="1AF8D3C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nil"/>
              <w:left w:val="nil"/>
              <w:bottom w:val="nil"/>
              <w:right w:val="nil"/>
            </w:tcBorders>
          </w:tcPr>
          <w:p w14:paraId="56E0D148"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nil"/>
              <w:left w:val="nil"/>
              <w:bottom w:val="nil"/>
              <w:right w:val="nil"/>
            </w:tcBorders>
          </w:tcPr>
          <w:p w14:paraId="09C99126"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-1.406</w:t>
            </w:r>
          </w:p>
        </w:tc>
      </w:tr>
      <w:tr w:rsidR="00AB0274" w:rsidRPr="00C40C4F" w14:paraId="361D8710" w14:textId="77777777" w:rsidTr="00015B88">
        <w:tc>
          <w:tcPr>
            <w:tcW w:w="2136" w:type="dxa"/>
            <w:tcBorders>
              <w:top w:val="nil"/>
              <w:left w:val="nil"/>
              <w:bottom w:val="nil"/>
              <w:right w:val="nil"/>
            </w:tcBorders>
          </w:tcPr>
          <w:p w14:paraId="5AF17BDE"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7D29E8F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nil"/>
              <w:left w:val="nil"/>
              <w:bottom w:val="nil"/>
              <w:right w:val="nil"/>
            </w:tcBorders>
          </w:tcPr>
          <w:p w14:paraId="4BDBF69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nil"/>
              <w:left w:val="nil"/>
              <w:bottom w:val="nil"/>
              <w:right w:val="nil"/>
            </w:tcBorders>
          </w:tcPr>
          <w:p w14:paraId="5090FAF7"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nil"/>
              <w:left w:val="nil"/>
              <w:bottom w:val="nil"/>
              <w:right w:val="nil"/>
            </w:tcBorders>
          </w:tcPr>
          <w:p w14:paraId="64F8C153"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(-1.15)</w:t>
            </w:r>
          </w:p>
        </w:tc>
      </w:tr>
      <w:tr w:rsidR="00AB0274" w:rsidRPr="00C40C4F" w14:paraId="0907B929" w14:textId="77777777" w:rsidTr="00015B88">
        <w:tc>
          <w:tcPr>
            <w:tcW w:w="2136" w:type="dxa"/>
            <w:tcBorders>
              <w:top w:val="single" w:sz="4" w:space="0" w:color="auto"/>
              <w:left w:val="nil"/>
              <w:bottom w:val="nil"/>
              <w:right w:val="nil"/>
            </w:tcBorders>
          </w:tcPr>
          <w:p w14:paraId="25D33899"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cut1</w:t>
            </w:r>
          </w:p>
        </w:tc>
        <w:tc>
          <w:tcPr>
            <w:tcW w:w="1656" w:type="dxa"/>
            <w:tcBorders>
              <w:top w:val="single" w:sz="4" w:space="0" w:color="auto"/>
              <w:left w:val="nil"/>
              <w:bottom w:val="nil"/>
              <w:right w:val="nil"/>
            </w:tcBorders>
          </w:tcPr>
          <w:p w14:paraId="332EF98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single" w:sz="4" w:space="0" w:color="auto"/>
              <w:left w:val="nil"/>
              <w:bottom w:val="nil"/>
              <w:right w:val="nil"/>
            </w:tcBorders>
          </w:tcPr>
          <w:p w14:paraId="2C26C559"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single" w:sz="4" w:space="0" w:color="auto"/>
              <w:left w:val="nil"/>
              <w:bottom w:val="nil"/>
              <w:right w:val="nil"/>
            </w:tcBorders>
          </w:tcPr>
          <w:p w14:paraId="666DA7F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single" w:sz="4" w:space="0" w:color="auto"/>
              <w:left w:val="nil"/>
              <w:bottom w:val="nil"/>
              <w:right w:val="nil"/>
            </w:tcBorders>
          </w:tcPr>
          <w:p w14:paraId="17D2B21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r>
      <w:tr w:rsidR="00AB0274" w:rsidRPr="00C40C4F" w14:paraId="766CC506" w14:textId="77777777" w:rsidTr="00015B88">
        <w:tc>
          <w:tcPr>
            <w:tcW w:w="2136" w:type="dxa"/>
            <w:tcBorders>
              <w:top w:val="nil"/>
              <w:left w:val="nil"/>
              <w:bottom w:val="nil"/>
              <w:right w:val="nil"/>
            </w:tcBorders>
          </w:tcPr>
          <w:p w14:paraId="08571D55"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Constant</w:t>
            </w:r>
          </w:p>
        </w:tc>
        <w:tc>
          <w:tcPr>
            <w:tcW w:w="1656" w:type="dxa"/>
            <w:tcBorders>
              <w:top w:val="nil"/>
              <w:left w:val="nil"/>
              <w:bottom w:val="nil"/>
              <w:right w:val="nil"/>
            </w:tcBorders>
          </w:tcPr>
          <w:p w14:paraId="110D0BA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-0.904</w:t>
            </w:r>
          </w:p>
        </w:tc>
        <w:tc>
          <w:tcPr>
            <w:tcW w:w="1656" w:type="dxa"/>
            <w:tcBorders>
              <w:top w:val="nil"/>
              <w:left w:val="nil"/>
              <w:bottom w:val="nil"/>
              <w:right w:val="nil"/>
            </w:tcBorders>
          </w:tcPr>
          <w:p w14:paraId="3C844A2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-0.854</w:t>
            </w:r>
          </w:p>
        </w:tc>
        <w:tc>
          <w:tcPr>
            <w:tcW w:w="1656" w:type="dxa"/>
            <w:tcBorders>
              <w:top w:val="nil"/>
              <w:left w:val="nil"/>
              <w:bottom w:val="nil"/>
              <w:right w:val="nil"/>
            </w:tcBorders>
          </w:tcPr>
          <w:p w14:paraId="3A1E71A5"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-2.019</w:t>
            </w:r>
            <w:r w:rsidRPr="00C40C4F">
              <w:rPr>
                <w:rFonts w:ascii="Times New Roman" w:hAnsi="Times New Roman" w:cs="Times New Roman"/>
                <w:sz w:val="20"/>
                <w:szCs w:val="20"/>
                <w:vertAlign w:val="superscript"/>
              </w:rPr>
              <w:t>*</w:t>
            </w:r>
          </w:p>
        </w:tc>
        <w:tc>
          <w:tcPr>
            <w:tcW w:w="1656" w:type="dxa"/>
            <w:tcBorders>
              <w:top w:val="nil"/>
              <w:left w:val="nil"/>
              <w:bottom w:val="nil"/>
              <w:right w:val="nil"/>
            </w:tcBorders>
          </w:tcPr>
          <w:p w14:paraId="3CFAA3DA"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r>
      <w:tr w:rsidR="00AB0274" w:rsidRPr="00C40C4F" w14:paraId="30E17666" w14:textId="77777777" w:rsidTr="00015B88">
        <w:tc>
          <w:tcPr>
            <w:tcW w:w="2136" w:type="dxa"/>
            <w:tcBorders>
              <w:top w:val="nil"/>
              <w:left w:val="nil"/>
              <w:bottom w:val="nil"/>
              <w:right w:val="nil"/>
            </w:tcBorders>
          </w:tcPr>
          <w:p w14:paraId="45CF676C"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40BF77F8"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(-1.08)</w:t>
            </w:r>
          </w:p>
        </w:tc>
        <w:tc>
          <w:tcPr>
            <w:tcW w:w="1656" w:type="dxa"/>
            <w:tcBorders>
              <w:top w:val="nil"/>
              <w:left w:val="nil"/>
              <w:bottom w:val="nil"/>
              <w:right w:val="nil"/>
            </w:tcBorders>
          </w:tcPr>
          <w:p w14:paraId="0C6A47DA"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(-0.98)</w:t>
            </w:r>
          </w:p>
        </w:tc>
        <w:tc>
          <w:tcPr>
            <w:tcW w:w="1656" w:type="dxa"/>
            <w:tcBorders>
              <w:top w:val="nil"/>
              <w:left w:val="nil"/>
              <w:bottom w:val="nil"/>
              <w:right w:val="nil"/>
            </w:tcBorders>
          </w:tcPr>
          <w:p w14:paraId="6453391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(-2.32)</w:t>
            </w:r>
          </w:p>
        </w:tc>
        <w:tc>
          <w:tcPr>
            <w:tcW w:w="1656" w:type="dxa"/>
            <w:tcBorders>
              <w:top w:val="nil"/>
              <w:left w:val="nil"/>
              <w:bottom w:val="nil"/>
              <w:right w:val="nil"/>
            </w:tcBorders>
          </w:tcPr>
          <w:p w14:paraId="67C2A283"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r>
      <w:tr w:rsidR="00AB0274" w:rsidRPr="00C40C4F" w14:paraId="1D0E03F4" w14:textId="77777777" w:rsidTr="00015B88">
        <w:tc>
          <w:tcPr>
            <w:tcW w:w="2136" w:type="dxa"/>
            <w:tcBorders>
              <w:top w:val="single" w:sz="4" w:space="0" w:color="auto"/>
              <w:left w:val="nil"/>
              <w:bottom w:val="nil"/>
              <w:right w:val="nil"/>
            </w:tcBorders>
          </w:tcPr>
          <w:p w14:paraId="5487F5B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cut2</w:t>
            </w:r>
          </w:p>
        </w:tc>
        <w:tc>
          <w:tcPr>
            <w:tcW w:w="1656" w:type="dxa"/>
            <w:tcBorders>
              <w:top w:val="single" w:sz="4" w:space="0" w:color="auto"/>
              <w:left w:val="nil"/>
              <w:bottom w:val="nil"/>
              <w:right w:val="nil"/>
            </w:tcBorders>
          </w:tcPr>
          <w:p w14:paraId="7EEAD62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single" w:sz="4" w:space="0" w:color="auto"/>
              <w:left w:val="nil"/>
              <w:bottom w:val="nil"/>
              <w:right w:val="nil"/>
            </w:tcBorders>
          </w:tcPr>
          <w:p w14:paraId="1225AFF8"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single" w:sz="4" w:space="0" w:color="auto"/>
              <w:left w:val="nil"/>
              <w:bottom w:val="nil"/>
              <w:right w:val="nil"/>
            </w:tcBorders>
          </w:tcPr>
          <w:p w14:paraId="4ADC79D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single" w:sz="4" w:space="0" w:color="auto"/>
              <w:left w:val="nil"/>
              <w:bottom w:val="nil"/>
              <w:right w:val="nil"/>
            </w:tcBorders>
          </w:tcPr>
          <w:p w14:paraId="073BD2A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r>
      <w:tr w:rsidR="00AB0274" w:rsidRPr="00C40C4F" w14:paraId="1F6A0F2D" w14:textId="77777777" w:rsidTr="00015B88">
        <w:tc>
          <w:tcPr>
            <w:tcW w:w="2136" w:type="dxa"/>
            <w:tcBorders>
              <w:top w:val="nil"/>
              <w:left w:val="nil"/>
              <w:bottom w:val="nil"/>
              <w:right w:val="nil"/>
            </w:tcBorders>
          </w:tcPr>
          <w:p w14:paraId="3DBA5798"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Constant</w:t>
            </w:r>
          </w:p>
        </w:tc>
        <w:tc>
          <w:tcPr>
            <w:tcW w:w="1656" w:type="dxa"/>
            <w:tcBorders>
              <w:top w:val="nil"/>
              <w:left w:val="nil"/>
              <w:bottom w:val="nil"/>
              <w:right w:val="nil"/>
            </w:tcBorders>
          </w:tcPr>
          <w:p w14:paraId="30BF45A6"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-0.483</w:t>
            </w:r>
          </w:p>
        </w:tc>
        <w:tc>
          <w:tcPr>
            <w:tcW w:w="1656" w:type="dxa"/>
            <w:tcBorders>
              <w:top w:val="nil"/>
              <w:left w:val="nil"/>
              <w:bottom w:val="nil"/>
              <w:right w:val="nil"/>
            </w:tcBorders>
          </w:tcPr>
          <w:p w14:paraId="34DFCC91"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-0.304</w:t>
            </w:r>
          </w:p>
        </w:tc>
        <w:tc>
          <w:tcPr>
            <w:tcW w:w="1656" w:type="dxa"/>
            <w:tcBorders>
              <w:top w:val="nil"/>
              <w:left w:val="nil"/>
              <w:bottom w:val="nil"/>
              <w:right w:val="nil"/>
            </w:tcBorders>
          </w:tcPr>
          <w:p w14:paraId="08B7B9A9"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-0.754</w:t>
            </w:r>
          </w:p>
        </w:tc>
        <w:tc>
          <w:tcPr>
            <w:tcW w:w="1656" w:type="dxa"/>
            <w:tcBorders>
              <w:top w:val="nil"/>
              <w:left w:val="nil"/>
              <w:bottom w:val="nil"/>
              <w:right w:val="nil"/>
            </w:tcBorders>
          </w:tcPr>
          <w:p w14:paraId="0B5A39DA"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r>
      <w:tr w:rsidR="00AB0274" w:rsidRPr="00C40C4F" w14:paraId="5E6176FD" w14:textId="77777777" w:rsidTr="00015B88">
        <w:tc>
          <w:tcPr>
            <w:tcW w:w="2136" w:type="dxa"/>
            <w:tcBorders>
              <w:top w:val="nil"/>
              <w:left w:val="nil"/>
              <w:bottom w:val="nil"/>
              <w:right w:val="nil"/>
            </w:tcBorders>
          </w:tcPr>
          <w:p w14:paraId="42D506EA"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0177297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(-0.58)</w:t>
            </w:r>
          </w:p>
        </w:tc>
        <w:tc>
          <w:tcPr>
            <w:tcW w:w="1656" w:type="dxa"/>
            <w:tcBorders>
              <w:top w:val="nil"/>
              <w:left w:val="nil"/>
              <w:bottom w:val="nil"/>
              <w:right w:val="nil"/>
            </w:tcBorders>
          </w:tcPr>
          <w:p w14:paraId="537F31C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(-0.35)</w:t>
            </w:r>
          </w:p>
        </w:tc>
        <w:tc>
          <w:tcPr>
            <w:tcW w:w="1656" w:type="dxa"/>
            <w:tcBorders>
              <w:top w:val="nil"/>
              <w:left w:val="nil"/>
              <w:bottom w:val="nil"/>
              <w:right w:val="nil"/>
            </w:tcBorders>
          </w:tcPr>
          <w:p w14:paraId="51A617F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(-0.88)</w:t>
            </w:r>
          </w:p>
        </w:tc>
        <w:tc>
          <w:tcPr>
            <w:tcW w:w="1656" w:type="dxa"/>
            <w:tcBorders>
              <w:top w:val="nil"/>
              <w:left w:val="nil"/>
              <w:bottom w:val="nil"/>
              <w:right w:val="nil"/>
            </w:tcBorders>
          </w:tcPr>
          <w:p w14:paraId="6BF2D850"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r>
      <w:tr w:rsidR="00AB0274" w:rsidRPr="00C40C4F" w14:paraId="4E9C8540" w14:textId="77777777" w:rsidTr="00015B88">
        <w:tc>
          <w:tcPr>
            <w:tcW w:w="2136" w:type="dxa"/>
            <w:tcBorders>
              <w:top w:val="single" w:sz="4" w:space="0" w:color="auto"/>
              <w:left w:val="nil"/>
              <w:bottom w:val="nil"/>
              <w:right w:val="nil"/>
            </w:tcBorders>
          </w:tcPr>
          <w:p w14:paraId="5C1EA08D"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sigma2_u</w:t>
            </w:r>
          </w:p>
        </w:tc>
        <w:tc>
          <w:tcPr>
            <w:tcW w:w="1656" w:type="dxa"/>
            <w:tcBorders>
              <w:top w:val="single" w:sz="4" w:space="0" w:color="auto"/>
              <w:left w:val="nil"/>
              <w:bottom w:val="nil"/>
              <w:right w:val="nil"/>
            </w:tcBorders>
          </w:tcPr>
          <w:p w14:paraId="1E02167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single" w:sz="4" w:space="0" w:color="auto"/>
              <w:left w:val="nil"/>
              <w:bottom w:val="nil"/>
              <w:right w:val="nil"/>
            </w:tcBorders>
          </w:tcPr>
          <w:p w14:paraId="5125AE5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single" w:sz="4" w:space="0" w:color="auto"/>
              <w:left w:val="nil"/>
              <w:bottom w:val="nil"/>
              <w:right w:val="nil"/>
            </w:tcBorders>
          </w:tcPr>
          <w:p w14:paraId="2D9F611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single" w:sz="4" w:space="0" w:color="auto"/>
              <w:left w:val="nil"/>
              <w:bottom w:val="nil"/>
              <w:right w:val="nil"/>
            </w:tcBorders>
          </w:tcPr>
          <w:p w14:paraId="565D268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r>
      <w:tr w:rsidR="00AB0274" w:rsidRPr="00C40C4F" w14:paraId="55745F06" w14:textId="77777777" w:rsidTr="00015B88">
        <w:tc>
          <w:tcPr>
            <w:tcW w:w="2136" w:type="dxa"/>
            <w:tcBorders>
              <w:top w:val="nil"/>
              <w:left w:val="nil"/>
              <w:bottom w:val="nil"/>
              <w:right w:val="nil"/>
            </w:tcBorders>
          </w:tcPr>
          <w:p w14:paraId="65B0D186"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Constant</w:t>
            </w:r>
          </w:p>
        </w:tc>
        <w:tc>
          <w:tcPr>
            <w:tcW w:w="1656" w:type="dxa"/>
            <w:tcBorders>
              <w:top w:val="nil"/>
              <w:left w:val="nil"/>
              <w:bottom w:val="nil"/>
              <w:right w:val="nil"/>
            </w:tcBorders>
          </w:tcPr>
          <w:p w14:paraId="4B62E363"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0.946</w:t>
            </w:r>
            <w:r w:rsidRPr="00C40C4F">
              <w:rPr>
                <w:rFonts w:ascii="Times New Roman" w:hAnsi="Times New Roman" w:cs="Times New Roman"/>
                <w:sz w:val="20"/>
                <w:szCs w:val="20"/>
                <w:vertAlign w:val="superscript"/>
              </w:rPr>
              <w:t>***</w:t>
            </w:r>
          </w:p>
        </w:tc>
        <w:tc>
          <w:tcPr>
            <w:tcW w:w="1656" w:type="dxa"/>
            <w:tcBorders>
              <w:top w:val="nil"/>
              <w:left w:val="nil"/>
              <w:bottom w:val="nil"/>
              <w:right w:val="nil"/>
            </w:tcBorders>
          </w:tcPr>
          <w:p w14:paraId="2BBA2169"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2.828</w:t>
            </w:r>
            <w:r w:rsidRPr="00C40C4F">
              <w:rPr>
                <w:rFonts w:ascii="Times New Roman" w:hAnsi="Times New Roman" w:cs="Times New Roman"/>
                <w:sz w:val="20"/>
                <w:szCs w:val="20"/>
                <w:vertAlign w:val="superscript"/>
              </w:rPr>
              <w:t>***</w:t>
            </w:r>
          </w:p>
        </w:tc>
        <w:tc>
          <w:tcPr>
            <w:tcW w:w="1656" w:type="dxa"/>
            <w:tcBorders>
              <w:top w:val="nil"/>
              <w:left w:val="nil"/>
              <w:bottom w:val="nil"/>
              <w:right w:val="nil"/>
            </w:tcBorders>
          </w:tcPr>
          <w:p w14:paraId="1EA087D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0.806</w:t>
            </w:r>
            <w:r w:rsidRPr="00C40C4F">
              <w:rPr>
                <w:rFonts w:ascii="Times New Roman" w:hAnsi="Times New Roman" w:cs="Times New Roman"/>
                <w:sz w:val="20"/>
                <w:szCs w:val="20"/>
                <w:vertAlign w:val="superscript"/>
              </w:rPr>
              <w:t>***</w:t>
            </w:r>
          </w:p>
        </w:tc>
        <w:tc>
          <w:tcPr>
            <w:tcW w:w="1656" w:type="dxa"/>
            <w:tcBorders>
              <w:top w:val="nil"/>
              <w:left w:val="nil"/>
              <w:bottom w:val="nil"/>
              <w:right w:val="nil"/>
            </w:tcBorders>
          </w:tcPr>
          <w:p w14:paraId="0F87527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r>
      <w:tr w:rsidR="00AB0274" w:rsidRPr="00C40C4F" w14:paraId="232EB571" w14:textId="77777777" w:rsidTr="00015B88">
        <w:tc>
          <w:tcPr>
            <w:tcW w:w="2136" w:type="dxa"/>
            <w:tcBorders>
              <w:top w:val="nil"/>
              <w:left w:val="nil"/>
              <w:bottom w:val="nil"/>
              <w:right w:val="nil"/>
            </w:tcBorders>
          </w:tcPr>
          <w:p w14:paraId="6C6E4C4F"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nil"/>
              <w:right w:val="nil"/>
            </w:tcBorders>
          </w:tcPr>
          <w:p w14:paraId="5E725873"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(3.61)</w:t>
            </w:r>
          </w:p>
        </w:tc>
        <w:tc>
          <w:tcPr>
            <w:tcW w:w="1656" w:type="dxa"/>
            <w:tcBorders>
              <w:top w:val="nil"/>
              <w:left w:val="nil"/>
              <w:bottom w:val="nil"/>
              <w:right w:val="nil"/>
            </w:tcBorders>
          </w:tcPr>
          <w:p w14:paraId="63B8276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(4.01)</w:t>
            </w:r>
          </w:p>
        </w:tc>
        <w:tc>
          <w:tcPr>
            <w:tcW w:w="1656" w:type="dxa"/>
            <w:tcBorders>
              <w:top w:val="nil"/>
              <w:left w:val="nil"/>
              <w:bottom w:val="nil"/>
              <w:right w:val="nil"/>
            </w:tcBorders>
          </w:tcPr>
          <w:p w14:paraId="2ACC0B95"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(3.78)</w:t>
            </w:r>
          </w:p>
        </w:tc>
        <w:tc>
          <w:tcPr>
            <w:tcW w:w="1656" w:type="dxa"/>
            <w:tcBorders>
              <w:top w:val="nil"/>
              <w:left w:val="nil"/>
              <w:bottom w:val="nil"/>
              <w:right w:val="nil"/>
            </w:tcBorders>
          </w:tcPr>
          <w:p w14:paraId="70E52E50"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r>
      <w:tr w:rsidR="00AB0274" w:rsidRPr="00C40C4F" w14:paraId="526F5A94" w14:textId="77777777" w:rsidTr="00015B88">
        <w:tc>
          <w:tcPr>
            <w:tcW w:w="2136" w:type="dxa"/>
            <w:tcBorders>
              <w:top w:val="single" w:sz="4" w:space="0" w:color="auto"/>
              <w:left w:val="nil"/>
              <w:bottom w:val="nil"/>
              <w:right w:val="nil"/>
            </w:tcBorders>
          </w:tcPr>
          <w:p w14:paraId="51F365A0"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w:t>
            </w:r>
          </w:p>
        </w:tc>
        <w:tc>
          <w:tcPr>
            <w:tcW w:w="1656" w:type="dxa"/>
            <w:tcBorders>
              <w:top w:val="single" w:sz="4" w:space="0" w:color="auto"/>
              <w:left w:val="nil"/>
              <w:bottom w:val="nil"/>
              <w:right w:val="nil"/>
            </w:tcBorders>
          </w:tcPr>
          <w:p w14:paraId="018E8019"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single" w:sz="4" w:space="0" w:color="auto"/>
              <w:left w:val="nil"/>
              <w:bottom w:val="nil"/>
              <w:right w:val="nil"/>
            </w:tcBorders>
          </w:tcPr>
          <w:p w14:paraId="52D4F1C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single" w:sz="4" w:space="0" w:color="auto"/>
              <w:left w:val="nil"/>
              <w:bottom w:val="nil"/>
              <w:right w:val="nil"/>
            </w:tcBorders>
          </w:tcPr>
          <w:p w14:paraId="4E4D6AEA"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single" w:sz="4" w:space="0" w:color="auto"/>
              <w:left w:val="nil"/>
              <w:bottom w:val="nil"/>
              <w:right w:val="nil"/>
            </w:tcBorders>
          </w:tcPr>
          <w:p w14:paraId="0B0B7AB6"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r>
      <w:tr w:rsidR="00AB0274" w:rsidRPr="00C40C4F" w14:paraId="344B08FB" w14:textId="77777777" w:rsidTr="00015B88">
        <w:tc>
          <w:tcPr>
            <w:tcW w:w="2136" w:type="dxa"/>
            <w:tcBorders>
              <w:top w:val="nil"/>
              <w:left w:val="nil"/>
              <w:bottom w:val="nil"/>
              <w:right w:val="nil"/>
            </w:tcBorders>
          </w:tcPr>
          <w:p w14:paraId="14F2BE07"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lnsig2u</w:t>
            </w:r>
          </w:p>
        </w:tc>
        <w:tc>
          <w:tcPr>
            <w:tcW w:w="1656" w:type="dxa"/>
            <w:tcBorders>
              <w:top w:val="nil"/>
              <w:left w:val="nil"/>
              <w:bottom w:val="nil"/>
              <w:right w:val="nil"/>
            </w:tcBorders>
          </w:tcPr>
          <w:p w14:paraId="3F70D95A"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nil"/>
              <w:left w:val="nil"/>
              <w:bottom w:val="nil"/>
              <w:right w:val="nil"/>
            </w:tcBorders>
          </w:tcPr>
          <w:p w14:paraId="674F1E1F"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nil"/>
              <w:left w:val="nil"/>
              <w:bottom w:val="nil"/>
              <w:right w:val="nil"/>
            </w:tcBorders>
          </w:tcPr>
          <w:p w14:paraId="61436F97"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nil"/>
              <w:left w:val="nil"/>
              <w:bottom w:val="nil"/>
              <w:right w:val="nil"/>
            </w:tcBorders>
          </w:tcPr>
          <w:p w14:paraId="731CD602"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0.933</w:t>
            </w:r>
            <w:r w:rsidRPr="00C40C4F">
              <w:rPr>
                <w:rFonts w:ascii="Times New Roman" w:hAnsi="Times New Roman" w:cs="Times New Roman"/>
                <w:sz w:val="20"/>
                <w:szCs w:val="20"/>
                <w:vertAlign w:val="superscript"/>
              </w:rPr>
              <w:t>***</w:t>
            </w:r>
          </w:p>
        </w:tc>
      </w:tr>
      <w:tr w:rsidR="00AB0274" w:rsidRPr="00C40C4F" w14:paraId="5DF93874" w14:textId="77777777" w:rsidTr="00015B88">
        <w:tc>
          <w:tcPr>
            <w:tcW w:w="2136" w:type="dxa"/>
            <w:tcBorders>
              <w:top w:val="nil"/>
              <w:left w:val="nil"/>
              <w:bottom w:val="single" w:sz="4" w:space="0" w:color="auto"/>
              <w:right w:val="nil"/>
            </w:tcBorders>
          </w:tcPr>
          <w:p w14:paraId="3DA46192"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p>
        </w:tc>
        <w:tc>
          <w:tcPr>
            <w:tcW w:w="1656" w:type="dxa"/>
            <w:tcBorders>
              <w:top w:val="nil"/>
              <w:left w:val="nil"/>
              <w:bottom w:val="single" w:sz="4" w:space="0" w:color="auto"/>
              <w:right w:val="nil"/>
            </w:tcBorders>
          </w:tcPr>
          <w:p w14:paraId="663FF67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nil"/>
              <w:left w:val="nil"/>
              <w:bottom w:val="single" w:sz="4" w:space="0" w:color="auto"/>
              <w:right w:val="nil"/>
            </w:tcBorders>
          </w:tcPr>
          <w:p w14:paraId="3EDEA6D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nil"/>
              <w:left w:val="nil"/>
              <w:bottom w:val="single" w:sz="4" w:space="0" w:color="auto"/>
              <w:right w:val="nil"/>
            </w:tcBorders>
          </w:tcPr>
          <w:p w14:paraId="7EB46D9C"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p>
        </w:tc>
        <w:tc>
          <w:tcPr>
            <w:tcW w:w="1656" w:type="dxa"/>
            <w:tcBorders>
              <w:top w:val="nil"/>
              <w:left w:val="nil"/>
              <w:bottom w:val="single" w:sz="4" w:space="0" w:color="auto"/>
              <w:right w:val="nil"/>
            </w:tcBorders>
          </w:tcPr>
          <w:p w14:paraId="6ADDE724"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(3.36)</w:t>
            </w:r>
          </w:p>
        </w:tc>
      </w:tr>
      <w:tr w:rsidR="00AB0274" w:rsidRPr="00C40C4F" w14:paraId="6625BD47" w14:textId="77777777" w:rsidTr="00015B88">
        <w:tc>
          <w:tcPr>
            <w:tcW w:w="2136" w:type="dxa"/>
            <w:tcBorders>
              <w:top w:val="nil"/>
              <w:left w:val="nil"/>
              <w:bottom w:val="single" w:sz="4" w:space="0" w:color="auto"/>
              <w:right w:val="nil"/>
            </w:tcBorders>
          </w:tcPr>
          <w:p w14:paraId="3CF79507" w14:textId="77777777" w:rsidR="00AB0274" w:rsidRPr="00C40C4F" w:rsidRDefault="00AB0274" w:rsidP="00015B88">
            <w:pPr>
              <w:widowControl w:val="0"/>
              <w:autoSpaceDE w:val="0"/>
              <w:autoSpaceDN w:val="0"/>
              <w:adjustRightInd w:val="0"/>
              <w:spacing w:after="0" w:line="240" w:lineRule="auto"/>
              <w:rPr>
                <w:rFonts w:ascii="Times New Roman" w:hAnsi="Times New Roman" w:cs="Times New Roman"/>
                <w:sz w:val="20"/>
                <w:szCs w:val="20"/>
              </w:rPr>
            </w:pPr>
            <w:r w:rsidRPr="00C40C4F">
              <w:rPr>
                <w:rFonts w:ascii="Times New Roman" w:hAnsi="Times New Roman" w:cs="Times New Roman"/>
                <w:sz w:val="20"/>
                <w:szCs w:val="20"/>
              </w:rPr>
              <w:t>Observations</w:t>
            </w:r>
          </w:p>
        </w:tc>
        <w:tc>
          <w:tcPr>
            <w:tcW w:w="1656" w:type="dxa"/>
            <w:tcBorders>
              <w:top w:val="nil"/>
              <w:left w:val="nil"/>
              <w:bottom w:val="single" w:sz="4" w:space="0" w:color="auto"/>
              <w:right w:val="nil"/>
            </w:tcBorders>
          </w:tcPr>
          <w:p w14:paraId="011D140D"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1184</w:t>
            </w:r>
          </w:p>
        </w:tc>
        <w:tc>
          <w:tcPr>
            <w:tcW w:w="1656" w:type="dxa"/>
            <w:tcBorders>
              <w:top w:val="nil"/>
              <w:left w:val="nil"/>
              <w:bottom w:val="single" w:sz="4" w:space="0" w:color="auto"/>
              <w:right w:val="nil"/>
            </w:tcBorders>
          </w:tcPr>
          <w:p w14:paraId="5396D66B"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1184</w:t>
            </w:r>
          </w:p>
        </w:tc>
        <w:tc>
          <w:tcPr>
            <w:tcW w:w="1656" w:type="dxa"/>
            <w:tcBorders>
              <w:top w:val="nil"/>
              <w:left w:val="nil"/>
              <w:bottom w:val="single" w:sz="4" w:space="0" w:color="auto"/>
              <w:right w:val="nil"/>
            </w:tcBorders>
          </w:tcPr>
          <w:p w14:paraId="5CAC9A57"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966</w:t>
            </w:r>
          </w:p>
        </w:tc>
        <w:tc>
          <w:tcPr>
            <w:tcW w:w="1656" w:type="dxa"/>
            <w:tcBorders>
              <w:top w:val="nil"/>
              <w:left w:val="nil"/>
              <w:bottom w:val="single" w:sz="4" w:space="0" w:color="auto"/>
              <w:right w:val="nil"/>
            </w:tcBorders>
          </w:tcPr>
          <w:p w14:paraId="64A9EE3E" w14:textId="77777777" w:rsidR="00AB0274" w:rsidRPr="00C40C4F" w:rsidRDefault="00AB0274" w:rsidP="00015B88">
            <w:pPr>
              <w:widowControl w:val="0"/>
              <w:autoSpaceDE w:val="0"/>
              <w:autoSpaceDN w:val="0"/>
              <w:adjustRightInd w:val="0"/>
              <w:spacing w:after="0" w:line="240" w:lineRule="auto"/>
              <w:jc w:val="center"/>
              <w:rPr>
                <w:rFonts w:ascii="Times New Roman" w:hAnsi="Times New Roman" w:cs="Times New Roman"/>
                <w:sz w:val="20"/>
                <w:szCs w:val="20"/>
              </w:rPr>
            </w:pPr>
            <w:r w:rsidRPr="00C40C4F">
              <w:rPr>
                <w:rFonts w:ascii="Times New Roman" w:hAnsi="Times New Roman" w:cs="Times New Roman"/>
                <w:sz w:val="20"/>
                <w:szCs w:val="20"/>
              </w:rPr>
              <w:t>2825</w:t>
            </w:r>
          </w:p>
        </w:tc>
      </w:tr>
    </w:tbl>
    <w:p w14:paraId="50DB3731" w14:textId="77777777" w:rsidR="00AB0274" w:rsidRPr="00C40C4F" w:rsidRDefault="00AB0274" w:rsidP="00AB0274">
      <w:pPr>
        <w:widowControl w:val="0"/>
        <w:autoSpaceDE w:val="0"/>
        <w:autoSpaceDN w:val="0"/>
        <w:adjustRightInd w:val="0"/>
        <w:spacing w:after="0" w:line="240" w:lineRule="auto"/>
        <w:rPr>
          <w:rFonts w:ascii="Times New Roman" w:hAnsi="Times New Roman" w:cs="Times New Roman"/>
          <w:sz w:val="16"/>
          <w:szCs w:val="16"/>
        </w:rPr>
      </w:pPr>
      <w:r w:rsidRPr="00C40C4F">
        <w:rPr>
          <w:rFonts w:ascii="Times New Roman" w:hAnsi="Times New Roman" w:cs="Times New Roman"/>
          <w:i/>
          <w:iCs/>
          <w:sz w:val="16"/>
          <w:szCs w:val="16"/>
        </w:rPr>
        <w:t>t</w:t>
      </w:r>
      <w:r w:rsidRPr="00C40C4F">
        <w:rPr>
          <w:rFonts w:ascii="Times New Roman" w:hAnsi="Times New Roman" w:cs="Times New Roman"/>
          <w:sz w:val="16"/>
          <w:szCs w:val="16"/>
        </w:rPr>
        <w:t xml:space="preserve"> statistics in parentheses</w:t>
      </w:r>
    </w:p>
    <w:p w14:paraId="2C6EE50B" w14:textId="7145E6D7" w:rsidR="006D5377" w:rsidRPr="00AB0274" w:rsidRDefault="00AB0274" w:rsidP="00AB0274">
      <w:pPr>
        <w:widowControl w:val="0"/>
        <w:autoSpaceDE w:val="0"/>
        <w:autoSpaceDN w:val="0"/>
        <w:adjustRightInd w:val="0"/>
        <w:spacing w:after="0" w:line="240" w:lineRule="auto"/>
        <w:rPr>
          <w:rFonts w:ascii="Times New Roman" w:hAnsi="Times New Roman" w:cs="Times New Roman"/>
          <w:sz w:val="16"/>
          <w:szCs w:val="16"/>
        </w:rPr>
      </w:pPr>
      <w:r w:rsidRPr="00C40C4F">
        <w:rPr>
          <w:rFonts w:ascii="Times New Roman" w:hAnsi="Times New Roman" w:cs="Times New Roman"/>
          <w:sz w:val="16"/>
          <w:szCs w:val="16"/>
          <w:vertAlign w:val="superscript"/>
        </w:rPr>
        <w:t>*</w:t>
      </w:r>
      <w:r w:rsidRPr="00C40C4F">
        <w:rPr>
          <w:rFonts w:ascii="Times New Roman" w:hAnsi="Times New Roman" w:cs="Times New Roman"/>
          <w:sz w:val="16"/>
          <w:szCs w:val="16"/>
        </w:rPr>
        <w:t xml:space="preserve"> </w:t>
      </w:r>
      <w:r w:rsidRPr="00C40C4F">
        <w:rPr>
          <w:rFonts w:ascii="Times New Roman" w:hAnsi="Times New Roman" w:cs="Times New Roman"/>
          <w:i/>
          <w:iCs/>
          <w:sz w:val="16"/>
          <w:szCs w:val="16"/>
        </w:rPr>
        <w:t>p</w:t>
      </w:r>
      <w:r w:rsidRPr="00C40C4F">
        <w:rPr>
          <w:rFonts w:ascii="Times New Roman" w:hAnsi="Times New Roman" w:cs="Times New Roman"/>
          <w:sz w:val="16"/>
          <w:szCs w:val="16"/>
        </w:rPr>
        <w:t xml:space="preserve"> &lt; 0.05, </w:t>
      </w:r>
      <w:r w:rsidRPr="00C40C4F">
        <w:rPr>
          <w:rFonts w:ascii="Times New Roman" w:hAnsi="Times New Roman" w:cs="Times New Roman"/>
          <w:sz w:val="16"/>
          <w:szCs w:val="16"/>
          <w:vertAlign w:val="superscript"/>
        </w:rPr>
        <w:t>**</w:t>
      </w:r>
      <w:r w:rsidRPr="00C40C4F">
        <w:rPr>
          <w:rFonts w:ascii="Times New Roman" w:hAnsi="Times New Roman" w:cs="Times New Roman"/>
          <w:sz w:val="16"/>
          <w:szCs w:val="16"/>
        </w:rPr>
        <w:t xml:space="preserve"> </w:t>
      </w:r>
      <w:r w:rsidRPr="00C40C4F">
        <w:rPr>
          <w:rFonts w:ascii="Times New Roman" w:hAnsi="Times New Roman" w:cs="Times New Roman"/>
          <w:i/>
          <w:iCs/>
          <w:sz w:val="16"/>
          <w:szCs w:val="16"/>
        </w:rPr>
        <w:t>p</w:t>
      </w:r>
      <w:r w:rsidRPr="00C40C4F">
        <w:rPr>
          <w:rFonts w:ascii="Times New Roman" w:hAnsi="Times New Roman" w:cs="Times New Roman"/>
          <w:sz w:val="16"/>
          <w:szCs w:val="16"/>
        </w:rPr>
        <w:t xml:space="preserve"> &lt; 0.01, </w:t>
      </w:r>
      <w:r w:rsidRPr="00C40C4F">
        <w:rPr>
          <w:rFonts w:ascii="Times New Roman" w:hAnsi="Times New Roman" w:cs="Times New Roman"/>
          <w:sz w:val="16"/>
          <w:szCs w:val="16"/>
          <w:vertAlign w:val="superscript"/>
        </w:rPr>
        <w:t>***</w:t>
      </w:r>
      <w:r w:rsidRPr="00C40C4F">
        <w:rPr>
          <w:rFonts w:ascii="Times New Roman" w:hAnsi="Times New Roman" w:cs="Times New Roman"/>
          <w:sz w:val="16"/>
          <w:szCs w:val="16"/>
        </w:rPr>
        <w:t xml:space="preserve"> </w:t>
      </w:r>
      <w:r w:rsidRPr="00C40C4F">
        <w:rPr>
          <w:rFonts w:ascii="Times New Roman" w:hAnsi="Times New Roman" w:cs="Times New Roman"/>
          <w:i/>
          <w:iCs/>
          <w:sz w:val="16"/>
          <w:szCs w:val="16"/>
        </w:rPr>
        <w:t>p</w:t>
      </w:r>
      <w:r w:rsidRPr="00C40C4F">
        <w:rPr>
          <w:rFonts w:ascii="Times New Roman" w:hAnsi="Times New Roman" w:cs="Times New Roman"/>
          <w:sz w:val="16"/>
          <w:szCs w:val="16"/>
        </w:rPr>
        <w:t xml:space="preserve"> &lt; 0.001</w:t>
      </w:r>
    </w:p>
    <w:p w14:paraId="3830757B" w14:textId="1E4732A7" w:rsidR="00C249AB" w:rsidRDefault="00C249AB" w:rsidP="00C249AB">
      <w:pPr>
        <w:pStyle w:val="Heading1"/>
      </w:pPr>
      <w:r>
        <w:t>Further Explorations</w:t>
      </w:r>
    </w:p>
    <w:p w14:paraId="5B8CB73B" w14:textId="6B0DFDA9" w:rsidR="006B09A9" w:rsidRPr="000A4BAB" w:rsidRDefault="006B09A9" w:rsidP="004A5390">
      <w:r w:rsidRPr="0071244D">
        <w:t>In</w:t>
      </w:r>
      <w:r w:rsidR="003E06E6" w:rsidRPr="0071244D">
        <w:t xml:space="preserve"> </w:t>
      </w:r>
      <w:r w:rsidR="00A51EF0" w:rsidRPr="0071244D">
        <w:t>T</w:t>
      </w:r>
      <w:r w:rsidR="003E06E6" w:rsidRPr="0071244D">
        <w:t xml:space="preserve">ables </w:t>
      </w:r>
      <w:r w:rsidR="00A51EF0" w:rsidRPr="0071244D">
        <w:t>A1</w:t>
      </w:r>
      <w:r w:rsidR="00B5583E" w:rsidRPr="0071244D">
        <w:t>4</w:t>
      </w:r>
      <w:r w:rsidR="00A51EF0" w:rsidRPr="0071244D">
        <w:t xml:space="preserve"> and A1</w:t>
      </w:r>
      <w:r w:rsidR="00B5583E" w:rsidRPr="0071244D">
        <w:t>5</w:t>
      </w:r>
      <w:r w:rsidR="00A51EF0" w:rsidRPr="0071244D">
        <w:t>, I</w:t>
      </w:r>
      <w:r w:rsidR="003E06E6" w:rsidRPr="0071244D">
        <w:t xml:space="preserve"> test the importance of </w:t>
      </w:r>
      <w:r w:rsidR="00E75CAB" w:rsidRPr="0071244D">
        <w:t xml:space="preserve">the Mundell-Fleming trilemma type prediction that </w:t>
      </w:r>
      <w:r w:rsidR="00E00207" w:rsidRPr="0071244D">
        <w:t>the presence of capital controls</w:t>
      </w:r>
      <w:r w:rsidR="00CB2077" w:rsidRPr="0071244D">
        <w:t xml:space="preserve"> and capital account openness</w:t>
      </w:r>
      <w:r w:rsidR="00E00207" w:rsidRPr="0071244D">
        <w:t xml:space="preserve"> may </w:t>
      </w:r>
      <w:r w:rsidR="00CB2077" w:rsidRPr="0071244D">
        <w:t xml:space="preserve">affect the </w:t>
      </w:r>
      <w:r w:rsidR="00334E1A" w:rsidRPr="0071244D">
        <w:t>relevance</w:t>
      </w:r>
      <w:r w:rsidR="00CB2077" w:rsidRPr="0071244D">
        <w:t xml:space="preserve"> of monetary commitment institutions.</w:t>
      </w:r>
      <w:r w:rsidR="00650FE9" w:rsidRPr="0071244D">
        <w:t xml:space="preserve"> </w:t>
      </w:r>
      <w:r w:rsidR="00790435" w:rsidRPr="003C61F7">
        <w:rPr>
          <w:highlight w:val="yellow"/>
        </w:rPr>
        <w:t>One might expect that impacts of commitment institutions are likely to be stronger in open countries.</w:t>
      </w:r>
      <w:r w:rsidR="00790435" w:rsidRPr="0071244D">
        <w:t xml:space="preserve"> Reliable data on capital controls and capital account openness comes from the IMF for a wide range of countries and periods studied. Chinn and Ito compile the KAOPEN index from this data covering 1970-2017 for 182 countries </w:t>
      </w:r>
      <w:r w:rsidR="00790435" w:rsidRPr="0071244D">
        <w:fldChar w:fldCharType="begin"/>
      </w:r>
      <w:r w:rsidR="006F3F5C">
        <w:instrText xml:space="preserve"> ADDIN ZOTERO_ITEM CSL_CITATION {"citationID":"XUWZRwea","properties":{"formattedCitation":"(Chinn and Ito 2005)","plainCitation":"(Chinn and Ito 2005)","noteIndex":0},"citationItems":[{"id":106,"uris":["http://zotero.org/users/5939705/items/IGMMWH7D"],"uri":["http://zotero.org/users/5939705/items/IGMMWH7D"],"itemData":{"id":106,"type":"article-journal","abstract":"We extend our earlier work, focusing on the links between capital account liberalization, legal and institutional development, and financial development, especially that in equity markets. In a panel data analysis encompassing 108 countries and twenty years ranging from 1980 to 2000, we explore several dimensions of the financial sector. First, we test whether financial openness can lead to equity market development when we control for the level of legal and institutional development. Then, we examine whether the opening of the goods sector is a precondition for financial opening. Finally, we investigate whether a well-developed banking sector is a precondition for financial liberalization to lead to equity market development and also whether bank and equity market development complements or substitutes. Our empirical results suggest that a higher level of financial openness contributes to the development of equity markets only if a threshold level of general legal systems and institutions is attained, which is more prevalent among emerging market countries. Among emerging market countries, a higher level of bureaucratic quality and law and order, as well as the lower levels of corruption, increases the effect of financial opening in fostering the development of equity markets. We also find that the finance-related legal/institutional variables do not enhance the effect of capital account opening as strongly as the general legal/institutional variables. In examining the issue of the sequencing, we find that the liberalization in cross-border goods transactions is found to be a precondition for capital account liberalization. Our findings also indicate that the development in the banking sector is a precondition for equity market development, and that the developments in these two types of financial markets have synergistic effects.","language":"en","page":"45","source":"Zotero","title":"What Matters for Financial Development? Capital Controls, Institutions, and Interactions","author":[{"family":"Chinn","given":"Menzie D"},{"family":"Ito","given":"Hiro"}],"issued":{"date-parts":[["2005"]]}}}],"schema":"https://github.com/citation-style-language/schema/raw/master/csl-citation.json"} </w:instrText>
      </w:r>
      <w:r w:rsidR="00790435" w:rsidRPr="0071244D">
        <w:fldChar w:fldCharType="separate"/>
      </w:r>
      <w:r w:rsidR="006F3F5C" w:rsidRPr="006F3F5C">
        <w:rPr>
          <w:rFonts w:ascii="Calibri" w:hAnsi="Calibri" w:cs="Calibri"/>
        </w:rPr>
        <w:t>(Chinn and Ito 2005)</w:t>
      </w:r>
      <w:r w:rsidR="00790435" w:rsidRPr="0071244D">
        <w:fldChar w:fldCharType="end"/>
      </w:r>
      <w:r w:rsidR="00790435" w:rsidRPr="0071244D">
        <w:t xml:space="preserve">. KAOPEN tracks de jure controls based on the presence of multiple exchange rates, restrictions on current and capital account transactions, and measures concerning the surrender of export proceeds. Results using the index can be compared with </w:t>
      </w:r>
      <w:r w:rsidR="00790435" w:rsidRPr="000A4BAB">
        <w:t>assumption that all nations were open in the period studied.</w:t>
      </w:r>
    </w:p>
    <w:p w14:paraId="2C4C1854" w14:textId="59EA57A7" w:rsidR="00E13210" w:rsidRPr="004B6027" w:rsidRDefault="00650FE9" w:rsidP="004A5390">
      <w:pPr>
        <w:rPr>
          <w:strike/>
        </w:rPr>
      </w:pPr>
      <w:r w:rsidRPr="004B6027">
        <w:rPr>
          <w:strike/>
        </w:rPr>
        <w:t>Again analyzing the</w:t>
      </w:r>
      <w:r w:rsidR="00C41773" w:rsidRPr="004B6027">
        <w:rPr>
          <w:strike/>
        </w:rPr>
        <w:t xml:space="preserve"> linear</w:t>
      </w:r>
      <w:r w:rsidRPr="004B6027">
        <w:rPr>
          <w:strike/>
        </w:rPr>
        <w:t xml:space="preserve"> panel fixed effects data,</w:t>
      </w:r>
      <w:r w:rsidR="00CB2077" w:rsidRPr="004B6027">
        <w:rPr>
          <w:strike/>
        </w:rPr>
        <w:t xml:space="preserve"> I first split the sample at about the median based on ratings on the </w:t>
      </w:r>
      <w:r w:rsidR="00212FB2" w:rsidRPr="004B6027">
        <w:rPr>
          <w:strike/>
        </w:rPr>
        <w:t>Chinn-Ito index.</w:t>
      </w:r>
      <w:r w:rsidR="00550795" w:rsidRPr="004B6027">
        <w:rPr>
          <w:strike/>
        </w:rPr>
        <w:t xml:space="preserve"> No signs of effects change</w:t>
      </w:r>
      <w:r w:rsidR="00816FDF" w:rsidRPr="004B6027">
        <w:rPr>
          <w:strike/>
        </w:rPr>
        <w:t>.</w:t>
      </w:r>
      <w:r w:rsidR="00466543" w:rsidRPr="004B6027">
        <w:rPr>
          <w:strike/>
        </w:rPr>
        <w:t xml:space="preserve"> However, the de jure CBI indicator </w:t>
      </w:r>
      <w:r w:rsidR="00AE3EF5" w:rsidRPr="004B6027">
        <w:rPr>
          <w:strike/>
        </w:rPr>
        <w:t xml:space="preserve">displays higher t-statistics </w:t>
      </w:r>
      <w:r w:rsidR="00507E4B" w:rsidRPr="004B6027">
        <w:rPr>
          <w:strike/>
        </w:rPr>
        <w:t xml:space="preserve">for electoral stability </w:t>
      </w:r>
      <w:r w:rsidR="00AE3EF5" w:rsidRPr="004B6027">
        <w:rPr>
          <w:strike/>
        </w:rPr>
        <w:t xml:space="preserve">in </w:t>
      </w:r>
      <w:r w:rsidR="00E66752" w:rsidRPr="004B6027">
        <w:rPr>
          <w:strike/>
        </w:rPr>
        <w:t>the high openness (low capital controls) group. Evidence for political stability and de jure CBI falls in the opposite direction:</w:t>
      </w:r>
      <w:r w:rsidR="00E46B38" w:rsidRPr="004B6027">
        <w:rPr>
          <w:strike/>
        </w:rPr>
        <w:t xml:space="preserve"> effects on the world bank indicator occur only in the low openness group, and the difference in coefficients is quite large.</w:t>
      </w:r>
      <w:r w:rsidR="00722CDF" w:rsidRPr="004B6027">
        <w:rPr>
          <w:strike/>
        </w:rPr>
        <w:t xml:space="preserve"> </w:t>
      </w:r>
      <w:r w:rsidR="00507E4B" w:rsidRPr="004B6027">
        <w:rPr>
          <w:strike/>
        </w:rPr>
        <w:t xml:space="preserve">The world bank indicator </w:t>
      </w:r>
      <w:r w:rsidR="00A64686" w:rsidRPr="004B6027">
        <w:rPr>
          <w:strike/>
        </w:rPr>
        <w:t>is only compiled for recent data, so it is possible that capital controls differences are less relevant</w:t>
      </w:r>
      <w:r w:rsidR="00FB38EF" w:rsidRPr="004B6027">
        <w:rPr>
          <w:strike/>
        </w:rPr>
        <w:t xml:space="preserve"> close to the present. </w:t>
      </w:r>
      <w:r w:rsidR="00722CDF" w:rsidRPr="004B6027">
        <w:rPr>
          <w:strike/>
        </w:rPr>
        <w:t xml:space="preserve">The de facto CBI </w:t>
      </w:r>
      <w:r w:rsidR="00086776" w:rsidRPr="004B6027">
        <w:rPr>
          <w:strike/>
        </w:rPr>
        <w:t>measure</w:t>
      </w:r>
      <w:r w:rsidR="00221350" w:rsidRPr="004B6027">
        <w:rPr>
          <w:strike/>
        </w:rPr>
        <w:t>’</w:t>
      </w:r>
      <w:r w:rsidR="00086776" w:rsidRPr="004B6027">
        <w:rPr>
          <w:strike/>
        </w:rPr>
        <w:t xml:space="preserve">s effect on lower house turnover </w:t>
      </w:r>
      <w:r w:rsidR="008F6A49" w:rsidRPr="004B6027">
        <w:rPr>
          <w:strike/>
        </w:rPr>
        <w:t xml:space="preserve">is significant only </w:t>
      </w:r>
      <w:r w:rsidR="00086776" w:rsidRPr="004B6027">
        <w:rPr>
          <w:strike/>
        </w:rPr>
        <w:t xml:space="preserve">in the high openness group, but </w:t>
      </w:r>
      <w:r w:rsidR="008F6A49" w:rsidRPr="004B6027">
        <w:rPr>
          <w:strike/>
        </w:rPr>
        <w:t>the exchange rate classification effect is significant only in the low openness group.</w:t>
      </w:r>
      <w:r w:rsidR="004B2254" w:rsidRPr="004B6027">
        <w:rPr>
          <w:strike/>
        </w:rPr>
        <w:t xml:space="preserve"> From these scattered results</w:t>
      </w:r>
      <w:r w:rsidR="00FE2097" w:rsidRPr="004B6027">
        <w:rPr>
          <w:strike/>
        </w:rPr>
        <w:t xml:space="preserve"> a clear difference is not yet evident</w:t>
      </w:r>
      <w:r w:rsidR="004736E1" w:rsidRPr="004B6027">
        <w:rPr>
          <w:strike/>
        </w:rPr>
        <w:t xml:space="preserve">; with broad strokes </w:t>
      </w:r>
      <w:r w:rsidR="004736E1" w:rsidRPr="004B6027">
        <w:rPr>
          <w:strike/>
        </w:rPr>
        <w:lastRenderedPageBreak/>
        <w:t xml:space="preserve">CBI may matter more with </w:t>
      </w:r>
      <w:r w:rsidR="0098286F" w:rsidRPr="004B6027">
        <w:rPr>
          <w:strike/>
        </w:rPr>
        <w:t>high openness and fixed rates with low openness, not completely in line with theory</w:t>
      </w:r>
      <w:r w:rsidR="00FE2097" w:rsidRPr="004B6027">
        <w:rPr>
          <w:strike/>
        </w:rPr>
        <w:t>.</w:t>
      </w:r>
      <w:r w:rsidR="00CE29BA" w:rsidRPr="004B6027">
        <w:rPr>
          <w:strike/>
        </w:rPr>
        <w:t xml:space="preserve"> </w:t>
      </w:r>
      <w:r w:rsidR="00693E4F" w:rsidRPr="004B6027">
        <w:rPr>
          <w:strike/>
        </w:rPr>
        <w:t xml:space="preserve">I also test the </w:t>
      </w:r>
      <w:r w:rsidR="002464B3" w:rsidRPr="004B6027">
        <w:rPr>
          <w:strike/>
        </w:rPr>
        <w:t>relevance</w:t>
      </w:r>
      <w:r w:rsidR="00693E4F" w:rsidRPr="004B6027">
        <w:rPr>
          <w:strike/>
        </w:rPr>
        <w:t xml:space="preserve"> of </w:t>
      </w:r>
      <w:r w:rsidR="002464B3" w:rsidRPr="004B6027">
        <w:rPr>
          <w:strike/>
        </w:rPr>
        <w:t xml:space="preserve">the capital account </w:t>
      </w:r>
      <w:r w:rsidR="00693E4F" w:rsidRPr="004B6027">
        <w:rPr>
          <w:strike/>
        </w:rPr>
        <w:t>in a</w:t>
      </w:r>
      <w:r w:rsidR="00CE29BA" w:rsidRPr="004B6027">
        <w:rPr>
          <w:strike/>
        </w:rPr>
        <w:t xml:space="preserve"> continuous </w:t>
      </w:r>
      <w:r w:rsidR="00693E4F" w:rsidRPr="004B6027">
        <w:rPr>
          <w:strike/>
        </w:rPr>
        <w:t>interaction term model</w:t>
      </w:r>
      <w:r w:rsidR="00680BD1" w:rsidRPr="004B6027">
        <w:rPr>
          <w:strike/>
        </w:rPr>
        <w:t xml:space="preserve"> in table </w:t>
      </w:r>
      <w:r w:rsidR="00A51EF0" w:rsidRPr="004B6027">
        <w:rPr>
          <w:strike/>
        </w:rPr>
        <w:t>A1</w:t>
      </w:r>
      <w:r w:rsidR="001465FB" w:rsidRPr="004B6027">
        <w:rPr>
          <w:strike/>
        </w:rPr>
        <w:t>6</w:t>
      </w:r>
      <w:r w:rsidR="00CE29BA" w:rsidRPr="004B6027">
        <w:rPr>
          <w:strike/>
        </w:rPr>
        <w:t xml:space="preserve"> with similar results.</w:t>
      </w:r>
    </w:p>
    <w:p w14:paraId="2035599C" w14:textId="18CC69C9" w:rsidR="001612CF" w:rsidRDefault="001612CF" w:rsidP="004A5390">
      <w:r>
        <w:t>Capital account openness</w:t>
      </w:r>
      <w:r w:rsidR="00DC4103">
        <w:t xml:space="preserve"> (or a lack of capital controls)</w:t>
      </w:r>
      <w:r>
        <w:t xml:space="preserve"> does seem to matter in some instrumental variables regressions</w:t>
      </w:r>
      <w:r w:rsidR="00C01DD4">
        <w:t xml:space="preserve"> for significance, although signs produced are often contradictory</w:t>
      </w:r>
      <w:r>
        <w:t>.</w:t>
      </w:r>
      <w:r w:rsidR="00DC4103">
        <w:t xml:space="preserve"> </w:t>
      </w:r>
      <w:r w:rsidR="00613BA6">
        <w:t>Using the tertiary education instrument for de jure CBI</w:t>
      </w:r>
      <w:r w:rsidR="004B31DE">
        <w:t xml:space="preserve"> along with the GDP instrument for fixed rates, it appears to be the case that de jure CBI increases</w:t>
      </w:r>
      <w:r w:rsidR="00261956">
        <w:t xml:space="preserve"> the World Bank measure of</w:t>
      </w:r>
      <w:r w:rsidR="004B31DE">
        <w:t xml:space="preserve"> political stability, with a larger impact in </w:t>
      </w:r>
      <w:r w:rsidR="00261956">
        <w:t xml:space="preserve">open capital account economies. </w:t>
      </w:r>
      <w:r w:rsidR="0097517F">
        <w:t>Fixed rate reductions in stability and de jure increases in instability apply only to cases with high capital account openness</w:t>
      </w:r>
      <w:r w:rsidR="00945F02">
        <w:t>.</w:t>
      </w:r>
      <w:r w:rsidR="004B6027">
        <w:t xml:space="preserve"> </w:t>
      </w:r>
      <w:r w:rsidR="00322A07">
        <w:t xml:space="preserve">In the de facto CBI regressions, using the tertiary education instrument, de facto CBI increases </w:t>
      </w:r>
      <w:r w:rsidR="00AB7AE3">
        <w:t>political stability in high openness nations but reduces it in low openness ones with strong effects</w:t>
      </w:r>
      <w:r w:rsidR="00A5215E">
        <w:t>.</w:t>
      </w:r>
      <w:r w:rsidR="00AB3EEF">
        <w:t xml:space="preserve"> </w:t>
      </w:r>
      <w:r w:rsidR="00945F02">
        <w:t>Using the OECD instrument of social science and business graduates, a fixed exchange rate appears to increase lower house turnover and increase</w:t>
      </w:r>
      <w:r w:rsidR="00C01DD4">
        <w:t xml:space="preserve"> stability on the World Bank index only in high capital account openness nations.</w:t>
      </w:r>
      <w:r w:rsidR="00AB3EEF">
        <w:t xml:space="preserve"> </w:t>
      </w:r>
      <w:r w:rsidR="00FE2A73" w:rsidRPr="003C61F7">
        <w:rPr>
          <w:highlight w:val="yellow"/>
        </w:rPr>
        <w:t>Overall</w:t>
      </w:r>
      <w:r w:rsidR="00015B88">
        <w:rPr>
          <w:highlight w:val="yellow"/>
        </w:rPr>
        <w:t>,</w:t>
      </w:r>
      <w:r w:rsidR="00FE2A73" w:rsidRPr="003C61F7">
        <w:rPr>
          <w:highlight w:val="yellow"/>
        </w:rPr>
        <w:t xml:space="preserve"> there appears to be general support for a Mundell-Fleming hypothesis</w:t>
      </w:r>
      <w:r w:rsidR="003C61F7" w:rsidRPr="003C61F7">
        <w:rPr>
          <w:highlight w:val="yellow"/>
        </w:rPr>
        <w:t>. O</w:t>
      </w:r>
      <w:r w:rsidR="00A5215E" w:rsidRPr="003C61F7">
        <w:rPr>
          <w:highlight w:val="yellow"/>
        </w:rPr>
        <w:t xml:space="preserve">penness amplifies stability </w:t>
      </w:r>
      <w:r w:rsidR="002555E7" w:rsidRPr="003C61F7">
        <w:rPr>
          <w:highlight w:val="yellow"/>
        </w:rPr>
        <w:t xml:space="preserve">costs of </w:t>
      </w:r>
      <w:r w:rsidR="00AB3EEF" w:rsidRPr="003C61F7">
        <w:rPr>
          <w:highlight w:val="yellow"/>
        </w:rPr>
        <w:t>fixed rat</w:t>
      </w:r>
      <w:r w:rsidR="00AB3EEF" w:rsidRPr="00EC40D9">
        <w:rPr>
          <w:highlight w:val="yellow"/>
        </w:rPr>
        <w:t>es</w:t>
      </w:r>
      <w:r w:rsidR="003F023F" w:rsidRPr="00EC40D9">
        <w:rPr>
          <w:highlight w:val="yellow"/>
        </w:rPr>
        <w:t>,</w:t>
      </w:r>
      <w:r w:rsidR="00015B88">
        <w:rPr>
          <w:highlight w:val="yellow"/>
        </w:rPr>
        <w:t xml:space="preserve"> </w:t>
      </w:r>
      <w:r w:rsidR="0060093A">
        <w:rPr>
          <w:highlight w:val="yellow"/>
        </w:rPr>
        <w:t xml:space="preserve">and </w:t>
      </w:r>
      <w:r w:rsidR="00015B88">
        <w:rPr>
          <w:highlight w:val="yellow"/>
        </w:rPr>
        <w:t>turns de jure</w:t>
      </w:r>
      <w:r w:rsidR="0060093A">
        <w:rPr>
          <w:highlight w:val="yellow"/>
        </w:rPr>
        <w:t xml:space="preserve"> and de facto</w:t>
      </w:r>
      <w:r w:rsidR="00015B88">
        <w:rPr>
          <w:highlight w:val="yellow"/>
        </w:rPr>
        <w:t xml:space="preserve"> CBI from a cost to a benefit</w:t>
      </w:r>
      <w:r w:rsidR="00052B32" w:rsidRPr="00312412">
        <w:rPr>
          <w:highlight w:val="yellow"/>
        </w:rPr>
        <w:t>.</w:t>
      </w:r>
      <w:r w:rsidR="00EC40D9" w:rsidRPr="00312412">
        <w:rPr>
          <w:highlight w:val="yellow"/>
        </w:rPr>
        <w:t xml:space="preserve"> The reverse case, one of capital controls, may allow for incumbents to subvert</w:t>
      </w:r>
      <w:r w:rsidR="00312412">
        <w:rPr>
          <w:highlight w:val="yellow"/>
        </w:rPr>
        <w:t xml:space="preserve"> or manipulate</w:t>
      </w:r>
      <w:r w:rsidR="00EC40D9" w:rsidRPr="00312412">
        <w:rPr>
          <w:highlight w:val="yellow"/>
        </w:rPr>
        <w:t xml:space="preserve"> </w:t>
      </w:r>
      <w:r w:rsidR="00312412" w:rsidRPr="00312412">
        <w:rPr>
          <w:highlight w:val="yellow"/>
        </w:rPr>
        <w:t>stability tradeoffs</w:t>
      </w:r>
      <w:r w:rsidR="0060093A">
        <w:rPr>
          <w:highlight w:val="yellow"/>
        </w:rPr>
        <w:t xml:space="preserve"> inherent in fixed rates, while somehow limiting the benefits of central bank independence</w:t>
      </w:r>
      <w:r w:rsidR="00312412" w:rsidRPr="00312412">
        <w:rPr>
          <w:highlight w:val="yellow"/>
        </w:rPr>
        <w:t>.</w:t>
      </w:r>
    </w:p>
    <w:p w14:paraId="7503085A" w14:textId="46750333" w:rsidR="00315DBC" w:rsidRDefault="00315DBC" w:rsidP="004A5390">
      <w:r w:rsidRPr="00315DBC">
        <w:rPr>
          <w:highlight w:val="cyan"/>
        </w:rPr>
        <w:t>What is independence really- is it in</w:t>
      </w:r>
      <w:r w:rsidR="007509F2">
        <w:rPr>
          <w:highlight w:val="cyan"/>
        </w:rPr>
        <w:t xml:space="preserve"> the</w:t>
      </w:r>
      <w:r w:rsidRPr="00315DBC">
        <w:rPr>
          <w:highlight w:val="cyan"/>
        </w:rPr>
        <w:t xml:space="preserve"> trilemma or is it domestic control more generally?</w:t>
      </w:r>
    </w:p>
    <w:p w14:paraId="12088BA1" w14:textId="068E8576" w:rsidR="007509F2" w:rsidRDefault="007509F2" w:rsidP="004A5390">
      <w:r w:rsidRPr="007509F2">
        <w:rPr>
          <w:highlight w:val="cyan"/>
        </w:rPr>
        <w:t>What about outsourcing monetary policy, is that independence or dependence on scales?</w:t>
      </w:r>
    </w:p>
    <w:p w14:paraId="1680D24C" w14:textId="715C750D" w:rsidR="00BE41C2" w:rsidRDefault="00BE41C2" w:rsidP="004A5390">
      <w:r>
        <w:t>Discuss Mundell Fleming in terms of choosing two items- no interaction terms, or one interaction term and relevant items.</w:t>
      </w:r>
    </w:p>
    <w:p w14:paraId="0F941BC3" w14:textId="6A84856E" w:rsidR="00834102" w:rsidRPr="00834102" w:rsidRDefault="00876AC5" w:rsidP="004A5390">
      <w:pPr>
        <w:rPr>
          <w:strike/>
        </w:rPr>
      </w:pPr>
      <w:r w:rsidRPr="00834102">
        <w:rPr>
          <w:strike/>
        </w:rPr>
        <w:t>An analysis employing</w:t>
      </w:r>
      <w:r w:rsidR="00834102" w:rsidRPr="00834102">
        <w:rPr>
          <w:strike/>
        </w:rPr>
        <w:t xml:space="preserve"> linear</w:t>
      </w:r>
      <w:r w:rsidRPr="00834102">
        <w:rPr>
          <w:strike/>
        </w:rPr>
        <w:t xml:space="preserve"> lags </w:t>
      </w:r>
      <w:r w:rsidR="00C03A46" w:rsidRPr="00834102">
        <w:rPr>
          <w:strike/>
        </w:rPr>
        <w:t xml:space="preserve">and interaction terms </w:t>
      </w:r>
      <w:r w:rsidRPr="00834102">
        <w:rPr>
          <w:strike/>
        </w:rPr>
        <w:t xml:space="preserve">largely </w:t>
      </w:r>
      <w:r w:rsidR="00834102" w:rsidRPr="00834102">
        <w:rPr>
          <w:strike/>
        </w:rPr>
        <w:t>confirms</w:t>
      </w:r>
      <w:r w:rsidRPr="00834102">
        <w:rPr>
          <w:strike/>
        </w:rPr>
        <w:t xml:space="preserve"> these results.</w:t>
      </w:r>
      <w:r w:rsidR="00834102" w:rsidRPr="00834102">
        <w:rPr>
          <w:strike/>
        </w:rPr>
        <w:t xml:space="preserve"> </w:t>
      </w:r>
      <w:r w:rsidR="0000041D" w:rsidRPr="00834102">
        <w:rPr>
          <w:strike/>
        </w:rPr>
        <w:t xml:space="preserve">Instantaneously, de jure CBI </w:t>
      </w:r>
      <w:r w:rsidR="003F6735" w:rsidRPr="00834102">
        <w:rPr>
          <w:strike/>
        </w:rPr>
        <w:t xml:space="preserve">seems to be related to lower house turnover and political instability, </w:t>
      </w:r>
      <w:r w:rsidR="0060093A" w:rsidRPr="00834102">
        <w:rPr>
          <w:strike/>
        </w:rPr>
        <w:t>although less so</w:t>
      </w:r>
      <w:r w:rsidR="003F6735" w:rsidRPr="00834102">
        <w:rPr>
          <w:strike/>
        </w:rPr>
        <w:t xml:space="preserve"> with an open capital account</w:t>
      </w:r>
      <w:r w:rsidR="0060093A" w:rsidRPr="00834102">
        <w:rPr>
          <w:strike/>
        </w:rPr>
        <w:t>; counteraction of negative stability impacts in open economies is not total</w:t>
      </w:r>
      <w:r w:rsidR="003F6735" w:rsidRPr="00834102">
        <w:rPr>
          <w:strike/>
        </w:rPr>
        <w:t>.</w:t>
      </w:r>
      <w:r w:rsidR="00412C9D" w:rsidRPr="00834102">
        <w:rPr>
          <w:strike/>
        </w:rPr>
        <w:t xml:space="preserve"> </w:t>
      </w:r>
      <w:r w:rsidR="00753B87" w:rsidRPr="00834102">
        <w:rPr>
          <w:strike/>
        </w:rPr>
        <w:t>A fixed exchange rate decreases head of state turnover but increases destabilizing events</w:t>
      </w:r>
      <w:r w:rsidR="00A921F4" w:rsidRPr="00834102">
        <w:rPr>
          <w:strike/>
        </w:rPr>
        <w:t>, without an open capital account, and decreases instability events with an open account</w:t>
      </w:r>
      <w:r w:rsidR="00E740DC" w:rsidRPr="00834102">
        <w:rPr>
          <w:strike/>
        </w:rPr>
        <w:t xml:space="preserve">, although in this situation capital account openness </w:t>
      </w:r>
      <w:r w:rsidR="002952AE" w:rsidRPr="00834102">
        <w:rPr>
          <w:strike/>
        </w:rPr>
        <w:t xml:space="preserve">is by </w:t>
      </w:r>
      <w:r w:rsidR="00C8585A" w:rsidRPr="00834102">
        <w:rPr>
          <w:strike/>
        </w:rPr>
        <w:t>itself</w:t>
      </w:r>
      <w:r w:rsidR="002952AE" w:rsidRPr="00834102">
        <w:rPr>
          <w:strike/>
        </w:rPr>
        <w:t xml:space="preserve"> related to increased political instability events.</w:t>
      </w:r>
      <w:r w:rsidR="00412C9D" w:rsidRPr="00834102">
        <w:rPr>
          <w:strike/>
        </w:rPr>
        <w:t xml:space="preserve"> </w:t>
      </w:r>
      <w:r w:rsidR="00F85555" w:rsidRPr="00834102">
        <w:rPr>
          <w:strike/>
        </w:rPr>
        <w:t xml:space="preserve">For lagged terms, de jure CBI does not have much of an impact on its own, while fixed rates still </w:t>
      </w:r>
      <w:r w:rsidR="00604DDC" w:rsidRPr="00834102">
        <w:rPr>
          <w:strike/>
        </w:rPr>
        <w:t>have a mixed effect.</w:t>
      </w:r>
      <w:r w:rsidR="008624F9" w:rsidRPr="00834102">
        <w:rPr>
          <w:strike/>
        </w:rPr>
        <w:t xml:space="preserve"> Capital account openness only has a </w:t>
      </w:r>
      <w:r w:rsidR="00015B88" w:rsidRPr="00834102">
        <w:rPr>
          <w:strike/>
        </w:rPr>
        <w:t>longer-term</w:t>
      </w:r>
      <w:r w:rsidR="008624F9" w:rsidRPr="00834102">
        <w:rPr>
          <w:strike/>
        </w:rPr>
        <w:t xml:space="preserve"> impact in combination with fixed rates, but signs vary wildly.</w:t>
      </w:r>
      <w:r w:rsidR="00834102" w:rsidRPr="00834102">
        <w:rPr>
          <w:strike/>
        </w:rPr>
        <w:t xml:space="preserve"> </w:t>
      </w:r>
      <w:r w:rsidR="00825B93" w:rsidRPr="00834102">
        <w:rPr>
          <w:strike/>
        </w:rPr>
        <w:t>In a lagged analysis of de facto independence the effects of fixed rates are largely the same, with de facto independence itself ha</w:t>
      </w:r>
      <w:r w:rsidR="00EB6067" w:rsidRPr="00834102">
        <w:rPr>
          <w:strike/>
        </w:rPr>
        <w:t xml:space="preserve">ving little impact except for an increase in </w:t>
      </w:r>
      <w:r w:rsidR="00D92EAD" w:rsidRPr="00834102">
        <w:rPr>
          <w:strike/>
        </w:rPr>
        <w:t>destabilizing</w:t>
      </w:r>
      <w:r w:rsidR="00EB6067" w:rsidRPr="00834102">
        <w:rPr>
          <w:strike/>
        </w:rPr>
        <w:t xml:space="preserve"> even</w:t>
      </w:r>
      <w:r w:rsidR="00D92EAD" w:rsidRPr="00834102">
        <w:rPr>
          <w:strike/>
        </w:rPr>
        <w:t>t</w:t>
      </w:r>
      <w:r w:rsidR="00EB6067" w:rsidRPr="00834102">
        <w:rPr>
          <w:strike/>
        </w:rPr>
        <w:t>s in the short term (1-3 year lag).</w:t>
      </w:r>
      <w:r w:rsidR="00524610" w:rsidRPr="00834102">
        <w:rPr>
          <w:strike/>
        </w:rPr>
        <w:t>The impact of fixed rates</w:t>
      </w:r>
      <w:r w:rsidR="00313403" w:rsidRPr="00834102">
        <w:rPr>
          <w:strike/>
        </w:rPr>
        <w:t xml:space="preserve"> over the longer term</w:t>
      </w:r>
      <w:r w:rsidR="00524610" w:rsidRPr="00834102">
        <w:rPr>
          <w:strike/>
        </w:rPr>
        <w:t xml:space="preserve"> varies</w:t>
      </w:r>
      <w:r w:rsidR="009A6CAB" w:rsidRPr="00834102">
        <w:rPr>
          <w:strike/>
        </w:rPr>
        <w:t xml:space="preserve"> </w:t>
      </w:r>
      <w:r w:rsidR="00313403" w:rsidRPr="00834102">
        <w:rPr>
          <w:strike/>
        </w:rPr>
        <w:t xml:space="preserve">independent </w:t>
      </w:r>
      <w:r w:rsidR="009A6CAB" w:rsidRPr="00834102">
        <w:rPr>
          <w:strike/>
        </w:rPr>
        <w:t>of capital controls</w:t>
      </w:r>
      <w:r w:rsidR="00313403" w:rsidRPr="00834102">
        <w:rPr>
          <w:strike/>
        </w:rPr>
        <w:t xml:space="preserve"> and in combination with them</w:t>
      </w:r>
      <w:r w:rsidR="009A6CAB" w:rsidRPr="00834102">
        <w:rPr>
          <w:strike/>
        </w:rPr>
        <w:t>.</w:t>
      </w:r>
      <w:r w:rsidR="00313403" w:rsidRPr="00834102">
        <w:rPr>
          <w:strike/>
        </w:rPr>
        <w:t xml:space="preserve"> However, de facto </w:t>
      </w:r>
      <w:r w:rsidR="004079CD" w:rsidRPr="00834102">
        <w:rPr>
          <w:strike/>
        </w:rPr>
        <w:t xml:space="preserve">independence clearly decreases destabilizing events in the short to mid-term </w:t>
      </w:r>
      <w:r w:rsidR="00412C9D" w:rsidRPr="00834102">
        <w:rPr>
          <w:strike/>
        </w:rPr>
        <w:t xml:space="preserve">(2-5 year lag) </w:t>
      </w:r>
      <w:r w:rsidR="004079CD" w:rsidRPr="00834102">
        <w:rPr>
          <w:strike/>
        </w:rPr>
        <w:t>when combined with capital account openness.</w:t>
      </w:r>
      <w:r w:rsidR="00834102" w:rsidRPr="00834102">
        <w:rPr>
          <w:strike/>
        </w:rPr>
        <w:t xml:space="preserve"> Overall, in the short run, we still see that capital account openness leads to more stable outcomes with de jure CBI, and the same effect is added for fixed rates (unlike the IV models), while for de facto CBI capital account openness also means more stability, but over the medium term.</w:t>
      </w:r>
    </w:p>
    <w:p w14:paraId="1FC0B6D7" w14:textId="29A0D10B" w:rsidR="001F565F" w:rsidRDefault="00412C9D" w:rsidP="004A5390">
      <w:r>
        <w:t>In an ordered logit analysis</w:t>
      </w:r>
      <w:r w:rsidR="0008447A">
        <w:t xml:space="preserve"> of coefficient significance</w:t>
      </w:r>
      <w:r w:rsidR="00BB245B">
        <w:t>, de jure CBI seems to be linked to head of state turnover</w:t>
      </w:r>
      <w:r w:rsidR="00B05D66">
        <w:t xml:space="preserve"> and fixed rates to instability events</w:t>
      </w:r>
      <w:r w:rsidR="0008447A">
        <w:t xml:space="preserve"> instantaneously</w:t>
      </w:r>
      <w:r w:rsidR="00B05D66">
        <w:t xml:space="preserve">. In combination with capital account </w:t>
      </w:r>
      <w:r w:rsidR="00D80710">
        <w:t>openness</w:t>
      </w:r>
      <w:r w:rsidR="00B05D66">
        <w:t xml:space="preserve">, however, </w:t>
      </w:r>
      <w:r w:rsidR="00D80710">
        <w:t>both</w:t>
      </w:r>
      <w:r w:rsidR="00B05D66">
        <w:t xml:space="preserve"> effects appear to be entirely reversed.</w:t>
      </w:r>
      <w:r w:rsidR="00AF4D99">
        <w:t xml:space="preserve"> </w:t>
      </w:r>
      <w:r w:rsidR="008C3CA3">
        <w:t xml:space="preserve">Longer term effects are less clear, with de jure CBI and fixed rates and interactions being significant in few cases with varying signs. </w:t>
      </w:r>
      <w:r w:rsidR="00542217">
        <w:t xml:space="preserve">In </w:t>
      </w:r>
      <w:r w:rsidR="00542217">
        <w:lastRenderedPageBreak/>
        <w:t>regression with de facto CBI, fixed rates</w:t>
      </w:r>
      <w:r w:rsidR="00BC36FF">
        <w:t xml:space="preserve"> </w:t>
      </w:r>
      <w:r w:rsidR="00790717">
        <w:t xml:space="preserve">and capital account openness </w:t>
      </w:r>
      <w:r w:rsidR="000407F9">
        <w:t xml:space="preserve">individually </w:t>
      </w:r>
      <w:r w:rsidR="00790717">
        <w:t>instant</w:t>
      </w:r>
      <w:r w:rsidR="00D80710">
        <w:t>an</w:t>
      </w:r>
      <w:r w:rsidR="00790717">
        <w:t>eously increase chan</w:t>
      </w:r>
      <w:r w:rsidR="00D80710">
        <w:t>c</w:t>
      </w:r>
      <w:r w:rsidR="00790717">
        <w:t xml:space="preserve">es of instability events, but in combination the effects </w:t>
      </w:r>
      <w:r w:rsidR="001F565F">
        <w:t xml:space="preserve">of fixed rates </w:t>
      </w:r>
      <w:r w:rsidR="00790717">
        <w:t>are muted.</w:t>
      </w:r>
      <w:r w:rsidR="00EE7C2C">
        <w:t xml:space="preserve"> De facto CBI quite persistently increases instability events in </w:t>
      </w:r>
      <w:r w:rsidR="001F565F">
        <w:t>1-4-year</w:t>
      </w:r>
      <w:r w:rsidR="00EE7C2C">
        <w:t xml:space="preserve"> lags</w:t>
      </w:r>
      <w:r w:rsidR="00E40BB9">
        <w:t xml:space="preserve"> and may contribute to head of state turnover with an 8-year lag. </w:t>
      </w:r>
      <w:r w:rsidR="001F565F">
        <w:t xml:space="preserve">However, the combination of de facto CBI and openness seems to counteract this effect quite strongly. </w:t>
      </w:r>
      <w:r w:rsidR="00E40BB9">
        <w:t>Fixed rates have a mixed impact</w:t>
      </w:r>
      <w:r w:rsidR="000407F9">
        <w:t xml:space="preserve"> over the longer term</w:t>
      </w:r>
      <w:r w:rsidR="00E40BB9">
        <w:t>.</w:t>
      </w:r>
      <w:r w:rsidR="00EA7ED5">
        <w:t xml:space="preserve"> Capital account </w:t>
      </w:r>
      <w:r w:rsidR="0008447A">
        <w:t>openness</w:t>
      </w:r>
      <w:r w:rsidR="00EA7ED5">
        <w:t xml:space="preserve"> by i</w:t>
      </w:r>
      <w:r w:rsidR="0008447A">
        <w:t>ts</w:t>
      </w:r>
      <w:r w:rsidR="00EA7ED5">
        <w:t xml:space="preserve">elf </w:t>
      </w:r>
      <w:r w:rsidR="001F565F">
        <w:t>somewhat</w:t>
      </w:r>
      <w:r w:rsidR="00EA7ED5">
        <w:t xml:space="preserve"> increases the chance of a destabilizing event with 3-10 year lags.</w:t>
      </w:r>
      <w:r w:rsidR="00BC36FF">
        <w:t xml:space="preserve"> </w:t>
      </w:r>
    </w:p>
    <w:p w14:paraId="62B80937" w14:textId="10553A6F" w:rsidR="00D80710" w:rsidRPr="00A072E9" w:rsidRDefault="00D80710" w:rsidP="004A5390">
      <w:r w:rsidRPr="000407F9">
        <w:t>Overall,</w:t>
      </w:r>
      <w:r w:rsidR="000407F9">
        <w:t xml:space="preserve"> the ordinal logit model tells us</w:t>
      </w:r>
      <w:r w:rsidRPr="000407F9">
        <w:t xml:space="preserve"> that capital account openness leads to more stable outcomes </w:t>
      </w:r>
      <w:r w:rsidR="000407F9">
        <w:t>on interactions with</w:t>
      </w:r>
      <w:r w:rsidRPr="000407F9">
        <w:t xml:space="preserve"> de jure</w:t>
      </w:r>
      <w:r w:rsidR="000407F9">
        <w:t xml:space="preserve"> </w:t>
      </w:r>
      <w:r w:rsidR="001F565F">
        <w:t xml:space="preserve">CBI and fixed rates (instantaneously) </w:t>
      </w:r>
      <w:r w:rsidR="000407F9">
        <w:t>and de facto</w:t>
      </w:r>
      <w:r w:rsidRPr="000407F9">
        <w:t xml:space="preserve"> CBI</w:t>
      </w:r>
      <w:r w:rsidR="000407F9">
        <w:t xml:space="preserve"> </w:t>
      </w:r>
      <w:r w:rsidR="001F565F">
        <w:t xml:space="preserve">(in the short run, 1-4 year lags) </w:t>
      </w:r>
      <w:r w:rsidR="000407F9">
        <w:t>despite its own independent destabilizing effect</w:t>
      </w:r>
      <w:r w:rsidR="001F565F">
        <w:t>s. It is hard to draw long run conclusions.</w:t>
      </w:r>
    </w:p>
    <w:p w14:paraId="6FCAFC5D" w14:textId="2653642D" w:rsidR="004A7ED6" w:rsidRDefault="00BE0A37" w:rsidP="005F7BDB">
      <w:r w:rsidRPr="00DC18B6">
        <w:t xml:space="preserve">In </w:t>
      </w:r>
      <w:r w:rsidR="007D3C86" w:rsidRPr="00DC18B6">
        <w:t>T</w:t>
      </w:r>
      <w:r w:rsidRPr="00DC18B6">
        <w:t xml:space="preserve">ables </w:t>
      </w:r>
      <w:r w:rsidR="00D10826" w:rsidRPr="00DC18B6">
        <w:t>A1</w:t>
      </w:r>
      <w:r w:rsidR="00833081" w:rsidRPr="00DC18B6">
        <w:t>7</w:t>
      </w:r>
      <w:r w:rsidR="00D10826" w:rsidRPr="00DC18B6">
        <w:t xml:space="preserve"> and A1</w:t>
      </w:r>
      <w:r w:rsidR="00833081" w:rsidRPr="00DC18B6">
        <w:t>8</w:t>
      </w:r>
      <w:r w:rsidR="00D10826" w:rsidRPr="00DC18B6">
        <w:t>,</w:t>
      </w:r>
      <w:r w:rsidRPr="00DC18B6">
        <w:t xml:space="preserve"> I test the </w:t>
      </w:r>
      <w:r w:rsidR="007D371A" w:rsidRPr="00DC18B6">
        <w:t>relevance of democratization to impacts.</w:t>
      </w:r>
      <w:r w:rsidR="00146BCE" w:rsidRPr="00DC18B6">
        <w:t xml:space="preserve"> Theoretically, it may be possible that de jure CBI has more of an impact in democracies with a stronger rule of law, while de facto CBI may have more impact in autocracies.</w:t>
      </w:r>
      <w:r w:rsidR="00AA0A9A">
        <w:t xml:space="preserve"> </w:t>
      </w:r>
      <w:r w:rsidR="003B27DF">
        <w:t xml:space="preserve">To test this hypothesis, I use the Polity IV dataset’s </w:t>
      </w:r>
      <w:r w:rsidR="003B27DF" w:rsidRPr="00DC18B6">
        <w:t xml:space="preserve">revised combined Polity Scores for each country, </w:t>
      </w:r>
      <w:r w:rsidR="003B27DF">
        <w:t>and</w:t>
      </w:r>
      <w:r w:rsidR="003B27DF" w:rsidRPr="00DC18B6">
        <w:t xml:space="preserve"> a cutoff at </w:t>
      </w:r>
      <w:r w:rsidR="003B27DF">
        <w:t xml:space="preserve">0 on the -10 to +10 scale, with negative numbers being autocratic </w:t>
      </w:r>
      <w:r w:rsidR="0070540E" w:rsidRPr="00A072E9">
        <w:fldChar w:fldCharType="begin"/>
      </w:r>
      <w:r w:rsidR="006F3F5C">
        <w:instrText xml:space="preserve"> ADDIN ZOTERO_ITEM CSL_CITATION {"citationID":"U7qNWUWk","properties":{"formattedCitation":"(Polity Project 2019)","plainCitation":"(Polity Project 2019)","noteIndex":0},"citationItems":[{"id":210,"uris":["http://zotero.org/users/5939705/items/62UXFK2S"],"uri":["http://zotero.org/users/5939705/items/62UXFK2S"],"itemData":{"id":210,"type":"webpage","container-title":"Center for Systemic Peace","title":"Polity IV","URL":"https://www.systemicpeace.org/polityproject.html","author":[{"family":"Polity Project","given":""}],"accessed":{"date-parts":[["2020",1,11]]},"issued":{"date-parts":[["2019"]]}}}],"schema":"https://github.com/citation-style-language/schema/raw/master/csl-citation.json"} </w:instrText>
      </w:r>
      <w:r w:rsidR="0070540E" w:rsidRPr="00A072E9">
        <w:fldChar w:fldCharType="separate"/>
      </w:r>
      <w:r w:rsidR="006F3F5C" w:rsidRPr="006F3F5C">
        <w:rPr>
          <w:rFonts w:ascii="Calibri" w:hAnsi="Calibri" w:cs="Calibri"/>
        </w:rPr>
        <w:t>(Polity Project 2019)</w:t>
      </w:r>
      <w:r w:rsidR="0070540E" w:rsidRPr="00A072E9">
        <w:fldChar w:fldCharType="end"/>
      </w:r>
      <w:r w:rsidR="003B27DF" w:rsidRPr="0064188D">
        <w:t>.</w:t>
      </w:r>
    </w:p>
    <w:p w14:paraId="25AC5568" w14:textId="1D24DE05" w:rsidR="00CF0F8E" w:rsidRDefault="003B27DF" w:rsidP="005F7BDB">
      <w:r>
        <w:t>P</w:t>
      </w:r>
      <w:r w:rsidR="007039A5" w:rsidRPr="0064188D">
        <w:t>anel</w:t>
      </w:r>
      <w:r w:rsidR="007039A5" w:rsidRPr="009A4143">
        <w:t xml:space="preserve"> fixed effects results appear to demonstrate </w:t>
      </w:r>
      <w:r w:rsidR="00FF17BD" w:rsidRPr="009A4143">
        <w:t>unclear or</w:t>
      </w:r>
      <w:r w:rsidR="007039A5" w:rsidRPr="009A4143">
        <w:t xml:space="preserve"> opposite</w:t>
      </w:r>
      <w:r w:rsidR="00146BCE" w:rsidRPr="009A4143">
        <w:t xml:space="preserve"> results to those predicted</w:t>
      </w:r>
      <w:r w:rsidR="007039A5" w:rsidRPr="009A4143">
        <w:t>. Beginning</w:t>
      </w:r>
      <w:r w:rsidR="007039A5" w:rsidRPr="00FF17BD">
        <w:t xml:space="preserve"> with a split sample</w:t>
      </w:r>
      <w:r w:rsidR="00AD2B32" w:rsidRPr="00FF17BD">
        <w:t>, the significant positive impact of de jure CBI on the political instability event indicator is</w:t>
      </w:r>
      <w:r w:rsidR="007C798E" w:rsidRPr="00FF17BD">
        <w:t xml:space="preserve"> stronger in autocracies</w:t>
      </w:r>
      <w:r w:rsidR="00FF17BD" w:rsidRPr="00FF17BD">
        <w:t xml:space="preserve">, although the World Bank indicator impact is stronger </w:t>
      </w:r>
      <w:r w:rsidR="00FF17BD" w:rsidRPr="009A4143">
        <w:t>in democracies</w:t>
      </w:r>
      <w:r w:rsidR="007C798E" w:rsidRPr="009A4143">
        <w:t>.</w:t>
      </w:r>
      <w:r w:rsidR="007A2641" w:rsidRPr="009A4143">
        <w:t xml:space="preserve"> </w:t>
      </w:r>
      <w:r w:rsidR="003523C0" w:rsidRPr="009A4143">
        <w:t>D</w:t>
      </w:r>
      <w:r w:rsidR="007A2641" w:rsidRPr="009A4143">
        <w:t>e facto CBI also appears to only matter for lower house turnover in democracies.</w:t>
      </w:r>
      <w:r w:rsidR="005F43D0" w:rsidRPr="009A4143">
        <w:t xml:space="preserve"> Another interesting finding is that the link between </w:t>
      </w:r>
      <w:r w:rsidR="00FB5907" w:rsidRPr="009A4143">
        <w:t xml:space="preserve">a fixed exchange rate and increased electoral and political stability (in the panel model) appears </w:t>
      </w:r>
      <w:r w:rsidR="00D83954" w:rsidRPr="009A4143">
        <w:t xml:space="preserve">to be stronger in autocracies. </w:t>
      </w:r>
      <w:r w:rsidR="005619A9" w:rsidRPr="009A4143">
        <w:t>T</w:t>
      </w:r>
      <w:r w:rsidR="00D83954" w:rsidRPr="009A4143">
        <w:t xml:space="preserve">his may be evidence of the endogenous fact that stable, autocratic regimes </w:t>
      </w:r>
      <w:r w:rsidR="000344D1" w:rsidRPr="009A4143">
        <w:t xml:space="preserve">may choose a fixed rate to </w:t>
      </w:r>
      <w:r w:rsidR="00DB1092" w:rsidRPr="009A4143">
        <w:t>increase</w:t>
      </w:r>
      <w:r w:rsidR="000344D1" w:rsidRPr="009A4143">
        <w:t xml:space="preserve"> </w:t>
      </w:r>
      <w:r w:rsidR="000344D1" w:rsidRPr="00EB3717">
        <w:t>transparency</w:t>
      </w:r>
      <w:r w:rsidR="003361FD" w:rsidRPr="00EB3717">
        <w:t xml:space="preserve"> (although </w:t>
      </w:r>
      <w:r w:rsidR="00BD0032">
        <w:t>a</w:t>
      </w:r>
      <w:r w:rsidR="003361FD" w:rsidRPr="00EB3717">
        <w:t xml:space="preserve"> theorized substitution for CBI does not appear</w:t>
      </w:r>
      <w:r w:rsidR="005619A9" w:rsidRPr="00EB3717">
        <w:t>, except in de facto terms</w:t>
      </w:r>
      <w:r w:rsidR="003361FD" w:rsidRPr="00EB3717">
        <w:t>)</w:t>
      </w:r>
      <w:r w:rsidR="005619A9" w:rsidRPr="00EB3717">
        <w:t xml:space="preserve"> </w:t>
      </w:r>
      <w:r w:rsidR="005619A9" w:rsidRPr="00EB3717">
        <w:fldChar w:fldCharType="begin"/>
      </w:r>
      <w:r w:rsidR="007B01F4">
        <w:instrText xml:space="preserve"> ADDIN ZOTERO_ITEM CSL_CITATION {"citationID":"YpJUECjn","properties":{"formattedCitation":"(Broz 2002)","plainCitation":"(Broz 2002)","noteIndex":0},"citationItems":[{"id":229,"uris":["http://zotero.org/users/5939705/items/EBXF733S"],"uri":["http://zotero.org/users/5939705/items/EBXF733S"],"itemData":{"id":229,"type":"article-journal","abstract":"Central bank independence (CBI) and fixed exchange rates are alternative monetary commitments that differ in transparency. While CBI is opaque and difficult to monitor, a commitment to a fixed exchange rate is easily observed. Political systems also vary in terms of transparency. I argue that the transparency of monetary commitments and the transparency of political systems are substitutes. Where political decision making is opaque (autocracies), governments must look to a commitment that is more transparent and constrained (fixed exchange rates) than the government itself. The transparency of the monetary commitment substitutes for the transparency of the political system to engender low inflation. Where the political process is transparent (democracies), a formal commitment to CBI can produce lower inflation because private agents and the political opposition are free to detect and punish government interference with the central bank. Statistical results indicate that (1) autocracies are more likely to adopt exchange-rate pegs than democracies, and (2) CBI is effective in limiting inflation in nations with high levels of political transparency.","archive":"JSTOR","container-title":"International Organization","ISSN":"0020-8183","issue":"4","page":"861-887","source":"JSTOR","title":"Political System Transparency and Monetary Commitment Regimes","volume":"56","author":[{"family":"Broz","given":"J. Lawrence"}],"issued":{"date-parts":[["2002"]]}}}],"schema":"https://github.com/citation-style-language/schema/raw/master/csl-citation.json"} </w:instrText>
      </w:r>
      <w:r w:rsidR="005619A9" w:rsidRPr="00EB3717">
        <w:fldChar w:fldCharType="separate"/>
      </w:r>
      <w:r w:rsidR="00AB6011" w:rsidRPr="00EB3717">
        <w:rPr>
          <w:rFonts w:ascii="Calibri" w:hAnsi="Calibri" w:cs="Calibri"/>
        </w:rPr>
        <w:t>(Broz 2002)</w:t>
      </w:r>
      <w:r w:rsidR="005619A9" w:rsidRPr="00EB3717">
        <w:fldChar w:fldCharType="end"/>
      </w:r>
      <w:r w:rsidR="000344D1" w:rsidRPr="00EB3717">
        <w:t>.</w:t>
      </w:r>
    </w:p>
    <w:p w14:paraId="2A661EEA" w14:textId="39C642FA" w:rsidR="007537D6" w:rsidRDefault="007537D6" w:rsidP="005F7BDB">
      <w:r w:rsidRPr="007537D6">
        <w:rPr>
          <w:highlight w:val="yellow"/>
        </w:rPr>
        <w:t>Another hypothesis is that electoral turnover may matter more in democracies, with political stability mattering more in autocracies.</w:t>
      </w:r>
    </w:p>
    <w:p w14:paraId="0B64AF09" w14:textId="77777777" w:rsidR="007537D6" w:rsidRDefault="0087084D" w:rsidP="005F7BDB">
      <w:r>
        <w:t>The split sample can also be analyzed through the lens of instrumental variables analysis.</w:t>
      </w:r>
      <w:r w:rsidR="001F565F">
        <w:t xml:space="preserve"> </w:t>
      </w:r>
      <w:r w:rsidR="002349F1">
        <w:t xml:space="preserve">Using the tertiary education </w:t>
      </w:r>
      <w:r w:rsidR="00AE6906">
        <w:t>instrumental variable, de jure CBI appears to reduce head of state turnover and increase political stability, but also increase instability events</w:t>
      </w:r>
      <w:r w:rsidR="00103C54">
        <w:t xml:space="preserve">, while fixed rates </w:t>
      </w:r>
      <w:r w:rsidR="001F565F">
        <w:t>affect</w:t>
      </w:r>
      <w:r w:rsidR="00103C54">
        <w:t xml:space="preserve"> political stability</w:t>
      </w:r>
      <w:r w:rsidR="001F565F">
        <w:t xml:space="preserve"> (in both positive and negative directions)</w:t>
      </w:r>
      <w:r w:rsidR="00103C54">
        <w:t xml:space="preserve"> only in democracies.</w:t>
      </w:r>
      <w:r w:rsidR="00AD3F95">
        <w:rPr>
          <w:rStyle w:val="FootnoteReference"/>
        </w:rPr>
        <w:footnoteReference w:id="15"/>
      </w:r>
      <w:r w:rsidR="00E776E0">
        <w:t xml:space="preserve"> All of the signs in polity nondemocracies are insignificant.</w:t>
      </w:r>
      <w:r w:rsidR="001F565F">
        <w:t xml:space="preserve"> </w:t>
      </w:r>
      <w:r w:rsidR="00E776E0">
        <w:t xml:space="preserve">De facto CBI </w:t>
      </w:r>
      <w:r w:rsidR="00057586">
        <w:t>clearly decreases head of government and lower house turnover, with fixed exchange rates increasing instability events in democracies.</w:t>
      </w:r>
      <w:r w:rsidR="000A13FE">
        <w:t xml:space="preserve"> In nondemocracies these effects largely vanish, </w:t>
      </w:r>
      <w:r w:rsidR="001F565F">
        <w:t>except for</w:t>
      </w:r>
      <w:r w:rsidR="000A13FE">
        <w:t xml:space="preserve"> that of fixed rates (on the world bank measure rather than the events measure, however).</w:t>
      </w:r>
      <w:r w:rsidR="007537D6">
        <w:t xml:space="preserve"> </w:t>
      </w:r>
    </w:p>
    <w:p w14:paraId="505F4AFC" w14:textId="7A8ACD7B" w:rsidR="00E776E0" w:rsidRDefault="007537D6" w:rsidP="005F7BDB">
      <w:r>
        <w:t>Therefore, it does not clear from the data that de jure relative to de facto CBI has varying relevance based on whether a nation is a democracy or not. It instead appears to be the case that most effects overall are found in democracies. This could be the result of a generally larger sample size.</w:t>
      </w:r>
    </w:p>
    <w:p w14:paraId="70032331" w14:textId="1AC9030F" w:rsidR="001F565F" w:rsidRDefault="007537D6" w:rsidP="005F7BDB">
      <w:r>
        <w:lastRenderedPageBreak/>
        <w:t>There is mixed support for the hypothesis that electoral turnover matters in democracies, as although regressions with electoral stability dependent variables show significance only in democracies, the same is the case for most of the instances of significance for political stability variables.</w:t>
      </w:r>
    </w:p>
    <w:p w14:paraId="4109A60F" w14:textId="77777777" w:rsidR="00175507" w:rsidRDefault="00C952B2" w:rsidP="005F7BDB">
      <w:r w:rsidRPr="00EB3717">
        <w:t xml:space="preserve">Interaction term analysis in </w:t>
      </w:r>
      <w:r w:rsidR="00C75D55" w:rsidRPr="00EB3717">
        <w:t>Table A1</w:t>
      </w:r>
      <w:r w:rsidR="00DC21AC" w:rsidRPr="00EB3717">
        <w:t>9</w:t>
      </w:r>
      <w:r w:rsidR="00C75D55" w:rsidRPr="00EB3717">
        <w:t xml:space="preserve"> </w:t>
      </w:r>
      <w:r w:rsidRPr="00EB3717">
        <w:t>further confirms these findings</w:t>
      </w:r>
      <w:r w:rsidR="00BF6982">
        <w:t>. A</w:t>
      </w:r>
      <w:r w:rsidR="00EB3717">
        <w:t xml:space="preserve"> contradictory stronger de jure independence effect in autocracies becom</w:t>
      </w:r>
      <w:r w:rsidR="00BF6982">
        <w:t>es</w:t>
      </w:r>
      <w:r w:rsidR="00EB3717">
        <w:t xml:space="preserve"> clear</w:t>
      </w:r>
      <w:r w:rsidRPr="00EB3717">
        <w:t xml:space="preserve">, and </w:t>
      </w:r>
      <w:r w:rsidR="00150457" w:rsidRPr="00EB3717">
        <w:t xml:space="preserve">significant signs appear for fixed rates decreasing lower house turnover in autocracies with a nullifying </w:t>
      </w:r>
      <w:r w:rsidR="00B00607" w:rsidRPr="00EB3717">
        <w:t>coefficient for democracies.</w:t>
      </w:r>
      <w:r w:rsidR="001C2D40">
        <w:t xml:space="preserve"> </w:t>
      </w:r>
      <w:r w:rsidR="007E5A0F">
        <w:t>D</w:t>
      </w:r>
      <w:r w:rsidR="001C2D40">
        <w:t>e facto CB</w:t>
      </w:r>
      <w:r w:rsidR="007E5A0F">
        <w:t>I</w:t>
      </w:r>
      <w:r w:rsidR="002A4B38">
        <w:t>’s</w:t>
      </w:r>
      <w:r w:rsidR="007E5A0F">
        <w:t xml:space="preserve"> impact </w:t>
      </w:r>
      <w:r w:rsidR="001C2D40">
        <w:t xml:space="preserve">is </w:t>
      </w:r>
      <w:r w:rsidR="007E5A0F">
        <w:t>generally</w:t>
      </w:r>
      <w:r w:rsidR="001C2D40">
        <w:t xml:space="preserve"> thrown into question</w:t>
      </w:r>
      <w:r w:rsidR="007E5A0F">
        <w:t>.</w:t>
      </w:r>
      <w:r w:rsidR="00E238E8">
        <w:t xml:space="preserve"> </w:t>
      </w:r>
    </w:p>
    <w:p w14:paraId="2157E749" w14:textId="7C3863B1" w:rsidR="00175507" w:rsidRDefault="00175507" w:rsidP="005F7BDB">
      <w:r>
        <w:t xml:space="preserve">Taking a linear lagged </w:t>
      </w:r>
      <w:r w:rsidR="0045111C">
        <w:t xml:space="preserve">model </w:t>
      </w:r>
      <w:r>
        <w:t>approach to the interaction of democracy and commitment institutions _____.</w:t>
      </w:r>
    </w:p>
    <w:p w14:paraId="099F9CAC" w14:textId="1C0D5D0C" w:rsidR="004E2A3D" w:rsidRDefault="00D61F7F" w:rsidP="005F7BDB">
      <w:r>
        <w:t xml:space="preserve">De jure CBI appears to </w:t>
      </w:r>
      <w:r w:rsidR="007537D6">
        <w:t>instantaneously</w:t>
      </w:r>
      <w:r>
        <w:t xml:space="preserve"> reduce head of government turnover </w:t>
      </w:r>
      <w:r w:rsidR="00271C88">
        <w:t xml:space="preserve">but decrease </w:t>
      </w:r>
      <w:proofErr w:type="spellStart"/>
      <w:r w:rsidR="00271C88">
        <w:t>politicial</w:t>
      </w:r>
      <w:proofErr w:type="spellEnd"/>
      <w:r w:rsidR="00271C88">
        <w:t xml:space="preserve"> stability, with the head of government effect somewhat counteracted in democracies. With a one year lag de jure CBI </w:t>
      </w:r>
      <w:r w:rsidR="00FF2B14">
        <w:t xml:space="preserve">by itself </w:t>
      </w:r>
      <w:r w:rsidR="00271C88">
        <w:t>greatly increases head of government turnover</w:t>
      </w:r>
      <w:r w:rsidR="00FF2B14">
        <w:t>, with other conflicting effects on head of state turnover in the long term.</w:t>
      </w:r>
      <w:r w:rsidR="00EF61F3">
        <w:t xml:space="preserve"> </w:t>
      </w:r>
      <w:r w:rsidR="00E15C9D">
        <w:t>In combination, de jure CBI and democracy</w:t>
      </w:r>
      <w:r w:rsidR="007B1328">
        <w:t xml:space="preserve"> increase</w:t>
      </w:r>
      <w:r w:rsidR="00476406">
        <w:t xml:space="preserve"> head of government</w:t>
      </w:r>
      <w:r w:rsidR="007B1328">
        <w:t xml:space="preserve"> turnover by less after one year</w:t>
      </w:r>
      <w:r w:rsidR="00652F62">
        <w:t xml:space="preserve"> and reduce political instability at six </w:t>
      </w:r>
      <w:r w:rsidR="00DB7604">
        <w:t>years but</w:t>
      </w:r>
      <w:r w:rsidR="00476406">
        <w:t xml:space="preserve"> increase head of state turnover more.</w:t>
      </w:r>
      <w:r w:rsidR="00652F62">
        <w:t xml:space="preserve"> </w:t>
      </w:r>
      <w:r w:rsidR="004E2A3D">
        <w:t xml:space="preserve">De facto CBI </w:t>
      </w:r>
      <w:r w:rsidR="00D54CB3">
        <w:t xml:space="preserve">and fixed rates </w:t>
      </w:r>
      <w:r w:rsidR="004E2A3D">
        <w:t>appear to be related to instantaneous decrease in instability</w:t>
      </w:r>
      <w:r w:rsidR="00DB7604">
        <w:t>, but in</w:t>
      </w:r>
      <w:r w:rsidR="00D54CB3">
        <w:t xml:space="preserve"> democracies these effects are dulled.</w:t>
      </w:r>
      <w:r w:rsidR="00DD3D4A">
        <w:t xml:space="preserve"> Democracy </w:t>
      </w:r>
      <w:r w:rsidR="00DB7604">
        <w:t xml:space="preserve">by itself </w:t>
      </w:r>
      <w:r w:rsidR="00DD3D4A">
        <w:t>is linked to more electoral, and less political instability</w:t>
      </w:r>
      <w:r w:rsidR="00DB7604">
        <w:t>, as one would expect</w:t>
      </w:r>
      <w:r w:rsidR="00DD3D4A">
        <w:t>.</w:t>
      </w:r>
      <w:r w:rsidR="00DB7604">
        <w:t xml:space="preserve"> </w:t>
      </w:r>
      <w:r w:rsidR="00F65FFE">
        <w:t xml:space="preserve">De facto CBI by itself is linked to more electoral turnover in the </w:t>
      </w:r>
      <w:r w:rsidR="00DB7604">
        <w:t>mid-term</w:t>
      </w:r>
      <w:r w:rsidR="00F65FFE">
        <w:t xml:space="preserve"> (</w:t>
      </w:r>
      <w:r w:rsidR="00DB7604">
        <w:t>4-year</w:t>
      </w:r>
      <w:r w:rsidR="00F65FFE">
        <w:t xml:space="preserve"> lag) but less </w:t>
      </w:r>
      <w:r w:rsidR="00DB7604">
        <w:t>political</w:t>
      </w:r>
      <w:r w:rsidR="00F65FFE">
        <w:t xml:space="preserve"> </w:t>
      </w:r>
      <w:r w:rsidR="00DB7604">
        <w:t>instability</w:t>
      </w:r>
      <w:r w:rsidR="00F65FFE">
        <w:t xml:space="preserve"> after one year. </w:t>
      </w:r>
      <w:r w:rsidR="00DB7604">
        <w:t xml:space="preserve"> </w:t>
      </w:r>
      <w:r w:rsidR="002A3530">
        <w:t xml:space="preserve">De facto CBI and democracy in combination appear to reduce head of state turnover </w:t>
      </w:r>
      <w:r w:rsidR="00DB7604">
        <w:t>and</w:t>
      </w:r>
      <w:r w:rsidR="002A3530">
        <w:t xml:space="preserve"> increase instability events in the short term</w:t>
      </w:r>
      <w:r w:rsidR="00DB7604">
        <w:t>, in both cases nullifying effects</w:t>
      </w:r>
      <w:r w:rsidR="002A3530">
        <w:t>.</w:t>
      </w:r>
      <w:r w:rsidR="00824179">
        <w:t xml:space="preserve"> </w:t>
      </w:r>
      <w:r w:rsidR="00DB7604">
        <w:t>Finally, in the de jure regression, fixed rates by themselves may increase instability with a 2-year lag only, but overall democracy does not seem to affect the impact of fixed rates. In the de facto regression, however, f</w:t>
      </w:r>
      <w:r w:rsidR="00963F1D">
        <w:t xml:space="preserve">ixed rates and democracy in combination </w:t>
      </w:r>
      <w:r w:rsidR="00DB7604">
        <w:t>often counteract</w:t>
      </w:r>
      <w:r w:rsidR="00963F1D">
        <w:t xml:space="preserve"> the </w:t>
      </w:r>
      <w:r w:rsidR="00DB7604">
        <w:t>various signs</w:t>
      </w:r>
      <w:r w:rsidR="00963F1D">
        <w:t xml:space="preserve"> of </w:t>
      </w:r>
      <w:r w:rsidR="00DB7604">
        <w:t xml:space="preserve">individual </w:t>
      </w:r>
      <w:r w:rsidR="00963F1D">
        <w:t>fixed rate</w:t>
      </w:r>
      <w:r w:rsidR="00DB7604">
        <w:t xml:space="preserve"> impacts</w:t>
      </w:r>
      <w:r w:rsidR="00963F1D">
        <w:t>.</w:t>
      </w:r>
    </w:p>
    <w:p w14:paraId="46ACD8DC" w14:textId="6CDD29E9" w:rsidR="00B80D21" w:rsidRDefault="00B80D21" w:rsidP="005F7BDB">
      <w:r>
        <w:t>Overall, these results</w:t>
      </w:r>
      <w:r w:rsidR="00824179">
        <w:t xml:space="preserve"> suggest that if anything de jure CBI matters less for electoral stability in democracies, contradicting expectations, although de facto CBI also appears to matter less. Fixed rates generally do not matter much in these regressions, but their effect also appears to be somewhat dulled.</w:t>
      </w:r>
    </w:p>
    <w:p w14:paraId="7B9DAF2D" w14:textId="59814839" w:rsidR="003F0412" w:rsidRDefault="003F0412" w:rsidP="005F7BDB">
      <w:r>
        <w:t>We see evidence that electoral, rather than political instability is higher in democracies, but there is not a clear difference in the effect of commitment institutions.</w:t>
      </w:r>
    </w:p>
    <w:p w14:paraId="205BC481" w14:textId="7D708428" w:rsidR="00D8760C" w:rsidRDefault="0051263B" w:rsidP="005F7BDB">
      <w:r>
        <w:t xml:space="preserve">Turning to the ordinal logit, rather than linear model, for de jure CBI at least, few </w:t>
      </w:r>
      <w:r w:rsidR="00561220">
        <w:t>items are significant.</w:t>
      </w:r>
      <w:r w:rsidR="00127F4A">
        <w:t xml:space="preserve"> Signs vary wildly, </w:t>
      </w:r>
      <w:r w:rsidR="00785BF4">
        <w:t>although it appears that de jure CBI may increase instability events after about 6 years.</w:t>
      </w:r>
      <w:r w:rsidR="00BB1850">
        <w:t xml:space="preserve"> In combination with democracy</w:t>
      </w:r>
      <w:r w:rsidR="005E226F">
        <w:t xml:space="preserve">, </w:t>
      </w:r>
      <w:r w:rsidR="000F7AB2">
        <w:t>de jure CBI</w:t>
      </w:r>
      <w:r w:rsidR="005E226F">
        <w:t xml:space="preserve"> appears to reduce head of government turnover and instability events in the short term (1-2 year lag), and head of state turnover (4 year lag</w:t>
      </w:r>
      <w:r w:rsidR="00237EDC">
        <w:t>), with a slight opposite sign for the 10-year lag on head of state.</w:t>
      </w:r>
      <w:r w:rsidR="000F7AB2">
        <w:t xml:space="preserve"> These effects counteract the instability increases from democracy alone.</w:t>
      </w:r>
      <w:r w:rsidR="008C3FEC">
        <w:t xml:space="preserve"> </w:t>
      </w:r>
      <w:r w:rsidR="00D8760C">
        <w:t>In the ordinal logit with de facto CBI, de facto CBI and fixed rates decrease political instability and electoral turnover respectively instantaneously</w:t>
      </w:r>
      <w:r w:rsidR="008A6E70">
        <w:t xml:space="preserve">, with democracy increasing electoral turnover but decreasing political </w:t>
      </w:r>
      <w:r w:rsidR="00824179">
        <w:t>instability</w:t>
      </w:r>
      <w:r w:rsidR="008A6E70">
        <w:t>.</w:t>
      </w:r>
      <w:r w:rsidR="00156298">
        <w:t xml:space="preserve"> </w:t>
      </w:r>
      <w:r w:rsidR="00CF6B70">
        <w:t xml:space="preserve">By itself de facto CBI </w:t>
      </w:r>
      <w:r w:rsidR="008C3FEC">
        <w:t>increases</w:t>
      </w:r>
      <w:r w:rsidR="00CF6B70">
        <w:t xml:space="preserve"> electoral turnover </w:t>
      </w:r>
      <w:r w:rsidR="008C3FEC">
        <w:t>clearly</w:t>
      </w:r>
      <w:r w:rsidR="00CF6B70">
        <w:t xml:space="preserve"> in the </w:t>
      </w:r>
      <w:r w:rsidR="00824179">
        <w:t>mid-term</w:t>
      </w:r>
      <w:r w:rsidR="00CF6B70">
        <w:t xml:space="preserve"> (</w:t>
      </w:r>
      <w:r w:rsidR="008C3FEC">
        <w:t>4-6-year</w:t>
      </w:r>
      <w:r w:rsidR="00CF6B70">
        <w:t xml:space="preserve"> lag) and </w:t>
      </w:r>
      <w:r w:rsidR="008C3FEC">
        <w:t>decreases it</w:t>
      </w:r>
      <w:r w:rsidR="00CF6B70">
        <w:t xml:space="preserve"> in the longer term in some cases (9</w:t>
      </w:r>
      <w:r w:rsidR="00E62751">
        <w:t>-year lag)</w:t>
      </w:r>
      <w:r w:rsidR="00CF6B70">
        <w:t>.</w:t>
      </w:r>
      <w:r w:rsidR="008C3FEC">
        <w:t xml:space="preserve"> De facto CBI in combination with democracy tends to mitigate decreases in instability for the head of state at the 4-year lag, but not (on a level detectable) for head of government or lower house turnover or for other periods. </w:t>
      </w:r>
      <w:r w:rsidR="000F7AB2">
        <w:t xml:space="preserve">Fixed rates do not appear to matter in the de jure regression, but in the de facto regression, </w:t>
      </w:r>
      <w:r w:rsidR="00624726">
        <w:t xml:space="preserve">a fixed rate in combination with </w:t>
      </w:r>
      <w:r w:rsidR="00E309FB">
        <w:t>democracy</w:t>
      </w:r>
      <w:r w:rsidR="00624726">
        <w:t xml:space="preserve"> tends to </w:t>
      </w:r>
      <w:r w:rsidR="00E309FB">
        <w:t>reduce turnover</w:t>
      </w:r>
      <w:r w:rsidR="000F7AB2">
        <w:t xml:space="preserve"> increased by fixed rates themselves</w:t>
      </w:r>
      <w:r w:rsidR="00E309FB">
        <w:t>.</w:t>
      </w:r>
    </w:p>
    <w:p w14:paraId="5B7D1B89" w14:textId="6D474553" w:rsidR="000B0E10" w:rsidRDefault="000B0E10" w:rsidP="005F7BDB">
      <w:r>
        <w:lastRenderedPageBreak/>
        <w:t xml:space="preserve">The ordinal logit results tend to show the opposite of the expectation de jure CBI is more effective in democracies relative to de facto CBI in autocracies. Democracy again appears to </w:t>
      </w:r>
      <w:r w:rsidR="00BD78CC">
        <w:t xml:space="preserve">very slightly </w:t>
      </w:r>
      <w:r>
        <w:t>mitigate the impact of de jure CBI in the ordinal logit model, but it is also suggested that democracy may be the source of turnover and instability counteracted by de jure CBI in some cases. On the other hand, de facto CBI has an electoral turnover effect instantaneously which is amplified or left unchanged by democracy most of the time.</w:t>
      </w:r>
    </w:p>
    <w:p w14:paraId="16B5573D" w14:textId="33D027C4" w:rsidR="000B0E10" w:rsidRDefault="000B0E10" w:rsidP="005F7BDB">
      <w:r>
        <w:t xml:space="preserve">In democracies, </w:t>
      </w:r>
      <w:r w:rsidR="00BD78CC">
        <w:t>many of the electoral turnover effects (of de jure CBI in particular) vanish. In other cases, some electoral and some political effects remain or are reduced. There is not good support for the hypothesis that electoral effects of commitment institutions are more important in democracies relative to nondemocracies, nor is political versus electoral instability more broadly different between democracies and nondemocracies.</w:t>
      </w:r>
    </w:p>
    <w:p w14:paraId="7A709CD3" w14:textId="6970A431" w:rsidR="00116BEE" w:rsidRPr="00B1142E" w:rsidRDefault="00B163B3" w:rsidP="005F7BDB">
      <w:r w:rsidRPr="00B1142E">
        <w:t xml:space="preserve">Table </w:t>
      </w:r>
      <w:r w:rsidR="00C75D55" w:rsidRPr="00B1142E">
        <w:t>A</w:t>
      </w:r>
      <w:r w:rsidR="0058177F" w:rsidRPr="00B1142E">
        <w:t>20</w:t>
      </w:r>
      <w:r w:rsidR="0050460B" w:rsidRPr="00B1142E">
        <w:t xml:space="preserve"> and </w:t>
      </w:r>
      <w:r w:rsidR="00C75D55" w:rsidRPr="00B1142E">
        <w:t>A2</w:t>
      </w:r>
      <w:r w:rsidR="0058177F" w:rsidRPr="00B1142E">
        <w:t>1</w:t>
      </w:r>
      <w:r w:rsidRPr="00B1142E">
        <w:t xml:space="preserve"> aim to explore </w:t>
      </w:r>
      <w:r w:rsidR="000E24F6" w:rsidRPr="00B1142E">
        <w:t>predictions</w:t>
      </w:r>
      <w:r w:rsidR="0050460B" w:rsidRPr="00B1142E">
        <w:t xml:space="preserve"> based on the branch of government and position considered</w:t>
      </w:r>
      <w:r w:rsidR="0022310C" w:rsidRPr="00B1142E">
        <w:t xml:space="preserve"> (although again only for panel fixed effects models)</w:t>
      </w:r>
      <w:r w:rsidR="0050460B" w:rsidRPr="00B1142E">
        <w:t>.</w:t>
      </w:r>
      <w:r w:rsidR="00B1142E" w:rsidRPr="00B1142E">
        <w:t xml:space="preserve"> </w:t>
      </w:r>
      <w:r w:rsidR="00B1142E" w:rsidRPr="00B1142E">
        <w:rPr>
          <w:lang w:val="en-GB"/>
        </w:rPr>
        <w:t>W</w:t>
      </w:r>
      <w:r w:rsidR="00116BEE" w:rsidRPr="00B1142E">
        <w:rPr>
          <w:lang w:val="en-GB"/>
        </w:rPr>
        <w:t xml:space="preserve">hich branches of government </w:t>
      </w:r>
      <w:r w:rsidR="00DE3CCA" w:rsidRPr="00B1142E">
        <w:rPr>
          <w:lang w:val="en-GB"/>
        </w:rPr>
        <w:t xml:space="preserve">(head of government, head of state, </w:t>
      </w:r>
      <w:r w:rsidR="00B1142E" w:rsidRPr="00B1142E">
        <w:rPr>
          <w:lang w:val="en-GB"/>
        </w:rPr>
        <w:t>or the legislature</w:t>
      </w:r>
      <w:r w:rsidR="00DE3CCA" w:rsidRPr="00B1142E">
        <w:rPr>
          <w:lang w:val="en-GB"/>
        </w:rPr>
        <w:t xml:space="preserve">) </w:t>
      </w:r>
      <w:r w:rsidR="00116BEE" w:rsidRPr="00B1142E">
        <w:rPr>
          <w:lang w:val="en-GB"/>
        </w:rPr>
        <w:t xml:space="preserve">are likely to see more of a relationship between commitment institutions and turnover? One possible hypothesis is that of the pairing of power and accountability: branches most responsible for economic policy in practice are more likely to see either political business cycle costs or welfare benefits in terms of affecting turnover. In this case we should expect the head of </w:t>
      </w:r>
      <w:r w:rsidR="00BC692A">
        <w:rPr>
          <w:lang w:val="en-GB"/>
        </w:rPr>
        <w:t>government</w:t>
      </w:r>
      <w:r w:rsidR="00116BEE" w:rsidRPr="00B1142E">
        <w:rPr>
          <w:lang w:val="en-GB"/>
        </w:rPr>
        <w:t xml:space="preserve"> to see turnover which is more sensitive to commitment institutions if the head of government and head of state are not the same individual</w:t>
      </w:r>
      <w:r w:rsidR="00BC692A">
        <w:rPr>
          <w:lang w:val="en-GB"/>
        </w:rPr>
        <w:t>, with the head of state also seeing tu</w:t>
      </w:r>
      <w:r w:rsidR="00D76542">
        <w:rPr>
          <w:lang w:val="en-GB"/>
        </w:rPr>
        <w:t>rnover if the positions are combined</w:t>
      </w:r>
      <w:r w:rsidR="00116BEE" w:rsidRPr="00B1142E">
        <w:rPr>
          <w:lang w:val="en-GB"/>
        </w:rPr>
        <w:t>. We should also expect turnover in the lower house to be more sensitive to institutions when the lower house has more legislative authority over economic policy in practice.</w:t>
      </w:r>
    </w:p>
    <w:p w14:paraId="46975F62" w14:textId="38331E46" w:rsidR="00E309FB" w:rsidRDefault="004F7F2D" w:rsidP="005F7BDB">
      <w:r>
        <w:t xml:space="preserve">These theories initially appear to be </w:t>
      </w:r>
      <w:r w:rsidR="00A34CBB">
        <w:t xml:space="preserve">only somewhat </w:t>
      </w:r>
      <w:r>
        <w:t xml:space="preserve">supported by </w:t>
      </w:r>
      <w:r w:rsidR="001C473F">
        <w:t xml:space="preserve">the evidence. First, </w:t>
      </w:r>
      <w:r w:rsidR="00151F7D">
        <w:t xml:space="preserve">the Head of State appeared to be significant more </w:t>
      </w:r>
      <w:r w:rsidR="003F266F">
        <w:t>often</w:t>
      </w:r>
      <w:r w:rsidR="00151F7D">
        <w:t xml:space="preserve"> than the Head of Government in earlier regressions</w:t>
      </w:r>
      <w:r w:rsidR="00125AF2">
        <w:t xml:space="preserve">, contradicting accountability for </w:t>
      </w:r>
      <w:r w:rsidR="00DE1A58">
        <w:t>economic policy influence in practice</w:t>
      </w:r>
      <w:r w:rsidR="00151F7D">
        <w:t>.</w:t>
      </w:r>
      <w:r w:rsidR="001C473F">
        <w:t xml:space="preserve"> </w:t>
      </w:r>
      <w:r w:rsidR="00A34CBB">
        <w:t>Going further</w:t>
      </w:r>
      <w:r w:rsidR="001C473F">
        <w:t xml:space="preserve">, </w:t>
      </w:r>
      <w:r w:rsidR="0050460B" w:rsidRPr="009D241B">
        <w:t xml:space="preserve">Table </w:t>
      </w:r>
      <w:r w:rsidR="00C75D55" w:rsidRPr="009D241B">
        <w:t>A</w:t>
      </w:r>
      <w:r w:rsidR="0026261B" w:rsidRPr="009D241B">
        <w:t>20</w:t>
      </w:r>
      <w:r w:rsidR="0050460B" w:rsidRPr="009D241B">
        <w:t xml:space="preserve"> makes use of a binary variable </w:t>
      </w:r>
      <w:r w:rsidR="0050460B" w:rsidRPr="005A1D2F">
        <w:t xml:space="preserve">built into V-Dem </w:t>
      </w:r>
      <w:r w:rsidR="003F266F">
        <w:t xml:space="preserve">indicating </w:t>
      </w:r>
      <w:r w:rsidR="0050460B" w:rsidRPr="005A1D2F">
        <w:t>whether the Head of State and Head of Government are the same individual.</w:t>
      </w:r>
      <w:r w:rsidR="009D0AED" w:rsidRPr="005A1D2F">
        <w:t xml:space="preserve"> </w:t>
      </w:r>
      <w:r w:rsidR="005A1D2F" w:rsidRPr="005A1D2F">
        <w:t xml:space="preserve">Not </w:t>
      </w:r>
      <w:r w:rsidR="005A1D2F" w:rsidRPr="00895D38">
        <w:t>much is clarified given large amounts of insignificance. However,</w:t>
      </w:r>
      <w:r w:rsidR="0022310C" w:rsidRPr="00895D38">
        <w:t xml:space="preserve"> fixed exchange rates </w:t>
      </w:r>
      <w:r w:rsidR="004E689C" w:rsidRPr="00895D38">
        <w:t>imply</w:t>
      </w:r>
      <w:r w:rsidR="0027671E" w:rsidRPr="00895D38">
        <w:t xml:space="preserve"> </w:t>
      </w:r>
      <w:r w:rsidR="004E689C" w:rsidRPr="00895D38">
        <w:t xml:space="preserve">less </w:t>
      </w:r>
      <w:r w:rsidR="0027671E" w:rsidRPr="00895D38">
        <w:t xml:space="preserve">turnover </w:t>
      </w:r>
      <w:r w:rsidR="0037374F">
        <w:t xml:space="preserve">mostly </w:t>
      </w:r>
      <w:r w:rsidR="0027671E" w:rsidRPr="00895D38">
        <w:t>when the head of state and head of government are the same</w:t>
      </w:r>
      <w:r w:rsidR="0091081F">
        <w:t xml:space="preserve">. </w:t>
      </w:r>
      <w:r w:rsidR="00D54089">
        <w:t>In support of power accountability, t</w:t>
      </w:r>
      <w:r w:rsidR="0091081F">
        <w:t>his better explains head of state turnover effects as being driven by system</w:t>
      </w:r>
      <w:r w:rsidR="00D54089">
        <w:t xml:space="preserve">s where the head of state </w:t>
      </w:r>
      <w:r w:rsidR="00A34CBB">
        <w:t>has</w:t>
      </w:r>
      <w:r w:rsidR="00EB5624">
        <w:t xml:space="preserve"> policy responsibility. It may also perhaps hint at stronger feedback mechanisms</w:t>
      </w:r>
      <w:r w:rsidR="009D241B" w:rsidRPr="00895D38">
        <w:t xml:space="preserve"> in </w:t>
      </w:r>
      <w:r w:rsidR="00EB5624">
        <w:t>presidential systems, which tend to more frequently combine the head of state and head of government positions</w:t>
      </w:r>
      <w:r w:rsidR="0027671E" w:rsidRPr="00895D38">
        <w:t>.</w:t>
      </w:r>
      <w:r w:rsidR="00202B29" w:rsidRPr="00895D38">
        <w:t xml:space="preserve"> </w:t>
      </w:r>
    </w:p>
    <w:p w14:paraId="432F6373" w14:textId="0BA2A26C" w:rsidR="000B5D26" w:rsidRDefault="00A62B18" w:rsidP="005F7BDB">
      <w:r>
        <w:t xml:space="preserve">It is also possible to use the </w:t>
      </w:r>
      <w:r w:rsidR="003E5F55">
        <w:t>tertiary</w:t>
      </w:r>
      <w:r>
        <w:t xml:space="preserve"> education </w:t>
      </w:r>
      <w:r w:rsidR="003E5F55">
        <w:t>instrumental</w:t>
      </w:r>
      <w:r>
        <w:t xml:space="preserve"> </w:t>
      </w:r>
      <w:r w:rsidR="003E5F55">
        <w:t>variable</w:t>
      </w:r>
      <w:r>
        <w:t xml:space="preserve"> on a split sample based on whether the head of state is the same </w:t>
      </w:r>
      <w:r w:rsidR="003E5F55">
        <w:t>as the head of government.</w:t>
      </w:r>
      <w:r w:rsidR="003E5F55">
        <w:rPr>
          <w:rStyle w:val="FootnoteReference"/>
        </w:rPr>
        <w:footnoteReference w:id="16"/>
      </w:r>
      <w:r w:rsidR="00B0451F">
        <w:t xml:space="preserve"> A impact of de jure CBI </w:t>
      </w:r>
      <w:r w:rsidR="009253C2">
        <w:t xml:space="preserve">on head of state turnover </w:t>
      </w:r>
      <w:r w:rsidR="00B0451F">
        <w:t xml:space="preserve">appears clearly </w:t>
      </w:r>
      <w:r w:rsidR="000B5D26">
        <w:t xml:space="preserve">only </w:t>
      </w:r>
      <w:r w:rsidR="00B0451F">
        <w:t>when the head of state and head of government are the same individual</w:t>
      </w:r>
      <w:r w:rsidR="009253C2">
        <w:t xml:space="preserve"> not. However, the ability of fixed rates to </w:t>
      </w:r>
      <w:r w:rsidR="00A40ED9">
        <w:t>increase of head of state turnover only applies when the head of state and head of government are not the same individual.</w:t>
      </w:r>
      <w:r w:rsidR="000B5D26">
        <w:t xml:space="preserve"> De jure CBI fits the role expected in terms of when head of state changes should appear, while fixed rates do not. Other regressions concerning de facto CBI are not significant in any cases.</w:t>
      </w:r>
    </w:p>
    <w:p w14:paraId="22F3FA85" w14:textId="54A93A17" w:rsidR="00825FCA" w:rsidRDefault="005B3D0F" w:rsidP="005F7BDB">
      <w:r>
        <w:lastRenderedPageBreak/>
        <w:t>Further analysis of the relevance of the head of state versus head of government is possible with lags and interaction terms with the HOS = HOG variable.</w:t>
      </w:r>
      <w:r w:rsidR="00C81075">
        <w:t xml:space="preserve"> In a linear model, de jure CBI </w:t>
      </w:r>
      <w:r w:rsidR="00CD4028">
        <w:t xml:space="preserve">with the two as different </w:t>
      </w:r>
      <w:r w:rsidR="000B5D26">
        <w:t>individuals</w:t>
      </w:r>
      <w:r w:rsidR="00CD4028">
        <w:t xml:space="preserve"> </w:t>
      </w:r>
      <w:r w:rsidR="00C81075">
        <w:t xml:space="preserve">is significant for head of government </w:t>
      </w:r>
      <w:r w:rsidR="00CD4028">
        <w:t xml:space="preserve">only </w:t>
      </w:r>
      <w:r w:rsidR="00C81075">
        <w:t>with a 10 year lag</w:t>
      </w:r>
      <w:r w:rsidR="00CD4028">
        <w:t>.</w:t>
      </w:r>
      <w:r w:rsidR="003C0B59">
        <w:t xml:space="preserve"> However, when the head of state and head of government are the same, the long term impacts of a reduction </w:t>
      </w:r>
      <w:r w:rsidR="006B1503">
        <w:t>in turnover (8 and 10 year lag) and increase in turnover (9 year lag) are clear for both the head of government and head of state positions.</w:t>
      </w:r>
      <w:r w:rsidR="000B5D26">
        <w:t xml:space="preserve"> This is performance exactly in line with theoretical predictions. In other cases, however, such as the examination of a 9-year lag for de facto CBI, there is only a reduction in head of government turnover even if the head of state and head of government are the same individual. </w:t>
      </w:r>
      <w:r w:rsidR="00825FCA">
        <w:t>No effects can be found for fixed rates.</w:t>
      </w:r>
      <w:r w:rsidR="000B5D26">
        <w:t xml:space="preserve"> </w:t>
      </w:r>
    </w:p>
    <w:p w14:paraId="0A3BC5CE" w14:textId="0A75B250" w:rsidR="003F0412" w:rsidRDefault="003A4597" w:rsidP="005F7BDB">
      <w:r>
        <w:t xml:space="preserve">In an ordinal logit model, largely the same phenomenon occurs. </w:t>
      </w:r>
      <w:r w:rsidRPr="002A681A">
        <w:rPr>
          <w:strike/>
        </w:rPr>
        <w:t xml:space="preserve">De jure CBI </w:t>
      </w:r>
      <w:r w:rsidR="00B54340" w:rsidRPr="002A681A">
        <w:rPr>
          <w:strike/>
        </w:rPr>
        <w:t>by itself has weak effects on mostly the head of government through occasionally head of state position around 8 and 10 year lags. (increases in instability).</w:t>
      </w:r>
      <w:r w:rsidR="00E05531" w:rsidRPr="002A681A">
        <w:rPr>
          <w:strike/>
        </w:rPr>
        <w:t xml:space="preserve"> When the head of state and head of </w:t>
      </w:r>
      <w:proofErr w:type="spellStart"/>
      <w:r w:rsidR="00E05531" w:rsidRPr="002A681A">
        <w:rPr>
          <w:strike/>
        </w:rPr>
        <w:t>govenrmetn</w:t>
      </w:r>
      <w:proofErr w:type="spellEnd"/>
      <w:r w:rsidR="00E05531" w:rsidRPr="002A681A">
        <w:rPr>
          <w:strike/>
        </w:rPr>
        <w:t xml:space="preserve"> are the same the</w:t>
      </w:r>
      <w:r w:rsidR="002D5ED7" w:rsidRPr="002A681A">
        <w:rPr>
          <w:strike/>
        </w:rPr>
        <w:t xml:space="preserve">re is a large effect for both, with de jure </w:t>
      </w:r>
      <w:r w:rsidR="002D5ED7" w:rsidRPr="00A00AE5">
        <w:rPr>
          <w:strike/>
        </w:rPr>
        <w:t xml:space="preserve">CBI reducing turnover at </w:t>
      </w:r>
      <w:r w:rsidR="000E3F1E" w:rsidRPr="00A00AE5">
        <w:rPr>
          <w:strike/>
        </w:rPr>
        <w:t>an 8-year lag, increasing at a 9-year lag, and decreasing it at a 10-year lag.</w:t>
      </w:r>
      <w:r w:rsidR="00217EE6" w:rsidRPr="00A00AE5">
        <w:rPr>
          <w:strike/>
        </w:rPr>
        <w:t xml:space="preserve"> </w:t>
      </w:r>
      <w:r w:rsidR="006A1FE4" w:rsidRPr="00A00AE5">
        <w:rPr>
          <w:strike/>
        </w:rPr>
        <w:t>A similar phenomenon occurs for a reduction in turnover for head of government and head of state with a 9-year lag for de facto CBI when they are the same individual.</w:t>
      </w:r>
      <w:r w:rsidR="00A00AE5">
        <w:t xml:space="preserve"> In </w:t>
      </w:r>
      <w:r w:rsidR="00A00AE5" w:rsidRPr="002A681A">
        <w:t>the de facto CBI ordinal logit model, an impact for fixed rates in terms of reducing turnover comes</w:t>
      </w:r>
      <w:r w:rsidR="00A00AE5">
        <w:t xml:space="preserve"> for head of government only</w:t>
      </w:r>
      <w:r w:rsidR="00A00AE5" w:rsidRPr="002A681A">
        <w:t xml:space="preserve"> when the head of state and head of government are the same instantaneously.</w:t>
      </w:r>
      <w:r w:rsidR="00A00AE5">
        <w:t xml:space="preserve"> Overall, for both linear and ordinal logit models, barring a few scattered cases,</w:t>
      </w:r>
      <w:r w:rsidR="00A00AE5" w:rsidRPr="00A00AE5">
        <w:t xml:space="preserve"> </w:t>
      </w:r>
      <w:r w:rsidR="00A00AE5">
        <w:t>evidence suggests that indeed many head of state effects are carried over from instances where the head of state and government are the same individual.</w:t>
      </w:r>
    </w:p>
    <w:p w14:paraId="5B74062E" w14:textId="469A3323" w:rsidR="0081172D" w:rsidRDefault="00202B29" w:rsidP="005F7BDB">
      <w:r w:rsidRPr="00895D38">
        <w:t xml:space="preserve">Table </w:t>
      </w:r>
      <w:r w:rsidR="00C75D55" w:rsidRPr="00895D38">
        <w:t>A2</w:t>
      </w:r>
      <w:r w:rsidR="0026261B" w:rsidRPr="00895D38">
        <w:t>1</w:t>
      </w:r>
      <w:r w:rsidRPr="00895D38">
        <w:t xml:space="preserve"> examines effects on lower house turnover based on whether the lower chamber legislates in practice.</w:t>
      </w:r>
      <w:r w:rsidR="00345A3B" w:rsidRPr="00895D38">
        <w:t xml:space="preserve"> Most effects are not significant, but </w:t>
      </w:r>
      <w:r w:rsidR="00A4766B" w:rsidRPr="00895D38">
        <w:t xml:space="preserve">in </w:t>
      </w:r>
      <w:r w:rsidR="00A34CBB">
        <w:t>a</w:t>
      </w:r>
      <w:r w:rsidR="00A4766B" w:rsidRPr="00895D38">
        <w:t xml:space="preserve"> strange turn of events, relation between de facto CBI an</w:t>
      </w:r>
      <w:r w:rsidR="009151F5" w:rsidRPr="00895D38">
        <w:t xml:space="preserve">d lower </w:t>
      </w:r>
      <w:r w:rsidR="004B6B8C" w:rsidRPr="00895D38">
        <w:t xml:space="preserve">chamber </w:t>
      </w:r>
      <w:r w:rsidR="009151F5" w:rsidRPr="00895D38">
        <w:t xml:space="preserve">turnover occurs mostly with lower legislative efficacy, perhaps some product of </w:t>
      </w:r>
      <w:r w:rsidR="008D4A88" w:rsidRPr="00895D38">
        <w:t>stable, long-term career positions.</w:t>
      </w:r>
    </w:p>
    <w:p w14:paraId="24A88F85" w14:textId="41A5B8CF" w:rsidR="008D67F4" w:rsidRDefault="008D67F4" w:rsidP="005F7BDB">
      <w:r>
        <w:t xml:space="preserve">In a </w:t>
      </w:r>
      <w:r w:rsidR="00626273">
        <w:t>linear</w:t>
      </w:r>
      <w:r>
        <w:t xml:space="preserve"> model with lags and interaction terms</w:t>
      </w:r>
      <w:r w:rsidR="00CF35AC">
        <w:t>, the effect of de jure CBI in terms of increasing lower house turnover (</w:t>
      </w:r>
      <w:r w:rsidR="003F0412">
        <w:t>instantaneously</w:t>
      </w:r>
      <w:r w:rsidR="00CF35AC">
        <w:t>) is reduced when the lower house has more authority in practice.</w:t>
      </w:r>
      <w:r w:rsidR="00626273">
        <w:t xml:space="preserve"> This is </w:t>
      </w:r>
      <w:r w:rsidR="003F0412">
        <w:t>even though</w:t>
      </w:r>
      <w:r w:rsidR="00626273">
        <w:t xml:space="preserve"> legislative efficacy somewhat increases lower house turnover.</w:t>
      </w:r>
      <w:r w:rsidR="00122EBC">
        <w:t xml:space="preserve"> With a 6-year lag, de j</w:t>
      </w:r>
      <w:r w:rsidR="003F0412">
        <w:t>ur</w:t>
      </w:r>
      <w:r w:rsidR="00122EBC">
        <w:t xml:space="preserve">e CBI by itself decreases lower house turnover, but </w:t>
      </w:r>
      <w:r w:rsidR="00DC341B">
        <w:t>when the lower house is more effective, the effect is reversed and there is a somewhat of an increase.</w:t>
      </w:r>
      <w:r w:rsidR="007405B4">
        <w:t xml:space="preserve"> </w:t>
      </w:r>
      <w:r w:rsidR="003F0412">
        <w:t>Legislative</w:t>
      </w:r>
      <w:r w:rsidR="007405B4">
        <w:t xml:space="preserve"> efficacy does not appear to </w:t>
      </w:r>
      <w:r w:rsidR="001B0CA2">
        <w:t>influence</w:t>
      </w:r>
      <w:r w:rsidR="007405B4">
        <w:t xml:space="preserve"> the extent to which </w:t>
      </w:r>
      <w:r w:rsidR="00F87889">
        <w:t xml:space="preserve">de facto CBI and fixed rates </w:t>
      </w:r>
      <w:r w:rsidR="00176D74">
        <w:t>affect lower house turnover.</w:t>
      </w:r>
    </w:p>
    <w:p w14:paraId="688168BA" w14:textId="2CD18B2A" w:rsidR="00176D74" w:rsidRDefault="00176D74" w:rsidP="005F7BDB">
      <w:r>
        <w:t>Finally, in an ordinal logit model _________.</w:t>
      </w:r>
      <w:r w:rsidR="000A4E9E">
        <w:t xml:space="preserve"> De jure CBI instantaneously increases lower house turnover, as does legislative efficacy, but the interaction term reduces this effect.</w:t>
      </w:r>
      <w:r w:rsidR="00AB28D6">
        <w:t xml:space="preserve"> After the 6-year lag, de jure CBI reduces lower house turnover, but the legislative efficacy interaction term almost completely nullifies this effect.</w:t>
      </w:r>
      <w:r w:rsidR="00333860">
        <w:t xml:space="preserve"> De facto CBI instantaneously reduces lower house turnover</w:t>
      </w:r>
      <w:r w:rsidR="00634F62">
        <w:t xml:space="preserve"> with lower or no legislative efficacy. The same applies with a 2-year and </w:t>
      </w:r>
      <w:r w:rsidR="00395BA0">
        <w:t xml:space="preserve">9-year lag, with the opposite sign for a 5-year lag. As legislative efficacy increases, however, it nullifies the impact of the </w:t>
      </w:r>
      <w:r w:rsidR="00162DC9">
        <w:t>5-year lag, and introduces an effect of lower turnover for a 10-year lag and higher turnover for an 8-year lag. The impact of fixed rates does not appear significant and is not affected by legislative efficacy.</w:t>
      </w:r>
    </w:p>
    <w:p w14:paraId="120D4D23" w14:textId="69EBFC3B" w:rsidR="001B0CA2" w:rsidRDefault="001B0CA2" w:rsidP="005F7BDB">
      <w:r>
        <w:t xml:space="preserve">Overall findings are unexpected, as if anything, a lower house with power in practice sees the same or less turnover effects from commitment institutions. It could be the case that lower houses have monetary authority when the central bank does not (there is a correlation between dependent central banks and lower house power in practice). Such a system was in place in the United Kingdom when the </w:t>
      </w:r>
      <w:r>
        <w:lastRenderedPageBreak/>
        <w:t>prime minister and government (effectively representing the House of Commons in elections) controlled monetary policy prior to significant gains in the Bank of England’s independence in the 1990s.  This would explain the smaller of lack of impact for de jure CBI on turnover: legal central bank independence did not matter in the presence of an empowered parliament.</w:t>
      </w:r>
    </w:p>
    <w:p w14:paraId="28CE7BA3" w14:textId="1191E4F8" w:rsidR="003D050C" w:rsidRDefault="003D050C" w:rsidP="003D050C">
      <w:pPr>
        <w:pStyle w:val="Heading1"/>
      </w:pPr>
      <w:bookmarkStart w:id="0" w:name="_Hlk30424277"/>
      <w:r w:rsidRPr="008B421B">
        <w:t>Conclusion</w:t>
      </w:r>
    </w:p>
    <w:p w14:paraId="01413074" w14:textId="1C94681A" w:rsidR="00D07A14" w:rsidRPr="006D1640" w:rsidRDefault="00D07A14" w:rsidP="00F16287">
      <w:r w:rsidRPr="00F12011">
        <w:t xml:space="preserve">To summarize results broadly, both styles of commitment institutions </w:t>
      </w:r>
      <w:r w:rsidR="00475E98" w:rsidRPr="00F12011">
        <w:t>tend</w:t>
      </w:r>
      <w:r w:rsidRPr="00F12011">
        <w:t xml:space="preserve"> to suggest political business cycle style mechanisms. Their </w:t>
      </w:r>
      <w:r w:rsidRPr="00504057">
        <w:t>implementation imposes electoral costs on incumbents. De jure Central Bank Independence appears to decrease electoral and political stability. This result</w:t>
      </w:r>
      <w:r w:rsidR="00B7449B" w:rsidRPr="00504057">
        <w:t xml:space="preserve"> is</w:t>
      </w:r>
      <w:r w:rsidRPr="00504057">
        <w:t xml:space="preserve"> stronger in the political case and may suggest that de </w:t>
      </w:r>
      <w:r w:rsidRPr="006D1640">
        <w:t>jure independence reduces the capacity of incumbents to control the economy and run some sort of political business cycle. De facto CBI tends to be related to less electoral turnover in both fixed effects and lag models, but the instrumental variables results are insignificant</w:t>
      </w:r>
      <w:r w:rsidR="00882F74" w:rsidRPr="006D1640">
        <w:t>; it may weakly follow the pattern of welfare effects, perhaps driven by actual positive consequences from low inflation.</w:t>
      </w:r>
      <w:r w:rsidRPr="006D1640">
        <w:t xml:space="preserve"> In panel fixed effects and logit models, fixed exchange rates appeared to reduce electoral instability (</w:t>
      </w:r>
      <w:r w:rsidR="002B635B" w:rsidRPr="006D1640">
        <w:t>welfare</w:t>
      </w:r>
      <w:r w:rsidRPr="006D1640">
        <w:t xml:space="preserve"> effect) but decrease political stability. But in more endogeneity-robust instrumental variables and lag specifications, if anything, fixed rates </w:t>
      </w:r>
      <w:r w:rsidR="006D1640" w:rsidRPr="006D1640">
        <w:t xml:space="preserve">may </w:t>
      </w:r>
      <w:r w:rsidRPr="006D1640">
        <w:t xml:space="preserve">increase all forms of instability, again suggesting political business cycle behavior. The varied findings for fixed rates based on IV specification and linear or ordinal assumptions </w:t>
      </w:r>
      <w:r w:rsidR="00366625" w:rsidRPr="006D1640">
        <w:t xml:space="preserve">to some degree </w:t>
      </w:r>
      <w:r w:rsidRPr="006D1640">
        <w:t>cast doubt on this impact.</w:t>
      </w:r>
    </w:p>
    <w:p w14:paraId="77D55090" w14:textId="272093D5" w:rsidR="00DD3406" w:rsidRDefault="0064506E" w:rsidP="00F16287">
      <w:r w:rsidRPr="00E30ABC">
        <w:t>The fruits of the inclusion of endogeneity-robust methods</w:t>
      </w:r>
      <w:r w:rsidR="001F10AC" w:rsidRPr="00E30ABC">
        <w:t xml:space="preserve"> and a larger sample</w:t>
      </w:r>
      <w:r w:rsidRPr="00E30ABC">
        <w:t xml:space="preserve"> in my work lead to conclusions different from the literature.</w:t>
      </w:r>
      <w:r w:rsidR="00303041" w:rsidRPr="00E30ABC">
        <w:t xml:space="preserve"> I do not concur with OLS findings that both fixed exchange rates and central bank independence </w:t>
      </w:r>
      <w:r w:rsidR="004661B8" w:rsidRPr="00E30ABC">
        <w:t xml:space="preserve">increase the survival of </w:t>
      </w:r>
      <w:r w:rsidR="00466E75" w:rsidRPr="00E30ABC">
        <w:t>cabinets</w:t>
      </w:r>
      <w:r w:rsidR="00BF10E7" w:rsidRPr="00E30ABC">
        <w:t xml:space="preserve">, although I have to some degree reproduced the OLS </w:t>
      </w:r>
      <w:r w:rsidR="00ED1A8E" w:rsidRPr="00E30ABC">
        <w:t>result</w:t>
      </w:r>
      <w:r w:rsidR="00BF10E7" w:rsidRPr="00E30ABC">
        <w:t xml:space="preserve"> for fixed rates </w:t>
      </w:r>
      <w:r w:rsidR="00ED1A8E" w:rsidRPr="00E30ABC">
        <w:fldChar w:fldCharType="begin"/>
      </w:r>
      <w:r w:rsidR="007B01F4">
        <w:instrText xml:space="preserve"> ADDIN ZOTERO_ITEM CSL_CITATION {"citationID":"2Bk2igzF","properties":{"formattedCitation":"(Bernhard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ED1A8E" w:rsidRPr="00E30ABC">
        <w:fldChar w:fldCharType="separate"/>
      </w:r>
      <w:r w:rsidR="00ED1A8E" w:rsidRPr="00E30ABC">
        <w:rPr>
          <w:rFonts w:ascii="Calibri" w:hAnsi="Calibri" w:cs="Calibri"/>
        </w:rPr>
        <w:t>(Bernhard and Leblang 2002)</w:t>
      </w:r>
      <w:r w:rsidR="00ED1A8E" w:rsidRPr="00E30ABC">
        <w:fldChar w:fldCharType="end"/>
      </w:r>
      <w:r w:rsidR="00BF10E7" w:rsidRPr="00E30ABC">
        <w:t>.</w:t>
      </w:r>
      <w:r w:rsidR="00C47A0C" w:rsidRPr="00E30ABC">
        <w:t xml:space="preserve"> </w:t>
      </w:r>
      <w:r w:rsidR="004661B8" w:rsidRPr="00E30ABC">
        <w:t>I agree that</w:t>
      </w:r>
      <w:r w:rsidR="002A3BAE" w:rsidRPr="00E30ABC">
        <w:t xml:space="preserve"> de jure</w:t>
      </w:r>
      <w:r w:rsidR="004661B8" w:rsidRPr="00E30ABC">
        <w:t xml:space="preserve"> central bank independence may harm the survival of incumbents</w:t>
      </w:r>
      <w:r w:rsidR="00466E75" w:rsidRPr="00E30ABC">
        <w:t>, but add the observation that this is mostly clear</w:t>
      </w:r>
      <w:r w:rsidR="002A3BAE" w:rsidRPr="00E30ABC">
        <w:t xml:space="preserve"> when considering political rather than electoral stability previously studied</w:t>
      </w:r>
      <w:r w:rsidR="001F10AC" w:rsidRPr="00E30ABC">
        <w:t xml:space="preserve"> and that the relationship may be insignificant or the opposite for de facto </w:t>
      </w:r>
      <w:r w:rsidR="00EA6F40" w:rsidRPr="00E30ABC">
        <w:t>independence</w:t>
      </w:r>
      <w:r w:rsidR="009B725E" w:rsidRPr="00E30ABC">
        <w:t xml:space="preserve"> </w:t>
      </w:r>
      <w:r w:rsidR="00C47A0C" w:rsidRPr="00E30ABC">
        <w:fldChar w:fldCharType="begin"/>
      </w:r>
      <w:r w:rsidR="007B01F4">
        <w:instrText xml:space="preserve"> ADDIN ZOTERO_ITEM CSL_CITATION {"citationID":"rnXLbwhE","properties":{"formattedCitation":"(William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C47A0C" w:rsidRPr="00E30ABC">
        <w:fldChar w:fldCharType="separate"/>
      </w:r>
      <w:r w:rsidR="009B725E" w:rsidRPr="00E30ABC">
        <w:rPr>
          <w:rFonts w:ascii="Calibri" w:hAnsi="Calibri" w:cs="Calibri"/>
        </w:rPr>
        <w:t>(William R. Clark, Golder, and Poast 2013)</w:t>
      </w:r>
      <w:r w:rsidR="00C47A0C" w:rsidRPr="00E30ABC">
        <w:fldChar w:fldCharType="end"/>
      </w:r>
      <w:r w:rsidR="009B725E" w:rsidRPr="00E30ABC">
        <w:t>.</w:t>
      </w:r>
      <w:r w:rsidR="00A27755" w:rsidRPr="00E30ABC">
        <w:t xml:space="preserve"> </w:t>
      </w:r>
      <w:r w:rsidR="000430F9" w:rsidRPr="00E30ABC">
        <w:t>After accounting for the potential for endogeneity, I do not agree with survival benefits of fixed exchange rate regimes</w:t>
      </w:r>
      <w:r w:rsidR="00543208" w:rsidRPr="00E30ABC">
        <w:t xml:space="preserve"> and find </w:t>
      </w:r>
      <w:r w:rsidR="00A27755" w:rsidRPr="00E30ABC">
        <w:t xml:space="preserve">some </w:t>
      </w:r>
      <w:r w:rsidR="00543208" w:rsidRPr="00E30ABC">
        <w:t>political stability results to the contrary.</w:t>
      </w:r>
      <w:r w:rsidR="00493ED8" w:rsidRPr="00E30ABC">
        <w:t xml:space="preserve"> </w:t>
      </w:r>
      <w:r w:rsidR="00DD3406" w:rsidRPr="00E30ABC">
        <w:t xml:space="preserve">On the other hand, all </w:t>
      </w:r>
      <w:r w:rsidR="00302863" w:rsidRPr="00E30ABC">
        <w:t>previous works appear to have considered something akin to my head of government turnover variable</w:t>
      </w:r>
      <w:r w:rsidR="00B97FEC" w:rsidRPr="00E30ABC">
        <w:t xml:space="preserve"> in their focus on cabinet and executive survival, and I found few significant results with this variable specifically.</w:t>
      </w:r>
      <w:r w:rsidR="00493ED8" w:rsidRPr="00E30ABC">
        <w:t xml:space="preserve"> These works also focused on democracies, and although I have not </w:t>
      </w:r>
      <w:r w:rsidR="002B635B" w:rsidRPr="00E30ABC">
        <w:t xml:space="preserve">yet </w:t>
      </w:r>
      <w:r w:rsidR="00493ED8" w:rsidRPr="00E30ABC">
        <w:t xml:space="preserve">found </w:t>
      </w:r>
      <w:r w:rsidR="002B635B" w:rsidRPr="00E30ABC">
        <w:t xml:space="preserve">differences in panel models </w:t>
      </w:r>
      <w:r w:rsidR="00095D96">
        <w:t>for democracies and autocracies</w:t>
      </w:r>
      <w:r w:rsidR="002B635B" w:rsidRPr="00E30ABC">
        <w:t>, endogeneity robust methods should be employed.</w:t>
      </w:r>
    </w:p>
    <w:p w14:paraId="76FA1D63" w14:textId="449BB100" w:rsidR="003C5C4C" w:rsidRDefault="00A11614" w:rsidP="009D1522">
      <w:pPr>
        <w:rPr>
          <w:lang w:val="en-GB"/>
        </w:rPr>
      </w:pPr>
      <w:r>
        <w:rPr>
          <w:lang w:val="en-GB"/>
        </w:rPr>
        <w:t xml:space="preserve">The </w:t>
      </w:r>
      <w:r w:rsidR="00BA2FD1">
        <w:rPr>
          <w:lang w:val="en-GB"/>
        </w:rPr>
        <w:t xml:space="preserve">consideration of any </w:t>
      </w:r>
      <w:r w:rsidR="00477C82">
        <w:rPr>
          <w:lang w:val="en-GB"/>
        </w:rPr>
        <w:t>destabilizing</w:t>
      </w:r>
      <w:r w:rsidR="00BA2FD1">
        <w:rPr>
          <w:lang w:val="en-GB"/>
        </w:rPr>
        <w:t xml:space="preserve"> effects of </w:t>
      </w:r>
      <w:r w:rsidR="00FD021C">
        <w:rPr>
          <w:lang w:val="en-GB"/>
        </w:rPr>
        <w:t>limiting regimes</w:t>
      </w:r>
      <w:r w:rsidR="00BA2FD1">
        <w:rPr>
          <w:lang w:val="en-GB"/>
        </w:rPr>
        <w:t xml:space="preserve"> </w:t>
      </w:r>
      <w:r w:rsidR="00DE17FC">
        <w:rPr>
          <w:lang w:val="en-GB"/>
        </w:rPr>
        <w:t>may add a</w:t>
      </w:r>
      <w:r w:rsidR="00FD021C">
        <w:rPr>
          <w:lang w:val="en-GB"/>
        </w:rPr>
        <w:t xml:space="preserve"> new dimension to any normative debates over their adoption.</w:t>
      </w:r>
      <w:r w:rsidR="000009B8">
        <w:rPr>
          <w:lang w:val="en-GB"/>
        </w:rPr>
        <w:t xml:space="preserve"> </w:t>
      </w:r>
      <w:r w:rsidR="00706380">
        <w:rPr>
          <w:lang w:val="en-GB"/>
        </w:rPr>
        <w:t xml:space="preserve">As evidenced by </w:t>
      </w:r>
      <w:r w:rsidR="00CB213F">
        <w:rPr>
          <w:lang w:val="en-GB"/>
        </w:rPr>
        <w:t xml:space="preserve">occasional debate over issues such as term limits for politicians, opinions on </w:t>
      </w:r>
      <w:r w:rsidR="000009B8" w:rsidRPr="00E30ABC">
        <w:rPr>
          <w:lang w:val="en-GB"/>
        </w:rPr>
        <w:t>optimal lengths in office vary</w:t>
      </w:r>
      <w:r w:rsidR="00EF12D2" w:rsidRPr="00E30ABC">
        <w:rPr>
          <w:lang w:val="en-GB"/>
        </w:rPr>
        <w:t xml:space="preserve"> </w:t>
      </w:r>
      <w:r w:rsidR="006368D6">
        <w:rPr>
          <w:lang w:val="en-GB"/>
        </w:rPr>
        <w:fldChar w:fldCharType="begin"/>
      </w:r>
      <w:r w:rsidR="006368D6">
        <w:rPr>
          <w:lang w:val="en-GB"/>
        </w:rPr>
        <w:instrText xml:space="preserve"> ADDIN ZOTERO_ITEM CSL_CITATION {"citationID":"KWEXAFaN","properties":{"formattedCitation":"(Greenberg 1994)","plainCitation":"(Greenberg 1994)","noteIndex":0},"citationItems":[{"id":248,"uris":["http://zotero.org/users/5939705/items/MTRHYZCC"],"uri":["http://zotero.org/users/5939705/items/MTRHYZCC"],"itemData":{"id":248,"type":"webpage","abstract":"INTRODUCTION","container-title":"The Heritage Foundation","language":"en","title":"Term Limits: The Only Way to Clean Up Congress","title-short":"Term Limits","URL":"https://www.heritage.org/political-process/report/term-limits-the-only-way-clean-congress","author":[{"family":"Greenberg","given":"Dan"}],"accessed":{"date-parts":[["2020",1,7]]},"issued":{"date-parts":[["1994",8,10]]}}}],"schema":"https://github.com/citation-style-language/schema/raw/master/csl-citation.json"} </w:instrText>
      </w:r>
      <w:r w:rsidR="006368D6">
        <w:rPr>
          <w:lang w:val="en-GB"/>
        </w:rPr>
        <w:fldChar w:fldCharType="separate"/>
      </w:r>
      <w:r w:rsidR="006368D6" w:rsidRPr="006368D6">
        <w:rPr>
          <w:rFonts w:ascii="Calibri" w:hAnsi="Calibri" w:cs="Calibri"/>
        </w:rPr>
        <w:t>(Greenberg 1994)</w:t>
      </w:r>
      <w:r w:rsidR="006368D6">
        <w:rPr>
          <w:lang w:val="en-GB"/>
        </w:rPr>
        <w:fldChar w:fldCharType="end"/>
      </w:r>
      <w:r w:rsidR="006368D6">
        <w:rPr>
          <w:rFonts w:ascii="Calibri" w:hAnsi="Calibri" w:cs="Calibri"/>
          <w:lang w:val="en-GB"/>
        </w:rPr>
        <w:t>.</w:t>
      </w:r>
      <w:r w:rsidR="00BF7C11" w:rsidRPr="00E30ABC">
        <w:rPr>
          <w:lang w:val="en-GB"/>
        </w:rPr>
        <w:t xml:space="preserve"> </w:t>
      </w:r>
      <w:r w:rsidR="00122A86" w:rsidRPr="00E30ABC">
        <w:rPr>
          <w:lang w:val="en-GB"/>
        </w:rPr>
        <w:t>Within the political economy literature</w:t>
      </w:r>
      <w:r w:rsidR="00624661" w:rsidRPr="00E30ABC">
        <w:rPr>
          <w:lang w:val="en-GB"/>
        </w:rPr>
        <w:t>,</w:t>
      </w:r>
      <w:r w:rsidR="007B6F16" w:rsidRPr="00E30ABC">
        <w:rPr>
          <w:lang w:val="en-GB"/>
        </w:rPr>
        <w:t xml:space="preserve"> </w:t>
      </w:r>
      <w:r w:rsidR="00B12E1E" w:rsidRPr="00E30ABC">
        <w:rPr>
          <w:lang w:val="en-GB"/>
        </w:rPr>
        <w:t>short</w:t>
      </w:r>
      <w:r w:rsidR="00C1489B" w:rsidRPr="00E30ABC">
        <w:rPr>
          <w:lang w:val="en-GB"/>
        </w:rPr>
        <w:t xml:space="preserve"> shadows of the future can have </w:t>
      </w:r>
      <w:r w:rsidR="00B12E1E" w:rsidRPr="00E30ABC">
        <w:rPr>
          <w:lang w:val="en-GB"/>
        </w:rPr>
        <w:t xml:space="preserve">adverse effects on the provision of public goods </w:t>
      </w:r>
      <w:r w:rsidR="00FC58AC" w:rsidRPr="00E30ABC">
        <w:rPr>
          <w:lang w:val="en-GB"/>
        </w:rPr>
        <w:t>and peaceful order</w:t>
      </w:r>
      <w:r w:rsidR="00CE399E" w:rsidRPr="00E30ABC">
        <w:rPr>
          <w:lang w:val="en-GB"/>
        </w:rPr>
        <w:t xml:space="preserve"> </w:t>
      </w:r>
      <w:r w:rsidR="00FC58AC" w:rsidRPr="00E30ABC">
        <w:rPr>
          <w:lang w:val="en-GB"/>
        </w:rPr>
        <w:fldChar w:fldCharType="begin"/>
      </w:r>
      <w:r w:rsidR="007B01F4">
        <w:rPr>
          <w:lang w:val="en-GB"/>
        </w:rPr>
        <w:instrText xml:space="preserve"> ADDIN ZOTERO_ITEM CSL_CITATION {"citationID":"u69dB2sY","properties":{"formattedCitation":"(Olson 1993)","plainCitation":"(Olson 1993)","noteIndex":0},"citationItems":[{"id":247,"uris":["http://zotero.org/users/5939705/items/GUGUJ7T9"],"uri":["http://zotero.org/users/5939705/items/GUGUJ7T9"],"itemData":{"id":247,"type":"article-journal","abstract":"Under anarchy, uncoordinated competitive theft by “roving bandits” destroys the incentive to invest and produce, leaving little for either the population or the bandits. Both can be better off if a bandit sets himself up as a dictator—a “stationary bandit” who monopolizes and rationalizes theft in the form of taxes. A secure autocrat has an encompassing interest in his domain that leads him to provide a peaceful order and other public goods that increase productivity. Whenever an autocrat expects a brief tenure, it pays him to confiscate those assets whose tax yield over his tenure is less than their total value. This incentive plus the inherent uncertainty of succession in dictatorships imply that autocracies will rarely have good economic performance for more than a generation. The conditions necessary for a lasting democracy are the same necessary for the security of property and contract rights that generates economic growth.","container-title":"American Political Science Review","DOI":"10.2307/2938736","ISSN":"0003-0554, 1537-5943","issue":"3","journalAbbreviation":"Am Polit Sci Rev","language":"en","page":"567-576","source":"DOI.org (Crossref)","title":"Dictatorship, Democracy, and Development","volume":"87","author":[{"family":"Olson","given":"Mancur"}],"issued":{"date-parts":[["1993",9]]}}}],"schema":"https://github.com/citation-style-language/schema/raw/master/csl-citation.json"} </w:instrText>
      </w:r>
      <w:r w:rsidR="00FC58AC" w:rsidRPr="00E30ABC">
        <w:rPr>
          <w:lang w:val="en-GB"/>
        </w:rPr>
        <w:fldChar w:fldCharType="separate"/>
      </w:r>
      <w:r w:rsidR="00CE399E" w:rsidRPr="00E30ABC">
        <w:rPr>
          <w:rFonts w:ascii="Calibri" w:hAnsi="Calibri" w:cs="Calibri"/>
        </w:rPr>
        <w:t>(Olson 1993)</w:t>
      </w:r>
      <w:r w:rsidR="00FC58AC" w:rsidRPr="00E30ABC">
        <w:rPr>
          <w:lang w:val="en-GB"/>
        </w:rPr>
        <w:fldChar w:fldCharType="end"/>
      </w:r>
      <w:r w:rsidR="00FC58AC" w:rsidRPr="00E30ABC">
        <w:rPr>
          <w:lang w:val="en-GB"/>
        </w:rPr>
        <w:t xml:space="preserve">. </w:t>
      </w:r>
      <w:r w:rsidR="00BF7C11" w:rsidRPr="00E30ABC">
        <w:rPr>
          <w:lang w:val="en-GB"/>
        </w:rPr>
        <w:t xml:space="preserve">The results </w:t>
      </w:r>
      <w:r w:rsidR="00FC58AC" w:rsidRPr="00E30ABC">
        <w:rPr>
          <w:lang w:val="en-GB"/>
        </w:rPr>
        <w:t xml:space="preserve">of this paper </w:t>
      </w:r>
      <w:r w:rsidR="00BF7C11" w:rsidRPr="00E30ABC">
        <w:rPr>
          <w:lang w:val="en-GB"/>
        </w:rPr>
        <w:t xml:space="preserve">show that the institutions of </w:t>
      </w:r>
      <w:r w:rsidR="007D6936" w:rsidRPr="00E30ABC">
        <w:rPr>
          <w:lang w:val="en-GB"/>
        </w:rPr>
        <w:t>de jure central bank independence and possibl</w:t>
      </w:r>
      <w:r w:rsidR="00B60D09" w:rsidRPr="00E30ABC">
        <w:rPr>
          <w:lang w:val="en-GB"/>
        </w:rPr>
        <w:t>y fixed exchange rates</w:t>
      </w:r>
      <w:r w:rsidR="00BF7C11" w:rsidRPr="00E30ABC">
        <w:rPr>
          <w:lang w:val="en-GB"/>
        </w:rPr>
        <w:t xml:space="preserve"> specifically should be</w:t>
      </w:r>
      <w:r w:rsidR="00EF12D2" w:rsidRPr="00E30ABC">
        <w:rPr>
          <w:lang w:val="en-GB"/>
        </w:rPr>
        <w:t xml:space="preserve"> weighed</w:t>
      </w:r>
      <w:r w:rsidR="009D7FB2" w:rsidRPr="00E30ABC">
        <w:rPr>
          <w:lang w:val="en-GB"/>
        </w:rPr>
        <w:t xml:space="preserve"> </w:t>
      </w:r>
      <w:r w:rsidR="00C1489B" w:rsidRPr="00E30ABC">
        <w:rPr>
          <w:lang w:val="en-GB"/>
        </w:rPr>
        <w:t xml:space="preserve">with respect to these </w:t>
      </w:r>
      <w:r w:rsidR="00624661" w:rsidRPr="00E30ABC">
        <w:rPr>
          <w:lang w:val="en-GB"/>
        </w:rPr>
        <w:t>potential effects</w:t>
      </w:r>
      <w:r w:rsidR="00613ABB" w:rsidRPr="00E30ABC">
        <w:rPr>
          <w:lang w:val="en-GB"/>
        </w:rPr>
        <w:t xml:space="preserve"> through </w:t>
      </w:r>
      <w:r w:rsidR="00D27337">
        <w:rPr>
          <w:lang w:val="en-GB"/>
        </w:rPr>
        <w:t>impacts</w:t>
      </w:r>
      <w:r w:rsidR="00613ABB" w:rsidRPr="00E30ABC">
        <w:rPr>
          <w:lang w:val="en-GB"/>
        </w:rPr>
        <w:t xml:space="preserve"> on times in office</w:t>
      </w:r>
      <w:r w:rsidR="00624661" w:rsidRPr="00E30ABC">
        <w:rPr>
          <w:lang w:val="en-GB"/>
        </w:rPr>
        <w:t>.</w:t>
      </w:r>
      <w:r w:rsidR="00B01EC6" w:rsidRPr="00E30ABC">
        <w:rPr>
          <w:lang w:val="en-GB"/>
        </w:rPr>
        <w:t xml:space="preserve"> Normative revaluations may thus be appropriate.</w:t>
      </w:r>
      <w:r w:rsidR="004D0B74" w:rsidRPr="00E30ABC">
        <w:rPr>
          <w:lang w:val="en-GB"/>
        </w:rPr>
        <w:t xml:space="preserve"> The policy work and recommendations of bodies such as the IMF may need to contend with political incentives regarding the adoption of these institutions.</w:t>
      </w:r>
    </w:p>
    <w:p w14:paraId="3C1D3F56" w14:textId="4973BE1A" w:rsidR="002B4D01" w:rsidRDefault="001E712A" w:rsidP="009D1522">
      <w:pPr>
        <w:rPr>
          <w:lang w:val="en-GB"/>
        </w:rPr>
      </w:pPr>
      <w:r>
        <w:t>Importantly</w:t>
      </w:r>
      <w:r w:rsidR="002B4D01">
        <w:t xml:space="preserve">, the consideration of endogeneity should be adequately considered in future work on the impacts of limiting regimes. </w:t>
      </w:r>
      <w:r w:rsidR="002545FD" w:rsidRPr="00E30ABC">
        <w:t xml:space="preserve">Sign flips and significance changes for fixed exchange rates </w:t>
      </w:r>
      <w:r w:rsidR="005049A9" w:rsidRPr="00E30ABC">
        <w:t>were</w:t>
      </w:r>
      <w:r w:rsidR="002545FD" w:rsidRPr="00E30ABC">
        <w:t xml:space="preserve"> present.</w:t>
      </w:r>
      <w:r w:rsidR="002545FD">
        <w:t xml:space="preserve"> </w:t>
      </w:r>
      <w:r w:rsidR="002B4D01">
        <w:t xml:space="preserve">In </w:t>
      </w:r>
      <w:r w:rsidR="002B4D01">
        <w:lastRenderedPageBreak/>
        <w:t xml:space="preserve">some cases, the careful usage of panel data with adequate fixed effects and measures </w:t>
      </w:r>
      <w:r w:rsidR="00751F1D">
        <w:t>may handle endogeneity</w:t>
      </w:r>
      <w:r w:rsidR="002B4D01">
        <w:t xml:space="preserve">. In other cases, the introduction </w:t>
      </w:r>
      <w:r w:rsidR="002B4D01">
        <w:rPr>
          <w:lang w:val="en-GB"/>
        </w:rPr>
        <w:t>of instruments as in this paper should be helpful.</w:t>
      </w:r>
    </w:p>
    <w:p w14:paraId="74F5D847" w14:textId="77777777" w:rsidR="00821FAD" w:rsidRPr="009F4A94" w:rsidRDefault="00300970" w:rsidP="00375D36">
      <w:pPr>
        <w:rPr>
          <w:highlight w:val="yellow"/>
        </w:rPr>
      </w:pPr>
      <w:r w:rsidRPr="009F4A94">
        <w:rPr>
          <w:highlight w:val="yellow"/>
        </w:rPr>
        <w:t xml:space="preserve">A number of possible future directions for research present themselves. Many of these </w:t>
      </w:r>
      <w:r w:rsidR="008C6157" w:rsidRPr="009F4A94">
        <w:rPr>
          <w:highlight w:val="yellow"/>
        </w:rPr>
        <w:t>could be completed with the same already prepared dataset.</w:t>
      </w:r>
      <w:r w:rsidR="00A03DCD" w:rsidRPr="009F4A94">
        <w:rPr>
          <w:highlight w:val="yellow"/>
        </w:rPr>
        <w:t xml:space="preserve"> </w:t>
      </w:r>
    </w:p>
    <w:p w14:paraId="33A550EB" w14:textId="77777777" w:rsidR="00821FAD" w:rsidRPr="000C553D" w:rsidRDefault="00A03DCD" w:rsidP="00375D36">
      <w:pPr>
        <w:rPr>
          <w:strike/>
          <w:highlight w:val="yellow"/>
        </w:rPr>
      </w:pPr>
      <w:r w:rsidRPr="000C553D">
        <w:rPr>
          <w:strike/>
          <w:highlight w:val="yellow"/>
        </w:rPr>
        <w:t xml:space="preserve">Primarily, more explorations should be completed using the </w:t>
      </w:r>
      <w:r w:rsidR="006D18EE" w:rsidRPr="000C553D">
        <w:rPr>
          <w:strike/>
          <w:highlight w:val="yellow"/>
        </w:rPr>
        <w:t>endogeneity robust</w:t>
      </w:r>
      <w:r w:rsidRPr="000C553D">
        <w:rPr>
          <w:strike/>
          <w:highlight w:val="yellow"/>
        </w:rPr>
        <w:t xml:space="preserve"> IV and</w:t>
      </w:r>
      <w:r w:rsidR="00DD2B70" w:rsidRPr="000C553D">
        <w:rPr>
          <w:strike/>
          <w:highlight w:val="yellow"/>
        </w:rPr>
        <w:t xml:space="preserve"> lagged models,</w:t>
      </w:r>
      <w:r w:rsidR="00293C74" w:rsidRPr="000C553D">
        <w:rPr>
          <w:strike/>
          <w:highlight w:val="yellow"/>
        </w:rPr>
        <w:t xml:space="preserve"> particularly</w:t>
      </w:r>
      <w:r w:rsidR="00DD2B70" w:rsidRPr="000C553D">
        <w:rPr>
          <w:strike/>
          <w:highlight w:val="yellow"/>
        </w:rPr>
        <w:t xml:space="preserve"> given</w:t>
      </w:r>
      <w:r w:rsidR="004E0499" w:rsidRPr="000C553D">
        <w:rPr>
          <w:strike/>
          <w:highlight w:val="yellow"/>
        </w:rPr>
        <w:t xml:space="preserve"> the slight sign reversal of fixed rates</w:t>
      </w:r>
      <w:r w:rsidR="00293C74" w:rsidRPr="000C553D">
        <w:rPr>
          <w:strike/>
          <w:highlight w:val="yellow"/>
        </w:rPr>
        <w:t>.</w:t>
      </w:r>
      <w:r w:rsidR="002B4D01" w:rsidRPr="000C553D">
        <w:rPr>
          <w:strike/>
          <w:highlight w:val="yellow"/>
        </w:rPr>
        <w:t xml:space="preserve"> This should include testing of the null effects of democracy and capital controls</w:t>
      </w:r>
      <w:r w:rsidR="00D27CF4" w:rsidRPr="000C553D">
        <w:rPr>
          <w:strike/>
          <w:highlight w:val="yellow"/>
        </w:rPr>
        <w:t xml:space="preserve"> and potentially more theoretical discussion of predictions in these cases</w:t>
      </w:r>
      <w:r w:rsidR="002B4D01" w:rsidRPr="000C553D">
        <w:rPr>
          <w:strike/>
          <w:highlight w:val="yellow"/>
        </w:rPr>
        <w:t>.</w:t>
      </w:r>
    </w:p>
    <w:p w14:paraId="392021C7" w14:textId="00C07190" w:rsidR="00CD7CCA" w:rsidRDefault="000C553D" w:rsidP="00375D36">
      <w:r>
        <w:rPr>
          <w:highlight w:val="yellow"/>
        </w:rPr>
        <w:t>One</w:t>
      </w:r>
      <w:r w:rsidR="00CD7CCA" w:rsidRPr="009F4A94">
        <w:rPr>
          <w:highlight w:val="yellow"/>
        </w:rPr>
        <w:t xml:space="preserve"> avenue for expanding any regressions with interaction terms</w:t>
      </w:r>
      <w:r w:rsidR="002F73B4" w:rsidRPr="009F4A94">
        <w:rPr>
          <w:highlight w:val="yellow"/>
        </w:rPr>
        <w:t xml:space="preserve"> including</w:t>
      </w:r>
      <w:r w:rsidR="00CD7CCA" w:rsidRPr="009F4A94">
        <w:rPr>
          <w:highlight w:val="yellow"/>
        </w:rPr>
        <w:t xml:space="preserve"> </w:t>
      </w:r>
      <w:r w:rsidR="002F73B4" w:rsidRPr="009F4A94">
        <w:rPr>
          <w:highlight w:val="yellow"/>
        </w:rPr>
        <w:t>those of independence and fixed rates,</w:t>
      </w:r>
      <w:r w:rsidR="00821FAD" w:rsidRPr="009F4A94">
        <w:rPr>
          <w:highlight w:val="yellow"/>
        </w:rPr>
        <w:t xml:space="preserve"> and those involved in</w:t>
      </w:r>
      <w:r w:rsidR="002F73B4" w:rsidRPr="009F4A94">
        <w:rPr>
          <w:highlight w:val="yellow"/>
        </w:rPr>
        <w:t xml:space="preserve"> </w:t>
      </w:r>
      <w:r w:rsidR="00CD7CCA" w:rsidRPr="009F4A94">
        <w:rPr>
          <w:highlight w:val="yellow"/>
        </w:rPr>
        <w:t>the study of democracy, branches of government, and capital controls</w:t>
      </w:r>
      <w:r w:rsidR="004B5D30" w:rsidRPr="009F4A94">
        <w:rPr>
          <w:highlight w:val="yellow"/>
        </w:rPr>
        <w:t xml:space="preserve"> relationships could be</w:t>
      </w:r>
      <w:r w:rsidR="00AE3912">
        <w:rPr>
          <w:highlight w:val="yellow"/>
        </w:rPr>
        <w:t xml:space="preserve"> something approaching</w:t>
      </w:r>
      <w:r w:rsidR="004B5D30" w:rsidRPr="009F4A94">
        <w:rPr>
          <w:highlight w:val="yellow"/>
        </w:rPr>
        <w:t xml:space="preserve"> the simultaneous </w:t>
      </w:r>
      <w:r w:rsidR="00AE3912">
        <w:rPr>
          <w:highlight w:val="yellow"/>
        </w:rPr>
        <w:t>use</w:t>
      </w:r>
      <w:r w:rsidR="004B5D30" w:rsidRPr="009F4A94">
        <w:rPr>
          <w:highlight w:val="yellow"/>
        </w:rPr>
        <w:t xml:space="preserve"> of interaction terms and instrumental variables</w:t>
      </w:r>
      <w:r w:rsidR="00BF5602">
        <w:rPr>
          <w:highlight w:val="yellow"/>
        </w:rPr>
        <w:t xml:space="preserve"> to ensure robustness</w:t>
      </w:r>
      <w:r w:rsidR="004B5D30" w:rsidRPr="009F4A94">
        <w:rPr>
          <w:highlight w:val="yellow"/>
        </w:rPr>
        <w:t>.</w:t>
      </w:r>
    </w:p>
    <w:p w14:paraId="71D15FCD" w14:textId="2B22B162" w:rsidR="00922F8D" w:rsidRDefault="00922F8D" w:rsidP="00375D36">
      <w:pPr>
        <w:rPr>
          <w:highlight w:val="yellow"/>
        </w:rPr>
      </w:pPr>
      <w:r w:rsidRPr="009F4A94">
        <w:rPr>
          <w:highlight w:val="yellow"/>
        </w:rPr>
        <w:t xml:space="preserve">It </w:t>
      </w:r>
      <w:r>
        <w:rPr>
          <w:highlight w:val="yellow"/>
        </w:rPr>
        <w:t xml:space="preserve">also </w:t>
      </w:r>
      <w:r w:rsidRPr="009F4A94">
        <w:rPr>
          <w:highlight w:val="yellow"/>
        </w:rPr>
        <w:t>would be interesting to investigate other advanced estimators as ways to bring the ordinal interpretation of dependent variables to an endogeneity-robust model equivalent, similar to allowing for fixed effects and instrumental variables in an ordinal logit model.</w:t>
      </w:r>
    </w:p>
    <w:p w14:paraId="2D6813D3" w14:textId="6443B2A7" w:rsidR="00BE41C2" w:rsidRPr="00BE41C2" w:rsidRDefault="00BE41C2" w:rsidP="00375D36">
      <w:r w:rsidRPr="00BE41C2">
        <w:rPr>
          <w:highlight w:val="yellow"/>
        </w:rPr>
        <w:t>It might also be interesting to further examine the relevance of Mundell-</w:t>
      </w:r>
      <w:proofErr w:type="spellStart"/>
      <w:r w:rsidRPr="00BE41C2">
        <w:rPr>
          <w:highlight w:val="yellow"/>
        </w:rPr>
        <w:t>Flemming</w:t>
      </w:r>
      <w:proofErr w:type="spellEnd"/>
      <w:r w:rsidRPr="00BE41C2">
        <w:rPr>
          <w:highlight w:val="yellow"/>
        </w:rPr>
        <w:t xml:space="preserve"> trilemma, going beyond the sets of interactions with capital controls considered currently. This would involve a unique design to integrate components of combinations of all three elements of the trilemma (central bank independence (de jure/de facto, fixed exchange rates, and capital account openness), perhaps through complex interaction terms or another regression design. Don’t just assume you must choose two?</w:t>
      </w:r>
    </w:p>
    <w:p w14:paraId="53D41D0C" w14:textId="732778D7" w:rsidR="006E396F" w:rsidRDefault="008D311E" w:rsidP="00BD6E7C">
      <w:r>
        <w:t xml:space="preserve">Greater </w:t>
      </w:r>
      <w:r w:rsidR="00E83BCA">
        <w:t>attention</w:t>
      </w:r>
      <w:r>
        <w:t xml:space="preserve"> should also be given to the treatment of Reinhardt-Rogoff exchange rate regimes as </w:t>
      </w:r>
      <w:r w:rsidR="00E83BCA">
        <w:t xml:space="preserve">a continuous variable in regression. One cut as a binary </w:t>
      </w:r>
      <w:r w:rsidR="001218DE">
        <w:t xml:space="preserve">variable of floating or fixed </w:t>
      </w:r>
      <w:r w:rsidR="00654485">
        <w:t>was presented</w:t>
      </w:r>
      <w:r w:rsidR="001218DE">
        <w:t>, but others should also be tested for significance. It would also be possible to test individual variables for each exchange rate classification category.</w:t>
      </w:r>
    </w:p>
    <w:p w14:paraId="4EF5EF27" w14:textId="129EA2FA" w:rsidR="00BD6E7C" w:rsidRDefault="003D5600" w:rsidP="00BD6E7C">
      <w:r>
        <w:t xml:space="preserve">In the institutional controls regression presented, if there is interest in </w:t>
      </w:r>
      <w:r w:rsidR="007E3061">
        <w:t xml:space="preserve">the actual impact of controls, the </w:t>
      </w:r>
      <w:proofErr w:type="spellStart"/>
      <w:r w:rsidR="007E3061">
        <w:t>the</w:t>
      </w:r>
      <w:proofErr w:type="spellEnd"/>
      <w:r w:rsidR="007E3061">
        <w:t xml:space="preserve"> specification should be adjusted to reduce collinearity. As it stands it remains clear that the controls do not change </w:t>
      </w:r>
      <w:r w:rsidR="00A323DF">
        <w:t xml:space="preserve">coefficients for the key institutional variables. But it may be better not to include </w:t>
      </w:r>
      <w:r w:rsidR="00CA21E1">
        <w:t xml:space="preserve">two indices for federalism, for example, if the size of its effect </w:t>
      </w:r>
      <w:r w:rsidR="0050020E">
        <w:t>should be ascertained.</w:t>
      </w:r>
    </w:p>
    <w:p w14:paraId="4A779021" w14:textId="303D6E58" w:rsidR="00825042" w:rsidRDefault="0050020E" w:rsidP="00BD6E7C">
      <w:r>
        <w:t>Several other advanced methods of analysis were also considered.</w:t>
      </w:r>
      <w:r w:rsidR="00454919">
        <w:t xml:space="preserve"> A robust </w:t>
      </w:r>
      <w:r w:rsidR="00BD6E7C" w:rsidRPr="00F604A9">
        <w:t>Arellano Bond</w:t>
      </w:r>
      <w:r w:rsidR="00454919">
        <w:t xml:space="preserve"> specification or other dynamic panel models </w:t>
      </w:r>
      <w:r w:rsidR="007E297A">
        <w:t>could provide another means to check results beyond lags and instrumental variables.</w:t>
      </w:r>
      <w:r w:rsidR="00FE442A">
        <w:t xml:space="preserve"> Over the full sample and with relevant controls and adjustments for endogeneity it would also be possible to </w:t>
      </w:r>
      <w:r w:rsidR="005E4565">
        <w:t xml:space="preserve">perform another survival analysis for electoral turnover </w:t>
      </w:r>
      <w:r w:rsidR="008C05E8">
        <w:t xml:space="preserve">in the style of Clark, Golder, and </w:t>
      </w:r>
      <w:proofErr w:type="spellStart"/>
      <w:r w:rsidR="008C05E8">
        <w:t>Poast</w:t>
      </w:r>
      <w:proofErr w:type="spellEnd"/>
      <w:r w:rsidR="008C05E8">
        <w:t>.</w:t>
      </w:r>
    </w:p>
    <w:p w14:paraId="6A079A5E" w14:textId="71EBFA22" w:rsidR="00F05AAA" w:rsidRPr="005627F1" w:rsidRDefault="0025153C" w:rsidP="00BD6E7C">
      <w:pPr>
        <w:rPr>
          <w:strike/>
        </w:rPr>
      </w:pPr>
      <w:r>
        <w:t xml:space="preserve">Another possible </w:t>
      </w:r>
      <w:r w:rsidR="00195257">
        <w:t>instrumental variable to predict central bank independence could be the level of financing through foreign aid for monetary institutions.</w:t>
      </w:r>
      <w:r w:rsidR="00937E6D">
        <w:t xml:space="preserve"> This data should be readily available from the OECD, if only for a shortened time span.</w:t>
      </w:r>
      <w:r w:rsidR="00A746D0">
        <w:t xml:space="preserve"> Aid is likely to be another factor influencing the technical capacity of a nation to operate a central bank.</w:t>
      </w:r>
      <w:r w:rsidR="00937E6D">
        <w:t xml:space="preserve"> Foreign aid is likely to be somewhat </w:t>
      </w:r>
      <w:r w:rsidR="00406038">
        <w:t xml:space="preserve">divorced from electoral and also hopefully political circumstances in a country and </w:t>
      </w:r>
      <w:r w:rsidR="00E270D5">
        <w:t xml:space="preserve">not as driven by stability. To further improve the exclusion restriction, attention could be given to multilateral donors, perhaps such as the IMF, which </w:t>
      </w:r>
      <w:r w:rsidR="00A746D0">
        <w:t>supposedly allocate aid on a less political and more impartial bias.</w:t>
      </w:r>
      <w:r w:rsidR="002C1D1A">
        <w:t xml:space="preserve"> </w:t>
      </w:r>
      <w:r w:rsidR="00730C66">
        <w:t xml:space="preserve">For fixed exchange rates, </w:t>
      </w:r>
      <w:r w:rsidR="00730C66">
        <w:lastRenderedPageBreak/>
        <w:t>o</w:t>
      </w:r>
      <w:r w:rsidR="00730C66" w:rsidRPr="00EF069E">
        <w:t>penness to trade may be a</w:t>
      </w:r>
      <w:r w:rsidR="00730C66">
        <w:t xml:space="preserve">nother instrumental variable, with a relationship to </w:t>
      </w:r>
      <w:r w:rsidR="00730C66" w:rsidRPr="00EF069E">
        <w:t>with of land area and status as a landlocked nation</w:t>
      </w:r>
      <w:r w:rsidR="00730C66">
        <w:t>, and problems for the exclusion restriction may not be evident</w:t>
      </w:r>
      <w:r w:rsidR="001251D5">
        <w:t xml:space="preserve">. </w:t>
      </w:r>
      <w:r w:rsidR="00730C66">
        <w:t>Overall, the</w:t>
      </w:r>
      <w:r w:rsidR="002C1D1A">
        <w:t xml:space="preserve"> inclusion of </w:t>
      </w:r>
      <w:r w:rsidR="00730C66">
        <w:t>more</w:t>
      </w:r>
      <w:r w:rsidR="002C1D1A">
        <w:t xml:space="preserve"> instrument</w:t>
      </w:r>
      <w:r w:rsidR="00730C66">
        <w:t>s</w:t>
      </w:r>
      <w:r w:rsidR="002C1D1A">
        <w:t xml:space="preserve"> could also allow for the simultaneous testing of de jure and de facto central bank independence.</w:t>
      </w:r>
      <w:r w:rsidR="005627F1">
        <w:t xml:space="preserve"> </w:t>
      </w:r>
    </w:p>
    <w:p w14:paraId="70D9C1EE" w14:textId="548C43A7" w:rsidR="007220B9" w:rsidRDefault="002F230C" w:rsidP="00BD6E7C">
      <w:r>
        <w:t>A few minor adjustments to methodology were also considered but have not yet been implemented.</w:t>
      </w:r>
      <w:r w:rsidR="003C0AAA">
        <w:t xml:space="preserve"> The applicability of economic voting theory may vary based on whether incumbents are running for reelection or not; original intent was that of excluding cases when incumbents were not up for re-election.</w:t>
      </w:r>
      <w:r w:rsidR="00E02EC0">
        <w:t xml:space="preserve"> Unfortunately, data on this variable did not seem to be available in Varieties of Democracy, but on the other hand the split into different categories of turnover by party and individual with different marginal effects </w:t>
      </w:r>
      <w:r w:rsidR="007220B9">
        <w:t>should be expected to help mitigate this kind of situation.</w:t>
      </w:r>
    </w:p>
    <w:p w14:paraId="67994323" w14:textId="060BF29E" w:rsidR="00D1531E" w:rsidRDefault="00D1531E" w:rsidP="00BD6E7C">
      <w:r>
        <w:t>Previous literature made use of adjustment for endogenous election calling, particularly in parliamentary democracies</w:t>
      </w:r>
      <w:r w:rsidR="00ED2F34">
        <w:t xml:space="preserve"> </w:t>
      </w:r>
      <w:r w:rsidR="00ED2F34">
        <w:fldChar w:fldCharType="begin"/>
      </w:r>
      <w:r w:rsidR="007B01F4">
        <w:instrText xml:space="preserve"> ADDIN ZOTERO_ITEM CSL_CITATION {"citationID":"MV2Z0ijH","properties":{"formattedCitation":"(Bernhard and Leblang 2002; William R. Clark, Golder, and Poast 2013)","plainCitation":"(Bernhard and Leblang 2002; William R. Clark, Golder, and Poast 2013)","noteIndex":0},"citationItems":[{"id":251,"uris":["http://zotero.org/users/5939705/items/A75IMJR7"],"uri":["http://zotero.org/users/5939705/items/A75IMJR7"],"itemData":{"id":251,"type":"article-journal","abstract":"Increased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ED2F34">
        <w:fldChar w:fldCharType="separate"/>
      </w:r>
      <w:r w:rsidR="00ED2F34" w:rsidRPr="00ED2F34">
        <w:rPr>
          <w:rFonts w:ascii="Calibri" w:hAnsi="Calibri" w:cs="Calibri"/>
        </w:rPr>
        <w:t>(Bernhard and Leblang 2002; William R. Clark, Golder, and Poast 2013)</w:t>
      </w:r>
      <w:r w:rsidR="00ED2F34">
        <w:fldChar w:fldCharType="end"/>
      </w:r>
      <w:r>
        <w:t>.</w:t>
      </w:r>
      <w:r w:rsidR="00ED2F34">
        <w:t xml:space="preserve"> A preliminary search of variables to account for endogenous elections was made in Varieties of Democracy, but no </w:t>
      </w:r>
      <w:r w:rsidR="00A14985">
        <w:t>solutions easily presented themselves. It may be possible to find variables for parliamentarism itself or to split the sample into parliamentary and non-parliamentary countries.</w:t>
      </w:r>
    </w:p>
    <w:p w14:paraId="32F22A4F" w14:textId="127E8803" w:rsidR="00BD6E7C" w:rsidRPr="0074445E" w:rsidRDefault="00CF60FC" w:rsidP="00293C74">
      <w:r>
        <w:t xml:space="preserve">Several efforts could be made to expand analysis if solutions were found to adjust for missing data. </w:t>
      </w:r>
      <w:r w:rsidR="005936F5">
        <w:t>Some preliminary preparations were made for the integration of the</w:t>
      </w:r>
      <w:r w:rsidR="00BD6E7C">
        <w:t xml:space="preserve"> </w:t>
      </w:r>
      <w:proofErr w:type="spellStart"/>
      <w:r w:rsidR="00BD6E7C">
        <w:t>Grilli</w:t>
      </w:r>
      <w:proofErr w:type="spellEnd"/>
      <w:r w:rsidR="003D44F2">
        <w:t xml:space="preserve"> et al</w:t>
      </w:r>
      <w:r w:rsidR="00BD6E7C">
        <w:t xml:space="preserve"> index of de facto CB independence</w:t>
      </w:r>
      <w:r w:rsidR="00F26894">
        <w:t xml:space="preserve"> </w:t>
      </w:r>
      <w:r w:rsidR="00F26894" w:rsidRPr="003D44F2">
        <w:t>into analysis</w:t>
      </w:r>
      <w:r w:rsidR="003D44F2" w:rsidRPr="003D44F2">
        <w:t xml:space="preserve">, which focuses largely around governor appointment terms and practices </w:t>
      </w:r>
      <w:r w:rsidR="003D44F2" w:rsidRPr="003D44F2">
        <w:fldChar w:fldCharType="begin"/>
      </w:r>
      <w:r w:rsidR="007B01F4">
        <w:instrText xml:space="preserve"> ADDIN ZOTERO_ITEM CSL_CITATION {"citationID":"2r1oWYKz","properties":{"formattedCitation":"(Grilli et al. 1991)","plainCitation":"(Grilli et al. 1991)","noteIndex":0},"citationItems":[{"id":102,"uris":["http://zotero.org/users/5939705/items/X2WA75K8"],"uri":["http://zotero.org/users/5939705/items/X2WA75K8"],"itemData":{"id":102,"type":"article-journal","abstract":"Why do countries as similar as the industrialized OECD countries go through such different experience in terms of public deficits and debts or in terms of inflation? The answer cannot come from macroeconomic policy responses to different disturbances, nor from the principles of optimal taxation, but rather from politics. This article focuses on the role that particular institutions exert in providing constraints and incentives which shape the actions of policy-makers. The electoral process and political traditions affect the ability of governments to deal with deficits and mounting debts. What seems to matter most, it is found, is the effect of the durability of governments. Governments with short horizons act myopically and never quite tackle the hard choices. Such governments typically exist in countries with an electoral system favouring many small political parties. Central bank independence promotes low inflation with no apparent costs in terms of real economic performance, irrespective of the political institutions. In fact there is no link between monetary and fiscal discipline. These findings carry powerful implications for countries facing high indebtedness or stubborn inflation, but also for the construction of the European Economic and Monetary Union.","archive":"JSTOR","container-title":"Economic Policy","DOI":"10.2307/1344630","ISSN":"0266-4658","issue":"13","page":"342-392","source":"JSTOR","title":"Political and Monetary Institutions and Public Financial Policies in the Industrial Countries","volume":"6","author":[{"family":"Grilli","given":"Vittorio"},{"family":"Masciandaro","given":"Donato"},{"family":"Tabellini","given":"Guido"},{"family":"Malinvaud","given":"Edmond"},{"family":"Pagano","given":"Marco"}],"issued":{"date-parts":[["1991"]]}}}],"schema":"https://github.com/citation-style-language/schema/raw/master/csl-citation.json"} </w:instrText>
      </w:r>
      <w:r w:rsidR="003D44F2" w:rsidRPr="003D44F2">
        <w:fldChar w:fldCharType="separate"/>
      </w:r>
      <w:r w:rsidR="003D44F2" w:rsidRPr="003D44F2">
        <w:rPr>
          <w:rFonts w:ascii="Calibri" w:hAnsi="Calibri" w:cs="Calibri"/>
        </w:rPr>
        <w:t>(Grilli et al. 1991)</w:t>
      </w:r>
      <w:r w:rsidR="003D44F2" w:rsidRPr="003D44F2">
        <w:fldChar w:fldCharType="end"/>
      </w:r>
      <w:r w:rsidR="003D44F2" w:rsidRPr="003D44F2">
        <w:t>.</w:t>
      </w:r>
      <w:r w:rsidR="00D71D0A">
        <w:t xml:space="preserve"> </w:t>
      </w:r>
      <w:r w:rsidR="003D44F2">
        <w:t>However,</w:t>
      </w:r>
      <w:r w:rsidR="00F26894">
        <w:t xml:space="preserve"> even with update</w:t>
      </w:r>
      <w:r w:rsidR="0082262C">
        <w:t xml:space="preserve">d </w:t>
      </w:r>
      <w:r w:rsidR="00F26894">
        <w:t>data</w:t>
      </w:r>
      <w:r w:rsidR="0082262C">
        <w:t xml:space="preserve"> </w:t>
      </w:r>
      <w:r w:rsidR="00285954">
        <w:fldChar w:fldCharType="begin"/>
      </w:r>
      <w:r w:rsidR="006F7D4E">
        <w:instrText xml:space="preserve"> ADDIN ZOTERO_ITEM CSL_CITATION {"citationID":"mscDz0tr","properties":{"formattedCitation":"(Romelli 2015)","plainCitation":"(Romelli 2015)","noteIndex":0},"citationItems":[{"id":103,"uris":["http://zotero.org/users/5939705/items/DIA3QZZ9"],"uri":["http://zotero.org/users/5939705/items/DIA3QZZ9"],"itemData":{"id":103,"type":"article-journal","abstract":"This paper extends the most commonly used indices of central bank independence by (i) capturing the changes in central bank legislative reforms over time and (ii) including a larger set of characteristics that inﬂuence the degree of central bank independence. I propose a dynamic central bank independence index that tracks the evolution of the full set of central bank legislative reforms for a sample of 50 countries during 1972-2014. I then employ this index to investigate the determinants of central bank reforms over times. I ﬁnd that the likelihood of reforming central bank legislation is mainly driven by an international pressure to reform, such as IMF loan programs or the policy changes required to join a monetary union. I also show that central bank independence evolves endogenously as a response to country-speciﬁc politico-economic conditions such as unemployment rates or political stability.","language":"en","page":"31","source":"Zotero","title":"Regulatory reforms and central bank independence","author":[{"family":"Romelli","given":"Davide"}],"issued":{"date-parts":[["2015",8,28]]}}}],"schema":"https://github.com/citation-style-language/schema/raw/master/csl-citation.json"} </w:instrText>
      </w:r>
      <w:r w:rsidR="00285954">
        <w:fldChar w:fldCharType="separate"/>
      </w:r>
      <w:r w:rsidR="006F7D4E" w:rsidRPr="006F7D4E">
        <w:rPr>
          <w:rFonts w:ascii="Calibri" w:hAnsi="Calibri" w:cs="Calibri"/>
        </w:rPr>
        <w:t>(Romelli 2015)</w:t>
      </w:r>
      <w:r w:rsidR="00285954">
        <w:fldChar w:fldCharType="end"/>
      </w:r>
      <w:r w:rsidR="003D44F2">
        <w:t>,</w:t>
      </w:r>
      <w:r w:rsidR="00D71D0A">
        <w:t xml:space="preserve"> </w:t>
      </w:r>
      <w:r w:rsidR="00F26894">
        <w:t>the sample size appeared to be far too small and limited to democracies.</w:t>
      </w:r>
      <w:r w:rsidR="00D71D0A">
        <w:t xml:space="preserve"> </w:t>
      </w:r>
      <w:r>
        <w:t xml:space="preserve">Also considered was the testing of more specific predictions about </w:t>
      </w:r>
      <w:r w:rsidR="00F15C6D">
        <w:t xml:space="preserve">the importance of de jure versus de facto CBI given levels of polity executive constraints or electoral versus political stability given </w:t>
      </w:r>
      <w:r w:rsidR="003800D8">
        <w:t>levels of polity competitiveness, but sample sizes here were also far too small. In these cases, interpolation or extrapolation might be used to improve availability across time, although solving the problem of a lack of countries in the panel will be difficult.</w:t>
      </w:r>
    </w:p>
    <w:p w14:paraId="588EC031" w14:textId="1F4FCA6A" w:rsidR="00CE5797" w:rsidRDefault="00C839E6" w:rsidP="00293C74">
      <w:r>
        <w:t>It is possible that a distinction b</w:t>
      </w:r>
      <w:r w:rsidR="00CE5797">
        <w:t>etween de jure and de facto exchange rate regimes</w:t>
      </w:r>
      <w:r w:rsidR="009D4FCB">
        <w:t xml:space="preserve"> is </w:t>
      </w:r>
      <w:r w:rsidR="00EB3579">
        <w:t>an interesting direction of examination going beyond the purely de facto analysis in this paper</w:t>
      </w:r>
      <w:r w:rsidR="009D4FCB">
        <w:t xml:space="preserve">. </w:t>
      </w:r>
      <w:r w:rsidR="00CF4E34">
        <w:t xml:space="preserve">There are at least a few cases worldwide where it appears that official </w:t>
      </w:r>
      <w:r w:rsidR="007D33D9">
        <w:t xml:space="preserve">and unofficial exchange rate levels lacked correspondence, and these differences might be interpreted </w:t>
      </w:r>
      <w:r w:rsidR="00D56B13">
        <w:t>further as differences between de jure and de facto rate regimes.</w:t>
      </w:r>
      <w:r w:rsidR="009D4FCB">
        <w:t xml:space="preserve"> </w:t>
      </w:r>
      <w:r w:rsidR="00CE5797">
        <w:t>Black market</w:t>
      </w:r>
      <w:r w:rsidR="00A812DA">
        <w:t xml:space="preserve"> exchange rates have been prevalent, for example,</w:t>
      </w:r>
      <w:r w:rsidR="00CE5797">
        <w:t xml:space="preserve"> in Venezuela </w:t>
      </w:r>
      <w:r w:rsidR="00CF4E34">
        <w:t>and Ghana</w:t>
      </w:r>
      <w:r w:rsidR="009D4FCB">
        <w:t xml:space="preserve"> </w:t>
      </w:r>
      <w:r w:rsidR="009D4FCB">
        <w:fldChar w:fldCharType="begin"/>
      </w:r>
      <w:r w:rsidR="009D4FCB">
        <w:instrText xml:space="preserve"> ADDIN ZOTERO_ITEM CSL_CITATION {"citationID":"ZPGWH9t8","properties":{"formattedCitation":"(Kiguel and O\\uc0\\u8217{}Connell 1995)","plainCitation":"(Kiguel and O’Connell 1995)","noteIndex":0},"citationItems":[{"id":621,"uris":["http://zotero.org/users/5939705/items/V48XC7LP"],"uri":["http://zotero.org/users/5939705/items/V48XC7LP"],"itemData":{"id":621,"type":"article-journal","abstract":"Dual exchange rates and black markets for foreign exchange are common in developing countries, and a body of evidence is beginning to emerge on the effects that such parallel foreign exchange systems have on macroeconomic performance. This article presents a simple typology of parallel systems, discusses their emergence, and looks at why countries prefer these arrangements to the main alternatives. The article examines the ability of parallel markets to insulate international reserves and domestic price from shocks to the balance of payments. Drawing on the findings from eight detailed case studies, the authors discuss the determination of the parallel premium in the short and long terms, the relationship between the premium and illegal transactions, and the fiscal effects of parallel rates. They compare the experiences of countries that have attempted to unify their foreign exchange markets and discuss the implications for policy alternatives.","archive":"JSTOR","container-title":"The World Bank Research Observer","ISSN":"0257-3032","issue":"1","note":"publisher: Oxford University Press","page":"21-52","source":"JSTOR","title":"Parallel Exchange Rates in Developing Countries","volume":"10","author":[{"family":"Kiguel","given":"Miguel"},{"family":"O'Connell","given":"Stephen A."}],"issued":{"date-parts":[["1995"]]}}}],"schema":"https://github.com/citation-style-language/schema/raw/master/csl-citation.json"} </w:instrText>
      </w:r>
      <w:r w:rsidR="009D4FCB">
        <w:fldChar w:fldCharType="separate"/>
      </w:r>
      <w:r w:rsidR="009D4FCB" w:rsidRPr="009D4FCB">
        <w:rPr>
          <w:rFonts w:ascii="Calibri" w:hAnsi="Calibri" w:cs="Calibri"/>
          <w:szCs w:val="24"/>
        </w:rPr>
        <w:t>(Kiguel and O’Connell 1995)</w:t>
      </w:r>
      <w:r w:rsidR="009D4FCB">
        <w:fldChar w:fldCharType="end"/>
      </w:r>
      <w:r w:rsidR="009D4FCB">
        <w:t>.</w:t>
      </w:r>
      <w:r w:rsidR="00EB3579">
        <w:t xml:space="preserve"> </w:t>
      </w:r>
      <w:r w:rsidR="00CE5797">
        <w:t>Initial efforts were made to incorporate IMF AREA</w:t>
      </w:r>
      <w:r w:rsidR="005E2229">
        <w:t xml:space="preserve">ER </w:t>
      </w:r>
      <w:r w:rsidR="00CE5797">
        <w:t>data</w:t>
      </w:r>
      <w:r w:rsidR="00D56B13">
        <w:t xml:space="preserve">, which </w:t>
      </w:r>
      <w:r w:rsidR="00C32025">
        <w:t>focused on de jure conditions in the 1990s, although methodology appears</w:t>
      </w:r>
      <w:r w:rsidR="00CF4E34">
        <w:t xml:space="preserve"> </w:t>
      </w:r>
      <w:r w:rsidR="00C32025">
        <w:t>to have changed</w:t>
      </w:r>
      <w:r w:rsidR="00EB3579">
        <w:t xml:space="preserve"> to de facto conditions</w:t>
      </w:r>
      <w:r w:rsidR="00C32025">
        <w:t xml:space="preserve"> in recent years</w:t>
      </w:r>
      <w:r w:rsidR="00540D14">
        <w:t xml:space="preserve"> </w:t>
      </w:r>
      <w:r w:rsidR="00540D14">
        <w:fldChar w:fldCharType="begin"/>
      </w:r>
      <w:r w:rsidR="00540D14">
        <w:instrText xml:space="preserve"> ADDIN ZOTERO_ITEM CSL_CITATION {"citationID":"37sDpVxt","properties":{"formattedCitation":"(IMF 2020)","plainCitation":"(IMF 2020)","noteIndex":0},"citationItems":[{"id":105,"uris":["http://zotero.org/users/5939705/items/BDX5NJVL"],"uri":["http://zotero.org/users/5939705/items/BDX5NJVL"],"itemData":{"id":105,"type":"webpage","container-title":"The International Monetary Fund","title":"IMF AREAER Database","URL":"https://www.elibrary-areaer.imf.org/Pages/ERClassifcation.aspx","author":[{"family":"IMF","given":""}],"accessed":{"date-parts":[["2020",2,19]]},"issued":{"date-parts":[["2020"]]}}}],"schema":"https://github.com/citation-style-language/schema/raw/master/csl-citation.json"} </w:instrText>
      </w:r>
      <w:r w:rsidR="00540D14">
        <w:fldChar w:fldCharType="separate"/>
      </w:r>
      <w:r w:rsidR="00540D14" w:rsidRPr="00540D14">
        <w:rPr>
          <w:rFonts w:ascii="Calibri" w:hAnsi="Calibri" w:cs="Calibri"/>
        </w:rPr>
        <w:t>(IMF 2020)</w:t>
      </w:r>
      <w:r w:rsidR="00540D14">
        <w:fldChar w:fldCharType="end"/>
      </w:r>
      <w:r w:rsidR="00C32025">
        <w:t>.</w:t>
      </w:r>
    </w:p>
    <w:p w14:paraId="443C0647" w14:textId="0E43461C" w:rsidR="00D46E45" w:rsidRDefault="00D46E45" w:rsidP="00293C74">
      <w:r>
        <w:t>Original sin, or th</w:t>
      </w:r>
      <w:r w:rsidR="00660F10">
        <w:t xml:space="preserve">e inability of </w:t>
      </w:r>
      <w:r>
        <w:t xml:space="preserve">a country to borrow in its </w:t>
      </w:r>
      <w:r w:rsidR="00660F10">
        <w:t>own currency, should be operational used as a control variable. As of writing, the author could not find an expansive and updated dataset for the measure. On the other hand, however, it may also be the case that as a characteristic, like many of the other controls, original sin is adequately captured by fixed effects.</w:t>
      </w:r>
    </w:p>
    <w:p w14:paraId="51B47768" w14:textId="69182A8C" w:rsidR="00293C74" w:rsidRDefault="003800D8" w:rsidP="00293C74">
      <w:r>
        <w:t>Finally, examination of an</w:t>
      </w:r>
      <w:r w:rsidR="00293C74">
        <w:t xml:space="preserve"> interesting case study could shed more light on the mechanisms at work</w:t>
      </w:r>
      <w:r w:rsidR="0074445E">
        <w:t>.</w:t>
      </w:r>
      <w:r w:rsidR="00293C74">
        <w:t xml:space="preserve"> </w:t>
      </w:r>
      <w:r w:rsidR="0074445E">
        <w:t>It would be useful to examine</w:t>
      </w:r>
      <w:r w:rsidR="00293C74">
        <w:t xml:space="preserve"> the </w:t>
      </w:r>
      <w:r w:rsidR="0074445E">
        <w:t>implications</w:t>
      </w:r>
      <w:r w:rsidR="00293C74">
        <w:t xml:space="preserve"> of the joint arrangement of central bank independence and a fixed exchange rate on the European continent. Trouble concerning the Eurozone is a common explanation for turmoil on the continent </w:t>
      </w:r>
      <w:r w:rsidR="00293C74">
        <w:fldChar w:fldCharType="begin"/>
      </w:r>
      <w:r w:rsidR="007B01F4">
        <w:instrText xml:space="preserve"> ADDIN ZOTERO_ITEM CSL_CITATION {"citationID":"wMGuVMaa","properties":{"formattedCitation":"(Stiglitz 2016)","plainCitation":"(Stiglitz 2016)","noteIndex":0},"citationItems":[{"id":204,"uris":["http://zotero.org/users/5939705/items/J37FYLNJ"],"uri":["http://zotero.org/users/5939705/items/J37FYLNJ"],"itemData":{"id":204,"type":"article-newspaper","abstract":"In this extract from his new book, the Nobel prize-winning economist argues that if the euro is not radically rethought, Europe could be condemned to decades of broken dreams","container-title":"The Guardian","ISSN":"0261-3077","language":"en-GB","section":"Business","source":"www.theguardian.com","title":"Joseph Stiglitz: The problem with Europe is the euro","title-short":"Joseph Stiglitz","URL":"https://www.theguardian.com/business/2016/aug/10/joseph-stiglitz-the-problem-with-europe-is-the-euro","author":[{"family":"Stiglitz","given":"Joseph"}],"accessed":{"date-parts":[["2020",1,20]]},"issued":{"date-parts":[["2016",8,10]]}}}],"schema":"https://github.com/citation-style-language/schema/raw/master/csl-citation.json"} </w:instrText>
      </w:r>
      <w:r w:rsidR="00293C74">
        <w:fldChar w:fldCharType="separate"/>
      </w:r>
      <w:r w:rsidR="00293C74" w:rsidRPr="0081379A">
        <w:rPr>
          <w:rFonts w:ascii="Calibri" w:hAnsi="Calibri" w:cs="Calibri"/>
        </w:rPr>
        <w:t>(Stiglitz 2016)</w:t>
      </w:r>
      <w:r w:rsidR="00293C74">
        <w:fldChar w:fldCharType="end"/>
      </w:r>
      <w:r w:rsidR="00293C74">
        <w:t xml:space="preserve">. Varying dates of entry into European systems provide a means to track political impacts. European elections also offer a more detailed picture of the </w:t>
      </w:r>
      <w:r w:rsidR="00293C74">
        <w:lastRenderedPageBreak/>
        <w:t xml:space="preserve">specific kinds of upheaval following from limits. Populist victories overturning the status quo may come from the Left, as in Greece, or the Right, as in Italy, or there may be a change </w:t>
      </w:r>
      <w:r w:rsidR="00293C74" w:rsidRPr="00E30ABC">
        <w:t xml:space="preserve">in centrist parties with reform promises </w:t>
      </w:r>
      <w:r w:rsidR="00293C74" w:rsidRPr="00E30ABC">
        <w:fldChar w:fldCharType="begin"/>
      </w:r>
      <w:r w:rsidR="006F7D4E">
        <w:instrText xml:space="preserve"> ADDIN ZOTERO_ITEM CSL_CITATION {"citationID":"ZGPKRaX3","properties":{"formattedCitation":"(Henley 2018)","plainCitation":"(Henley 2018)","noteIndex":0},"citationItems":[{"id":205,"uris":["http://zotero.org/users/5939705/items/PA8W4V9F"],"uri":["http://zotero.org/users/5939705/items/PA8W4V9F"],"itemData":{"id":205,"type":"article-newspaper","abstract":"Populism is spreading across the continent but has different characteristics by region","container-title":"the Guardian","language":"en","title":"How populism swept through Europe over 20 years","URL":"http://www.theguardian.com/world/ng-interactive/2018/nov/20/how-populism-emerged-as-electoral-force-in-europe","author":[{"family":"Henley","given":"Jon"}],"accessed":{"date-parts":[["2020",1,20]]},"issued":{"date-parts":[["2018",11,20]]}}}],"schema":"https://github.com/citation-style-language/schema/raw/master/csl-citation.json"} </w:instrText>
      </w:r>
      <w:r w:rsidR="00293C74" w:rsidRPr="00E30ABC">
        <w:fldChar w:fldCharType="separate"/>
      </w:r>
      <w:r w:rsidR="006F7D4E" w:rsidRPr="006F7D4E">
        <w:rPr>
          <w:rFonts w:ascii="Calibri" w:hAnsi="Calibri" w:cs="Calibri"/>
        </w:rPr>
        <w:t>(Henley 2018)</w:t>
      </w:r>
      <w:r w:rsidR="00293C74" w:rsidRPr="00E30ABC">
        <w:fldChar w:fldCharType="end"/>
      </w:r>
      <w:r w:rsidR="00293C74" w:rsidRPr="00E30ABC">
        <w:t>. Factors which determine the style of revolt are worth examining.</w:t>
      </w:r>
    </w:p>
    <w:p w14:paraId="4D13822D" w14:textId="7E159E80" w:rsidR="0077759A" w:rsidRDefault="00AD4FAD" w:rsidP="00375D36">
      <w:r w:rsidRPr="00E30ABC">
        <w:t>Overall,</w:t>
      </w:r>
      <w:r w:rsidR="00E92228" w:rsidRPr="00E30ABC">
        <w:t xml:space="preserve"> there may be some merit to current </w:t>
      </w:r>
      <w:r w:rsidR="00FB18BC" w:rsidRPr="00E30ABC">
        <w:t>arguments</w:t>
      </w:r>
      <w:r w:rsidR="00DB59B7" w:rsidRPr="00E30ABC">
        <w:t xml:space="preserve"> concerning the </w:t>
      </w:r>
      <w:r w:rsidR="00FB18BC" w:rsidRPr="00E30ABC">
        <w:t xml:space="preserve">political </w:t>
      </w:r>
      <w:r w:rsidR="00DB59B7" w:rsidRPr="00E30ABC">
        <w:t xml:space="preserve">costs of welfare-enhancing commitment institutions such as central bank independence </w:t>
      </w:r>
      <w:r w:rsidR="00BD7019" w:rsidRPr="00E30ABC">
        <w:t>and fixed exchange rates.</w:t>
      </w:r>
      <w:r w:rsidR="00EB284F" w:rsidRPr="00E30ABC">
        <w:t xml:space="preserve"> This suggests some role for the political economy analysis of the choice of these institutions.</w:t>
      </w:r>
    </w:p>
    <w:p w14:paraId="1F142F43" w14:textId="77777777" w:rsidR="001027B8" w:rsidRDefault="001027B8" w:rsidP="00174B6B">
      <w:pPr>
        <w:widowControl w:val="0"/>
        <w:autoSpaceDE w:val="0"/>
        <w:autoSpaceDN w:val="0"/>
        <w:adjustRightInd w:val="0"/>
        <w:spacing w:after="0" w:line="240" w:lineRule="auto"/>
        <w:rPr>
          <w:rFonts w:ascii="Times New Roman" w:hAnsi="Times New Roman" w:cs="Times New Roman"/>
          <w:sz w:val="20"/>
          <w:szCs w:val="20"/>
        </w:rPr>
      </w:pPr>
    </w:p>
    <w:bookmarkEnd w:id="0"/>
    <w:p w14:paraId="6523E8C2" w14:textId="4629B6DB" w:rsidR="00A74915" w:rsidRDefault="00A74915">
      <w:r>
        <w:br w:type="page"/>
      </w:r>
    </w:p>
    <w:p w14:paraId="76C2423E" w14:textId="7EEF91F0" w:rsidR="00A74915" w:rsidRDefault="00A74915" w:rsidP="002639FB">
      <w:pPr>
        <w:pStyle w:val="Heading1"/>
      </w:pPr>
      <w:r>
        <w:lastRenderedPageBreak/>
        <w:t>Bibliography</w:t>
      </w:r>
    </w:p>
    <w:p w14:paraId="2C5C2BD0" w14:textId="77777777" w:rsidR="00207A74" w:rsidRDefault="00A74915" w:rsidP="00207A74">
      <w:pPr>
        <w:pStyle w:val="Bibliography"/>
      </w:pPr>
      <w:r>
        <w:fldChar w:fldCharType="begin"/>
      </w:r>
      <w:r w:rsidR="0021309E">
        <w:instrText xml:space="preserve"> ADDIN ZOTERO_BIBL {"uncited":[],"omitted":[],"custom":[]} CSL_BIBLIOGRAPHY </w:instrText>
      </w:r>
      <w:r>
        <w:fldChar w:fldCharType="separate"/>
      </w:r>
      <w:r w:rsidR="00207A74">
        <w:t xml:space="preserve">Alesina, Alberto, and Roberto Perotti. 1993. </w:t>
      </w:r>
      <w:r w:rsidR="00207A74">
        <w:rPr>
          <w:i/>
          <w:iCs/>
        </w:rPr>
        <w:t>Income Distribution, Political Instability, and Investment</w:t>
      </w:r>
      <w:r w:rsidR="00207A74">
        <w:t>. National Bureau of Economic Research. Working Paper. http://www.nber.org/papers/w4486 (January 4, 2020).</w:t>
      </w:r>
    </w:p>
    <w:p w14:paraId="67098514" w14:textId="77777777" w:rsidR="00207A74" w:rsidRDefault="00207A74" w:rsidP="00207A74">
      <w:pPr>
        <w:pStyle w:val="Bibliography"/>
      </w:pPr>
      <w:r>
        <w:t xml:space="preserve">Alesina, Alberto, Nouriel Roubini, and Gerald D. Cohen. 1997. </w:t>
      </w:r>
      <w:r>
        <w:rPr>
          <w:i/>
          <w:iCs/>
        </w:rPr>
        <w:t>Political Cycles and the Macroeconomy</w:t>
      </w:r>
      <w:r>
        <w:t>. Cambridge, Mass: MIT Press.</w:t>
      </w:r>
    </w:p>
    <w:p w14:paraId="73434B25" w14:textId="77777777" w:rsidR="00207A74" w:rsidRDefault="00207A74" w:rsidP="00207A74">
      <w:pPr>
        <w:pStyle w:val="Bibliography"/>
      </w:pPr>
      <w:r>
        <w:t xml:space="preserve">Alesina, Alberto, and Lawrence H. Summers. 1993. ‘Central Bank Independence and Macroeconomic Performance: Some Comparative Evidence’. </w:t>
      </w:r>
      <w:r>
        <w:rPr>
          <w:i/>
          <w:iCs/>
        </w:rPr>
        <w:t>Journal of Money, Credit and Banking</w:t>
      </w:r>
      <w:r>
        <w:t xml:space="preserve"> 25(2): 151–62.</w:t>
      </w:r>
    </w:p>
    <w:p w14:paraId="77A6C672" w14:textId="77777777" w:rsidR="00207A74" w:rsidRDefault="00207A74" w:rsidP="00207A74">
      <w:pPr>
        <w:pStyle w:val="Bibliography"/>
      </w:pPr>
      <w:r>
        <w:t>Anderson, Christopher J. 2007. ‘The End of Economic Voting? Contingency Dilemmas and the Limits of Democratic Accountability’.</w:t>
      </w:r>
    </w:p>
    <w:p w14:paraId="5417F4EE" w14:textId="77777777" w:rsidR="00207A74" w:rsidRDefault="00207A74" w:rsidP="00207A74">
      <w:pPr>
        <w:pStyle w:val="Bibliography"/>
      </w:pPr>
      <w:r>
        <w:t xml:space="preserve">Armas, Mayela, and Corina Pons. 2019. ‘Venezuela Approves Parallel Currency Exchange System amid Political Crisis’. </w:t>
      </w:r>
      <w:r>
        <w:rPr>
          <w:i/>
          <w:iCs/>
        </w:rPr>
        <w:t>Reuters</w:t>
      </w:r>
      <w:r>
        <w:t>. https://www.reuters.com/article/us-venezuela-economy-idUSKCN1PM2AA (January 20, 2020).</w:t>
      </w:r>
    </w:p>
    <w:p w14:paraId="361C2F7E" w14:textId="77777777" w:rsidR="00207A74" w:rsidRDefault="00207A74" w:rsidP="00207A74">
      <w:pPr>
        <w:pStyle w:val="Bibliography"/>
      </w:pPr>
      <w:r>
        <w:t xml:space="preserve">Bassompierre, Leanne de. 2019. ‘Ivorian President Reiterates Support for Euro-Pegged Currency - Bloomberg’. </w:t>
      </w:r>
      <w:r>
        <w:rPr>
          <w:i/>
          <w:iCs/>
        </w:rPr>
        <w:t>Bloomberg</w:t>
      </w:r>
      <w:r>
        <w:t>. https://www.bloomberg.com/news/articles/2019-02-16/ivorian-president-reiterates-support-for-euro-pegged-currency (February 9, 2020).</w:t>
      </w:r>
    </w:p>
    <w:p w14:paraId="7256D73A" w14:textId="77777777" w:rsidR="00207A74" w:rsidRDefault="00207A74" w:rsidP="00207A74">
      <w:pPr>
        <w:pStyle w:val="Bibliography"/>
      </w:pPr>
      <w:r>
        <w:t xml:space="preserve">Bernanke, Ben S. 2015. ‘The Taylor Rule: A Benchmark for Monetary Policy?’ </w:t>
      </w:r>
      <w:r>
        <w:rPr>
          <w:i/>
          <w:iCs/>
        </w:rPr>
        <w:t>Brookings</w:t>
      </w:r>
      <w:r>
        <w:t>. https://www.brookings.edu/blog/ben-bernanke/2015/04/28/the-taylor-rule-a-benchmark-for-monetary-policy/ (January 11, 2020).</w:t>
      </w:r>
    </w:p>
    <w:p w14:paraId="088BBFD7" w14:textId="77777777" w:rsidR="00207A74" w:rsidRDefault="00207A74" w:rsidP="00207A74">
      <w:pPr>
        <w:pStyle w:val="Bibliography"/>
      </w:pPr>
      <w:r>
        <w:t xml:space="preserve">Bernhard, William, J. Lawrence Broz, and William Roberts Clark. 2002. ‘The Political Economy of Monetary Institutions’. </w:t>
      </w:r>
      <w:r>
        <w:rPr>
          <w:i/>
          <w:iCs/>
        </w:rPr>
        <w:t>International Organization</w:t>
      </w:r>
      <w:r>
        <w:t xml:space="preserve"> 56(4): 693–723.</w:t>
      </w:r>
    </w:p>
    <w:p w14:paraId="744B40A4" w14:textId="77777777" w:rsidR="00207A74" w:rsidRDefault="00207A74" w:rsidP="00207A74">
      <w:pPr>
        <w:pStyle w:val="Bibliography"/>
      </w:pPr>
      <w:r>
        <w:t xml:space="preserve">Bernhard, William, and David Leblang. 2002. ‘Political Parties and Monetary Commitments’. </w:t>
      </w:r>
      <w:r>
        <w:rPr>
          <w:i/>
          <w:iCs/>
        </w:rPr>
        <w:t>International Organization</w:t>
      </w:r>
      <w:r>
        <w:t xml:space="preserve"> 56(4): 803–30.</w:t>
      </w:r>
    </w:p>
    <w:p w14:paraId="05FBD3DC" w14:textId="77777777" w:rsidR="00207A74" w:rsidRDefault="00207A74" w:rsidP="00207A74">
      <w:pPr>
        <w:pStyle w:val="Bibliography"/>
      </w:pPr>
      <w:r>
        <w:t xml:space="preserve">Binder, Sarah, and Mark Spindel. 2019. ‘Trump Is Attacking the Federal Reserve. This Explains Why — and What Comes next. - The Washington Post’. </w:t>
      </w:r>
      <w:r>
        <w:rPr>
          <w:i/>
          <w:iCs/>
        </w:rPr>
        <w:t>The Washington Post</w:t>
      </w:r>
      <w:r>
        <w:t>. https://www.washingtonpost.com/politics/2019/08/27/why-is-trump-attacking-federal-reserve-we-answer-your-questions/ (January 8, 2020).</w:t>
      </w:r>
    </w:p>
    <w:p w14:paraId="28FB5133" w14:textId="77777777" w:rsidR="00207A74" w:rsidRDefault="00207A74" w:rsidP="00207A74">
      <w:pPr>
        <w:pStyle w:val="Bibliography"/>
      </w:pPr>
      <w:r>
        <w:t xml:space="preserve">Blomberg, S Brock, Jeffry Frieden, and Ernesto Stein. 2005. ‘Sustaining Fixed Rates: The Political Economy of Currency Pegs in Latin America’. </w:t>
      </w:r>
      <w:r>
        <w:rPr>
          <w:i/>
          <w:iCs/>
        </w:rPr>
        <w:t>Journal of Applied Economics</w:t>
      </w:r>
      <w:r>
        <w:t>: 23.</w:t>
      </w:r>
    </w:p>
    <w:p w14:paraId="4C66E6CC" w14:textId="77777777" w:rsidR="00207A74" w:rsidRDefault="00207A74" w:rsidP="00207A74">
      <w:pPr>
        <w:pStyle w:val="Bibliography"/>
      </w:pPr>
      <w:r>
        <w:t xml:space="preserve">Bodea, Cristina, and Masaaki Higashijima. 2017. </w:t>
      </w:r>
      <w:r>
        <w:rPr>
          <w:i/>
          <w:iCs/>
        </w:rPr>
        <w:t>Central Bank Independence and Fiscal Policy: Can the Central Bank Restrain Deficit Spending?</w:t>
      </w:r>
      <w:r>
        <w:t xml:space="preserve"> Rochester, NY: Social Science Research Network. SSRN Scholarly Paper. https://papers.ssrn.com/abstract=2952266 (January 5, 2020).</w:t>
      </w:r>
    </w:p>
    <w:p w14:paraId="22B0EEB6" w14:textId="77777777" w:rsidR="00207A74" w:rsidRDefault="00207A74" w:rsidP="00207A74">
      <w:pPr>
        <w:pStyle w:val="Bibliography"/>
      </w:pPr>
      <w:r>
        <w:t xml:space="preserve">Broz, J. Lawrence. 2002. ‘Political System Transparency and Monetary Commitment Regimes’. </w:t>
      </w:r>
      <w:r>
        <w:rPr>
          <w:i/>
          <w:iCs/>
        </w:rPr>
        <w:t>International Organization</w:t>
      </w:r>
      <w:r>
        <w:t xml:space="preserve"> 56(4): 861–87.</w:t>
      </w:r>
    </w:p>
    <w:p w14:paraId="78C28458" w14:textId="77777777" w:rsidR="00207A74" w:rsidRDefault="00207A74" w:rsidP="00207A74">
      <w:pPr>
        <w:pStyle w:val="Bibliography"/>
      </w:pPr>
      <w:r>
        <w:lastRenderedPageBreak/>
        <w:t xml:space="preserve">Card, David. 1999. ‘The Causal Effect of Education on Earnings’. In </w:t>
      </w:r>
      <w:r>
        <w:rPr>
          <w:i/>
          <w:iCs/>
        </w:rPr>
        <w:t>Handbook of Labor Economics</w:t>
      </w:r>
      <w:r>
        <w:t>, Elsevier, 1801–63. https://linkinghub.elsevier.com/retrieve/pii/S1573446399030114 (January 4, 2020).</w:t>
      </w:r>
    </w:p>
    <w:p w14:paraId="595C2811" w14:textId="77777777" w:rsidR="00207A74" w:rsidRDefault="00207A74" w:rsidP="00207A74">
      <w:pPr>
        <w:pStyle w:val="Bibliography"/>
      </w:pPr>
      <w:r>
        <w:t>Chicago Booth Initiative on Global Markets. 2019. ‘Fed Appointments | IGM Forum’. http://www.igmchicago.org/surveys/fed-appointments (January 20, 2020).</w:t>
      </w:r>
    </w:p>
    <w:p w14:paraId="3F79F702" w14:textId="77777777" w:rsidR="00207A74" w:rsidRDefault="00207A74" w:rsidP="00207A74">
      <w:pPr>
        <w:pStyle w:val="Bibliography"/>
      </w:pPr>
      <w:r>
        <w:t>Chinn, Menzie D, and Hiro Ito. 2005. ‘What Matters for Financial Development? Capital Controls, Institutions, and Interactions’. : 45.</w:t>
      </w:r>
    </w:p>
    <w:p w14:paraId="4505D19B" w14:textId="77777777" w:rsidR="00207A74" w:rsidRDefault="00207A74" w:rsidP="00207A74">
      <w:pPr>
        <w:pStyle w:val="Bibliography"/>
      </w:pPr>
      <w:r>
        <w:t xml:space="preserve">Clark, William R., Sona N. Golder, and Paul Poast. 2013. ‘Monetary Institutions and the Political Survival of Democratic Leaders: </w:t>
      </w:r>
      <w:r>
        <w:rPr>
          <w:i/>
          <w:iCs/>
        </w:rPr>
        <w:t>Political Survival of Democratic Leaders</w:t>
      </w:r>
      <w:r>
        <w:t xml:space="preserve">’. </w:t>
      </w:r>
      <w:r>
        <w:rPr>
          <w:i/>
          <w:iCs/>
        </w:rPr>
        <w:t>International Studies Quarterly</w:t>
      </w:r>
      <w:r>
        <w:t xml:space="preserve"> 57(3): 556–67.</w:t>
      </w:r>
    </w:p>
    <w:p w14:paraId="0B4704E6" w14:textId="77777777" w:rsidR="00207A74" w:rsidRDefault="00207A74" w:rsidP="00207A74">
      <w:pPr>
        <w:pStyle w:val="Bibliography"/>
      </w:pPr>
      <w:r>
        <w:t xml:space="preserve">Clark, William Roberts, Usha Nair Reichert, Sandra Lynn Lomas, and Kevin L. Parker. 1998. ‘International and Domestic Constraints on Political Business Cycles in OECD Economies’. </w:t>
      </w:r>
      <w:r>
        <w:rPr>
          <w:i/>
          <w:iCs/>
        </w:rPr>
        <w:t>International Organization</w:t>
      </w:r>
      <w:r>
        <w:t xml:space="preserve"> 52(1): 87–120.</w:t>
      </w:r>
    </w:p>
    <w:p w14:paraId="3E939A03" w14:textId="77777777" w:rsidR="00207A74" w:rsidRDefault="00207A74" w:rsidP="00207A74">
      <w:pPr>
        <w:pStyle w:val="Bibliography"/>
      </w:pPr>
      <w:r>
        <w:t xml:space="preserve">Corbett, Erin. 2019. ‘Can Trump Fire Fed Chair Jerome Powell? What History Tells Us’. </w:t>
      </w:r>
      <w:r>
        <w:rPr>
          <w:i/>
          <w:iCs/>
        </w:rPr>
        <w:t>Fortune</w:t>
      </w:r>
      <w:r>
        <w:t>. https://fortune.com/2019/06/19/can-trump-fire-jerome-powell/ (January 8, 2020).</w:t>
      </w:r>
    </w:p>
    <w:p w14:paraId="3F88303E" w14:textId="77777777" w:rsidR="00207A74" w:rsidRDefault="00207A74" w:rsidP="00207A74">
      <w:pPr>
        <w:pStyle w:val="Bibliography"/>
      </w:pPr>
      <w:r>
        <w:t xml:space="preserve">Crowe, Christopher, and Ellen E Meade. 2008. ‘Central Bank Independence and Transparency: Evolution and Effectiveness’. </w:t>
      </w:r>
      <w:r>
        <w:rPr>
          <w:i/>
          <w:iCs/>
        </w:rPr>
        <w:t>IMF Working Paper</w:t>
      </w:r>
      <w:r>
        <w:t>: 30.</w:t>
      </w:r>
    </w:p>
    <w:p w14:paraId="66AF9B7B" w14:textId="77777777" w:rsidR="00207A74" w:rsidRDefault="00207A74" w:rsidP="00207A74">
      <w:pPr>
        <w:pStyle w:val="Bibliography"/>
      </w:pPr>
      <w:r>
        <w:t xml:space="preserve">Cukierman, Alex. 1992. </w:t>
      </w:r>
      <w:r>
        <w:rPr>
          <w:i/>
          <w:iCs/>
        </w:rPr>
        <w:t>Central Bank Strategy, Credibility, and Independence: Theory and Evidence</w:t>
      </w:r>
      <w:r>
        <w:t>. Cambridge, Mass: MIT Press.</w:t>
      </w:r>
    </w:p>
    <w:p w14:paraId="79EC992B" w14:textId="77777777" w:rsidR="00207A74" w:rsidRDefault="00207A74" w:rsidP="00207A74">
      <w:pPr>
        <w:pStyle w:val="Bibliography"/>
      </w:pPr>
      <w:r>
        <w:t xml:space="preserve">Cukierman, Alex, and Steven B. Webb. 1995. ‘Political Influence on the Central Bank: International Evidence’. </w:t>
      </w:r>
      <w:r>
        <w:rPr>
          <w:i/>
          <w:iCs/>
        </w:rPr>
        <w:t>The World Bank Economic Review</w:t>
      </w:r>
      <w:r>
        <w:t xml:space="preserve"> 9(3): 397–423.</w:t>
      </w:r>
    </w:p>
    <w:p w14:paraId="04BCFE83" w14:textId="77777777" w:rsidR="00207A74" w:rsidRDefault="00207A74" w:rsidP="00207A74">
      <w:pPr>
        <w:pStyle w:val="Bibliography"/>
      </w:pPr>
      <w:r>
        <w:t xml:space="preserve">Cukierman, Alex, Steven B. Webb, and Bilin Neyapti. 1992. ‘Measuring the Independence of Central Banks and Its Effect on Policy Outcomes’. </w:t>
      </w:r>
      <w:r>
        <w:rPr>
          <w:i/>
          <w:iCs/>
        </w:rPr>
        <w:t>The World Bank Economic Review</w:t>
      </w:r>
      <w:r>
        <w:t xml:space="preserve"> 6(3): 353–98.</w:t>
      </w:r>
    </w:p>
    <w:p w14:paraId="617C8CAD" w14:textId="77777777" w:rsidR="00207A74" w:rsidRDefault="00207A74" w:rsidP="00207A74">
      <w:pPr>
        <w:pStyle w:val="Bibliography"/>
      </w:pPr>
      <w:r>
        <w:t xml:space="preserve">Diwan, Ishac. 2020. ‘Lebanon’s Perfect Storm | by Ishac Diwan’. </w:t>
      </w:r>
      <w:r>
        <w:rPr>
          <w:i/>
          <w:iCs/>
        </w:rPr>
        <w:t>Project Syndicate</w:t>
      </w:r>
      <w:r>
        <w:t>. https://www.project-syndicate.org/commentary/lebanon-political-economic-crises-protests-by-ishac-diwan (January 9, 2020).</w:t>
      </w:r>
    </w:p>
    <w:p w14:paraId="022DC5AF" w14:textId="77777777" w:rsidR="00207A74" w:rsidRDefault="00207A74" w:rsidP="00207A74">
      <w:pPr>
        <w:pStyle w:val="Bibliography"/>
      </w:pPr>
      <w:r>
        <w:t xml:space="preserve">Downs, Anthony. 1957. ‘An Economic Theory of Political Action in a Democracy’. </w:t>
      </w:r>
      <w:r>
        <w:rPr>
          <w:i/>
          <w:iCs/>
        </w:rPr>
        <w:t>Journal of Political Economy</w:t>
      </w:r>
      <w:r>
        <w:t xml:space="preserve"> 65(2): 135–50.</w:t>
      </w:r>
    </w:p>
    <w:p w14:paraId="31056F37" w14:textId="77777777" w:rsidR="00207A74" w:rsidRDefault="00207A74" w:rsidP="00207A74">
      <w:pPr>
        <w:pStyle w:val="Bibliography"/>
      </w:pPr>
      <w:r>
        <w:t xml:space="preserve">Dreher, Axel, Jan-Egbert Sturm, and Jakob de Haan. 2010. ‘When Is a Central Bank Governor Replaced? Evidence Based on a New Data Set’. </w:t>
      </w:r>
      <w:r>
        <w:rPr>
          <w:i/>
          <w:iCs/>
        </w:rPr>
        <w:t>Journal of Macroeconomics</w:t>
      </w:r>
      <w:r>
        <w:t xml:space="preserve"> 32(3): 766–81.</w:t>
      </w:r>
    </w:p>
    <w:p w14:paraId="38886401" w14:textId="77777777" w:rsidR="00207A74" w:rsidRDefault="00207A74" w:rsidP="00207A74">
      <w:pPr>
        <w:pStyle w:val="Bibliography"/>
      </w:pPr>
      <w:r>
        <w:t xml:space="preserve">Eichengreen, Barry, and Ricardo Hausmann. 2005. </w:t>
      </w:r>
      <w:r>
        <w:rPr>
          <w:i/>
          <w:iCs/>
        </w:rPr>
        <w:t>Other People’s Money: Debt Denomination and Financial Instability in Emerging Market Economies</w:t>
      </w:r>
      <w:r>
        <w:t>. University of Chicago Press. http://www.bibliovault.org/BV.landing.epl?ISBN=9780226194554 (January 10, 2020).</w:t>
      </w:r>
    </w:p>
    <w:p w14:paraId="63714EBB" w14:textId="77777777" w:rsidR="00207A74" w:rsidRDefault="00207A74" w:rsidP="00207A74">
      <w:pPr>
        <w:pStyle w:val="Bibliography"/>
      </w:pPr>
      <w:r>
        <w:lastRenderedPageBreak/>
        <w:t xml:space="preserve">Eijffinger, Sylvester C. W., and Jakob de Haan. 1996. </w:t>
      </w:r>
      <w:r>
        <w:rPr>
          <w:i/>
          <w:iCs/>
        </w:rPr>
        <w:t>The Political Economy of Central Bank Independence</w:t>
      </w:r>
      <w:r>
        <w:t>. Princeton, N.J: International Finance Section, Dept. of Economics, Princeton University.</w:t>
      </w:r>
    </w:p>
    <w:p w14:paraId="0CE64A02" w14:textId="77777777" w:rsidR="00207A74" w:rsidRDefault="00207A74" w:rsidP="00207A74">
      <w:pPr>
        <w:pStyle w:val="Bibliography"/>
      </w:pPr>
      <w:r>
        <w:t xml:space="preserve">Fels, Joachim. 2016. ‘The Downside of Central Bank Independence’. </w:t>
      </w:r>
      <w:r>
        <w:rPr>
          <w:i/>
          <w:iCs/>
        </w:rPr>
        <w:t>Pacific Investment Management Company LLC</w:t>
      </w:r>
      <w:r>
        <w:t>. https://www.pimco.com/en-us/insights/economic-and-market-commentary/macro-perspectives/the-downside-of-central-bank-independence (January 11, 2020).</w:t>
      </w:r>
    </w:p>
    <w:p w14:paraId="79B1DBAE" w14:textId="77777777" w:rsidR="00207A74" w:rsidRDefault="00207A74" w:rsidP="00207A74">
      <w:pPr>
        <w:pStyle w:val="Bibliography"/>
      </w:pPr>
      <w:r>
        <w:t xml:space="preserve">Fleming, J. Marcus. 1962. ‘Domestic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 </w:t>
      </w:r>
      <w:r>
        <w:rPr>
          <w:i/>
          <w:iCs/>
        </w:rPr>
        <w:t>Staff Papers (International Monetary Fund)</w:t>
      </w:r>
      <w:r>
        <w:t xml:space="preserve"> 9(3): 369–80.</w:t>
      </w:r>
    </w:p>
    <w:p w14:paraId="3745A1D1" w14:textId="77777777" w:rsidR="00207A74" w:rsidRDefault="00207A74" w:rsidP="00207A74">
      <w:pPr>
        <w:pStyle w:val="Bibliography"/>
      </w:pPr>
      <w:r>
        <w:t xml:space="preserve">Fortunato, David, and Matt W. Loftis. 2018. ‘Cabinet Durability and Fiscal Discipline’. </w:t>
      </w:r>
      <w:r>
        <w:rPr>
          <w:i/>
          <w:iCs/>
        </w:rPr>
        <w:t>American Political Science Review</w:t>
      </w:r>
      <w:r>
        <w:t xml:space="preserve"> 112(4): 939–53.</w:t>
      </w:r>
    </w:p>
    <w:p w14:paraId="055D8F4B" w14:textId="77777777" w:rsidR="00207A74" w:rsidRDefault="00207A74" w:rsidP="00207A74">
      <w:pPr>
        <w:pStyle w:val="Bibliography"/>
      </w:pPr>
      <w:r>
        <w:t xml:space="preserve">Frieden, Jeffry A. 2015. ‘A Theory of Currency Policy Preferences’. In </w:t>
      </w:r>
      <w:r>
        <w:rPr>
          <w:i/>
          <w:iCs/>
        </w:rPr>
        <w:t>Currency Politics</w:t>
      </w:r>
      <w:r>
        <w:t>, The Political Economy of Exchange Rate Policy, Princeton University Press, 19–48. https://www.jstor.org/stable/j.ctt9qh0gz.6 (January 10, 2020).</w:t>
      </w:r>
    </w:p>
    <w:p w14:paraId="714EE4D8" w14:textId="77777777" w:rsidR="00207A74" w:rsidRDefault="00207A74" w:rsidP="00207A74">
      <w:pPr>
        <w:pStyle w:val="Bibliography"/>
      </w:pPr>
      <w:r>
        <w:t xml:space="preserve">Friedman, Milton. 1953. </w:t>
      </w:r>
      <w:r>
        <w:rPr>
          <w:i/>
          <w:iCs/>
        </w:rPr>
        <w:t>Essays in Positive Economics</w:t>
      </w:r>
      <w:r>
        <w:t>. https://www.press.uchicago.edu/ucp/books/book/chicago/E/bo25773835.html (February 10, 2020).</w:t>
      </w:r>
    </w:p>
    <w:p w14:paraId="7AAE1FF0" w14:textId="77777777" w:rsidR="00207A74" w:rsidRDefault="00207A74" w:rsidP="00207A74">
      <w:pPr>
        <w:pStyle w:val="Bibliography"/>
      </w:pPr>
      <w:r>
        <w:t xml:space="preserve">Garriga, Ana Carolina. 2016. ‘Central Bank Independence in the World: A New Data Set’. </w:t>
      </w:r>
      <w:r>
        <w:rPr>
          <w:i/>
          <w:iCs/>
        </w:rPr>
        <w:t>International Interactions</w:t>
      </w:r>
      <w:r>
        <w:t>.</w:t>
      </w:r>
    </w:p>
    <w:p w14:paraId="050C2291" w14:textId="77777777" w:rsidR="00207A74" w:rsidRDefault="00207A74" w:rsidP="00207A74">
      <w:pPr>
        <w:pStyle w:val="Bibliography"/>
      </w:pPr>
      <w:r>
        <w:t>Goodliffe, Jay. 2003. ‘The Hazards of Time-Varying Covariates’. : 23.</w:t>
      </w:r>
    </w:p>
    <w:p w14:paraId="3D96C933" w14:textId="77777777" w:rsidR="00207A74" w:rsidRDefault="00207A74" w:rsidP="00207A74">
      <w:pPr>
        <w:pStyle w:val="Bibliography"/>
      </w:pPr>
      <w:r>
        <w:t xml:space="preserve">Goodman, John B. 1991. ‘The Politics of Central Bank Independence’. </w:t>
      </w:r>
      <w:r>
        <w:rPr>
          <w:i/>
          <w:iCs/>
        </w:rPr>
        <w:t>Comparative Politics</w:t>
      </w:r>
      <w:r>
        <w:t xml:space="preserve"> 23(3): 329–49.</w:t>
      </w:r>
    </w:p>
    <w:p w14:paraId="5CB19007" w14:textId="77777777" w:rsidR="00207A74" w:rsidRDefault="00207A74" w:rsidP="00207A74">
      <w:pPr>
        <w:pStyle w:val="Bibliography"/>
      </w:pPr>
      <w:r>
        <w:t xml:space="preserve">Greenberg, Dan. 1994. ‘Term Limits: The Only Way to Clean Up Congress’. </w:t>
      </w:r>
      <w:r>
        <w:rPr>
          <w:i/>
          <w:iCs/>
        </w:rPr>
        <w:t>The Heritage Foundation</w:t>
      </w:r>
      <w:r>
        <w:t>. https://www.heritage.org/political-process/report/term-limits-the-only-way-clean-congress (January 7, 2020).</w:t>
      </w:r>
    </w:p>
    <w:p w14:paraId="22EF48F7" w14:textId="77777777" w:rsidR="00207A74" w:rsidRDefault="00207A74" w:rsidP="00207A74">
      <w:pPr>
        <w:pStyle w:val="Bibliography"/>
      </w:pPr>
      <w:r>
        <w:t xml:space="preserve">Grilli, Vittorio et al. 1991. ‘Political and Monetary Institutions and Public Financial Policies in the Industrial Countries’. </w:t>
      </w:r>
      <w:r>
        <w:rPr>
          <w:i/>
          <w:iCs/>
        </w:rPr>
        <w:t>Economic Policy</w:t>
      </w:r>
      <w:r>
        <w:t xml:space="preserve"> 6(13): 342–92.</w:t>
      </w:r>
    </w:p>
    <w:p w14:paraId="50CEFF33" w14:textId="77777777" w:rsidR="00207A74" w:rsidRDefault="00207A74" w:rsidP="00207A74">
      <w:pPr>
        <w:pStyle w:val="Bibliography"/>
      </w:pPr>
      <w:r>
        <w:t xml:space="preserve">Guisinger, Alexandra. 2009. ‘Determining Trade Policy: Do Voters Hold Politicians Accountable?’ </w:t>
      </w:r>
      <w:r>
        <w:rPr>
          <w:i/>
          <w:iCs/>
        </w:rPr>
        <w:t>International Organization</w:t>
      </w:r>
      <w:r>
        <w:t xml:space="preserve"> 63(3): 533–57.</w:t>
      </w:r>
    </w:p>
    <w:p w14:paraId="30212EB4" w14:textId="77777777" w:rsidR="00207A74" w:rsidRDefault="00207A74" w:rsidP="00207A74">
      <w:pPr>
        <w:pStyle w:val="Bibliography"/>
      </w:pPr>
      <w:r>
        <w:t xml:space="preserve">de Haan, Jakob, and Gert Jan van’t Hag. 1995. ‘Variation in Central Bank Independence across Countries: Some Provisional Empirical Evidence’. </w:t>
      </w:r>
      <w:r>
        <w:rPr>
          <w:i/>
          <w:iCs/>
        </w:rPr>
        <w:t>Public Choice</w:t>
      </w:r>
      <w:r>
        <w:t xml:space="preserve"> 85(3): 335–51.</w:t>
      </w:r>
    </w:p>
    <w:p w14:paraId="04098DCE" w14:textId="77777777" w:rsidR="00207A74" w:rsidRDefault="00207A74" w:rsidP="00207A74">
      <w:pPr>
        <w:pStyle w:val="Bibliography"/>
      </w:pPr>
      <w:r>
        <w:t xml:space="preserve">Haan, Jakob De, and Clemens L. J. Siermann. 1996. ‘Central Bank Independence, Inflation and Political Instability in Developing Countries’. </w:t>
      </w:r>
      <w:r>
        <w:rPr>
          <w:i/>
          <w:iCs/>
        </w:rPr>
        <w:t>The Journal of Policy Reform</w:t>
      </w:r>
      <w:r>
        <w:t xml:space="preserve"> 1(2): 135–47.</w:t>
      </w:r>
    </w:p>
    <w:p w14:paraId="7D91C637" w14:textId="77777777" w:rsidR="00207A74" w:rsidRDefault="00207A74" w:rsidP="00207A74">
      <w:pPr>
        <w:pStyle w:val="Bibliography"/>
      </w:pPr>
      <w:r>
        <w:lastRenderedPageBreak/>
        <w:t xml:space="preserve">Hall, Peter A., and Robert J. Franzese. 1998. ‘Mixed Signals: Central Bank Independence, Coordinated Wage Bargaining, and European Monetary Union’. </w:t>
      </w:r>
      <w:r>
        <w:rPr>
          <w:i/>
          <w:iCs/>
        </w:rPr>
        <w:t>International Organization</w:t>
      </w:r>
      <w:r>
        <w:t xml:space="preserve"> 52(3): 505–35.</w:t>
      </w:r>
    </w:p>
    <w:p w14:paraId="5C6E1687" w14:textId="77777777" w:rsidR="00207A74" w:rsidRDefault="00207A74" w:rsidP="00207A74">
      <w:pPr>
        <w:pStyle w:val="Bibliography"/>
      </w:pPr>
      <w:r>
        <w:t xml:space="preserve">Henley, Jon. 2018. ‘How Populism Swept through Europe over 20 Years’. </w:t>
      </w:r>
      <w:r>
        <w:rPr>
          <w:i/>
          <w:iCs/>
        </w:rPr>
        <w:t>the Guardian</w:t>
      </w:r>
      <w:r>
        <w:t>. http://www.theguardian.com/world/ng-interactive/2018/nov/20/how-populism-emerged-as-electoral-force-in-europe (January 20, 2020).</w:t>
      </w:r>
    </w:p>
    <w:p w14:paraId="06631E46" w14:textId="77777777" w:rsidR="00207A74" w:rsidRDefault="00207A74" w:rsidP="00207A74">
      <w:pPr>
        <w:pStyle w:val="Bibliography"/>
      </w:pPr>
      <w:r>
        <w:t xml:space="preserve">Hibbs Jr, Douglas. 1973. 7 </w:t>
      </w:r>
      <w:r>
        <w:rPr>
          <w:i/>
          <w:iCs/>
        </w:rPr>
        <w:t>Mass Political Violence: A Cross-National Causal Analysis</w:t>
      </w:r>
      <w:r>
        <w:t>.</w:t>
      </w:r>
    </w:p>
    <w:p w14:paraId="238D261E" w14:textId="77777777" w:rsidR="00207A74" w:rsidRDefault="00207A74" w:rsidP="00207A74">
      <w:pPr>
        <w:pStyle w:val="Bibliography"/>
      </w:pPr>
      <w:r>
        <w:t xml:space="preserve">Huntington, Samuel P. 1976. </w:t>
      </w:r>
      <w:r>
        <w:rPr>
          <w:i/>
          <w:iCs/>
        </w:rPr>
        <w:t>Political Order in Changing Societies</w:t>
      </w:r>
      <w:r>
        <w:t>. 11. printing. New Haven: Yale Univ. Press.</w:t>
      </w:r>
    </w:p>
    <w:p w14:paraId="78FC19B2" w14:textId="77777777" w:rsidR="00207A74" w:rsidRDefault="00207A74" w:rsidP="00207A74">
      <w:pPr>
        <w:pStyle w:val="Bibliography"/>
      </w:pPr>
      <w:r>
        <w:t>Ilzetzki, Ethan. 2019. ‘IRR Data’. https://www.ilzetzki.com/irr-data (January 4, 2020).</w:t>
      </w:r>
    </w:p>
    <w:p w14:paraId="7A72C8D5" w14:textId="77777777" w:rsidR="00207A74" w:rsidRDefault="00207A74" w:rsidP="00207A74">
      <w:pPr>
        <w:pStyle w:val="Bibliography"/>
      </w:pPr>
      <w:r>
        <w:t xml:space="preserve">IMF. 2020. ‘IMF AREAER Database’. </w:t>
      </w:r>
      <w:r>
        <w:rPr>
          <w:i/>
          <w:iCs/>
        </w:rPr>
        <w:t>The International Monetary Fund</w:t>
      </w:r>
      <w:r>
        <w:t>. https://www.elibrary-areaer.imf.org/Pages/ERClassifcation.aspx (February 19, 2020).</w:t>
      </w:r>
    </w:p>
    <w:p w14:paraId="208F874C" w14:textId="77777777" w:rsidR="00207A74" w:rsidRDefault="00207A74" w:rsidP="00207A74">
      <w:pPr>
        <w:pStyle w:val="Bibliography"/>
      </w:pPr>
      <w:r>
        <w:t xml:space="preserve">Institute for Democracy and Electoral Assistance. 1999. ‘Youth Voter Participation: Involving Today’s Young in Tomorrow’s Democracy | International IDEA’. </w:t>
      </w:r>
      <w:r>
        <w:rPr>
          <w:i/>
          <w:iCs/>
        </w:rPr>
        <w:t>Institute for Democracy and Electoral Assistance</w:t>
      </w:r>
      <w:r>
        <w:t>. https://www.idea.int/publications/catalogue/youth-voter-participation-involving-todays-young-tomorrows-democracy (January 8, 2020).</w:t>
      </w:r>
    </w:p>
    <w:p w14:paraId="3D462216" w14:textId="77777777" w:rsidR="00207A74" w:rsidRDefault="00207A74" w:rsidP="00207A74">
      <w:pPr>
        <w:pStyle w:val="Bibliography"/>
      </w:pPr>
      <w:r>
        <w:t xml:space="preserve">Kenworthy, Lane. 2003. ‘Quantitative Indicators of Corporatism’. </w:t>
      </w:r>
      <w:r>
        <w:rPr>
          <w:i/>
          <w:iCs/>
        </w:rPr>
        <w:t>International Journal of Sociology</w:t>
      </w:r>
      <w:r>
        <w:t xml:space="preserve"> 33(3): 10–44.</w:t>
      </w:r>
    </w:p>
    <w:p w14:paraId="469677AA" w14:textId="77777777" w:rsidR="00207A74" w:rsidRDefault="00207A74" w:rsidP="00207A74">
      <w:pPr>
        <w:pStyle w:val="Bibliography"/>
      </w:pPr>
      <w:r>
        <w:t xml:space="preserve">Kiguel, Miguel, and Stephen A. O’Connell. 1995. ‘Parallel Exchange Rates in Developing Countries’. </w:t>
      </w:r>
      <w:r>
        <w:rPr>
          <w:i/>
          <w:iCs/>
        </w:rPr>
        <w:t>The World Bank Research Observer</w:t>
      </w:r>
      <w:r>
        <w:t xml:space="preserve"> 10(1): 21–52.</w:t>
      </w:r>
    </w:p>
    <w:p w14:paraId="15798E26" w14:textId="77777777" w:rsidR="00207A74" w:rsidRDefault="00207A74" w:rsidP="00207A74">
      <w:pPr>
        <w:pStyle w:val="Bibliography"/>
      </w:pPr>
      <w:r>
        <w:t xml:space="preserve">Kroeber, Arthur R. 2011. ‘The Renminbi: The Political Economy of a Currency’. </w:t>
      </w:r>
      <w:r>
        <w:rPr>
          <w:i/>
          <w:iCs/>
        </w:rPr>
        <w:t>Brookings</w:t>
      </w:r>
      <w:r>
        <w:t>. https://www.brookings.edu/research/the-renminbi-the-political-economy-of-a-currency/ (February 9, 2020).</w:t>
      </w:r>
    </w:p>
    <w:p w14:paraId="734F1607" w14:textId="77777777" w:rsidR="00207A74" w:rsidRDefault="00207A74" w:rsidP="00207A74">
      <w:pPr>
        <w:pStyle w:val="Bibliography"/>
      </w:pPr>
      <w:r>
        <w:t xml:space="preserve">Krugman, Paul. 1979. ‘A Model of Balance-of-Payments Crises’. </w:t>
      </w:r>
      <w:r>
        <w:rPr>
          <w:i/>
          <w:iCs/>
        </w:rPr>
        <w:t>Journal of Money, Credit and Banking</w:t>
      </w:r>
      <w:r>
        <w:t xml:space="preserve"> 11(3): 311–25.</w:t>
      </w:r>
    </w:p>
    <w:p w14:paraId="3C0CFCA9" w14:textId="77777777" w:rsidR="00207A74" w:rsidRDefault="00207A74" w:rsidP="00207A74">
      <w:pPr>
        <w:pStyle w:val="Bibliography"/>
      </w:pPr>
      <w:r>
        <w:t xml:space="preserve">———. 2011. ‘Opinion | An Impeccable Disaster’. </w:t>
      </w:r>
      <w:r>
        <w:rPr>
          <w:i/>
          <w:iCs/>
        </w:rPr>
        <w:t>The New York Times</w:t>
      </w:r>
      <w:r>
        <w:t>. https://www.nytimes.com/2011/09/12/opinion/an-impeccable-disaster.html (February 2, 2020).</w:t>
      </w:r>
    </w:p>
    <w:p w14:paraId="5945AB72" w14:textId="77777777" w:rsidR="00207A74" w:rsidRDefault="00207A74" w:rsidP="00207A74">
      <w:pPr>
        <w:pStyle w:val="Bibliography"/>
      </w:pPr>
      <w:r>
        <w:t xml:space="preserve">Leblang, David, and William Bernhard. 2000. ‘The Politics of Speculative Attacks in Industrial Democracies’. </w:t>
      </w:r>
      <w:r>
        <w:rPr>
          <w:i/>
          <w:iCs/>
        </w:rPr>
        <w:t>International Organization</w:t>
      </w:r>
      <w:r>
        <w:t xml:space="preserve"> 54(2): 291–324.</w:t>
      </w:r>
    </w:p>
    <w:p w14:paraId="60CF1C43" w14:textId="77777777" w:rsidR="00207A74" w:rsidRDefault="00207A74" w:rsidP="00207A74">
      <w:pPr>
        <w:pStyle w:val="Bibliography"/>
      </w:pPr>
      <w:r>
        <w:t xml:space="preserve">Lewis-Beck, Michael S., and Mary Stegmaier. 2019. ‘Economic Voting’. </w:t>
      </w:r>
      <w:r>
        <w:rPr>
          <w:i/>
          <w:iCs/>
        </w:rPr>
        <w:t>The Oxford Handbook of Public Choice, Volume 1</w:t>
      </w:r>
      <w:r>
        <w:t>. https://www.oxfordhandbooks.com/view/10.1093/oxfordhb/9780190469733.001.0001/oxfordhb-9780190469733-e-12 (January 10, 2020).</w:t>
      </w:r>
    </w:p>
    <w:p w14:paraId="047C2D1B" w14:textId="77777777" w:rsidR="00207A74" w:rsidRDefault="00207A74" w:rsidP="00207A74">
      <w:pPr>
        <w:pStyle w:val="Bibliography"/>
      </w:pPr>
      <w:r>
        <w:t xml:space="preserve">Lijphart, Arend. 2012. </w:t>
      </w:r>
      <w:r>
        <w:rPr>
          <w:i/>
          <w:iCs/>
        </w:rPr>
        <w:t>Patterns of Democracy: Government Forms and Performance in Thirty-Six Countries</w:t>
      </w:r>
      <w:r>
        <w:t>. 2nd ed. New Haven: Yale University Press.</w:t>
      </w:r>
    </w:p>
    <w:p w14:paraId="2ADB1477" w14:textId="77777777" w:rsidR="00207A74" w:rsidRDefault="00207A74" w:rsidP="00207A74">
      <w:pPr>
        <w:pStyle w:val="Bibliography"/>
      </w:pPr>
      <w:r>
        <w:lastRenderedPageBreak/>
        <w:t xml:space="preserve">Long, Heather. 2019. ‘Federal Reserve Makes Small Interest Rate Cut. Trump Slams Central Bank for Having “No Guts.”’ </w:t>
      </w:r>
      <w:r>
        <w:rPr>
          <w:i/>
          <w:iCs/>
        </w:rPr>
        <w:t>Washington Post</w:t>
      </w:r>
      <w:r>
        <w:t>. https://www.washingtonpost.com/business/2019/09/18/federal-reserve-cuts-interest-rates-quarter-point-counter-trumps-trade-war/ (January 8, 2020).</w:t>
      </w:r>
    </w:p>
    <w:p w14:paraId="31ACE0CA" w14:textId="77777777" w:rsidR="00207A74" w:rsidRDefault="00207A74" w:rsidP="00207A74">
      <w:pPr>
        <w:pStyle w:val="Bibliography"/>
      </w:pPr>
      <w:r>
        <w:t xml:space="preserve">MacKuen, Michael B., Robert S. Erikson, and James A. Stimson. 1992. ‘Peasants or Bankers? The American Electorate and the U.S. Economy’. </w:t>
      </w:r>
      <w:r>
        <w:rPr>
          <w:i/>
          <w:iCs/>
        </w:rPr>
        <w:t>The American Political Science Review</w:t>
      </w:r>
      <w:r>
        <w:t xml:space="preserve"> 86(3): 597–611.</w:t>
      </w:r>
    </w:p>
    <w:p w14:paraId="50386AC4" w14:textId="77777777" w:rsidR="00207A74" w:rsidRDefault="00207A74" w:rsidP="00207A74">
      <w:pPr>
        <w:pStyle w:val="Bibliography"/>
      </w:pPr>
      <w:r>
        <w:t xml:space="preserve">Maloney, John, Andrew C. Pickering, and Kaddour Hadri. 2003. ‘Political Business Cycles and Central Bank Independence*’. </w:t>
      </w:r>
      <w:r>
        <w:rPr>
          <w:i/>
          <w:iCs/>
        </w:rPr>
        <w:t>The Economic Journal</w:t>
      </w:r>
      <w:r>
        <w:t xml:space="preserve"> 113(486): C167–81.</w:t>
      </w:r>
    </w:p>
    <w:p w14:paraId="1F64C2B0" w14:textId="77777777" w:rsidR="00207A74" w:rsidRDefault="00207A74" w:rsidP="00207A74">
      <w:pPr>
        <w:pStyle w:val="Bibliography"/>
      </w:pPr>
      <w:r>
        <w:t xml:space="preserve">Mauro, Paolo, and Grace Juhn. 2002. ‘Long-Run Determinants of Exchange Rate Regimes : A Simple Sensitivity Analysis’. </w:t>
      </w:r>
      <w:r>
        <w:rPr>
          <w:i/>
          <w:iCs/>
        </w:rPr>
        <w:t>IMF eLibrary</w:t>
      </w:r>
      <w:r>
        <w:t>. https://www.elibrary.imf.org/view/IMF001/04328-9781451852776/04328-9781451852776/04328-9781451852776.xml?redirect=true (January 21, 2020).</w:t>
      </w:r>
    </w:p>
    <w:p w14:paraId="778D9979" w14:textId="77777777" w:rsidR="00207A74" w:rsidRDefault="00207A74" w:rsidP="00207A74">
      <w:pPr>
        <w:pStyle w:val="Bibliography"/>
      </w:pPr>
      <w:r>
        <w:t xml:space="preserve">Michael Coppedge, John Gerring, Carl Knutsen, and Staffan Lindberg. 2020. ‘V-Dem Version 10’. </w:t>
      </w:r>
      <w:r>
        <w:rPr>
          <w:i/>
          <w:iCs/>
        </w:rPr>
        <w:t>Varieties of Democracy</w:t>
      </w:r>
      <w:r>
        <w:t>. https://www.v-dem.net/en/ (March 31, 2020).</w:t>
      </w:r>
    </w:p>
    <w:p w14:paraId="0E45B85D" w14:textId="77777777" w:rsidR="00207A74" w:rsidRDefault="00207A74" w:rsidP="00207A74">
      <w:pPr>
        <w:pStyle w:val="Bibliography"/>
      </w:pPr>
      <w:r>
        <w:t xml:space="preserve">Moser, Peter. 1999. ‘Checks and Balances, and the Supply of Central Bank Independence’. </w:t>
      </w:r>
      <w:r>
        <w:rPr>
          <w:i/>
          <w:iCs/>
        </w:rPr>
        <w:t>European Economic Review</w:t>
      </w:r>
      <w:r>
        <w:t xml:space="preserve"> 43(8): 1569–93.</w:t>
      </w:r>
    </w:p>
    <w:p w14:paraId="23BE6F93" w14:textId="77777777" w:rsidR="00207A74" w:rsidRDefault="00207A74" w:rsidP="00207A74">
      <w:pPr>
        <w:pStyle w:val="Bibliography"/>
      </w:pPr>
      <w:r>
        <w:t xml:space="preserve">Mundell, R. A. 1963. ‘Capital Mobility and Stabilization Policy under Fixed and Flexible Exchange Rates’. </w:t>
      </w:r>
      <w:r>
        <w:rPr>
          <w:i/>
          <w:iCs/>
        </w:rPr>
        <w:t>The Canadian Journal of Economics and Political Science / Revue canadienne d’Economique et de Science politique</w:t>
      </w:r>
      <w:r>
        <w:t xml:space="preserve"> 29(4): 475–85.</w:t>
      </w:r>
    </w:p>
    <w:p w14:paraId="5BCB1F2F" w14:textId="77777777" w:rsidR="00207A74" w:rsidRDefault="00207A74" w:rsidP="00207A74">
      <w:pPr>
        <w:pStyle w:val="Bibliography"/>
      </w:pPr>
      <w:r>
        <w:t xml:space="preserve">Mundell, Robert A. 1961. ‘A Theory of Optimum Currency Areas’. </w:t>
      </w:r>
      <w:r>
        <w:rPr>
          <w:i/>
          <w:iCs/>
        </w:rPr>
        <w:t>The American Economic Review</w:t>
      </w:r>
      <w:r>
        <w:t xml:space="preserve"> 51(4): 657–65.</w:t>
      </w:r>
    </w:p>
    <w:p w14:paraId="1A78448A" w14:textId="77777777" w:rsidR="00207A74" w:rsidRDefault="00207A74" w:rsidP="00207A74">
      <w:pPr>
        <w:pStyle w:val="Bibliography"/>
      </w:pPr>
      <w:r>
        <w:t xml:space="preserve">Nadeau, Richard, and Michael S. Lewis-Beck. 2001. ‘National Economic Voting in U.S. Presidential Elections’. </w:t>
      </w:r>
      <w:r>
        <w:rPr>
          <w:i/>
          <w:iCs/>
        </w:rPr>
        <w:t>The Journal of Politics</w:t>
      </w:r>
      <w:r>
        <w:t xml:space="preserve"> 63(1): 159–81.</w:t>
      </w:r>
    </w:p>
    <w:p w14:paraId="12EA1C48" w14:textId="77777777" w:rsidR="00207A74" w:rsidRDefault="00207A74" w:rsidP="00207A74">
      <w:pPr>
        <w:pStyle w:val="Bibliography"/>
      </w:pPr>
      <w:r>
        <w:t xml:space="preserve">OECD. 2020. ‘Students - Tertiary Graduates by Field - OECD Data’. </w:t>
      </w:r>
      <w:r>
        <w:rPr>
          <w:i/>
          <w:iCs/>
        </w:rPr>
        <w:t>The OECD</w:t>
      </w:r>
      <w:r>
        <w:t>. http://data.oecd.org/students/tertiary-graduates-by-field.htm (January 6, 2020).</w:t>
      </w:r>
    </w:p>
    <w:p w14:paraId="3A4BA7D6" w14:textId="77777777" w:rsidR="00207A74" w:rsidRDefault="00207A74" w:rsidP="00207A74">
      <w:pPr>
        <w:pStyle w:val="Bibliography"/>
      </w:pPr>
      <w:r>
        <w:t xml:space="preserve">Olson, Mancur. 1993. ‘Dictatorship, Democracy, and Development’. </w:t>
      </w:r>
      <w:r>
        <w:rPr>
          <w:i/>
          <w:iCs/>
        </w:rPr>
        <w:t>American Political Science Review</w:t>
      </w:r>
      <w:r>
        <w:t xml:space="preserve"> 87(3): 567–76.</w:t>
      </w:r>
    </w:p>
    <w:p w14:paraId="037280A2" w14:textId="77777777" w:rsidR="00207A74" w:rsidRDefault="00207A74" w:rsidP="00207A74">
      <w:pPr>
        <w:pStyle w:val="Bibliography"/>
      </w:pPr>
      <w:r>
        <w:t xml:space="preserve">Polity Project. 2019. ‘Polity IV’. </w:t>
      </w:r>
      <w:r>
        <w:rPr>
          <w:i/>
          <w:iCs/>
        </w:rPr>
        <w:t>Center for Systemic Peace</w:t>
      </w:r>
      <w:r>
        <w:t>. https://www.systemicpeace.org/polityproject.html (January 11, 2020).</w:t>
      </w:r>
    </w:p>
    <w:p w14:paraId="5ABD69B1" w14:textId="77777777" w:rsidR="00207A74" w:rsidRDefault="00207A74" w:rsidP="00207A74">
      <w:pPr>
        <w:pStyle w:val="Bibliography"/>
      </w:pPr>
      <w:r>
        <w:t>Romelli, Davide. 2015. ‘Regulatory Reforms and Central Bank Independence’. : 31.</w:t>
      </w:r>
    </w:p>
    <w:p w14:paraId="2F8C96E6" w14:textId="77777777" w:rsidR="00207A74" w:rsidRDefault="00207A74" w:rsidP="00207A74">
      <w:pPr>
        <w:pStyle w:val="Bibliography"/>
      </w:pPr>
      <w:r>
        <w:t xml:space="preserve">Scartascini, Carlos, Cesi Cruz, and Philip Keefer. 2018. </w:t>
      </w:r>
      <w:r>
        <w:rPr>
          <w:i/>
          <w:iCs/>
        </w:rPr>
        <w:t>The Database of Political Institutions 2017 (DPI2017)</w:t>
      </w:r>
      <w:r>
        <w:t>. Inter-American Development Bank. http://publications.iadb.org/11319/8806 (February 17, 2020).</w:t>
      </w:r>
    </w:p>
    <w:p w14:paraId="3F85C91A" w14:textId="77777777" w:rsidR="00207A74" w:rsidRDefault="00207A74" w:rsidP="00207A74">
      <w:pPr>
        <w:pStyle w:val="Bibliography"/>
      </w:pPr>
      <w:r>
        <w:lastRenderedPageBreak/>
        <w:t xml:space="preserve">Stiglitz, Joseph. 2016. ‘Joseph Stiglitz: The Problem with Europe Is the Euro’. </w:t>
      </w:r>
      <w:r>
        <w:rPr>
          <w:i/>
          <w:iCs/>
        </w:rPr>
        <w:t>The Guardian</w:t>
      </w:r>
      <w:r>
        <w:t>. https://www.theguardian.com/business/2016/aug/10/joseph-stiglitz-the-problem-with-europe-is-the-euro (January 20, 2020).</w:t>
      </w:r>
    </w:p>
    <w:p w14:paraId="0A80B23B" w14:textId="77777777" w:rsidR="00207A74" w:rsidRDefault="00207A74" w:rsidP="00207A74">
      <w:pPr>
        <w:pStyle w:val="Bibliography"/>
      </w:pPr>
      <w:r>
        <w:t>Taner, Behiye Selin, and Daren Butler. 2019. ‘Turkish Economy Shrinks Again as Currency Crisis Bites - Reuters’. https://www.reuters.com/article/us-turkey-economy-gdp/turkish-economy-shrinks-again-as-currency-crisis-bites-idUSKCN1T118O (January 20, 2020).</w:t>
      </w:r>
    </w:p>
    <w:p w14:paraId="0642355D" w14:textId="77777777" w:rsidR="00207A74" w:rsidRDefault="00207A74" w:rsidP="00207A74">
      <w:pPr>
        <w:pStyle w:val="Bibliography"/>
      </w:pPr>
      <w:r>
        <w:t xml:space="preserve">Tufte, Edward R. 1980. </w:t>
      </w:r>
      <w:r>
        <w:rPr>
          <w:i/>
          <w:iCs/>
        </w:rPr>
        <w:t>Political Control of the Economy</w:t>
      </w:r>
      <w:r>
        <w:t>. 1. Paperback ed. Princeton, N.J: Princeton Univ. Press.</w:t>
      </w:r>
    </w:p>
    <w:p w14:paraId="3505DF8B" w14:textId="77777777" w:rsidR="00207A74" w:rsidRDefault="00207A74" w:rsidP="00207A74">
      <w:pPr>
        <w:pStyle w:val="Bibliography"/>
      </w:pPr>
      <w:r>
        <w:t xml:space="preserve">Visser, Jelle. 2019. ‘ICTWSS Database. Version 6.1’. </w:t>
      </w:r>
      <w:r>
        <w:rPr>
          <w:i/>
          <w:iCs/>
        </w:rPr>
        <w:t>Amsterdam Institute for Advanced Labour Studies (AIAS), University of Amsterdam</w:t>
      </w:r>
      <w:r>
        <w:t>. http://uva-aias.net/en/ictwss (February 17, 2020).</w:t>
      </w:r>
    </w:p>
    <w:p w14:paraId="3D5D9829" w14:textId="77777777" w:rsidR="00207A74" w:rsidRDefault="00207A74" w:rsidP="00207A74">
      <w:pPr>
        <w:pStyle w:val="Bibliography"/>
      </w:pPr>
      <w:r>
        <w:t>World Bank. 2020a. ‘GDP, PPP (Constant 2011 International $) | Data’. https://data.worldbank.org/indicator/NY.GDP.MKTP.PP.KD (February 17, 2020).</w:t>
      </w:r>
    </w:p>
    <w:p w14:paraId="4AA32D5E" w14:textId="77777777" w:rsidR="00207A74" w:rsidRDefault="00207A74" w:rsidP="00207A74">
      <w:pPr>
        <w:pStyle w:val="Bibliography"/>
      </w:pPr>
      <w:r>
        <w:t xml:space="preserve">———. 2020b. ‘School Enrollment, Tertiary (% Gross) | Data’. </w:t>
      </w:r>
      <w:r>
        <w:rPr>
          <w:i/>
          <w:iCs/>
        </w:rPr>
        <w:t>World Bank Data</w:t>
      </w:r>
      <w:r>
        <w:t>. https://data.worldbank.org/indicator/SE.TER.ENRR (January 4, 2020).</w:t>
      </w:r>
    </w:p>
    <w:p w14:paraId="71104C22" w14:textId="77777777" w:rsidR="00207A74" w:rsidRDefault="00207A74" w:rsidP="00207A74">
      <w:pPr>
        <w:pStyle w:val="Bibliography"/>
      </w:pPr>
      <w:r>
        <w:t xml:space="preserve">———. 2020c. ‘World Governance Indicators Interactive Data Access’. </w:t>
      </w:r>
      <w:r>
        <w:rPr>
          <w:i/>
          <w:iCs/>
        </w:rPr>
        <w:t>World Governance Indicators</w:t>
      </w:r>
      <w:r>
        <w:t>. https://info.worldbank.org/governance/wgi/ (January 7, 2020).</w:t>
      </w:r>
    </w:p>
    <w:p w14:paraId="6E321188" w14:textId="1ED103EE" w:rsidR="002338C3" w:rsidRDefault="00A74915" w:rsidP="00252EF0">
      <w:r>
        <w:fldChar w:fldCharType="end"/>
      </w:r>
    </w:p>
    <w:p w14:paraId="03C4CC02" w14:textId="77777777" w:rsidR="002338C3" w:rsidRDefault="002338C3">
      <w:r>
        <w:br w:type="page"/>
      </w:r>
    </w:p>
    <w:p w14:paraId="2FD32E30" w14:textId="4C2314CC" w:rsidR="002338C3" w:rsidRDefault="002338C3" w:rsidP="000D6626">
      <w:pPr>
        <w:pStyle w:val="Heading1"/>
      </w:pPr>
      <w:r>
        <w:lastRenderedPageBreak/>
        <w:t>Appendix</w:t>
      </w:r>
    </w:p>
    <w:p w14:paraId="78E1B6EA" w14:textId="6671FEEE" w:rsidR="008015D8" w:rsidRPr="008015D8" w:rsidRDefault="008015D8" w:rsidP="008015D8">
      <w:r>
        <w:t xml:space="preserve">Table </w:t>
      </w:r>
      <w:r w:rsidR="009E3DED">
        <w:t>A1:</w:t>
      </w:r>
      <w:r>
        <w:t xml:space="preserve"> Summary Statistics</w:t>
      </w:r>
    </w:p>
    <w:tbl>
      <w:tblPr>
        <w:tblW w:w="0" w:type="auto"/>
        <w:tblLayout w:type="fixed"/>
        <w:tblLook w:val="0000" w:firstRow="0" w:lastRow="0" w:firstColumn="0" w:lastColumn="0" w:noHBand="0" w:noVBand="0"/>
      </w:tblPr>
      <w:tblGrid>
        <w:gridCol w:w="2616"/>
        <w:gridCol w:w="1656"/>
        <w:gridCol w:w="1656"/>
        <w:gridCol w:w="1656"/>
      </w:tblGrid>
      <w:tr w:rsidR="008015D8" w14:paraId="3CF2A72C" w14:textId="77777777" w:rsidTr="00F16287">
        <w:tc>
          <w:tcPr>
            <w:tcW w:w="2616" w:type="dxa"/>
            <w:tcBorders>
              <w:top w:val="nil"/>
              <w:left w:val="nil"/>
              <w:bottom w:val="nil"/>
              <w:right w:val="nil"/>
            </w:tcBorders>
          </w:tcPr>
          <w:p w14:paraId="008CA64F" w14:textId="6AEFAFEF"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ED4D7A7"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mean</w:t>
            </w:r>
          </w:p>
        </w:tc>
        <w:tc>
          <w:tcPr>
            <w:tcW w:w="1656" w:type="dxa"/>
            <w:tcBorders>
              <w:top w:val="nil"/>
              <w:left w:val="nil"/>
              <w:bottom w:val="nil"/>
              <w:right w:val="nil"/>
            </w:tcBorders>
          </w:tcPr>
          <w:p w14:paraId="3661E8ED"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p>
        </w:tc>
        <w:tc>
          <w:tcPr>
            <w:tcW w:w="1656" w:type="dxa"/>
            <w:tcBorders>
              <w:top w:val="nil"/>
              <w:left w:val="nil"/>
              <w:bottom w:val="nil"/>
              <w:right w:val="nil"/>
            </w:tcBorders>
          </w:tcPr>
          <w:p w14:paraId="6531A779"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count</w:t>
            </w:r>
          </w:p>
        </w:tc>
      </w:tr>
      <w:tr w:rsidR="008015D8" w14:paraId="11285E45" w14:textId="77777777" w:rsidTr="00F16287">
        <w:tc>
          <w:tcPr>
            <w:tcW w:w="2616" w:type="dxa"/>
            <w:tcBorders>
              <w:top w:val="nil"/>
              <w:left w:val="nil"/>
              <w:bottom w:val="nil"/>
              <w:right w:val="nil"/>
            </w:tcBorders>
          </w:tcPr>
          <w:p w14:paraId="44041122"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Country name</w:t>
            </w:r>
          </w:p>
        </w:tc>
        <w:tc>
          <w:tcPr>
            <w:tcW w:w="1656" w:type="dxa"/>
            <w:tcBorders>
              <w:top w:val="nil"/>
              <w:left w:val="nil"/>
              <w:bottom w:val="nil"/>
              <w:right w:val="nil"/>
            </w:tcBorders>
          </w:tcPr>
          <w:p w14:paraId="6B12307F"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33DB6E99"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042EC42B"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8015D8" w14:paraId="4CB2D5B1" w14:textId="77777777" w:rsidTr="00F16287">
        <w:tc>
          <w:tcPr>
            <w:tcW w:w="2616" w:type="dxa"/>
            <w:tcBorders>
              <w:top w:val="nil"/>
              <w:left w:val="nil"/>
              <w:bottom w:val="nil"/>
              <w:right w:val="nil"/>
            </w:tcBorders>
          </w:tcPr>
          <w:p w14:paraId="54B53CD4"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47EB80F5"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.6118573</w:t>
            </w:r>
          </w:p>
        </w:tc>
        <w:tc>
          <w:tcPr>
            <w:tcW w:w="1656" w:type="dxa"/>
            <w:tcBorders>
              <w:top w:val="nil"/>
              <w:left w:val="nil"/>
              <w:bottom w:val="nil"/>
              <w:right w:val="nil"/>
            </w:tcBorders>
          </w:tcPr>
          <w:p w14:paraId="30BF1F15"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.8793629</w:t>
            </w:r>
          </w:p>
        </w:tc>
        <w:tc>
          <w:tcPr>
            <w:tcW w:w="1656" w:type="dxa"/>
            <w:tcBorders>
              <w:top w:val="nil"/>
              <w:left w:val="nil"/>
              <w:bottom w:val="nil"/>
              <w:right w:val="nil"/>
            </w:tcBorders>
          </w:tcPr>
          <w:p w14:paraId="2F182792"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2159</w:t>
            </w:r>
          </w:p>
        </w:tc>
      </w:tr>
      <w:tr w:rsidR="008015D8" w14:paraId="09718E85" w14:textId="77777777" w:rsidTr="00F16287">
        <w:tc>
          <w:tcPr>
            <w:tcW w:w="2616" w:type="dxa"/>
            <w:tcBorders>
              <w:top w:val="nil"/>
              <w:left w:val="nil"/>
              <w:bottom w:val="nil"/>
              <w:right w:val="nil"/>
            </w:tcBorders>
          </w:tcPr>
          <w:p w14:paraId="03BCD659"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7E77CF2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.37205</w:t>
            </w:r>
          </w:p>
        </w:tc>
        <w:tc>
          <w:tcPr>
            <w:tcW w:w="1656" w:type="dxa"/>
            <w:tcBorders>
              <w:top w:val="nil"/>
              <w:left w:val="nil"/>
              <w:bottom w:val="nil"/>
              <w:right w:val="nil"/>
            </w:tcBorders>
          </w:tcPr>
          <w:p w14:paraId="5552D532"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.7400175</w:t>
            </w:r>
          </w:p>
        </w:tc>
        <w:tc>
          <w:tcPr>
            <w:tcW w:w="1656" w:type="dxa"/>
            <w:tcBorders>
              <w:top w:val="nil"/>
              <w:left w:val="nil"/>
              <w:bottom w:val="nil"/>
              <w:right w:val="nil"/>
            </w:tcBorders>
          </w:tcPr>
          <w:p w14:paraId="65C9CAAF"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2161</w:t>
            </w:r>
          </w:p>
        </w:tc>
      </w:tr>
      <w:tr w:rsidR="008015D8" w14:paraId="637FEDAA" w14:textId="77777777" w:rsidTr="00F16287">
        <w:tc>
          <w:tcPr>
            <w:tcW w:w="2616" w:type="dxa"/>
            <w:tcBorders>
              <w:top w:val="nil"/>
              <w:left w:val="nil"/>
              <w:bottom w:val="nil"/>
              <w:right w:val="nil"/>
            </w:tcBorders>
          </w:tcPr>
          <w:p w14:paraId="647529DB"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Election executive turnover ordinal</w:t>
            </w:r>
          </w:p>
        </w:tc>
        <w:tc>
          <w:tcPr>
            <w:tcW w:w="1656" w:type="dxa"/>
            <w:tcBorders>
              <w:top w:val="nil"/>
              <w:left w:val="nil"/>
              <w:bottom w:val="nil"/>
              <w:right w:val="nil"/>
            </w:tcBorders>
          </w:tcPr>
          <w:p w14:paraId="7DD39078"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.7411648</w:t>
            </w:r>
          </w:p>
        </w:tc>
        <w:tc>
          <w:tcPr>
            <w:tcW w:w="1656" w:type="dxa"/>
            <w:tcBorders>
              <w:top w:val="nil"/>
              <w:left w:val="nil"/>
              <w:bottom w:val="nil"/>
              <w:right w:val="nil"/>
            </w:tcBorders>
          </w:tcPr>
          <w:p w14:paraId="385A4A99"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.8704437</w:t>
            </w:r>
          </w:p>
        </w:tc>
        <w:tc>
          <w:tcPr>
            <w:tcW w:w="1656" w:type="dxa"/>
            <w:tcBorders>
              <w:top w:val="nil"/>
              <w:left w:val="nil"/>
              <w:bottom w:val="nil"/>
              <w:right w:val="nil"/>
            </w:tcBorders>
          </w:tcPr>
          <w:p w14:paraId="7AECA4EC"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2009</w:t>
            </w:r>
          </w:p>
        </w:tc>
      </w:tr>
      <w:tr w:rsidR="008015D8" w14:paraId="4017F943" w14:textId="77777777" w:rsidTr="00F16287">
        <w:tc>
          <w:tcPr>
            <w:tcW w:w="2616" w:type="dxa"/>
            <w:tcBorders>
              <w:top w:val="nil"/>
              <w:left w:val="nil"/>
              <w:bottom w:val="nil"/>
              <w:right w:val="nil"/>
            </w:tcBorders>
          </w:tcPr>
          <w:p w14:paraId="3DCD7D62"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0F4FDE4A"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.6871024</w:t>
            </w:r>
          </w:p>
        </w:tc>
        <w:tc>
          <w:tcPr>
            <w:tcW w:w="1656" w:type="dxa"/>
            <w:tcBorders>
              <w:top w:val="nil"/>
              <w:left w:val="nil"/>
              <w:bottom w:val="nil"/>
              <w:right w:val="nil"/>
            </w:tcBorders>
          </w:tcPr>
          <w:p w14:paraId="060F6D84"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.8311507</w:t>
            </w:r>
          </w:p>
        </w:tc>
        <w:tc>
          <w:tcPr>
            <w:tcW w:w="1656" w:type="dxa"/>
            <w:tcBorders>
              <w:top w:val="nil"/>
              <w:left w:val="nil"/>
              <w:bottom w:val="nil"/>
              <w:right w:val="nil"/>
            </w:tcBorders>
          </w:tcPr>
          <w:p w14:paraId="18E91003"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1729</w:t>
            </w:r>
          </w:p>
        </w:tc>
      </w:tr>
      <w:tr w:rsidR="008015D8" w14:paraId="50D387C4" w14:textId="77777777" w:rsidTr="00F16287">
        <w:tc>
          <w:tcPr>
            <w:tcW w:w="2616" w:type="dxa"/>
            <w:tcBorders>
              <w:top w:val="nil"/>
              <w:left w:val="nil"/>
              <w:bottom w:val="nil"/>
              <w:right w:val="nil"/>
            </w:tcBorders>
          </w:tcPr>
          <w:p w14:paraId="72C265B0"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Regional government exists   </w:t>
            </w:r>
          </w:p>
        </w:tc>
        <w:tc>
          <w:tcPr>
            <w:tcW w:w="1656" w:type="dxa"/>
            <w:tcBorders>
              <w:top w:val="nil"/>
              <w:left w:val="nil"/>
              <w:bottom w:val="nil"/>
              <w:right w:val="nil"/>
            </w:tcBorders>
          </w:tcPr>
          <w:p w14:paraId="26C415CA"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.7458008</w:t>
            </w:r>
          </w:p>
        </w:tc>
        <w:tc>
          <w:tcPr>
            <w:tcW w:w="1656" w:type="dxa"/>
            <w:tcBorders>
              <w:top w:val="nil"/>
              <w:left w:val="nil"/>
              <w:bottom w:val="nil"/>
              <w:right w:val="nil"/>
            </w:tcBorders>
          </w:tcPr>
          <w:p w14:paraId="4B849BCE"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.4354359</w:t>
            </w:r>
          </w:p>
        </w:tc>
        <w:tc>
          <w:tcPr>
            <w:tcW w:w="1656" w:type="dxa"/>
            <w:tcBorders>
              <w:top w:val="nil"/>
              <w:left w:val="nil"/>
              <w:bottom w:val="nil"/>
              <w:right w:val="nil"/>
            </w:tcBorders>
          </w:tcPr>
          <w:p w14:paraId="395A1B3B"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8454</w:t>
            </w:r>
          </w:p>
        </w:tc>
      </w:tr>
      <w:tr w:rsidR="008015D8" w14:paraId="40E34087" w14:textId="77777777" w:rsidTr="00F16287">
        <w:tc>
          <w:tcPr>
            <w:tcW w:w="2616" w:type="dxa"/>
            <w:tcBorders>
              <w:top w:val="nil"/>
              <w:left w:val="nil"/>
              <w:bottom w:val="nil"/>
              <w:right w:val="nil"/>
            </w:tcBorders>
          </w:tcPr>
          <w:p w14:paraId="5E0C422B"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HOS = HOG</w:t>
            </w:r>
          </w:p>
        </w:tc>
        <w:tc>
          <w:tcPr>
            <w:tcW w:w="1656" w:type="dxa"/>
            <w:tcBorders>
              <w:top w:val="nil"/>
              <w:left w:val="nil"/>
              <w:bottom w:val="nil"/>
              <w:right w:val="nil"/>
            </w:tcBorders>
          </w:tcPr>
          <w:p w14:paraId="17534EE7"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.4006152</w:t>
            </w:r>
          </w:p>
        </w:tc>
        <w:tc>
          <w:tcPr>
            <w:tcW w:w="1656" w:type="dxa"/>
            <w:tcBorders>
              <w:top w:val="nil"/>
              <w:left w:val="nil"/>
              <w:bottom w:val="nil"/>
              <w:right w:val="nil"/>
            </w:tcBorders>
          </w:tcPr>
          <w:p w14:paraId="7206C13E"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.4900521</w:t>
            </w:r>
          </w:p>
        </w:tc>
        <w:tc>
          <w:tcPr>
            <w:tcW w:w="1656" w:type="dxa"/>
            <w:tcBorders>
              <w:top w:val="nil"/>
              <w:left w:val="nil"/>
              <w:bottom w:val="nil"/>
              <w:right w:val="nil"/>
            </w:tcBorders>
          </w:tcPr>
          <w:p w14:paraId="083052C0"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8452</w:t>
            </w:r>
          </w:p>
        </w:tc>
      </w:tr>
      <w:tr w:rsidR="008015D8" w14:paraId="122A6112" w14:textId="77777777" w:rsidTr="00F16287">
        <w:tc>
          <w:tcPr>
            <w:tcW w:w="2616" w:type="dxa"/>
            <w:tcBorders>
              <w:top w:val="nil"/>
              <w:left w:val="nil"/>
              <w:bottom w:val="nil"/>
              <w:right w:val="nil"/>
            </w:tcBorders>
          </w:tcPr>
          <w:p w14:paraId="692F5E65"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Legislative Efficacy</w:t>
            </w:r>
          </w:p>
        </w:tc>
        <w:tc>
          <w:tcPr>
            <w:tcW w:w="1656" w:type="dxa"/>
            <w:tcBorders>
              <w:top w:val="nil"/>
              <w:left w:val="nil"/>
              <w:bottom w:val="nil"/>
              <w:right w:val="nil"/>
            </w:tcBorders>
          </w:tcPr>
          <w:p w14:paraId="59454359"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.2197277</w:t>
            </w:r>
          </w:p>
        </w:tc>
        <w:tc>
          <w:tcPr>
            <w:tcW w:w="1656" w:type="dxa"/>
            <w:tcBorders>
              <w:top w:val="nil"/>
              <w:left w:val="nil"/>
              <w:bottom w:val="nil"/>
              <w:right w:val="nil"/>
            </w:tcBorders>
          </w:tcPr>
          <w:p w14:paraId="5135946F"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1.285369</w:t>
            </w:r>
          </w:p>
        </w:tc>
        <w:tc>
          <w:tcPr>
            <w:tcW w:w="1656" w:type="dxa"/>
            <w:tcBorders>
              <w:top w:val="nil"/>
              <w:left w:val="nil"/>
              <w:bottom w:val="nil"/>
              <w:right w:val="nil"/>
            </w:tcBorders>
          </w:tcPr>
          <w:p w14:paraId="0F8C3DC5"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7653</w:t>
            </w:r>
          </w:p>
        </w:tc>
      </w:tr>
      <w:tr w:rsidR="008015D8" w14:paraId="0FE1678F" w14:textId="77777777" w:rsidTr="00F16287">
        <w:tc>
          <w:tcPr>
            <w:tcW w:w="2616" w:type="dxa"/>
            <w:tcBorders>
              <w:top w:val="nil"/>
              <w:left w:val="nil"/>
              <w:bottom w:val="nil"/>
              <w:right w:val="nil"/>
            </w:tcBorders>
          </w:tcPr>
          <w:p w14:paraId="7EDAB358"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Tertiary Education Enrollment (V-Dem)</w:t>
            </w:r>
          </w:p>
        </w:tc>
        <w:tc>
          <w:tcPr>
            <w:tcW w:w="1656" w:type="dxa"/>
            <w:tcBorders>
              <w:top w:val="nil"/>
              <w:left w:val="nil"/>
              <w:bottom w:val="nil"/>
              <w:right w:val="nil"/>
            </w:tcBorders>
          </w:tcPr>
          <w:p w14:paraId="271F45EF"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.1985459</w:t>
            </w:r>
          </w:p>
        </w:tc>
        <w:tc>
          <w:tcPr>
            <w:tcW w:w="1656" w:type="dxa"/>
            <w:tcBorders>
              <w:top w:val="nil"/>
              <w:left w:val="nil"/>
              <w:bottom w:val="nil"/>
              <w:right w:val="nil"/>
            </w:tcBorders>
          </w:tcPr>
          <w:p w14:paraId="75CAAB2D"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.2012579</w:t>
            </w:r>
          </w:p>
        </w:tc>
        <w:tc>
          <w:tcPr>
            <w:tcW w:w="1656" w:type="dxa"/>
            <w:tcBorders>
              <w:top w:val="nil"/>
              <w:left w:val="nil"/>
              <w:bottom w:val="nil"/>
              <w:right w:val="nil"/>
            </w:tcBorders>
          </w:tcPr>
          <w:p w14:paraId="7B15D6E1"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4386</w:t>
            </w:r>
          </w:p>
        </w:tc>
      </w:tr>
      <w:tr w:rsidR="008015D8" w14:paraId="386FCA73" w14:textId="77777777" w:rsidTr="00F16287">
        <w:tc>
          <w:tcPr>
            <w:tcW w:w="2616" w:type="dxa"/>
            <w:tcBorders>
              <w:top w:val="nil"/>
              <w:left w:val="nil"/>
              <w:bottom w:val="nil"/>
              <w:right w:val="nil"/>
            </w:tcBorders>
          </w:tcPr>
          <w:p w14:paraId="554E8921"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Horizontal accountability index</w:t>
            </w:r>
          </w:p>
        </w:tc>
        <w:tc>
          <w:tcPr>
            <w:tcW w:w="1656" w:type="dxa"/>
            <w:tcBorders>
              <w:top w:val="nil"/>
              <w:left w:val="nil"/>
              <w:bottom w:val="nil"/>
              <w:right w:val="nil"/>
            </w:tcBorders>
          </w:tcPr>
          <w:p w14:paraId="40EF88F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.1907048</w:t>
            </w:r>
          </w:p>
        </w:tc>
        <w:tc>
          <w:tcPr>
            <w:tcW w:w="1656" w:type="dxa"/>
            <w:tcBorders>
              <w:top w:val="nil"/>
              <w:left w:val="nil"/>
              <w:bottom w:val="nil"/>
              <w:right w:val="nil"/>
            </w:tcBorders>
          </w:tcPr>
          <w:p w14:paraId="40661444"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1.036031</w:t>
            </w:r>
          </w:p>
        </w:tc>
        <w:tc>
          <w:tcPr>
            <w:tcW w:w="1656" w:type="dxa"/>
            <w:tcBorders>
              <w:top w:val="nil"/>
              <w:left w:val="nil"/>
              <w:bottom w:val="nil"/>
              <w:right w:val="nil"/>
            </w:tcBorders>
          </w:tcPr>
          <w:p w14:paraId="272458CF"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8454</w:t>
            </w:r>
          </w:p>
        </w:tc>
      </w:tr>
      <w:tr w:rsidR="008015D8" w14:paraId="6E8178FA" w14:textId="77777777" w:rsidTr="00F16287">
        <w:tc>
          <w:tcPr>
            <w:tcW w:w="2616" w:type="dxa"/>
            <w:tcBorders>
              <w:top w:val="nil"/>
              <w:left w:val="nil"/>
              <w:bottom w:val="nil"/>
              <w:right w:val="nil"/>
            </w:tcBorders>
          </w:tcPr>
          <w:p w14:paraId="33B68208"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7BA74817"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-.1668258</w:t>
            </w:r>
          </w:p>
        </w:tc>
        <w:tc>
          <w:tcPr>
            <w:tcW w:w="1656" w:type="dxa"/>
            <w:tcBorders>
              <w:top w:val="nil"/>
              <w:left w:val="nil"/>
              <w:bottom w:val="nil"/>
              <w:right w:val="nil"/>
            </w:tcBorders>
          </w:tcPr>
          <w:p w14:paraId="5B859CBB"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.9817535</w:t>
            </w:r>
          </w:p>
        </w:tc>
        <w:tc>
          <w:tcPr>
            <w:tcW w:w="1656" w:type="dxa"/>
            <w:tcBorders>
              <w:top w:val="nil"/>
              <w:left w:val="nil"/>
              <w:bottom w:val="nil"/>
              <w:right w:val="nil"/>
            </w:tcBorders>
          </w:tcPr>
          <w:p w14:paraId="2FDA8DDF"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3490</w:t>
            </w:r>
          </w:p>
        </w:tc>
      </w:tr>
      <w:tr w:rsidR="008015D8" w14:paraId="37714D00" w14:textId="77777777" w:rsidTr="00F16287">
        <w:tc>
          <w:tcPr>
            <w:tcW w:w="2616" w:type="dxa"/>
            <w:tcBorders>
              <w:top w:val="nil"/>
              <w:left w:val="nil"/>
              <w:bottom w:val="nil"/>
              <w:right w:val="nil"/>
            </w:tcBorders>
          </w:tcPr>
          <w:p w14:paraId="780B0E45"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Coups</w:t>
            </w:r>
          </w:p>
        </w:tc>
        <w:tc>
          <w:tcPr>
            <w:tcW w:w="1656" w:type="dxa"/>
            <w:tcBorders>
              <w:top w:val="nil"/>
              <w:left w:val="nil"/>
              <w:bottom w:val="nil"/>
              <w:right w:val="nil"/>
            </w:tcBorders>
          </w:tcPr>
          <w:p w14:paraId="5B2F6C38"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.0277497</w:t>
            </w:r>
          </w:p>
        </w:tc>
        <w:tc>
          <w:tcPr>
            <w:tcW w:w="1656" w:type="dxa"/>
            <w:tcBorders>
              <w:top w:val="nil"/>
              <w:left w:val="nil"/>
              <w:bottom w:val="nil"/>
              <w:right w:val="nil"/>
            </w:tcBorders>
          </w:tcPr>
          <w:p w14:paraId="455783A0"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.172266</w:t>
            </w:r>
          </w:p>
        </w:tc>
        <w:tc>
          <w:tcPr>
            <w:tcW w:w="1656" w:type="dxa"/>
            <w:tcBorders>
              <w:top w:val="nil"/>
              <w:left w:val="nil"/>
              <w:bottom w:val="nil"/>
              <w:right w:val="nil"/>
            </w:tcBorders>
          </w:tcPr>
          <w:p w14:paraId="49615E73"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5946</w:t>
            </w:r>
          </w:p>
        </w:tc>
      </w:tr>
      <w:tr w:rsidR="008015D8" w14:paraId="1908D093" w14:textId="77777777" w:rsidTr="00F16287">
        <w:tc>
          <w:tcPr>
            <w:tcW w:w="2616" w:type="dxa"/>
            <w:tcBorders>
              <w:top w:val="nil"/>
              <w:left w:val="nil"/>
              <w:bottom w:val="nil"/>
              <w:right w:val="nil"/>
            </w:tcBorders>
          </w:tcPr>
          <w:p w14:paraId="10A3D012"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Democracy Score (v2) (+10 coding)</w:t>
            </w:r>
          </w:p>
        </w:tc>
        <w:tc>
          <w:tcPr>
            <w:tcW w:w="1656" w:type="dxa"/>
            <w:tcBorders>
              <w:top w:val="nil"/>
              <w:left w:val="nil"/>
              <w:bottom w:val="nil"/>
              <w:right w:val="nil"/>
            </w:tcBorders>
          </w:tcPr>
          <w:p w14:paraId="7771F88F"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11.32542</w:t>
            </w:r>
          </w:p>
        </w:tc>
        <w:tc>
          <w:tcPr>
            <w:tcW w:w="1656" w:type="dxa"/>
            <w:tcBorders>
              <w:top w:val="nil"/>
              <w:left w:val="nil"/>
              <w:bottom w:val="nil"/>
              <w:right w:val="nil"/>
            </w:tcBorders>
          </w:tcPr>
          <w:p w14:paraId="6A5984BA"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7.343784</w:t>
            </w:r>
          </w:p>
        </w:tc>
        <w:tc>
          <w:tcPr>
            <w:tcW w:w="1656" w:type="dxa"/>
            <w:tcBorders>
              <w:top w:val="nil"/>
              <w:left w:val="nil"/>
              <w:bottom w:val="nil"/>
              <w:right w:val="nil"/>
            </w:tcBorders>
          </w:tcPr>
          <w:p w14:paraId="0745BA4D"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7498</w:t>
            </w:r>
          </w:p>
        </w:tc>
      </w:tr>
      <w:tr w:rsidR="008015D8" w14:paraId="7776DA5C" w14:textId="77777777" w:rsidTr="00F16287">
        <w:tc>
          <w:tcPr>
            <w:tcW w:w="2616" w:type="dxa"/>
            <w:tcBorders>
              <w:top w:val="nil"/>
              <w:left w:val="nil"/>
              <w:bottom w:val="nil"/>
              <w:right w:val="nil"/>
            </w:tcBorders>
          </w:tcPr>
          <w:p w14:paraId="02365E83"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GDP per capita</w:t>
            </w:r>
          </w:p>
        </w:tc>
        <w:tc>
          <w:tcPr>
            <w:tcW w:w="1656" w:type="dxa"/>
            <w:tcBorders>
              <w:top w:val="nil"/>
              <w:left w:val="nil"/>
              <w:bottom w:val="nil"/>
              <w:right w:val="nil"/>
            </w:tcBorders>
          </w:tcPr>
          <w:p w14:paraId="7AD4898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11644.17</w:t>
            </w:r>
          </w:p>
        </w:tc>
        <w:tc>
          <w:tcPr>
            <w:tcW w:w="1656" w:type="dxa"/>
            <w:tcBorders>
              <w:top w:val="nil"/>
              <w:left w:val="nil"/>
              <w:bottom w:val="nil"/>
              <w:right w:val="nil"/>
            </w:tcBorders>
          </w:tcPr>
          <w:p w14:paraId="46ACD3E4"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15425.2</w:t>
            </w:r>
          </w:p>
        </w:tc>
        <w:tc>
          <w:tcPr>
            <w:tcW w:w="1656" w:type="dxa"/>
            <w:tcBorders>
              <w:top w:val="nil"/>
              <w:left w:val="nil"/>
              <w:bottom w:val="nil"/>
              <w:right w:val="nil"/>
            </w:tcBorders>
          </w:tcPr>
          <w:p w14:paraId="6F49A61F"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7207</w:t>
            </w:r>
          </w:p>
        </w:tc>
      </w:tr>
      <w:tr w:rsidR="008015D8" w14:paraId="48A380B8" w14:textId="77777777" w:rsidTr="00F16287">
        <w:tc>
          <w:tcPr>
            <w:tcW w:w="2616" w:type="dxa"/>
            <w:tcBorders>
              <w:top w:val="nil"/>
              <w:left w:val="nil"/>
              <w:bottom w:val="nil"/>
              <w:right w:val="nil"/>
            </w:tcBorders>
          </w:tcPr>
          <w:p w14:paraId="25A3F93A"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Population total</w:t>
            </w:r>
          </w:p>
        </w:tc>
        <w:tc>
          <w:tcPr>
            <w:tcW w:w="1656" w:type="dxa"/>
            <w:tcBorders>
              <w:top w:val="nil"/>
              <w:left w:val="nil"/>
              <w:bottom w:val="nil"/>
              <w:right w:val="nil"/>
            </w:tcBorders>
          </w:tcPr>
          <w:p w14:paraId="1E9CFF03"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29396.92</w:t>
            </w:r>
          </w:p>
        </w:tc>
        <w:tc>
          <w:tcPr>
            <w:tcW w:w="1656" w:type="dxa"/>
            <w:tcBorders>
              <w:top w:val="nil"/>
              <w:left w:val="nil"/>
              <w:bottom w:val="nil"/>
              <w:right w:val="nil"/>
            </w:tcBorders>
          </w:tcPr>
          <w:p w14:paraId="07EFE0DF"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108078.6</w:t>
            </w:r>
          </w:p>
        </w:tc>
        <w:tc>
          <w:tcPr>
            <w:tcW w:w="1656" w:type="dxa"/>
            <w:tcBorders>
              <w:top w:val="nil"/>
              <w:left w:val="nil"/>
              <w:bottom w:val="nil"/>
              <w:right w:val="nil"/>
            </w:tcBorders>
          </w:tcPr>
          <w:p w14:paraId="18928921"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4771</w:t>
            </w:r>
          </w:p>
        </w:tc>
      </w:tr>
      <w:tr w:rsidR="008015D8" w14:paraId="315A8863" w14:textId="77777777" w:rsidTr="00F16287">
        <w:tc>
          <w:tcPr>
            <w:tcW w:w="2616" w:type="dxa"/>
            <w:tcBorders>
              <w:top w:val="nil"/>
              <w:left w:val="nil"/>
              <w:bottom w:val="nil"/>
              <w:right w:val="nil"/>
            </w:tcBorders>
          </w:tcPr>
          <w:p w14:paraId="438DE27E"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Civil war</w:t>
            </w:r>
          </w:p>
        </w:tc>
        <w:tc>
          <w:tcPr>
            <w:tcW w:w="1656" w:type="dxa"/>
            <w:tcBorders>
              <w:top w:val="nil"/>
              <w:left w:val="nil"/>
              <w:bottom w:val="nil"/>
              <w:right w:val="nil"/>
            </w:tcBorders>
          </w:tcPr>
          <w:p w14:paraId="3536D8D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.0853969</w:t>
            </w:r>
          </w:p>
        </w:tc>
        <w:tc>
          <w:tcPr>
            <w:tcW w:w="1656" w:type="dxa"/>
            <w:tcBorders>
              <w:top w:val="nil"/>
              <w:left w:val="nil"/>
              <w:bottom w:val="nil"/>
              <w:right w:val="nil"/>
            </w:tcBorders>
          </w:tcPr>
          <w:p w14:paraId="1429542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.2794969</w:t>
            </w:r>
          </w:p>
        </w:tc>
        <w:tc>
          <w:tcPr>
            <w:tcW w:w="1656" w:type="dxa"/>
            <w:tcBorders>
              <w:top w:val="nil"/>
              <w:left w:val="nil"/>
              <w:bottom w:val="nil"/>
              <w:right w:val="nil"/>
            </w:tcBorders>
          </w:tcPr>
          <w:p w14:paraId="108DF772"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5492</w:t>
            </w:r>
          </w:p>
        </w:tc>
      </w:tr>
      <w:tr w:rsidR="008015D8" w14:paraId="7639975B" w14:textId="77777777" w:rsidTr="00F16287">
        <w:tc>
          <w:tcPr>
            <w:tcW w:w="2616" w:type="dxa"/>
            <w:tcBorders>
              <w:top w:val="nil"/>
              <w:left w:val="nil"/>
              <w:bottom w:val="nil"/>
              <w:right w:val="nil"/>
            </w:tcBorders>
          </w:tcPr>
          <w:p w14:paraId="792F0BBD"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Armed conflict, internal</w:t>
            </w:r>
          </w:p>
        </w:tc>
        <w:tc>
          <w:tcPr>
            <w:tcW w:w="1656" w:type="dxa"/>
            <w:tcBorders>
              <w:top w:val="nil"/>
              <w:left w:val="nil"/>
              <w:bottom w:val="nil"/>
              <w:right w:val="nil"/>
            </w:tcBorders>
          </w:tcPr>
          <w:p w14:paraId="1CE24055"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.0520362</w:t>
            </w:r>
          </w:p>
        </w:tc>
        <w:tc>
          <w:tcPr>
            <w:tcW w:w="1656" w:type="dxa"/>
            <w:tcBorders>
              <w:top w:val="nil"/>
              <w:left w:val="nil"/>
              <w:bottom w:val="nil"/>
              <w:right w:val="nil"/>
            </w:tcBorders>
          </w:tcPr>
          <w:p w14:paraId="2ECABB4C"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.2221229</w:t>
            </w:r>
          </w:p>
        </w:tc>
        <w:tc>
          <w:tcPr>
            <w:tcW w:w="1656" w:type="dxa"/>
            <w:tcBorders>
              <w:top w:val="nil"/>
              <w:left w:val="nil"/>
              <w:bottom w:val="nil"/>
              <w:right w:val="nil"/>
            </w:tcBorders>
          </w:tcPr>
          <w:p w14:paraId="328011DA"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4862</w:t>
            </w:r>
          </w:p>
        </w:tc>
      </w:tr>
      <w:tr w:rsidR="008015D8" w14:paraId="5305F90C" w14:textId="77777777" w:rsidTr="00F16287">
        <w:tc>
          <w:tcPr>
            <w:tcW w:w="2616" w:type="dxa"/>
            <w:tcBorders>
              <w:top w:val="nil"/>
              <w:left w:val="nil"/>
              <w:bottom w:val="nil"/>
              <w:right w:val="nil"/>
            </w:tcBorders>
          </w:tcPr>
          <w:p w14:paraId="1A7082FC"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Coups </w:t>
            </w:r>
            <w:proofErr w:type="spellStart"/>
            <w:r>
              <w:rPr>
                <w:rFonts w:ascii="Times New Roman" w:hAnsi="Times New Roman" w:cs="Times New Roman"/>
                <w:sz w:val="24"/>
                <w:szCs w:val="24"/>
              </w:rPr>
              <w:t>d'etat</w:t>
            </w:r>
            <w:proofErr w:type="spellEnd"/>
          </w:p>
        </w:tc>
        <w:tc>
          <w:tcPr>
            <w:tcW w:w="1656" w:type="dxa"/>
            <w:tcBorders>
              <w:top w:val="nil"/>
              <w:left w:val="nil"/>
              <w:bottom w:val="nil"/>
              <w:right w:val="nil"/>
            </w:tcBorders>
          </w:tcPr>
          <w:p w14:paraId="695DBA03"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.0484171</w:t>
            </w:r>
          </w:p>
        </w:tc>
        <w:tc>
          <w:tcPr>
            <w:tcW w:w="1656" w:type="dxa"/>
            <w:tcBorders>
              <w:top w:val="nil"/>
              <w:left w:val="nil"/>
              <w:bottom w:val="nil"/>
              <w:right w:val="nil"/>
            </w:tcBorders>
          </w:tcPr>
          <w:p w14:paraId="4BB5F555"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.2808156</w:t>
            </w:r>
          </w:p>
        </w:tc>
        <w:tc>
          <w:tcPr>
            <w:tcW w:w="1656" w:type="dxa"/>
            <w:tcBorders>
              <w:top w:val="nil"/>
              <w:left w:val="nil"/>
              <w:bottom w:val="nil"/>
              <w:right w:val="nil"/>
            </w:tcBorders>
          </w:tcPr>
          <w:p w14:paraId="1E919B77"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8055</w:t>
            </w:r>
          </w:p>
        </w:tc>
      </w:tr>
      <w:tr w:rsidR="008015D8" w14:paraId="6FF8C0CE" w14:textId="77777777" w:rsidTr="00F16287">
        <w:tc>
          <w:tcPr>
            <w:tcW w:w="2616" w:type="dxa"/>
            <w:tcBorders>
              <w:top w:val="nil"/>
              <w:left w:val="nil"/>
              <w:bottom w:val="nil"/>
              <w:right w:val="nil"/>
            </w:tcBorders>
          </w:tcPr>
          <w:p w14:paraId="273032E1"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Aggregate GDP (V-Dem)</w:t>
            </w:r>
          </w:p>
        </w:tc>
        <w:tc>
          <w:tcPr>
            <w:tcW w:w="1656" w:type="dxa"/>
            <w:tcBorders>
              <w:top w:val="nil"/>
              <w:left w:val="nil"/>
              <w:bottom w:val="nil"/>
              <w:right w:val="nil"/>
            </w:tcBorders>
          </w:tcPr>
          <w:p w14:paraId="7F1C9C54"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2.47e+08</w:t>
            </w:r>
          </w:p>
        </w:tc>
        <w:tc>
          <w:tcPr>
            <w:tcW w:w="1656" w:type="dxa"/>
            <w:tcBorders>
              <w:top w:val="nil"/>
              <w:left w:val="nil"/>
              <w:bottom w:val="nil"/>
              <w:right w:val="nil"/>
            </w:tcBorders>
          </w:tcPr>
          <w:p w14:paraId="07A6445F"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8.36e+08</w:t>
            </w:r>
          </w:p>
        </w:tc>
        <w:tc>
          <w:tcPr>
            <w:tcW w:w="1656" w:type="dxa"/>
            <w:tcBorders>
              <w:top w:val="nil"/>
              <w:left w:val="nil"/>
              <w:bottom w:val="nil"/>
              <w:right w:val="nil"/>
            </w:tcBorders>
          </w:tcPr>
          <w:p w14:paraId="10999BC0"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4404</w:t>
            </w:r>
          </w:p>
        </w:tc>
      </w:tr>
      <w:tr w:rsidR="008015D8" w14:paraId="0EE45B2B" w14:textId="77777777" w:rsidTr="00F16287">
        <w:tc>
          <w:tcPr>
            <w:tcW w:w="2616" w:type="dxa"/>
            <w:tcBorders>
              <w:top w:val="nil"/>
              <w:left w:val="nil"/>
              <w:bottom w:val="nil"/>
              <w:right w:val="nil"/>
            </w:tcBorders>
          </w:tcPr>
          <w:p w14:paraId="3509978C"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Instability Event Indicator</w:t>
            </w:r>
          </w:p>
        </w:tc>
        <w:tc>
          <w:tcPr>
            <w:tcW w:w="1656" w:type="dxa"/>
            <w:tcBorders>
              <w:top w:val="nil"/>
              <w:left w:val="nil"/>
              <w:bottom w:val="nil"/>
              <w:right w:val="nil"/>
            </w:tcBorders>
          </w:tcPr>
          <w:p w14:paraId="4C07A150"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.3782051</w:t>
            </w:r>
          </w:p>
        </w:tc>
        <w:tc>
          <w:tcPr>
            <w:tcW w:w="1656" w:type="dxa"/>
            <w:tcBorders>
              <w:top w:val="nil"/>
              <w:left w:val="nil"/>
              <w:bottom w:val="nil"/>
              <w:right w:val="nil"/>
            </w:tcBorders>
          </w:tcPr>
          <w:p w14:paraId="5BC45087"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.4849812</w:t>
            </w:r>
          </w:p>
        </w:tc>
        <w:tc>
          <w:tcPr>
            <w:tcW w:w="1656" w:type="dxa"/>
            <w:tcBorders>
              <w:top w:val="nil"/>
              <w:left w:val="nil"/>
              <w:bottom w:val="nil"/>
              <w:right w:val="nil"/>
            </w:tcBorders>
          </w:tcPr>
          <w:p w14:paraId="15523C6A"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5772</w:t>
            </w:r>
          </w:p>
        </w:tc>
      </w:tr>
      <w:tr w:rsidR="008015D8" w14:paraId="37B0D2C3" w14:textId="77777777" w:rsidTr="00F16287">
        <w:tc>
          <w:tcPr>
            <w:tcW w:w="2616" w:type="dxa"/>
            <w:tcBorders>
              <w:top w:val="nil"/>
              <w:left w:val="nil"/>
              <w:bottom w:val="nil"/>
              <w:right w:val="nil"/>
            </w:tcBorders>
          </w:tcPr>
          <w:p w14:paraId="698A3DFC"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bv2elturnhog</w:t>
            </w:r>
          </w:p>
        </w:tc>
        <w:tc>
          <w:tcPr>
            <w:tcW w:w="1656" w:type="dxa"/>
            <w:tcBorders>
              <w:top w:val="nil"/>
              <w:left w:val="nil"/>
              <w:bottom w:val="nil"/>
              <w:right w:val="nil"/>
            </w:tcBorders>
          </w:tcPr>
          <w:p w14:paraId="7778E3AE"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.3441408</w:t>
            </w:r>
          </w:p>
        </w:tc>
        <w:tc>
          <w:tcPr>
            <w:tcW w:w="1656" w:type="dxa"/>
            <w:tcBorders>
              <w:top w:val="nil"/>
              <w:left w:val="nil"/>
              <w:bottom w:val="nil"/>
              <w:right w:val="nil"/>
            </w:tcBorders>
          </w:tcPr>
          <w:p w14:paraId="73C38311"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.4751973</w:t>
            </w:r>
          </w:p>
        </w:tc>
        <w:tc>
          <w:tcPr>
            <w:tcW w:w="1656" w:type="dxa"/>
            <w:tcBorders>
              <w:top w:val="nil"/>
              <w:left w:val="nil"/>
              <w:bottom w:val="nil"/>
              <w:right w:val="nil"/>
            </w:tcBorders>
          </w:tcPr>
          <w:p w14:paraId="2E8822EE"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2159</w:t>
            </w:r>
          </w:p>
        </w:tc>
      </w:tr>
      <w:tr w:rsidR="008015D8" w14:paraId="672C0EC5" w14:textId="77777777" w:rsidTr="00F16287">
        <w:tc>
          <w:tcPr>
            <w:tcW w:w="2616" w:type="dxa"/>
            <w:tcBorders>
              <w:top w:val="nil"/>
              <w:left w:val="nil"/>
              <w:bottom w:val="nil"/>
              <w:right w:val="nil"/>
            </w:tcBorders>
          </w:tcPr>
          <w:p w14:paraId="15925590"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bv2elturnhos</w:t>
            </w:r>
          </w:p>
        </w:tc>
        <w:tc>
          <w:tcPr>
            <w:tcW w:w="1656" w:type="dxa"/>
            <w:tcBorders>
              <w:top w:val="nil"/>
              <w:left w:val="nil"/>
              <w:bottom w:val="nil"/>
              <w:right w:val="nil"/>
            </w:tcBorders>
          </w:tcPr>
          <w:p w14:paraId="29E93D2C"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.2151782</w:t>
            </w:r>
          </w:p>
        </w:tc>
        <w:tc>
          <w:tcPr>
            <w:tcW w:w="1656" w:type="dxa"/>
            <w:tcBorders>
              <w:top w:val="nil"/>
              <w:left w:val="nil"/>
              <w:bottom w:val="nil"/>
              <w:right w:val="nil"/>
            </w:tcBorders>
          </w:tcPr>
          <w:p w14:paraId="73DC7BE0"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.411041</w:t>
            </w:r>
          </w:p>
        </w:tc>
        <w:tc>
          <w:tcPr>
            <w:tcW w:w="1656" w:type="dxa"/>
            <w:tcBorders>
              <w:top w:val="nil"/>
              <w:left w:val="nil"/>
              <w:bottom w:val="nil"/>
              <w:right w:val="nil"/>
            </w:tcBorders>
          </w:tcPr>
          <w:p w14:paraId="6C8937BC"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2161</w:t>
            </w:r>
          </w:p>
        </w:tc>
      </w:tr>
      <w:tr w:rsidR="008015D8" w14:paraId="5A0D1EBF" w14:textId="77777777" w:rsidTr="00F16287">
        <w:tc>
          <w:tcPr>
            <w:tcW w:w="2616" w:type="dxa"/>
            <w:tcBorders>
              <w:top w:val="nil"/>
              <w:left w:val="nil"/>
              <w:bottom w:val="nil"/>
              <w:right w:val="nil"/>
            </w:tcBorders>
          </w:tcPr>
          <w:p w14:paraId="203F95ED"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bv2eltvrig</w:t>
            </w:r>
          </w:p>
        </w:tc>
        <w:tc>
          <w:tcPr>
            <w:tcW w:w="1656" w:type="dxa"/>
            <w:tcBorders>
              <w:top w:val="nil"/>
              <w:left w:val="nil"/>
              <w:bottom w:val="nil"/>
              <w:right w:val="nil"/>
            </w:tcBorders>
          </w:tcPr>
          <w:p w14:paraId="42677053"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.4493927</w:t>
            </w:r>
          </w:p>
        </w:tc>
        <w:tc>
          <w:tcPr>
            <w:tcW w:w="1656" w:type="dxa"/>
            <w:tcBorders>
              <w:top w:val="nil"/>
              <w:left w:val="nil"/>
              <w:bottom w:val="nil"/>
              <w:right w:val="nil"/>
            </w:tcBorders>
          </w:tcPr>
          <w:p w14:paraId="154D0815"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.4975762</w:t>
            </w:r>
          </w:p>
        </w:tc>
        <w:tc>
          <w:tcPr>
            <w:tcW w:w="1656" w:type="dxa"/>
            <w:tcBorders>
              <w:top w:val="nil"/>
              <w:left w:val="nil"/>
              <w:bottom w:val="nil"/>
              <w:right w:val="nil"/>
            </w:tcBorders>
          </w:tcPr>
          <w:p w14:paraId="473BBEA2"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1729</w:t>
            </w:r>
          </w:p>
        </w:tc>
      </w:tr>
      <w:tr w:rsidR="008015D8" w14:paraId="26E90EC9" w14:textId="77777777" w:rsidTr="00F16287">
        <w:tc>
          <w:tcPr>
            <w:tcW w:w="2616" w:type="dxa"/>
            <w:tcBorders>
              <w:top w:val="nil"/>
              <w:left w:val="nil"/>
              <w:bottom w:val="nil"/>
              <w:right w:val="nil"/>
            </w:tcBorders>
          </w:tcPr>
          <w:p w14:paraId="446173AE"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be_wbgi_pve</w:t>
            </w:r>
            <w:proofErr w:type="spellEnd"/>
          </w:p>
        </w:tc>
        <w:tc>
          <w:tcPr>
            <w:tcW w:w="1656" w:type="dxa"/>
            <w:tcBorders>
              <w:top w:val="nil"/>
              <w:left w:val="nil"/>
              <w:bottom w:val="nil"/>
              <w:right w:val="nil"/>
            </w:tcBorders>
          </w:tcPr>
          <w:p w14:paraId="699FC26F"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.4661891</w:t>
            </w:r>
          </w:p>
        </w:tc>
        <w:tc>
          <w:tcPr>
            <w:tcW w:w="1656" w:type="dxa"/>
            <w:tcBorders>
              <w:top w:val="nil"/>
              <w:left w:val="nil"/>
              <w:bottom w:val="nil"/>
              <w:right w:val="nil"/>
            </w:tcBorders>
          </w:tcPr>
          <w:p w14:paraId="30F30F91"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.498927</w:t>
            </w:r>
          </w:p>
        </w:tc>
        <w:tc>
          <w:tcPr>
            <w:tcW w:w="1656" w:type="dxa"/>
            <w:tcBorders>
              <w:top w:val="nil"/>
              <w:left w:val="nil"/>
              <w:bottom w:val="nil"/>
              <w:right w:val="nil"/>
            </w:tcBorders>
          </w:tcPr>
          <w:p w14:paraId="77A8EF1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3490</w:t>
            </w:r>
          </w:p>
        </w:tc>
      </w:tr>
      <w:tr w:rsidR="008015D8" w14:paraId="0C9751C9" w14:textId="77777777" w:rsidTr="00F16287">
        <w:tc>
          <w:tcPr>
            <w:tcW w:w="2616" w:type="dxa"/>
            <w:tcBorders>
              <w:top w:val="nil"/>
              <w:left w:val="nil"/>
              <w:bottom w:val="nil"/>
              <w:right w:val="nil"/>
            </w:tcBorders>
          </w:tcPr>
          <w:p w14:paraId="55E90F28"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b2v2elturnhog</w:t>
            </w:r>
          </w:p>
        </w:tc>
        <w:tc>
          <w:tcPr>
            <w:tcW w:w="1656" w:type="dxa"/>
            <w:tcBorders>
              <w:top w:val="nil"/>
              <w:left w:val="nil"/>
              <w:bottom w:val="nil"/>
              <w:right w:val="nil"/>
            </w:tcBorders>
          </w:tcPr>
          <w:p w14:paraId="68F75F13"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.2677165</w:t>
            </w:r>
          </w:p>
        </w:tc>
        <w:tc>
          <w:tcPr>
            <w:tcW w:w="1656" w:type="dxa"/>
            <w:tcBorders>
              <w:top w:val="nil"/>
              <w:left w:val="nil"/>
              <w:bottom w:val="nil"/>
              <w:right w:val="nil"/>
            </w:tcBorders>
          </w:tcPr>
          <w:p w14:paraId="75074B2B"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.4428716</w:t>
            </w:r>
          </w:p>
        </w:tc>
        <w:tc>
          <w:tcPr>
            <w:tcW w:w="1656" w:type="dxa"/>
            <w:tcBorders>
              <w:top w:val="nil"/>
              <w:left w:val="nil"/>
              <w:bottom w:val="nil"/>
              <w:right w:val="nil"/>
            </w:tcBorders>
          </w:tcPr>
          <w:p w14:paraId="33DBA6B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2159</w:t>
            </w:r>
          </w:p>
        </w:tc>
      </w:tr>
      <w:tr w:rsidR="008015D8" w14:paraId="55A06800" w14:textId="77777777" w:rsidTr="00F16287">
        <w:tc>
          <w:tcPr>
            <w:tcW w:w="2616" w:type="dxa"/>
            <w:tcBorders>
              <w:top w:val="nil"/>
              <w:left w:val="nil"/>
              <w:bottom w:val="nil"/>
              <w:right w:val="nil"/>
            </w:tcBorders>
          </w:tcPr>
          <w:p w14:paraId="2429524E"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b2v2elturnhos</w:t>
            </w:r>
          </w:p>
        </w:tc>
        <w:tc>
          <w:tcPr>
            <w:tcW w:w="1656" w:type="dxa"/>
            <w:tcBorders>
              <w:top w:val="nil"/>
              <w:left w:val="nil"/>
              <w:bottom w:val="nil"/>
              <w:right w:val="nil"/>
            </w:tcBorders>
          </w:tcPr>
          <w:p w14:paraId="60473C59"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.1568718</w:t>
            </w:r>
          </w:p>
        </w:tc>
        <w:tc>
          <w:tcPr>
            <w:tcW w:w="1656" w:type="dxa"/>
            <w:tcBorders>
              <w:top w:val="nil"/>
              <w:left w:val="nil"/>
              <w:bottom w:val="nil"/>
              <w:right w:val="nil"/>
            </w:tcBorders>
          </w:tcPr>
          <w:p w14:paraId="27E2FD2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.363764</w:t>
            </w:r>
          </w:p>
        </w:tc>
        <w:tc>
          <w:tcPr>
            <w:tcW w:w="1656" w:type="dxa"/>
            <w:tcBorders>
              <w:top w:val="nil"/>
              <w:left w:val="nil"/>
              <w:bottom w:val="nil"/>
              <w:right w:val="nil"/>
            </w:tcBorders>
          </w:tcPr>
          <w:p w14:paraId="4A1653FA"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2161</w:t>
            </w:r>
          </w:p>
        </w:tc>
      </w:tr>
      <w:tr w:rsidR="008015D8" w14:paraId="1D2C3905" w14:textId="77777777" w:rsidTr="00F16287">
        <w:tc>
          <w:tcPr>
            <w:tcW w:w="2616" w:type="dxa"/>
            <w:tcBorders>
              <w:top w:val="nil"/>
              <w:left w:val="nil"/>
              <w:bottom w:val="nil"/>
              <w:right w:val="nil"/>
            </w:tcBorders>
          </w:tcPr>
          <w:p w14:paraId="05C29B19"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b2v2eltvrig</w:t>
            </w:r>
          </w:p>
        </w:tc>
        <w:tc>
          <w:tcPr>
            <w:tcW w:w="1656" w:type="dxa"/>
            <w:tcBorders>
              <w:top w:val="nil"/>
              <w:left w:val="nil"/>
              <w:bottom w:val="nil"/>
              <w:right w:val="nil"/>
            </w:tcBorders>
          </w:tcPr>
          <w:p w14:paraId="15C4D26B"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.2377097</w:t>
            </w:r>
          </w:p>
        </w:tc>
        <w:tc>
          <w:tcPr>
            <w:tcW w:w="1656" w:type="dxa"/>
            <w:tcBorders>
              <w:top w:val="nil"/>
              <w:left w:val="nil"/>
              <w:bottom w:val="nil"/>
              <w:right w:val="nil"/>
            </w:tcBorders>
          </w:tcPr>
          <w:p w14:paraId="3AC91F8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.4258035</w:t>
            </w:r>
          </w:p>
        </w:tc>
        <w:tc>
          <w:tcPr>
            <w:tcW w:w="1656" w:type="dxa"/>
            <w:tcBorders>
              <w:top w:val="nil"/>
              <w:left w:val="nil"/>
              <w:bottom w:val="nil"/>
              <w:right w:val="nil"/>
            </w:tcBorders>
          </w:tcPr>
          <w:p w14:paraId="50CB2A8D"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1729</w:t>
            </w:r>
          </w:p>
        </w:tc>
      </w:tr>
      <w:tr w:rsidR="008015D8" w14:paraId="277636E0" w14:textId="77777777" w:rsidTr="00F16287">
        <w:tc>
          <w:tcPr>
            <w:tcW w:w="2616" w:type="dxa"/>
            <w:tcBorders>
              <w:top w:val="nil"/>
              <w:left w:val="nil"/>
              <w:bottom w:val="nil"/>
              <w:right w:val="nil"/>
            </w:tcBorders>
          </w:tcPr>
          <w:p w14:paraId="44942778"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mwbgi</w:t>
            </w:r>
            <w:proofErr w:type="spellEnd"/>
          </w:p>
        </w:tc>
        <w:tc>
          <w:tcPr>
            <w:tcW w:w="1656" w:type="dxa"/>
            <w:tcBorders>
              <w:top w:val="nil"/>
              <w:left w:val="nil"/>
              <w:bottom w:val="nil"/>
              <w:right w:val="nil"/>
            </w:tcBorders>
          </w:tcPr>
          <w:p w14:paraId="02BAF858"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-.0815</w:t>
            </w:r>
          </w:p>
        </w:tc>
        <w:tc>
          <w:tcPr>
            <w:tcW w:w="1656" w:type="dxa"/>
            <w:tcBorders>
              <w:top w:val="nil"/>
              <w:left w:val="nil"/>
              <w:bottom w:val="nil"/>
              <w:right w:val="nil"/>
            </w:tcBorders>
          </w:tcPr>
          <w:p w14:paraId="59D601F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02162AD7"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8454</w:t>
            </w:r>
          </w:p>
        </w:tc>
      </w:tr>
      <w:tr w:rsidR="008015D8" w14:paraId="05902A99" w14:textId="77777777" w:rsidTr="00F16287">
        <w:tc>
          <w:tcPr>
            <w:tcW w:w="2616" w:type="dxa"/>
            <w:tcBorders>
              <w:top w:val="nil"/>
              <w:left w:val="nil"/>
              <w:bottom w:val="nil"/>
              <w:right w:val="nil"/>
            </w:tcBorders>
          </w:tcPr>
          <w:p w14:paraId="7D23EEC3"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b2e_wbgi_pve</w:t>
            </w:r>
          </w:p>
        </w:tc>
        <w:tc>
          <w:tcPr>
            <w:tcW w:w="1656" w:type="dxa"/>
            <w:tcBorders>
              <w:top w:val="nil"/>
              <w:left w:val="nil"/>
              <w:bottom w:val="nil"/>
              <w:right w:val="nil"/>
            </w:tcBorders>
          </w:tcPr>
          <w:p w14:paraId="668BB94E"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656" w:type="dxa"/>
            <w:tcBorders>
              <w:top w:val="nil"/>
              <w:left w:val="nil"/>
              <w:bottom w:val="nil"/>
              <w:right w:val="nil"/>
            </w:tcBorders>
          </w:tcPr>
          <w:p w14:paraId="1950D8F4"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.5000716</w:t>
            </w:r>
          </w:p>
        </w:tc>
        <w:tc>
          <w:tcPr>
            <w:tcW w:w="1656" w:type="dxa"/>
            <w:tcBorders>
              <w:top w:val="nil"/>
              <w:left w:val="nil"/>
              <w:bottom w:val="nil"/>
              <w:right w:val="nil"/>
            </w:tcBorders>
          </w:tcPr>
          <w:p w14:paraId="4D9FC688"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3490</w:t>
            </w:r>
          </w:p>
        </w:tc>
      </w:tr>
      <w:tr w:rsidR="008015D8" w14:paraId="011F1CA6" w14:textId="77777777" w:rsidTr="00F16287">
        <w:tc>
          <w:tcPr>
            <w:tcW w:w="2616" w:type="dxa"/>
            <w:tcBorders>
              <w:top w:val="nil"/>
              <w:left w:val="nil"/>
              <w:bottom w:val="nil"/>
              <w:right w:val="nil"/>
            </w:tcBorders>
          </w:tcPr>
          <w:p w14:paraId="06BEE53C"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cowcode</w:t>
            </w:r>
            <w:proofErr w:type="spellEnd"/>
          </w:p>
        </w:tc>
        <w:tc>
          <w:tcPr>
            <w:tcW w:w="1656" w:type="dxa"/>
            <w:tcBorders>
              <w:top w:val="nil"/>
              <w:left w:val="nil"/>
              <w:bottom w:val="nil"/>
              <w:right w:val="nil"/>
            </w:tcBorders>
          </w:tcPr>
          <w:p w14:paraId="646CE45E"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451.1118</w:t>
            </w:r>
          </w:p>
        </w:tc>
        <w:tc>
          <w:tcPr>
            <w:tcW w:w="1656" w:type="dxa"/>
            <w:tcBorders>
              <w:top w:val="nil"/>
              <w:left w:val="nil"/>
              <w:bottom w:val="nil"/>
              <w:right w:val="nil"/>
            </w:tcBorders>
          </w:tcPr>
          <w:p w14:paraId="4081E57B"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254.6708</w:t>
            </w:r>
          </w:p>
        </w:tc>
        <w:tc>
          <w:tcPr>
            <w:tcW w:w="1656" w:type="dxa"/>
            <w:tcBorders>
              <w:top w:val="nil"/>
              <w:left w:val="nil"/>
              <w:bottom w:val="nil"/>
              <w:right w:val="nil"/>
            </w:tcBorders>
          </w:tcPr>
          <w:p w14:paraId="524D78C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6859</w:t>
            </w:r>
          </w:p>
        </w:tc>
      </w:tr>
      <w:tr w:rsidR="008015D8" w14:paraId="632932F0" w14:textId="77777777" w:rsidTr="00F16287">
        <w:tc>
          <w:tcPr>
            <w:tcW w:w="2616" w:type="dxa"/>
            <w:tcBorders>
              <w:top w:val="nil"/>
              <w:left w:val="nil"/>
              <w:bottom w:val="nil"/>
              <w:right w:val="nil"/>
            </w:tcBorders>
          </w:tcPr>
          <w:p w14:paraId="219AC22E"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ccodewb</w:t>
            </w:r>
            <w:proofErr w:type="spellEnd"/>
          </w:p>
        </w:tc>
        <w:tc>
          <w:tcPr>
            <w:tcW w:w="1656" w:type="dxa"/>
            <w:tcBorders>
              <w:top w:val="nil"/>
              <w:left w:val="nil"/>
              <w:bottom w:val="nil"/>
              <w:right w:val="nil"/>
            </w:tcBorders>
          </w:tcPr>
          <w:p w14:paraId="49182931"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433.6191</w:t>
            </w:r>
          </w:p>
        </w:tc>
        <w:tc>
          <w:tcPr>
            <w:tcW w:w="1656" w:type="dxa"/>
            <w:tcBorders>
              <w:top w:val="nil"/>
              <w:left w:val="nil"/>
              <w:bottom w:val="nil"/>
              <w:right w:val="nil"/>
            </w:tcBorders>
          </w:tcPr>
          <w:p w14:paraId="3EF110E8"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257.3641</w:t>
            </w:r>
          </w:p>
        </w:tc>
        <w:tc>
          <w:tcPr>
            <w:tcW w:w="1656" w:type="dxa"/>
            <w:tcBorders>
              <w:top w:val="nil"/>
              <w:left w:val="nil"/>
              <w:bottom w:val="nil"/>
              <w:right w:val="nil"/>
            </w:tcBorders>
          </w:tcPr>
          <w:p w14:paraId="41227D2E"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6803</w:t>
            </w:r>
          </w:p>
        </w:tc>
      </w:tr>
      <w:tr w:rsidR="008015D8" w14:paraId="0F0ED852" w14:textId="77777777" w:rsidTr="00F16287">
        <w:tc>
          <w:tcPr>
            <w:tcW w:w="2616" w:type="dxa"/>
            <w:tcBorders>
              <w:top w:val="nil"/>
              <w:left w:val="nil"/>
              <w:bottom w:val="nil"/>
              <w:right w:val="nil"/>
            </w:tcBorders>
          </w:tcPr>
          <w:p w14:paraId="3E940A3D"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CB creation</w:t>
            </w:r>
          </w:p>
        </w:tc>
        <w:tc>
          <w:tcPr>
            <w:tcW w:w="1656" w:type="dxa"/>
            <w:tcBorders>
              <w:top w:val="nil"/>
              <w:left w:val="nil"/>
              <w:bottom w:val="nil"/>
              <w:right w:val="nil"/>
            </w:tcBorders>
          </w:tcPr>
          <w:p w14:paraId="505992F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.0094312</w:t>
            </w:r>
          </w:p>
        </w:tc>
        <w:tc>
          <w:tcPr>
            <w:tcW w:w="1656" w:type="dxa"/>
            <w:tcBorders>
              <w:top w:val="nil"/>
              <w:left w:val="nil"/>
              <w:bottom w:val="nil"/>
              <w:right w:val="nil"/>
            </w:tcBorders>
          </w:tcPr>
          <w:p w14:paraId="1767C82D"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.0966624</w:t>
            </w:r>
          </w:p>
        </w:tc>
        <w:tc>
          <w:tcPr>
            <w:tcW w:w="1656" w:type="dxa"/>
            <w:tcBorders>
              <w:top w:val="nil"/>
              <w:left w:val="nil"/>
              <w:bottom w:val="nil"/>
              <w:right w:val="nil"/>
            </w:tcBorders>
          </w:tcPr>
          <w:p w14:paraId="037733E7"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6786</w:t>
            </w:r>
          </w:p>
        </w:tc>
      </w:tr>
      <w:tr w:rsidR="008015D8" w14:paraId="2644339B" w14:textId="77777777" w:rsidTr="00F16287">
        <w:tc>
          <w:tcPr>
            <w:tcW w:w="2616" w:type="dxa"/>
            <w:tcBorders>
              <w:top w:val="nil"/>
              <w:left w:val="nil"/>
              <w:bottom w:val="nil"/>
              <w:right w:val="nil"/>
            </w:tcBorders>
          </w:tcPr>
          <w:p w14:paraId="478D8C7E"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CB reform</w:t>
            </w:r>
          </w:p>
        </w:tc>
        <w:tc>
          <w:tcPr>
            <w:tcW w:w="1656" w:type="dxa"/>
            <w:tcBorders>
              <w:top w:val="nil"/>
              <w:left w:val="nil"/>
              <w:bottom w:val="nil"/>
              <w:right w:val="nil"/>
            </w:tcBorders>
          </w:tcPr>
          <w:p w14:paraId="1C539B49"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.057766</w:t>
            </w:r>
          </w:p>
        </w:tc>
        <w:tc>
          <w:tcPr>
            <w:tcW w:w="1656" w:type="dxa"/>
            <w:tcBorders>
              <w:top w:val="nil"/>
              <w:left w:val="nil"/>
              <w:bottom w:val="nil"/>
              <w:right w:val="nil"/>
            </w:tcBorders>
          </w:tcPr>
          <w:p w14:paraId="4E790D5F"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.2333176</w:t>
            </w:r>
          </w:p>
        </w:tc>
        <w:tc>
          <w:tcPr>
            <w:tcW w:w="1656" w:type="dxa"/>
            <w:tcBorders>
              <w:top w:val="nil"/>
              <w:left w:val="nil"/>
              <w:bottom w:val="nil"/>
              <w:right w:val="nil"/>
            </w:tcBorders>
          </w:tcPr>
          <w:p w14:paraId="1502C4CA"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6786</w:t>
            </w:r>
          </w:p>
        </w:tc>
      </w:tr>
      <w:tr w:rsidR="008015D8" w14:paraId="28E69242" w14:textId="77777777" w:rsidTr="00F16287">
        <w:tc>
          <w:tcPr>
            <w:tcW w:w="2616" w:type="dxa"/>
            <w:tcBorders>
              <w:top w:val="nil"/>
              <w:left w:val="nil"/>
              <w:bottom w:val="nil"/>
              <w:right w:val="nil"/>
            </w:tcBorders>
          </w:tcPr>
          <w:p w14:paraId="217C79F5"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CBI  reform direction</w:t>
            </w:r>
          </w:p>
        </w:tc>
        <w:tc>
          <w:tcPr>
            <w:tcW w:w="1656" w:type="dxa"/>
            <w:tcBorders>
              <w:top w:val="nil"/>
              <w:left w:val="nil"/>
              <w:bottom w:val="nil"/>
              <w:right w:val="nil"/>
            </w:tcBorders>
          </w:tcPr>
          <w:p w14:paraId="3F5F6BC5"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.0344878</w:t>
            </w:r>
          </w:p>
        </w:tc>
        <w:tc>
          <w:tcPr>
            <w:tcW w:w="1656" w:type="dxa"/>
            <w:tcBorders>
              <w:top w:val="nil"/>
              <w:left w:val="nil"/>
              <w:bottom w:val="nil"/>
              <w:right w:val="nil"/>
            </w:tcBorders>
          </w:tcPr>
          <w:p w14:paraId="4AB62E25"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.2258141</w:t>
            </w:r>
          </w:p>
        </w:tc>
        <w:tc>
          <w:tcPr>
            <w:tcW w:w="1656" w:type="dxa"/>
            <w:tcBorders>
              <w:top w:val="nil"/>
              <w:left w:val="nil"/>
              <w:bottom w:val="nil"/>
              <w:right w:val="nil"/>
            </w:tcBorders>
          </w:tcPr>
          <w:p w14:paraId="4A152984"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6785</w:t>
            </w:r>
          </w:p>
        </w:tc>
      </w:tr>
      <w:tr w:rsidR="008015D8" w14:paraId="73DBCF9F" w14:textId="77777777" w:rsidTr="00F16287">
        <w:tc>
          <w:tcPr>
            <w:tcW w:w="2616" w:type="dxa"/>
            <w:tcBorders>
              <w:top w:val="nil"/>
              <w:left w:val="nil"/>
              <w:bottom w:val="nil"/>
              <w:right w:val="nil"/>
            </w:tcBorders>
          </w:tcPr>
          <w:p w14:paraId="3085B7A2"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CBI increase</w:t>
            </w:r>
          </w:p>
        </w:tc>
        <w:tc>
          <w:tcPr>
            <w:tcW w:w="1656" w:type="dxa"/>
            <w:tcBorders>
              <w:top w:val="nil"/>
              <w:left w:val="nil"/>
              <w:bottom w:val="nil"/>
              <w:right w:val="nil"/>
            </w:tcBorders>
          </w:tcPr>
          <w:p w14:paraId="14E28A89"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.0433309</w:t>
            </w:r>
          </w:p>
        </w:tc>
        <w:tc>
          <w:tcPr>
            <w:tcW w:w="1656" w:type="dxa"/>
            <w:tcBorders>
              <w:top w:val="nil"/>
              <w:left w:val="nil"/>
              <w:bottom w:val="nil"/>
              <w:right w:val="nil"/>
            </w:tcBorders>
          </w:tcPr>
          <w:p w14:paraId="51E9649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.2036159</w:t>
            </w:r>
          </w:p>
        </w:tc>
        <w:tc>
          <w:tcPr>
            <w:tcW w:w="1656" w:type="dxa"/>
            <w:tcBorders>
              <w:top w:val="nil"/>
              <w:left w:val="nil"/>
              <w:bottom w:val="nil"/>
              <w:right w:val="nil"/>
            </w:tcBorders>
          </w:tcPr>
          <w:p w14:paraId="01C4BEE4"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6785</w:t>
            </w:r>
          </w:p>
        </w:tc>
      </w:tr>
      <w:tr w:rsidR="008015D8" w14:paraId="002BF57F" w14:textId="77777777" w:rsidTr="00F16287">
        <w:tc>
          <w:tcPr>
            <w:tcW w:w="2616" w:type="dxa"/>
            <w:tcBorders>
              <w:top w:val="nil"/>
              <w:left w:val="nil"/>
              <w:bottom w:val="nil"/>
              <w:right w:val="nil"/>
            </w:tcBorders>
          </w:tcPr>
          <w:p w14:paraId="52B8F9B4"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CBI decrease</w:t>
            </w:r>
          </w:p>
        </w:tc>
        <w:tc>
          <w:tcPr>
            <w:tcW w:w="1656" w:type="dxa"/>
            <w:tcBorders>
              <w:top w:val="nil"/>
              <w:left w:val="nil"/>
              <w:bottom w:val="nil"/>
              <w:right w:val="nil"/>
            </w:tcBorders>
          </w:tcPr>
          <w:p w14:paraId="1D505160"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.008843</w:t>
            </w:r>
          </w:p>
        </w:tc>
        <w:tc>
          <w:tcPr>
            <w:tcW w:w="1656" w:type="dxa"/>
            <w:tcBorders>
              <w:top w:val="nil"/>
              <w:left w:val="nil"/>
              <w:bottom w:val="nil"/>
              <w:right w:val="nil"/>
            </w:tcBorders>
          </w:tcPr>
          <w:p w14:paraId="2D4E8154"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.0936276</w:t>
            </w:r>
          </w:p>
        </w:tc>
        <w:tc>
          <w:tcPr>
            <w:tcW w:w="1656" w:type="dxa"/>
            <w:tcBorders>
              <w:top w:val="nil"/>
              <w:left w:val="nil"/>
              <w:bottom w:val="nil"/>
              <w:right w:val="nil"/>
            </w:tcBorders>
          </w:tcPr>
          <w:p w14:paraId="37C448DC"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6785</w:t>
            </w:r>
          </w:p>
        </w:tc>
      </w:tr>
      <w:tr w:rsidR="008015D8" w14:paraId="2D11E806" w14:textId="77777777" w:rsidTr="00F16287">
        <w:tc>
          <w:tcPr>
            <w:tcW w:w="2616" w:type="dxa"/>
            <w:tcBorders>
              <w:top w:val="nil"/>
              <w:left w:val="nil"/>
              <w:bottom w:val="nil"/>
              <w:right w:val="nil"/>
            </w:tcBorders>
          </w:tcPr>
          <w:p w14:paraId="3175A6E2"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Regional central bank</w:t>
            </w:r>
          </w:p>
        </w:tc>
        <w:tc>
          <w:tcPr>
            <w:tcW w:w="1656" w:type="dxa"/>
            <w:tcBorders>
              <w:top w:val="nil"/>
              <w:left w:val="nil"/>
              <w:bottom w:val="nil"/>
              <w:right w:val="nil"/>
            </w:tcBorders>
          </w:tcPr>
          <w:p w14:paraId="09900A37"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.1374889</w:t>
            </w:r>
          </w:p>
        </w:tc>
        <w:tc>
          <w:tcPr>
            <w:tcW w:w="1656" w:type="dxa"/>
            <w:tcBorders>
              <w:top w:val="nil"/>
              <w:left w:val="nil"/>
              <w:bottom w:val="nil"/>
              <w:right w:val="nil"/>
            </w:tcBorders>
          </w:tcPr>
          <w:p w14:paraId="75E4A73C"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.3443882</w:t>
            </w:r>
          </w:p>
        </w:tc>
        <w:tc>
          <w:tcPr>
            <w:tcW w:w="1656" w:type="dxa"/>
            <w:tcBorders>
              <w:top w:val="nil"/>
              <w:left w:val="nil"/>
              <w:bottom w:val="nil"/>
              <w:right w:val="nil"/>
            </w:tcBorders>
          </w:tcPr>
          <w:p w14:paraId="5FF09F08"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6786</w:t>
            </w:r>
          </w:p>
        </w:tc>
      </w:tr>
      <w:tr w:rsidR="008015D8" w14:paraId="7FA83A96" w14:textId="77777777" w:rsidTr="00F16287">
        <w:tc>
          <w:tcPr>
            <w:tcW w:w="2616" w:type="dxa"/>
            <w:tcBorders>
              <w:top w:val="nil"/>
              <w:left w:val="nil"/>
              <w:bottom w:val="nil"/>
              <w:right w:val="nil"/>
            </w:tcBorders>
          </w:tcPr>
          <w:p w14:paraId="22FEFA29"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CBI </w:t>
            </w:r>
            <w:proofErr w:type="spellStart"/>
            <w:r>
              <w:rPr>
                <w:rFonts w:ascii="Times New Roman" w:hAnsi="Times New Roman" w:cs="Times New Roman"/>
                <w:sz w:val="24"/>
                <w:szCs w:val="24"/>
              </w:rPr>
              <w:t>Garriga</w:t>
            </w:r>
            <w:proofErr w:type="spellEnd"/>
            <w:r>
              <w:rPr>
                <w:rFonts w:ascii="Times New Roman" w:hAnsi="Times New Roman" w:cs="Times New Roman"/>
                <w:sz w:val="24"/>
                <w:szCs w:val="24"/>
              </w:rPr>
              <w:t xml:space="preserve"> (raw average)</w:t>
            </w:r>
          </w:p>
        </w:tc>
        <w:tc>
          <w:tcPr>
            <w:tcW w:w="1656" w:type="dxa"/>
            <w:tcBorders>
              <w:top w:val="nil"/>
              <w:left w:val="nil"/>
              <w:bottom w:val="nil"/>
              <w:right w:val="nil"/>
            </w:tcBorders>
          </w:tcPr>
          <w:p w14:paraId="2ACFB16A"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.474866</w:t>
            </w:r>
          </w:p>
        </w:tc>
        <w:tc>
          <w:tcPr>
            <w:tcW w:w="1656" w:type="dxa"/>
            <w:tcBorders>
              <w:top w:val="nil"/>
              <w:left w:val="nil"/>
              <w:bottom w:val="nil"/>
              <w:right w:val="nil"/>
            </w:tcBorders>
          </w:tcPr>
          <w:p w14:paraId="7CD6040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.1850039</w:t>
            </w:r>
          </w:p>
        </w:tc>
        <w:tc>
          <w:tcPr>
            <w:tcW w:w="1656" w:type="dxa"/>
            <w:tcBorders>
              <w:top w:val="nil"/>
              <w:left w:val="nil"/>
              <w:bottom w:val="nil"/>
              <w:right w:val="nil"/>
            </w:tcBorders>
          </w:tcPr>
          <w:p w14:paraId="39655630"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5866</w:t>
            </w:r>
          </w:p>
        </w:tc>
      </w:tr>
      <w:tr w:rsidR="008015D8" w14:paraId="7DD0A03D" w14:textId="77777777" w:rsidTr="00F16287">
        <w:tc>
          <w:tcPr>
            <w:tcW w:w="2616" w:type="dxa"/>
            <w:tcBorders>
              <w:top w:val="nil"/>
              <w:left w:val="nil"/>
              <w:bottom w:val="nil"/>
              <w:right w:val="nil"/>
            </w:tcBorders>
          </w:tcPr>
          <w:p w14:paraId="73DC93CF" w14:textId="77777777" w:rsidR="008015D8" w:rsidRPr="001D3145" w:rsidRDefault="008015D8" w:rsidP="00F16287">
            <w:pPr>
              <w:widowControl w:val="0"/>
              <w:autoSpaceDE w:val="0"/>
              <w:autoSpaceDN w:val="0"/>
              <w:adjustRightInd w:val="0"/>
              <w:spacing w:after="0" w:line="240" w:lineRule="auto"/>
              <w:rPr>
                <w:rFonts w:ascii="Times New Roman" w:hAnsi="Times New Roman" w:cs="Times New Roman"/>
                <w:sz w:val="24"/>
                <w:szCs w:val="24"/>
                <w:lang w:val="fr-BE"/>
              </w:rPr>
            </w:pPr>
            <w:r w:rsidRPr="001D3145">
              <w:rPr>
                <w:rFonts w:ascii="Times New Roman" w:hAnsi="Times New Roman" w:cs="Times New Roman"/>
                <w:sz w:val="24"/>
                <w:szCs w:val="24"/>
                <w:lang w:val="fr-BE"/>
              </w:rPr>
              <w:t>De Jure CBI (CNW Index)</w:t>
            </w:r>
          </w:p>
        </w:tc>
        <w:tc>
          <w:tcPr>
            <w:tcW w:w="1656" w:type="dxa"/>
            <w:tcBorders>
              <w:top w:val="nil"/>
              <w:left w:val="nil"/>
              <w:bottom w:val="nil"/>
              <w:right w:val="nil"/>
            </w:tcBorders>
          </w:tcPr>
          <w:p w14:paraId="701F6E32"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.472807</w:t>
            </w:r>
          </w:p>
        </w:tc>
        <w:tc>
          <w:tcPr>
            <w:tcW w:w="1656" w:type="dxa"/>
            <w:tcBorders>
              <w:top w:val="nil"/>
              <w:left w:val="nil"/>
              <w:bottom w:val="nil"/>
              <w:right w:val="nil"/>
            </w:tcBorders>
          </w:tcPr>
          <w:p w14:paraId="00D37A11"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.1911018</w:t>
            </w:r>
          </w:p>
        </w:tc>
        <w:tc>
          <w:tcPr>
            <w:tcW w:w="1656" w:type="dxa"/>
            <w:tcBorders>
              <w:top w:val="nil"/>
              <w:left w:val="nil"/>
              <w:bottom w:val="nil"/>
              <w:right w:val="nil"/>
            </w:tcBorders>
          </w:tcPr>
          <w:p w14:paraId="4BFE8211"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5866</w:t>
            </w:r>
          </w:p>
        </w:tc>
      </w:tr>
      <w:tr w:rsidR="008015D8" w14:paraId="29A7294A" w14:textId="77777777" w:rsidTr="00F16287">
        <w:tc>
          <w:tcPr>
            <w:tcW w:w="2616" w:type="dxa"/>
            <w:tcBorders>
              <w:top w:val="nil"/>
              <w:left w:val="nil"/>
              <w:bottom w:val="nil"/>
              <w:right w:val="nil"/>
            </w:tcBorders>
          </w:tcPr>
          <w:p w14:paraId="47A03633"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Component 1: CB CEO (0.20)</w:t>
            </w:r>
          </w:p>
        </w:tc>
        <w:tc>
          <w:tcPr>
            <w:tcW w:w="1656" w:type="dxa"/>
            <w:tcBorders>
              <w:top w:val="nil"/>
              <w:left w:val="nil"/>
              <w:bottom w:val="nil"/>
              <w:right w:val="nil"/>
            </w:tcBorders>
          </w:tcPr>
          <w:p w14:paraId="684C2E0C"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.5496134</w:t>
            </w:r>
          </w:p>
        </w:tc>
        <w:tc>
          <w:tcPr>
            <w:tcW w:w="1656" w:type="dxa"/>
            <w:tcBorders>
              <w:top w:val="nil"/>
              <w:left w:val="nil"/>
              <w:bottom w:val="nil"/>
              <w:right w:val="nil"/>
            </w:tcBorders>
          </w:tcPr>
          <w:p w14:paraId="4D8F754D"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.2078907</w:t>
            </w:r>
          </w:p>
        </w:tc>
        <w:tc>
          <w:tcPr>
            <w:tcW w:w="1656" w:type="dxa"/>
            <w:tcBorders>
              <w:top w:val="nil"/>
              <w:left w:val="nil"/>
              <w:bottom w:val="nil"/>
              <w:right w:val="nil"/>
            </w:tcBorders>
          </w:tcPr>
          <w:p w14:paraId="1393D6E1"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5866</w:t>
            </w:r>
          </w:p>
        </w:tc>
      </w:tr>
      <w:tr w:rsidR="008015D8" w14:paraId="7229C3D4" w14:textId="77777777" w:rsidTr="00F16287">
        <w:tc>
          <w:tcPr>
            <w:tcW w:w="2616" w:type="dxa"/>
            <w:tcBorders>
              <w:top w:val="nil"/>
              <w:left w:val="nil"/>
              <w:bottom w:val="nil"/>
              <w:right w:val="nil"/>
            </w:tcBorders>
          </w:tcPr>
          <w:p w14:paraId="0CE7D487"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Component 2: CB objectives (0.15)</w:t>
            </w:r>
          </w:p>
        </w:tc>
        <w:tc>
          <w:tcPr>
            <w:tcW w:w="1656" w:type="dxa"/>
            <w:tcBorders>
              <w:top w:val="nil"/>
              <w:left w:val="nil"/>
              <w:bottom w:val="nil"/>
              <w:right w:val="nil"/>
            </w:tcBorders>
          </w:tcPr>
          <w:p w14:paraId="34D0EDF3"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.485598</w:t>
            </w:r>
          </w:p>
        </w:tc>
        <w:tc>
          <w:tcPr>
            <w:tcW w:w="1656" w:type="dxa"/>
            <w:tcBorders>
              <w:top w:val="nil"/>
              <w:left w:val="nil"/>
              <w:bottom w:val="nil"/>
              <w:right w:val="nil"/>
            </w:tcBorders>
          </w:tcPr>
          <w:p w14:paraId="4E4551E0"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.2602124</w:t>
            </w:r>
          </w:p>
        </w:tc>
        <w:tc>
          <w:tcPr>
            <w:tcW w:w="1656" w:type="dxa"/>
            <w:tcBorders>
              <w:top w:val="nil"/>
              <w:left w:val="nil"/>
              <w:bottom w:val="nil"/>
              <w:right w:val="nil"/>
            </w:tcBorders>
          </w:tcPr>
          <w:p w14:paraId="5462ECF8"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5845</w:t>
            </w:r>
          </w:p>
        </w:tc>
      </w:tr>
      <w:tr w:rsidR="008015D8" w14:paraId="15C660CF" w14:textId="77777777" w:rsidTr="00F16287">
        <w:tc>
          <w:tcPr>
            <w:tcW w:w="2616" w:type="dxa"/>
            <w:tcBorders>
              <w:top w:val="nil"/>
              <w:left w:val="nil"/>
              <w:bottom w:val="nil"/>
              <w:right w:val="nil"/>
            </w:tcBorders>
          </w:tcPr>
          <w:p w14:paraId="474A7EC5"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Component 3: Policy formulation (0.15)</w:t>
            </w:r>
          </w:p>
        </w:tc>
        <w:tc>
          <w:tcPr>
            <w:tcW w:w="1656" w:type="dxa"/>
            <w:tcBorders>
              <w:top w:val="nil"/>
              <w:left w:val="nil"/>
              <w:bottom w:val="nil"/>
              <w:right w:val="nil"/>
            </w:tcBorders>
          </w:tcPr>
          <w:p w14:paraId="0FEE34FE"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.4074395</w:t>
            </w:r>
          </w:p>
        </w:tc>
        <w:tc>
          <w:tcPr>
            <w:tcW w:w="1656" w:type="dxa"/>
            <w:tcBorders>
              <w:top w:val="nil"/>
              <w:left w:val="nil"/>
              <w:bottom w:val="nil"/>
              <w:right w:val="nil"/>
            </w:tcBorders>
          </w:tcPr>
          <w:p w14:paraId="4073BD8E"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.3229385</w:t>
            </w:r>
          </w:p>
        </w:tc>
        <w:tc>
          <w:tcPr>
            <w:tcW w:w="1656" w:type="dxa"/>
            <w:tcBorders>
              <w:top w:val="nil"/>
              <w:left w:val="nil"/>
              <w:bottom w:val="nil"/>
              <w:right w:val="nil"/>
            </w:tcBorders>
          </w:tcPr>
          <w:p w14:paraId="333BBCCA"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5866</w:t>
            </w:r>
          </w:p>
        </w:tc>
      </w:tr>
      <w:tr w:rsidR="008015D8" w14:paraId="238F9490" w14:textId="77777777" w:rsidTr="00F16287">
        <w:tc>
          <w:tcPr>
            <w:tcW w:w="2616" w:type="dxa"/>
            <w:tcBorders>
              <w:top w:val="nil"/>
              <w:left w:val="nil"/>
              <w:bottom w:val="nil"/>
              <w:right w:val="nil"/>
            </w:tcBorders>
          </w:tcPr>
          <w:p w14:paraId="767CAD5A"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Component 4: CB lending (0.50)</w:t>
            </w:r>
          </w:p>
        </w:tc>
        <w:tc>
          <w:tcPr>
            <w:tcW w:w="1656" w:type="dxa"/>
            <w:tcBorders>
              <w:top w:val="nil"/>
              <w:left w:val="nil"/>
              <w:bottom w:val="nil"/>
              <w:right w:val="nil"/>
            </w:tcBorders>
          </w:tcPr>
          <w:p w14:paraId="281352D4"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.4699342</w:t>
            </w:r>
          </w:p>
        </w:tc>
        <w:tc>
          <w:tcPr>
            <w:tcW w:w="1656" w:type="dxa"/>
            <w:tcBorders>
              <w:top w:val="nil"/>
              <w:left w:val="nil"/>
              <w:bottom w:val="nil"/>
              <w:right w:val="nil"/>
            </w:tcBorders>
          </w:tcPr>
          <w:p w14:paraId="085D4FAF"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.2615269</w:t>
            </w:r>
          </w:p>
        </w:tc>
        <w:tc>
          <w:tcPr>
            <w:tcW w:w="1656" w:type="dxa"/>
            <w:tcBorders>
              <w:top w:val="nil"/>
              <w:left w:val="nil"/>
              <w:bottom w:val="nil"/>
              <w:right w:val="nil"/>
            </w:tcBorders>
          </w:tcPr>
          <w:p w14:paraId="7EC696AE"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5845</w:t>
            </w:r>
          </w:p>
        </w:tc>
      </w:tr>
      <w:tr w:rsidR="008015D8" w14:paraId="5F833DBA" w14:textId="77777777" w:rsidTr="00F16287">
        <w:tc>
          <w:tcPr>
            <w:tcW w:w="2616" w:type="dxa"/>
            <w:tcBorders>
              <w:top w:val="nil"/>
              <w:left w:val="nil"/>
              <w:bottom w:val="nil"/>
              <w:right w:val="nil"/>
            </w:tcBorders>
          </w:tcPr>
          <w:p w14:paraId="56431BD2"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2016 version</w:t>
            </w:r>
          </w:p>
        </w:tc>
        <w:tc>
          <w:tcPr>
            <w:tcW w:w="1656" w:type="dxa"/>
            <w:tcBorders>
              <w:top w:val="nil"/>
              <w:left w:val="nil"/>
              <w:bottom w:val="nil"/>
              <w:right w:val="nil"/>
            </w:tcBorders>
          </w:tcPr>
          <w:p w14:paraId="678F3A60"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.4964349</w:t>
            </w:r>
          </w:p>
        </w:tc>
        <w:tc>
          <w:tcPr>
            <w:tcW w:w="1656" w:type="dxa"/>
            <w:tcBorders>
              <w:top w:val="nil"/>
              <w:left w:val="nil"/>
              <w:bottom w:val="nil"/>
              <w:right w:val="nil"/>
            </w:tcBorders>
          </w:tcPr>
          <w:p w14:paraId="7CBF7513"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.1994838</w:t>
            </w:r>
          </w:p>
        </w:tc>
        <w:tc>
          <w:tcPr>
            <w:tcW w:w="1656" w:type="dxa"/>
            <w:tcBorders>
              <w:top w:val="nil"/>
              <w:left w:val="nil"/>
              <w:bottom w:val="nil"/>
              <w:right w:val="nil"/>
            </w:tcBorders>
          </w:tcPr>
          <w:p w14:paraId="57FB51F0"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5866</w:t>
            </w:r>
          </w:p>
        </w:tc>
      </w:tr>
      <w:tr w:rsidR="008015D8" w14:paraId="799279DB" w14:textId="77777777" w:rsidTr="00F16287">
        <w:tc>
          <w:tcPr>
            <w:tcW w:w="2616" w:type="dxa"/>
            <w:tcBorders>
              <w:top w:val="nil"/>
              <w:left w:val="nil"/>
              <w:bottom w:val="nil"/>
              <w:right w:val="nil"/>
            </w:tcBorders>
          </w:tcPr>
          <w:p w14:paraId="48E3E4BB"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2016 version</w:t>
            </w:r>
          </w:p>
        </w:tc>
        <w:tc>
          <w:tcPr>
            <w:tcW w:w="1656" w:type="dxa"/>
            <w:tcBorders>
              <w:top w:val="nil"/>
              <w:left w:val="nil"/>
              <w:bottom w:val="nil"/>
              <w:right w:val="nil"/>
            </w:tcBorders>
          </w:tcPr>
          <w:p w14:paraId="69CAC3CE"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.4898539</w:t>
            </w:r>
          </w:p>
        </w:tc>
        <w:tc>
          <w:tcPr>
            <w:tcW w:w="1656" w:type="dxa"/>
            <w:tcBorders>
              <w:top w:val="nil"/>
              <w:left w:val="nil"/>
              <w:bottom w:val="nil"/>
              <w:right w:val="nil"/>
            </w:tcBorders>
          </w:tcPr>
          <w:p w14:paraId="22C6A8EE"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.2034256</w:t>
            </w:r>
          </w:p>
        </w:tc>
        <w:tc>
          <w:tcPr>
            <w:tcW w:w="1656" w:type="dxa"/>
            <w:tcBorders>
              <w:top w:val="nil"/>
              <w:left w:val="nil"/>
              <w:bottom w:val="nil"/>
              <w:right w:val="nil"/>
            </w:tcBorders>
          </w:tcPr>
          <w:p w14:paraId="3A4B65F0"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5867</w:t>
            </w:r>
          </w:p>
        </w:tc>
      </w:tr>
      <w:tr w:rsidR="008015D8" w14:paraId="58FF4CE2" w14:textId="77777777" w:rsidTr="00F16287">
        <w:tc>
          <w:tcPr>
            <w:tcW w:w="2616" w:type="dxa"/>
            <w:tcBorders>
              <w:top w:val="nil"/>
              <w:left w:val="nil"/>
              <w:bottom w:val="nil"/>
              <w:right w:val="nil"/>
            </w:tcBorders>
          </w:tcPr>
          <w:p w14:paraId="0359C651"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uHighCBI</w:t>
            </w:r>
            <w:proofErr w:type="spellEnd"/>
          </w:p>
        </w:tc>
        <w:tc>
          <w:tcPr>
            <w:tcW w:w="1656" w:type="dxa"/>
            <w:tcBorders>
              <w:top w:val="nil"/>
              <w:left w:val="nil"/>
              <w:bottom w:val="nil"/>
              <w:right w:val="nil"/>
            </w:tcBorders>
          </w:tcPr>
          <w:p w14:paraId="2619B95D"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.3958404</w:t>
            </w:r>
          </w:p>
        </w:tc>
        <w:tc>
          <w:tcPr>
            <w:tcW w:w="1656" w:type="dxa"/>
            <w:tcBorders>
              <w:top w:val="nil"/>
              <w:left w:val="nil"/>
              <w:bottom w:val="nil"/>
              <w:right w:val="nil"/>
            </w:tcBorders>
          </w:tcPr>
          <w:p w14:paraId="43E8F782"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.4890721</w:t>
            </w:r>
          </w:p>
        </w:tc>
        <w:tc>
          <w:tcPr>
            <w:tcW w:w="1656" w:type="dxa"/>
            <w:tcBorders>
              <w:top w:val="nil"/>
              <w:left w:val="nil"/>
              <w:bottom w:val="nil"/>
              <w:right w:val="nil"/>
            </w:tcBorders>
          </w:tcPr>
          <w:p w14:paraId="5B6BFE15"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5866</w:t>
            </w:r>
          </w:p>
        </w:tc>
      </w:tr>
      <w:tr w:rsidR="008015D8" w14:paraId="67D224B4" w14:textId="77777777" w:rsidTr="00F16287">
        <w:tc>
          <w:tcPr>
            <w:tcW w:w="2616" w:type="dxa"/>
            <w:tcBorders>
              <w:top w:val="nil"/>
              <w:left w:val="nil"/>
              <w:bottom w:val="nil"/>
              <w:right w:val="nil"/>
            </w:tcBorders>
          </w:tcPr>
          <w:p w14:paraId="55357176"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wHighCBI</w:t>
            </w:r>
            <w:proofErr w:type="spellEnd"/>
          </w:p>
        </w:tc>
        <w:tc>
          <w:tcPr>
            <w:tcW w:w="1656" w:type="dxa"/>
            <w:tcBorders>
              <w:top w:val="nil"/>
              <w:left w:val="nil"/>
              <w:bottom w:val="nil"/>
              <w:right w:val="nil"/>
            </w:tcBorders>
          </w:tcPr>
          <w:p w14:paraId="7E4EA344"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.398568</w:t>
            </w:r>
          </w:p>
        </w:tc>
        <w:tc>
          <w:tcPr>
            <w:tcW w:w="1656" w:type="dxa"/>
            <w:tcBorders>
              <w:top w:val="nil"/>
              <w:left w:val="nil"/>
              <w:bottom w:val="nil"/>
              <w:right w:val="nil"/>
            </w:tcBorders>
          </w:tcPr>
          <w:p w14:paraId="29DA5B05"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.4896452</w:t>
            </w:r>
          </w:p>
        </w:tc>
        <w:tc>
          <w:tcPr>
            <w:tcW w:w="1656" w:type="dxa"/>
            <w:tcBorders>
              <w:top w:val="nil"/>
              <w:left w:val="nil"/>
              <w:bottom w:val="nil"/>
              <w:right w:val="nil"/>
            </w:tcBorders>
          </w:tcPr>
          <w:p w14:paraId="38E2974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5866</w:t>
            </w:r>
          </w:p>
        </w:tc>
      </w:tr>
      <w:tr w:rsidR="008015D8" w14:paraId="577ABCB0" w14:textId="77777777" w:rsidTr="00F16287">
        <w:tc>
          <w:tcPr>
            <w:tcW w:w="2616" w:type="dxa"/>
            <w:tcBorders>
              <w:top w:val="nil"/>
              <w:left w:val="nil"/>
              <w:bottom w:val="nil"/>
              <w:right w:val="nil"/>
            </w:tcBorders>
          </w:tcPr>
          <w:p w14:paraId="03D70A26"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6BAD17D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9.312206</w:t>
            </w:r>
          </w:p>
        </w:tc>
        <w:tc>
          <w:tcPr>
            <w:tcW w:w="1656" w:type="dxa"/>
            <w:tcBorders>
              <w:top w:val="nil"/>
              <w:left w:val="nil"/>
              <w:bottom w:val="nil"/>
              <w:right w:val="nil"/>
            </w:tcBorders>
          </w:tcPr>
          <w:p w14:paraId="6A786A3F"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4.466359</w:t>
            </w:r>
          </w:p>
        </w:tc>
        <w:tc>
          <w:tcPr>
            <w:tcW w:w="1656" w:type="dxa"/>
            <w:tcBorders>
              <w:top w:val="nil"/>
              <w:left w:val="nil"/>
              <w:bottom w:val="nil"/>
              <w:right w:val="nil"/>
            </w:tcBorders>
          </w:tcPr>
          <w:p w14:paraId="2890D651"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8725</w:t>
            </w:r>
          </w:p>
        </w:tc>
      </w:tr>
      <w:tr w:rsidR="008015D8" w14:paraId="67503A2E" w14:textId="77777777" w:rsidTr="00F16287">
        <w:tc>
          <w:tcPr>
            <w:tcW w:w="2616" w:type="dxa"/>
            <w:tcBorders>
              <w:top w:val="nil"/>
              <w:left w:val="nil"/>
              <w:bottom w:val="nil"/>
              <w:right w:val="nil"/>
            </w:tcBorders>
          </w:tcPr>
          <w:p w14:paraId="1AA58EEC"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float_rate</w:t>
            </w:r>
            <w:proofErr w:type="spellEnd"/>
          </w:p>
        </w:tc>
        <w:tc>
          <w:tcPr>
            <w:tcW w:w="1656" w:type="dxa"/>
            <w:tcBorders>
              <w:top w:val="nil"/>
              <w:left w:val="nil"/>
              <w:bottom w:val="nil"/>
              <w:right w:val="nil"/>
            </w:tcBorders>
          </w:tcPr>
          <w:p w14:paraId="5C68A530"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.2618911</w:t>
            </w:r>
          </w:p>
        </w:tc>
        <w:tc>
          <w:tcPr>
            <w:tcW w:w="1656" w:type="dxa"/>
            <w:tcBorders>
              <w:top w:val="nil"/>
              <w:left w:val="nil"/>
              <w:bottom w:val="nil"/>
              <w:right w:val="nil"/>
            </w:tcBorders>
          </w:tcPr>
          <w:p w14:paraId="3595F7C8"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.4396889</w:t>
            </w:r>
          </w:p>
        </w:tc>
        <w:tc>
          <w:tcPr>
            <w:tcW w:w="1656" w:type="dxa"/>
            <w:tcBorders>
              <w:top w:val="nil"/>
              <w:left w:val="nil"/>
              <w:bottom w:val="nil"/>
              <w:right w:val="nil"/>
            </w:tcBorders>
          </w:tcPr>
          <w:p w14:paraId="554F8939"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8725</w:t>
            </w:r>
          </w:p>
        </w:tc>
      </w:tr>
      <w:tr w:rsidR="008015D8" w14:paraId="72F10095" w14:textId="77777777" w:rsidTr="00F16287">
        <w:tc>
          <w:tcPr>
            <w:tcW w:w="2616" w:type="dxa"/>
            <w:tcBorders>
              <w:top w:val="nil"/>
              <w:left w:val="nil"/>
              <w:bottom w:val="nil"/>
              <w:right w:val="nil"/>
            </w:tcBorders>
          </w:tcPr>
          <w:p w14:paraId="0BD4D4D3"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xrcomp</w:t>
            </w:r>
            <w:proofErr w:type="spellEnd"/>
          </w:p>
        </w:tc>
        <w:tc>
          <w:tcPr>
            <w:tcW w:w="1656" w:type="dxa"/>
            <w:tcBorders>
              <w:top w:val="nil"/>
              <w:left w:val="nil"/>
              <w:bottom w:val="nil"/>
              <w:right w:val="nil"/>
            </w:tcBorders>
          </w:tcPr>
          <w:p w14:paraId="7EF55B85"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2.105931</w:t>
            </w:r>
          </w:p>
        </w:tc>
        <w:tc>
          <w:tcPr>
            <w:tcW w:w="1656" w:type="dxa"/>
            <w:tcBorders>
              <w:top w:val="nil"/>
              <w:left w:val="nil"/>
              <w:bottom w:val="nil"/>
              <w:right w:val="nil"/>
            </w:tcBorders>
          </w:tcPr>
          <w:p w14:paraId="25C4F85A"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.9045868</w:t>
            </w:r>
          </w:p>
        </w:tc>
        <w:tc>
          <w:tcPr>
            <w:tcW w:w="1656" w:type="dxa"/>
            <w:tcBorders>
              <w:top w:val="nil"/>
              <w:left w:val="nil"/>
              <w:bottom w:val="nil"/>
              <w:right w:val="nil"/>
            </w:tcBorders>
          </w:tcPr>
          <w:p w14:paraId="10785211"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6306</w:t>
            </w:r>
          </w:p>
        </w:tc>
      </w:tr>
      <w:tr w:rsidR="008015D8" w14:paraId="0B113923" w14:textId="77777777" w:rsidTr="00F16287">
        <w:tc>
          <w:tcPr>
            <w:tcW w:w="2616" w:type="dxa"/>
            <w:tcBorders>
              <w:top w:val="nil"/>
              <w:left w:val="nil"/>
              <w:bottom w:val="nil"/>
              <w:right w:val="nil"/>
            </w:tcBorders>
          </w:tcPr>
          <w:p w14:paraId="22B04CFE"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xropen</w:t>
            </w:r>
            <w:proofErr w:type="spellEnd"/>
          </w:p>
        </w:tc>
        <w:tc>
          <w:tcPr>
            <w:tcW w:w="1656" w:type="dxa"/>
            <w:tcBorders>
              <w:top w:val="nil"/>
              <w:left w:val="nil"/>
              <w:bottom w:val="nil"/>
              <w:right w:val="nil"/>
            </w:tcBorders>
          </w:tcPr>
          <w:p w14:paraId="60865F4C"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3.781161</w:t>
            </w:r>
          </w:p>
        </w:tc>
        <w:tc>
          <w:tcPr>
            <w:tcW w:w="1656" w:type="dxa"/>
            <w:tcBorders>
              <w:top w:val="nil"/>
              <w:left w:val="nil"/>
              <w:bottom w:val="nil"/>
              <w:right w:val="nil"/>
            </w:tcBorders>
          </w:tcPr>
          <w:p w14:paraId="1E02DB33"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.7119688</w:t>
            </w:r>
          </w:p>
        </w:tc>
        <w:tc>
          <w:tcPr>
            <w:tcW w:w="1656" w:type="dxa"/>
            <w:tcBorders>
              <w:top w:val="nil"/>
              <w:left w:val="nil"/>
              <w:bottom w:val="nil"/>
              <w:right w:val="nil"/>
            </w:tcBorders>
          </w:tcPr>
          <w:p w14:paraId="6E9FFF47"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6306</w:t>
            </w:r>
          </w:p>
        </w:tc>
      </w:tr>
      <w:tr w:rsidR="008015D8" w14:paraId="082B4821" w14:textId="77777777" w:rsidTr="00F16287">
        <w:tc>
          <w:tcPr>
            <w:tcW w:w="2616" w:type="dxa"/>
            <w:tcBorders>
              <w:top w:val="nil"/>
              <w:left w:val="nil"/>
              <w:bottom w:val="nil"/>
              <w:right w:val="nil"/>
            </w:tcBorders>
          </w:tcPr>
          <w:p w14:paraId="2EC9AE63"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xconst</w:t>
            </w:r>
            <w:proofErr w:type="spellEnd"/>
          </w:p>
        </w:tc>
        <w:tc>
          <w:tcPr>
            <w:tcW w:w="1656" w:type="dxa"/>
            <w:tcBorders>
              <w:top w:val="nil"/>
              <w:left w:val="nil"/>
              <w:bottom w:val="nil"/>
              <w:right w:val="nil"/>
            </w:tcBorders>
          </w:tcPr>
          <w:p w14:paraId="0A33C810"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4.33205</w:t>
            </w:r>
          </w:p>
        </w:tc>
        <w:tc>
          <w:tcPr>
            <w:tcW w:w="1656" w:type="dxa"/>
            <w:tcBorders>
              <w:top w:val="nil"/>
              <w:left w:val="nil"/>
              <w:bottom w:val="nil"/>
              <w:right w:val="nil"/>
            </w:tcBorders>
          </w:tcPr>
          <w:p w14:paraId="7F8EB4D9"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2.30556</w:t>
            </w:r>
          </w:p>
        </w:tc>
        <w:tc>
          <w:tcPr>
            <w:tcW w:w="1656" w:type="dxa"/>
            <w:tcBorders>
              <w:top w:val="nil"/>
              <w:left w:val="nil"/>
              <w:bottom w:val="nil"/>
              <w:right w:val="nil"/>
            </w:tcBorders>
          </w:tcPr>
          <w:p w14:paraId="20BCDB0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7273</w:t>
            </w:r>
          </w:p>
        </w:tc>
      </w:tr>
      <w:tr w:rsidR="008015D8" w14:paraId="1F682723" w14:textId="77777777" w:rsidTr="00F16287">
        <w:tc>
          <w:tcPr>
            <w:tcW w:w="2616" w:type="dxa"/>
            <w:tcBorders>
              <w:top w:val="nil"/>
              <w:left w:val="nil"/>
              <w:bottom w:val="nil"/>
              <w:right w:val="nil"/>
            </w:tcBorders>
          </w:tcPr>
          <w:p w14:paraId="7F7AD062"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parreg</w:t>
            </w:r>
            <w:proofErr w:type="spellEnd"/>
          </w:p>
        </w:tc>
        <w:tc>
          <w:tcPr>
            <w:tcW w:w="1656" w:type="dxa"/>
            <w:tcBorders>
              <w:top w:val="nil"/>
              <w:left w:val="nil"/>
              <w:bottom w:val="nil"/>
              <w:right w:val="nil"/>
            </w:tcBorders>
          </w:tcPr>
          <w:p w14:paraId="25993ADC"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3.501444</w:t>
            </w:r>
          </w:p>
        </w:tc>
        <w:tc>
          <w:tcPr>
            <w:tcW w:w="1656" w:type="dxa"/>
            <w:tcBorders>
              <w:top w:val="nil"/>
              <w:left w:val="nil"/>
              <w:bottom w:val="nil"/>
              <w:right w:val="nil"/>
            </w:tcBorders>
          </w:tcPr>
          <w:p w14:paraId="0273DC1F"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1.102193</w:t>
            </w:r>
          </w:p>
        </w:tc>
        <w:tc>
          <w:tcPr>
            <w:tcW w:w="1656" w:type="dxa"/>
            <w:tcBorders>
              <w:top w:val="nil"/>
              <w:left w:val="nil"/>
              <w:bottom w:val="nil"/>
              <w:right w:val="nil"/>
            </w:tcBorders>
          </w:tcPr>
          <w:p w14:paraId="31D04EB4"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7273</w:t>
            </w:r>
          </w:p>
        </w:tc>
      </w:tr>
      <w:tr w:rsidR="008015D8" w14:paraId="77DE69AD" w14:textId="77777777" w:rsidTr="00F16287">
        <w:tc>
          <w:tcPr>
            <w:tcW w:w="2616" w:type="dxa"/>
            <w:tcBorders>
              <w:top w:val="nil"/>
              <w:left w:val="nil"/>
              <w:bottom w:val="nil"/>
              <w:right w:val="nil"/>
            </w:tcBorders>
          </w:tcPr>
          <w:p w14:paraId="79B228BA"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parcomp</w:t>
            </w:r>
            <w:proofErr w:type="spellEnd"/>
          </w:p>
        </w:tc>
        <w:tc>
          <w:tcPr>
            <w:tcW w:w="1656" w:type="dxa"/>
            <w:tcBorders>
              <w:top w:val="nil"/>
              <w:left w:val="nil"/>
              <w:bottom w:val="nil"/>
              <w:right w:val="nil"/>
            </w:tcBorders>
          </w:tcPr>
          <w:p w14:paraId="42D15E8E"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2.916403</w:t>
            </w:r>
          </w:p>
        </w:tc>
        <w:tc>
          <w:tcPr>
            <w:tcW w:w="1656" w:type="dxa"/>
            <w:tcBorders>
              <w:top w:val="nil"/>
              <w:left w:val="nil"/>
              <w:bottom w:val="nil"/>
              <w:right w:val="nil"/>
            </w:tcBorders>
          </w:tcPr>
          <w:p w14:paraId="75255881"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1.531534</w:t>
            </w:r>
          </w:p>
        </w:tc>
        <w:tc>
          <w:tcPr>
            <w:tcW w:w="1656" w:type="dxa"/>
            <w:tcBorders>
              <w:top w:val="nil"/>
              <w:left w:val="nil"/>
              <w:bottom w:val="nil"/>
              <w:right w:val="nil"/>
            </w:tcBorders>
          </w:tcPr>
          <w:p w14:paraId="34C154C9"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7273</w:t>
            </w:r>
          </w:p>
        </w:tc>
      </w:tr>
      <w:tr w:rsidR="008015D8" w14:paraId="13E4D51C" w14:textId="77777777" w:rsidTr="00F16287">
        <w:tc>
          <w:tcPr>
            <w:tcW w:w="2616" w:type="dxa"/>
            <w:tcBorders>
              <w:top w:val="nil"/>
              <w:left w:val="nil"/>
              <w:bottom w:val="nil"/>
              <w:right w:val="nil"/>
            </w:tcBorders>
          </w:tcPr>
          <w:p w14:paraId="2A88F6B4"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hxconst4</w:t>
            </w:r>
          </w:p>
        </w:tc>
        <w:tc>
          <w:tcPr>
            <w:tcW w:w="1656" w:type="dxa"/>
            <w:tcBorders>
              <w:top w:val="nil"/>
              <w:left w:val="nil"/>
              <w:bottom w:val="nil"/>
              <w:right w:val="nil"/>
            </w:tcBorders>
          </w:tcPr>
          <w:p w14:paraId="636D1DBF"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.5337286</w:t>
            </w:r>
          </w:p>
        </w:tc>
        <w:tc>
          <w:tcPr>
            <w:tcW w:w="1656" w:type="dxa"/>
            <w:tcBorders>
              <w:top w:val="nil"/>
              <w:left w:val="nil"/>
              <w:bottom w:val="nil"/>
              <w:right w:val="nil"/>
            </w:tcBorders>
          </w:tcPr>
          <w:p w14:paraId="6C1B17BA"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.498894</w:t>
            </w:r>
          </w:p>
        </w:tc>
        <w:tc>
          <w:tcPr>
            <w:tcW w:w="1656" w:type="dxa"/>
            <w:tcBorders>
              <w:top w:val="nil"/>
              <w:left w:val="nil"/>
              <w:bottom w:val="nil"/>
              <w:right w:val="nil"/>
            </w:tcBorders>
          </w:tcPr>
          <w:p w14:paraId="666A37A0"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7590</w:t>
            </w:r>
          </w:p>
        </w:tc>
      </w:tr>
      <w:tr w:rsidR="008015D8" w14:paraId="63D621BD" w14:textId="77777777" w:rsidTr="00F16287">
        <w:tc>
          <w:tcPr>
            <w:tcW w:w="2616" w:type="dxa"/>
            <w:tcBorders>
              <w:top w:val="nil"/>
              <w:left w:val="nil"/>
              <w:bottom w:val="nil"/>
              <w:right w:val="nil"/>
            </w:tcBorders>
          </w:tcPr>
          <w:p w14:paraId="4CD060CC"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hxconst5</w:t>
            </w:r>
          </w:p>
        </w:tc>
        <w:tc>
          <w:tcPr>
            <w:tcW w:w="1656" w:type="dxa"/>
            <w:tcBorders>
              <w:top w:val="nil"/>
              <w:left w:val="nil"/>
              <w:bottom w:val="nil"/>
              <w:right w:val="nil"/>
            </w:tcBorders>
          </w:tcPr>
          <w:p w14:paraId="711E52D7"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.4301713</w:t>
            </w:r>
          </w:p>
        </w:tc>
        <w:tc>
          <w:tcPr>
            <w:tcW w:w="1656" w:type="dxa"/>
            <w:tcBorders>
              <w:top w:val="nil"/>
              <w:left w:val="nil"/>
              <w:bottom w:val="nil"/>
              <w:right w:val="nil"/>
            </w:tcBorders>
          </w:tcPr>
          <w:p w14:paraId="335CEF0D"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.4951326</w:t>
            </w:r>
          </w:p>
        </w:tc>
        <w:tc>
          <w:tcPr>
            <w:tcW w:w="1656" w:type="dxa"/>
            <w:tcBorders>
              <w:top w:val="nil"/>
              <w:left w:val="nil"/>
              <w:bottom w:val="nil"/>
              <w:right w:val="nil"/>
            </w:tcBorders>
          </w:tcPr>
          <w:p w14:paraId="0F4BA3C3"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7590</w:t>
            </w:r>
          </w:p>
        </w:tc>
      </w:tr>
      <w:tr w:rsidR="008015D8" w14:paraId="2E34A5F6" w14:textId="77777777" w:rsidTr="00F16287">
        <w:tc>
          <w:tcPr>
            <w:tcW w:w="2616" w:type="dxa"/>
            <w:tcBorders>
              <w:top w:val="nil"/>
              <w:left w:val="nil"/>
              <w:bottom w:val="nil"/>
              <w:right w:val="nil"/>
            </w:tcBorders>
          </w:tcPr>
          <w:p w14:paraId="28D94ED1"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hcomp3</w:t>
            </w:r>
          </w:p>
        </w:tc>
        <w:tc>
          <w:tcPr>
            <w:tcW w:w="1656" w:type="dxa"/>
            <w:tcBorders>
              <w:top w:val="nil"/>
              <w:left w:val="nil"/>
              <w:bottom w:val="nil"/>
              <w:right w:val="nil"/>
            </w:tcBorders>
          </w:tcPr>
          <w:p w14:paraId="33B164C5"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.4343874</w:t>
            </w:r>
          </w:p>
        </w:tc>
        <w:tc>
          <w:tcPr>
            <w:tcW w:w="1656" w:type="dxa"/>
            <w:tcBorders>
              <w:top w:val="nil"/>
              <w:left w:val="nil"/>
              <w:bottom w:val="nil"/>
              <w:right w:val="nil"/>
            </w:tcBorders>
          </w:tcPr>
          <w:p w14:paraId="37739FED"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.4957089</w:t>
            </w:r>
          </w:p>
        </w:tc>
        <w:tc>
          <w:tcPr>
            <w:tcW w:w="1656" w:type="dxa"/>
            <w:tcBorders>
              <w:top w:val="nil"/>
              <w:left w:val="nil"/>
              <w:bottom w:val="nil"/>
              <w:right w:val="nil"/>
            </w:tcBorders>
          </w:tcPr>
          <w:p w14:paraId="69CB1013"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7590</w:t>
            </w:r>
          </w:p>
        </w:tc>
      </w:tr>
      <w:tr w:rsidR="008015D8" w14:paraId="3ADF5D01" w14:textId="77777777" w:rsidTr="00F16287">
        <w:tc>
          <w:tcPr>
            <w:tcW w:w="2616" w:type="dxa"/>
            <w:tcBorders>
              <w:top w:val="nil"/>
              <w:left w:val="nil"/>
              <w:bottom w:val="nil"/>
              <w:right w:val="nil"/>
            </w:tcBorders>
          </w:tcPr>
          <w:p w14:paraId="34CF87EA"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time to regular turnover</w:t>
            </w:r>
          </w:p>
        </w:tc>
        <w:tc>
          <w:tcPr>
            <w:tcW w:w="1656" w:type="dxa"/>
            <w:tcBorders>
              <w:top w:val="nil"/>
              <w:left w:val="nil"/>
              <w:bottom w:val="nil"/>
              <w:right w:val="nil"/>
            </w:tcBorders>
          </w:tcPr>
          <w:p w14:paraId="189DE2AB"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-85.76577</w:t>
            </w:r>
          </w:p>
        </w:tc>
        <w:tc>
          <w:tcPr>
            <w:tcW w:w="1656" w:type="dxa"/>
            <w:tcBorders>
              <w:top w:val="nil"/>
              <w:left w:val="nil"/>
              <w:bottom w:val="nil"/>
              <w:right w:val="nil"/>
            </w:tcBorders>
          </w:tcPr>
          <w:p w14:paraId="7C0D789C"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227.1733</w:t>
            </w:r>
          </w:p>
        </w:tc>
        <w:tc>
          <w:tcPr>
            <w:tcW w:w="1656" w:type="dxa"/>
            <w:tcBorders>
              <w:top w:val="nil"/>
              <w:left w:val="nil"/>
              <w:bottom w:val="nil"/>
              <w:right w:val="nil"/>
            </w:tcBorders>
          </w:tcPr>
          <w:p w14:paraId="2BD8E53F"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5930</w:t>
            </w:r>
          </w:p>
        </w:tc>
      </w:tr>
      <w:tr w:rsidR="008015D8" w14:paraId="5BC2F0A2" w14:textId="77777777" w:rsidTr="00F16287">
        <w:tc>
          <w:tcPr>
            <w:tcW w:w="2616" w:type="dxa"/>
            <w:tcBorders>
              <w:top w:val="nil"/>
              <w:left w:val="nil"/>
              <w:bottom w:val="nil"/>
              <w:right w:val="nil"/>
            </w:tcBorders>
          </w:tcPr>
          <w:p w14:paraId="25FFD545"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number of actual turnovers</w:t>
            </w:r>
          </w:p>
        </w:tc>
        <w:tc>
          <w:tcPr>
            <w:tcW w:w="1656" w:type="dxa"/>
            <w:tcBorders>
              <w:top w:val="nil"/>
              <w:left w:val="nil"/>
              <w:bottom w:val="nil"/>
              <w:right w:val="nil"/>
            </w:tcBorders>
          </w:tcPr>
          <w:p w14:paraId="62A56CBD"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-48.31021</w:t>
            </w:r>
          </w:p>
        </w:tc>
        <w:tc>
          <w:tcPr>
            <w:tcW w:w="1656" w:type="dxa"/>
            <w:tcBorders>
              <w:top w:val="nil"/>
              <w:left w:val="nil"/>
              <w:bottom w:val="nil"/>
              <w:right w:val="nil"/>
            </w:tcBorders>
          </w:tcPr>
          <w:p w14:paraId="7F498318"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189.2258</w:t>
            </w:r>
          </w:p>
        </w:tc>
        <w:tc>
          <w:tcPr>
            <w:tcW w:w="1656" w:type="dxa"/>
            <w:tcBorders>
              <w:top w:val="nil"/>
              <w:left w:val="nil"/>
              <w:bottom w:val="nil"/>
              <w:right w:val="nil"/>
            </w:tcBorders>
          </w:tcPr>
          <w:p w14:paraId="42373A43"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6789</w:t>
            </w:r>
          </w:p>
        </w:tc>
      </w:tr>
      <w:tr w:rsidR="008015D8" w14:paraId="11584E84" w14:textId="77777777" w:rsidTr="00F16287">
        <w:tc>
          <w:tcPr>
            <w:tcW w:w="2616" w:type="dxa"/>
            <w:tcBorders>
              <w:top w:val="nil"/>
              <w:left w:val="nil"/>
              <w:bottom w:val="nil"/>
              <w:right w:val="nil"/>
            </w:tcBorders>
          </w:tcPr>
          <w:p w14:paraId="60965DF4"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regular turnover dummy</w:t>
            </w:r>
          </w:p>
        </w:tc>
        <w:tc>
          <w:tcPr>
            <w:tcW w:w="1656" w:type="dxa"/>
            <w:tcBorders>
              <w:top w:val="nil"/>
              <w:left w:val="nil"/>
              <w:bottom w:val="nil"/>
              <w:right w:val="nil"/>
            </w:tcBorders>
          </w:tcPr>
          <w:p w14:paraId="039F311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.0413928</w:t>
            </w:r>
          </w:p>
        </w:tc>
        <w:tc>
          <w:tcPr>
            <w:tcW w:w="1656" w:type="dxa"/>
            <w:tcBorders>
              <w:top w:val="nil"/>
              <w:left w:val="nil"/>
              <w:bottom w:val="nil"/>
              <w:right w:val="nil"/>
            </w:tcBorders>
          </w:tcPr>
          <w:p w14:paraId="0D2ACB7F"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.1992109</w:t>
            </w:r>
          </w:p>
        </w:tc>
        <w:tc>
          <w:tcPr>
            <w:tcW w:w="1656" w:type="dxa"/>
            <w:tcBorders>
              <w:top w:val="nil"/>
              <w:left w:val="nil"/>
              <w:bottom w:val="nil"/>
              <w:right w:val="nil"/>
            </w:tcBorders>
          </w:tcPr>
          <w:p w14:paraId="3DCD8AF3"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7151</w:t>
            </w:r>
          </w:p>
        </w:tc>
      </w:tr>
      <w:tr w:rsidR="008015D8" w14:paraId="47C03340" w14:textId="77777777" w:rsidTr="00F16287">
        <w:tc>
          <w:tcPr>
            <w:tcW w:w="2616" w:type="dxa"/>
            <w:tcBorders>
              <w:top w:val="nil"/>
              <w:left w:val="nil"/>
              <w:bottom w:val="nil"/>
              <w:right w:val="nil"/>
            </w:tcBorders>
          </w:tcPr>
          <w:p w14:paraId="03C8E750"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4D5E94DE"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.8858262</w:t>
            </w:r>
          </w:p>
        </w:tc>
        <w:tc>
          <w:tcPr>
            <w:tcW w:w="1656" w:type="dxa"/>
            <w:tcBorders>
              <w:top w:val="nil"/>
              <w:left w:val="nil"/>
              <w:bottom w:val="nil"/>
              <w:right w:val="nil"/>
            </w:tcBorders>
          </w:tcPr>
          <w:p w14:paraId="4081FA51"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.3180445</w:t>
            </w:r>
          </w:p>
        </w:tc>
        <w:tc>
          <w:tcPr>
            <w:tcW w:w="1656" w:type="dxa"/>
            <w:tcBorders>
              <w:top w:val="nil"/>
              <w:left w:val="nil"/>
              <w:bottom w:val="nil"/>
              <w:right w:val="nil"/>
            </w:tcBorders>
          </w:tcPr>
          <w:p w14:paraId="556CBDF5"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7147</w:t>
            </w:r>
          </w:p>
        </w:tc>
      </w:tr>
      <w:tr w:rsidR="008015D8" w14:paraId="3A752235" w14:textId="77777777" w:rsidTr="00F16287">
        <w:tc>
          <w:tcPr>
            <w:tcW w:w="2616" w:type="dxa"/>
            <w:tcBorders>
              <w:top w:val="nil"/>
              <w:left w:val="nil"/>
              <w:bottom w:val="nil"/>
              <w:right w:val="nil"/>
            </w:tcBorders>
          </w:tcPr>
          <w:p w14:paraId="337AF086"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time in office</w:t>
            </w:r>
          </w:p>
        </w:tc>
        <w:tc>
          <w:tcPr>
            <w:tcW w:w="1656" w:type="dxa"/>
            <w:tcBorders>
              <w:top w:val="nil"/>
              <w:left w:val="nil"/>
              <w:bottom w:val="nil"/>
              <w:right w:val="nil"/>
            </w:tcBorders>
          </w:tcPr>
          <w:p w14:paraId="0E6A0918"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3.96868</w:t>
            </w:r>
          </w:p>
        </w:tc>
        <w:tc>
          <w:tcPr>
            <w:tcW w:w="1656" w:type="dxa"/>
            <w:tcBorders>
              <w:top w:val="nil"/>
              <w:left w:val="nil"/>
              <w:bottom w:val="nil"/>
              <w:right w:val="nil"/>
            </w:tcBorders>
          </w:tcPr>
          <w:p w14:paraId="14EB8AFA"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4.316364</w:t>
            </w:r>
          </w:p>
        </w:tc>
        <w:tc>
          <w:tcPr>
            <w:tcW w:w="1656" w:type="dxa"/>
            <w:tcBorders>
              <w:top w:val="nil"/>
              <w:left w:val="nil"/>
              <w:bottom w:val="nil"/>
              <w:right w:val="nil"/>
            </w:tcBorders>
          </w:tcPr>
          <w:p w14:paraId="2B3F6792"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6737</w:t>
            </w:r>
          </w:p>
        </w:tc>
      </w:tr>
      <w:tr w:rsidR="008015D8" w14:paraId="07FC73E5" w14:textId="77777777" w:rsidTr="00F16287">
        <w:tc>
          <w:tcPr>
            <w:tcW w:w="2616" w:type="dxa"/>
            <w:tcBorders>
              <w:top w:val="nil"/>
              <w:left w:val="nil"/>
              <w:bottom w:val="nil"/>
              <w:right w:val="nil"/>
            </w:tcBorders>
          </w:tcPr>
          <w:p w14:paraId="3AAE20BF"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legal duration</w:t>
            </w:r>
          </w:p>
        </w:tc>
        <w:tc>
          <w:tcPr>
            <w:tcW w:w="1656" w:type="dxa"/>
            <w:tcBorders>
              <w:top w:val="nil"/>
              <w:left w:val="nil"/>
              <w:bottom w:val="nil"/>
              <w:right w:val="nil"/>
            </w:tcBorders>
          </w:tcPr>
          <w:p w14:paraId="452B22E4"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-77.4644</w:t>
            </w:r>
          </w:p>
        </w:tc>
        <w:tc>
          <w:tcPr>
            <w:tcW w:w="1656" w:type="dxa"/>
            <w:tcBorders>
              <w:top w:val="nil"/>
              <w:left w:val="nil"/>
              <w:bottom w:val="nil"/>
              <w:right w:val="nil"/>
            </w:tcBorders>
          </w:tcPr>
          <w:p w14:paraId="22E66710"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220.6923</w:t>
            </w:r>
          </w:p>
        </w:tc>
        <w:tc>
          <w:tcPr>
            <w:tcW w:w="1656" w:type="dxa"/>
            <w:tcBorders>
              <w:top w:val="nil"/>
              <w:left w:val="nil"/>
              <w:bottom w:val="nil"/>
              <w:right w:val="nil"/>
            </w:tcBorders>
          </w:tcPr>
          <w:p w14:paraId="7C0C894E"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6320</w:t>
            </w:r>
          </w:p>
        </w:tc>
      </w:tr>
      <w:tr w:rsidR="008015D8" w14:paraId="64093530" w14:textId="77777777" w:rsidTr="00F16287">
        <w:tc>
          <w:tcPr>
            <w:tcW w:w="2616" w:type="dxa"/>
            <w:tcBorders>
              <w:top w:val="nil"/>
              <w:left w:val="nil"/>
              <w:bottom w:val="nil"/>
              <w:right w:val="nil"/>
            </w:tcBorders>
          </w:tcPr>
          <w:p w14:paraId="7AF6C3B9"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SP.POP.TOTL</w:t>
            </w:r>
          </w:p>
        </w:tc>
        <w:tc>
          <w:tcPr>
            <w:tcW w:w="1656" w:type="dxa"/>
            <w:tcBorders>
              <w:top w:val="nil"/>
              <w:left w:val="nil"/>
              <w:bottom w:val="nil"/>
              <w:right w:val="nil"/>
            </w:tcBorders>
          </w:tcPr>
          <w:p w14:paraId="67BF7E80"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2.24e+08</w:t>
            </w:r>
          </w:p>
        </w:tc>
        <w:tc>
          <w:tcPr>
            <w:tcW w:w="1656" w:type="dxa"/>
            <w:tcBorders>
              <w:top w:val="nil"/>
              <w:left w:val="nil"/>
              <w:bottom w:val="nil"/>
              <w:right w:val="nil"/>
            </w:tcBorders>
          </w:tcPr>
          <w:p w14:paraId="3864DCBA"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7.30e+08</w:t>
            </w:r>
          </w:p>
        </w:tc>
        <w:tc>
          <w:tcPr>
            <w:tcW w:w="1656" w:type="dxa"/>
            <w:tcBorders>
              <w:top w:val="nil"/>
              <w:left w:val="nil"/>
              <w:bottom w:val="nil"/>
              <w:right w:val="nil"/>
            </w:tcBorders>
          </w:tcPr>
          <w:p w14:paraId="10749873"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12809</w:t>
            </w:r>
          </w:p>
        </w:tc>
      </w:tr>
      <w:tr w:rsidR="008015D8" w14:paraId="7C23A4C6" w14:textId="77777777" w:rsidTr="00F16287">
        <w:tc>
          <w:tcPr>
            <w:tcW w:w="2616" w:type="dxa"/>
            <w:tcBorders>
              <w:top w:val="nil"/>
              <w:left w:val="nil"/>
              <w:bottom w:val="nil"/>
              <w:right w:val="nil"/>
            </w:tcBorders>
          </w:tcPr>
          <w:p w14:paraId="504A623B"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Aggregate GDP, 2011 PP (WB)</w:t>
            </w:r>
          </w:p>
        </w:tc>
        <w:tc>
          <w:tcPr>
            <w:tcW w:w="1656" w:type="dxa"/>
            <w:tcBorders>
              <w:top w:val="nil"/>
              <w:left w:val="nil"/>
              <w:bottom w:val="nil"/>
              <w:right w:val="nil"/>
            </w:tcBorders>
          </w:tcPr>
          <w:p w14:paraId="50A74B92"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2.90e+12</w:t>
            </w:r>
          </w:p>
        </w:tc>
        <w:tc>
          <w:tcPr>
            <w:tcW w:w="1656" w:type="dxa"/>
            <w:tcBorders>
              <w:top w:val="nil"/>
              <w:left w:val="nil"/>
              <w:bottom w:val="nil"/>
              <w:right w:val="nil"/>
            </w:tcBorders>
          </w:tcPr>
          <w:p w14:paraId="3D0B0D9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9.23e+12</w:t>
            </w:r>
          </w:p>
        </w:tc>
        <w:tc>
          <w:tcPr>
            <w:tcW w:w="1656" w:type="dxa"/>
            <w:tcBorders>
              <w:top w:val="nil"/>
              <w:left w:val="nil"/>
              <w:bottom w:val="nil"/>
              <w:right w:val="nil"/>
            </w:tcBorders>
          </w:tcPr>
          <w:p w14:paraId="6C14FC65"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6734</w:t>
            </w:r>
          </w:p>
        </w:tc>
      </w:tr>
      <w:tr w:rsidR="008015D8" w14:paraId="47235C9A" w14:textId="77777777" w:rsidTr="00F16287">
        <w:tc>
          <w:tcPr>
            <w:tcW w:w="2616" w:type="dxa"/>
            <w:tcBorders>
              <w:top w:val="nil"/>
              <w:left w:val="nil"/>
              <w:bottom w:val="nil"/>
              <w:right w:val="nil"/>
            </w:tcBorders>
          </w:tcPr>
          <w:p w14:paraId="7E754A52"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SE.TER.ENRR</w:t>
            </w:r>
          </w:p>
        </w:tc>
        <w:tc>
          <w:tcPr>
            <w:tcW w:w="1656" w:type="dxa"/>
            <w:tcBorders>
              <w:top w:val="nil"/>
              <w:left w:val="nil"/>
              <w:bottom w:val="nil"/>
              <w:right w:val="nil"/>
            </w:tcBorders>
          </w:tcPr>
          <w:p w14:paraId="74B11882"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.2246435</w:t>
            </w:r>
          </w:p>
        </w:tc>
        <w:tc>
          <w:tcPr>
            <w:tcW w:w="1656" w:type="dxa"/>
            <w:tcBorders>
              <w:top w:val="nil"/>
              <w:left w:val="nil"/>
              <w:bottom w:val="nil"/>
              <w:right w:val="nil"/>
            </w:tcBorders>
          </w:tcPr>
          <w:p w14:paraId="490622A5"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.2207567</w:t>
            </w:r>
          </w:p>
        </w:tc>
        <w:tc>
          <w:tcPr>
            <w:tcW w:w="1656" w:type="dxa"/>
            <w:tcBorders>
              <w:top w:val="nil"/>
              <w:left w:val="nil"/>
              <w:bottom w:val="nil"/>
              <w:right w:val="nil"/>
            </w:tcBorders>
          </w:tcPr>
          <w:p w14:paraId="0B6BF1AE"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7681</w:t>
            </w:r>
          </w:p>
        </w:tc>
      </w:tr>
      <w:tr w:rsidR="008015D8" w14:paraId="63AEC8CF" w14:textId="77777777" w:rsidTr="00F16287">
        <w:tc>
          <w:tcPr>
            <w:tcW w:w="2616" w:type="dxa"/>
            <w:tcBorders>
              <w:top w:val="nil"/>
              <w:left w:val="nil"/>
              <w:bottom w:val="nil"/>
              <w:right w:val="nil"/>
            </w:tcBorders>
          </w:tcPr>
          <w:p w14:paraId="32A46938"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Autonomous Regions</w:t>
            </w:r>
          </w:p>
        </w:tc>
        <w:tc>
          <w:tcPr>
            <w:tcW w:w="1656" w:type="dxa"/>
            <w:tcBorders>
              <w:top w:val="nil"/>
              <w:left w:val="nil"/>
              <w:bottom w:val="nil"/>
              <w:right w:val="nil"/>
            </w:tcBorders>
          </w:tcPr>
          <w:p w14:paraId="68656B0C"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.1305215</w:t>
            </w:r>
          </w:p>
        </w:tc>
        <w:tc>
          <w:tcPr>
            <w:tcW w:w="1656" w:type="dxa"/>
            <w:tcBorders>
              <w:top w:val="nil"/>
              <w:left w:val="nil"/>
              <w:bottom w:val="nil"/>
              <w:right w:val="nil"/>
            </w:tcBorders>
          </w:tcPr>
          <w:p w14:paraId="15C8A62B"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.3369003</w:t>
            </w:r>
          </w:p>
        </w:tc>
        <w:tc>
          <w:tcPr>
            <w:tcW w:w="1656" w:type="dxa"/>
            <w:tcBorders>
              <w:top w:val="nil"/>
              <w:left w:val="nil"/>
              <w:bottom w:val="nil"/>
              <w:right w:val="nil"/>
            </w:tcBorders>
          </w:tcPr>
          <w:p w14:paraId="4D9B8E4C"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7018</w:t>
            </w:r>
          </w:p>
        </w:tc>
      </w:tr>
      <w:tr w:rsidR="008015D8" w14:paraId="4BEF24C2" w14:textId="77777777" w:rsidTr="00F16287">
        <w:tc>
          <w:tcPr>
            <w:tcW w:w="2616" w:type="dxa"/>
            <w:tcBorders>
              <w:top w:val="nil"/>
              <w:left w:val="nil"/>
              <w:bottom w:val="nil"/>
              <w:right w:val="nil"/>
            </w:tcBorders>
          </w:tcPr>
          <w:p w14:paraId="435A86D0"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 Government Authority over Taxing, Spending, or Legislating</w:t>
            </w:r>
          </w:p>
        </w:tc>
        <w:tc>
          <w:tcPr>
            <w:tcW w:w="1656" w:type="dxa"/>
            <w:tcBorders>
              <w:top w:val="nil"/>
              <w:left w:val="nil"/>
              <w:bottom w:val="nil"/>
              <w:right w:val="nil"/>
            </w:tcBorders>
          </w:tcPr>
          <w:p w14:paraId="02F2BCB2"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.4599431</w:t>
            </w:r>
          </w:p>
        </w:tc>
        <w:tc>
          <w:tcPr>
            <w:tcW w:w="1656" w:type="dxa"/>
            <w:tcBorders>
              <w:top w:val="nil"/>
              <w:left w:val="nil"/>
              <w:bottom w:val="nil"/>
              <w:right w:val="nil"/>
            </w:tcBorders>
          </w:tcPr>
          <w:p w14:paraId="353DB80E"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.4984942</w:t>
            </w:r>
          </w:p>
        </w:tc>
        <w:tc>
          <w:tcPr>
            <w:tcW w:w="1656" w:type="dxa"/>
            <w:tcBorders>
              <w:top w:val="nil"/>
              <w:left w:val="nil"/>
              <w:bottom w:val="nil"/>
              <w:right w:val="nil"/>
            </w:tcBorders>
          </w:tcPr>
          <w:p w14:paraId="1BCABE31"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2459</w:t>
            </w:r>
          </w:p>
        </w:tc>
      </w:tr>
      <w:tr w:rsidR="008015D8" w14:paraId="077D0B6A" w14:textId="77777777" w:rsidTr="00F16287">
        <w:tc>
          <w:tcPr>
            <w:tcW w:w="2616" w:type="dxa"/>
            <w:tcBorders>
              <w:top w:val="nil"/>
              <w:left w:val="nil"/>
              <w:bottom w:val="nil"/>
              <w:right w:val="nil"/>
            </w:tcBorders>
          </w:tcPr>
          <w:p w14:paraId="306200D7"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Checks and Balances</w:t>
            </w:r>
          </w:p>
        </w:tc>
        <w:tc>
          <w:tcPr>
            <w:tcW w:w="1656" w:type="dxa"/>
            <w:tcBorders>
              <w:top w:val="nil"/>
              <w:left w:val="nil"/>
              <w:bottom w:val="nil"/>
              <w:right w:val="nil"/>
            </w:tcBorders>
          </w:tcPr>
          <w:p w14:paraId="3AC71431"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2.566904</w:t>
            </w:r>
          </w:p>
        </w:tc>
        <w:tc>
          <w:tcPr>
            <w:tcW w:w="1656" w:type="dxa"/>
            <w:tcBorders>
              <w:top w:val="nil"/>
              <w:left w:val="nil"/>
              <w:bottom w:val="nil"/>
              <w:right w:val="nil"/>
            </w:tcBorders>
          </w:tcPr>
          <w:p w14:paraId="025E7EB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1.676025</w:t>
            </w:r>
          </w:p>
        </w:tc>
        <w:tc>
          <w:tcPr>
            <w:tcW w:w="1656" w:type="dxa"/>
            <w:tcBorders>
              <w:top w:val="nil"/>
              <w:left w:val="nil"/>
              <w:bottom w:val="nil"/>
              <w:right w:val="nil"/>
            </w:tcBorders>
          </w:tcPr>
          <w:p w14:paraId="7E2FB699"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6883</w:t>
            </w:r>
          </w:p>
        </w:tc>
      </w:tr>
      <w:tr w:rsidR="008015D8" w14:paraId="3BE9495B" w14:textId="77777777" w:rsidTr="00F16287">
        <w:tc>
          <w:tcPr>
            <w:tcW w:w="2616" w:type="dxa"/>
            <w:tcBorders>
              <w:top w:val="nil"/>
              <w:left w:val="nil"/>
              <w:bottom w:val="nil"/>
              <w:right w:val="nil"/>
            </w:tcBorders>
          </w:tcPr>
          <w:p w14:paraId="632BA76A"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Coord</w:t>
            </w:r>
          </w:p>
        </w:tc>
        <w:tc>
          <w:tcPr>
            <w:tcW w:w="1656" w:type="dxa"/>
            <w:tcBorders>
              <w:top w:val="nil"/>
              <w:left w:val="nil"/>
              <w:bottom w:val="nil"/>
              <w:right w:val="nil"/>
            </w:tcBorders>
          </w:tcPr>
          <w:p w14:paraId="1CC27968"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2.584133</w:t>
            </w:r>
          </w:p>
        </w:tc>
        <w:tc>
          <w:tcPr>
            <w:tcW w:w="1656" w:type="dxa"/>
            <w:tcBorders>
              <w:top w:val="nil"/>
              <w:left w:val="nil"/>
              <w:bottom w:val="nil"/>
              <w:right w:val="nil"/>
            </w:tcBorders>
          </w:tcPr>
          <w:p w14:paraId="6BB853D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1.338687</w:t>
            </w:r>
          </w:p>
        </w:tc>
        <w:tc>
          <w:tcPr>
            <w:tcW w:w="1656" w:type="dxa"/>
            <w:tcBorders>
              <w:top w:val="nil"/>
              <w:left w:val="nil"/>
              <w:bottom w:val="nil"/>
              <w:right w:val="nil"/>
            </w:tcBorders>
          </w:tcPr>
          <w:p w14:paraId="19751668"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1979</w:t>
            </w:r>
          </w:p>
        </w:tc>
      </w:tr>
      <w:tr w:rsidR="008015D8" w14:paraId="2EF92061" w14:textId="77777777" w:rsidTr="00F16287">
        <w:tc>
          <w:tcPr>
            <w:tcW w:w="2616" w:type="dxa"/>
            <w:tcBorders>
              <w:top w:val="nil"/>
              <w:left w:val="nil"/>
              <w:bottom w:val="nil"/>
              <w:right w:val="nil"/>
            </w:tcBorders>
          </w:tcPr>
          <w:p w14:paraId="7FAFFD06"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Type</w:t>
            </w:r>
          </w:p>
        </w:tc>
        <w:tc>
          <w:tcPr>
            <w:tcW w:w="1656" w:type="dxa"/>
            <w:tcBorders>
              <w:top w:val="nil"/>
              <w:left w:val="nil"/>
              <w:bottom w:val="nil"/>
              <w:right w:val="nil"/>
            </w:tcBorders>
          </w:tcPr>
          <w:p w14:paraId="1D8ACEA3"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2.073118</w:t>
            </w:r>
          </w:p>
        </w:tc>
        <w:tc>
          <w:tcPr>
            <w:tcW w:w="1656" w:type="dxa"/>
            <w:tcBorders>
              <w:top w:val="nil"/>
              <w:left w:val="nil"/>
              <w:bottom w:val="nil"/>
              <w:right w:val="nil"/>
            </w:tcBorders>
          </w:tcPr>
          <w:p w14:paraId="7125F5A4"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1.83036</w:t>
            </w:r>
          </w:p>
        </w:tc>
        <w:tc>
          <w:tcPr>
            <w:tcW w:w="1656" w:type="dxa"/>
            <w:tcBorders>
              <w:top w:val="nil"/>
              <w:left w:val="nil"/>
              <w:bottom w:val="nil"/>
              <w:right w:val="nil"/>
            </w:tcBorders>
          </w:tcPr>
          <w:p w14:paraId="584D77C8"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1860</w:t>
            </w:r>
          </w:p>
        </w:tc>
      </w:tr>
      <w:tr w:rsidR="008015D8" w14:paraId="6FD29400" w14:textId="77777777" w:rsidTr="00F16287">
        <w:tc>
          <w:tcPr>
            <w:tcW w:w="2616" w:type="dxa"/>
            <w:tcBorders>
              <w:top w:val="nil"/>
              <w:left w:val="nil"/>
              <w:bottom w:val="nil"/>
              <w:right w:val="nil"/>
            </w:tcBorders>
          </w:tcPr>
          <w:p w14:paraId="265BF238"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vssbizagg</w:t>
            </w:r>
            <w:proofErr w:type="spellEnd"/>
          </w:p>
        </w:tc>
        <w:tc>
          <w:tcPr>
            <w:tcW w:w="1656" w:type="dxa"/>
            <w:tcBorders>
              <w:top w:val="nil"/>
              <w:left w:val="nil"/>
              <w:bottom w:val="nil"/>
              <w:right w:val="nil"/>
            </w:tcBorders>
          </w:tcPr>
          <w:p w14:paraId="30682509"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.2195591</w:t>
            </w:r>
          </w:p>
        </w:tc>
        <w:tc>
          <w:tcPr>
            <w:tcW w:w="1656" w:type="dxa"/>
            <w:tcBorders>
              <w:top w:val="nil"/>
              <w:left w:val="nil"/>
              <w:bottom w:val="nil"/>
              <w:right w:val="nil"/>
            </w:tcBorders>
          </w:tcPr>
          <w:p w14:paraId="2661AA2E"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.0575988</w:t>
            </w:r>
          </w:p>
        </w:tc>
        <w:tc>
          <w:tcPr>
            <w:tcW w:w="1656" w:type="dxa"/>
            <w:tcBorders>
              <w:top w:val="nil"/>
              <w:left w:val="nil"/>
              <w:bottom w:val="nil"/>
              <w:right w:val="nil"/>
            </w:tcBorders>
          </w:tcPr>
          <w:p w14:paraId="0BCA6D5F"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8015D8" w14:paraId="5D1FB891" w14:textId="77777777" w:rsidTr="00F16287">
        <w:tc>
          <w:tcPr>
            <w:tcW w:w="2616" w:type="dxa"/>
            <w:tcBorders>
              <w:top w:val="nil"/>
              <w:left w:val="nil"/>
              <w:bottom w:val="nil"/>
              <w:right w:val="nil"/>
            </w:tcBorders>
          </w:tcPr>
          <w:p w14:paraId="7C84B091"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Pop. Share of Tertiary Ed. Social Science/Business Graduates</w:t>
            </w:r>
          </w:p>
        </w:tc>
        <w:tc>
          <w:tcPr>
            <w:tcW w:w="1656" w:type="dxa"/>
            <w:tcBorders>
              <w:top w:val="nil"/>
              <w:left w:val="nil"/>
              <w:bottom w:val="nil"/>
              <w:right w:val="nil"/>
            </w:tcBorders>
          </w:tcPr>
          <w:p w14:paraId="0976B28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.2349682</w:t>
            </w:r>
          </w:p>
        </w:tc>
        <w:tc>
          <w:tcPr>
            <w:tcW w:w="1656" w:type="dxa"/>
            <w:tcBorders>
              <w:top w:val="nil"/>
              <w:left w:val="nil"/>
              <w:bottom w:val="nil"/>
              <w:right w:val="nil"/>
            </w:tcBorders>
          </w:tcPr>
          <w:p w14:paraId="29AB7E4C"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.063707</w:t>
            </w:r>
          </w:p>
        </w:tc>
        <w:tc>
          <w:tcPr>
            <w:tcW w:w="1656" w:type="dxa"/>
            <w:tcBorders>
              <w:top w:val="nil"/>
              <w:left w:val="nil"/>
              <w:bottom w:val="nil"/>
              <w:right w:val="nil"/>
            </w:tcBorders>
          </w:tcPr>
          <w:p w14:paraId="3318E541"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244</w:t>
            </w:r>
          </w:p>
        </w:tc>
      </w:tr>
      <w:tr w:rsidR="008015D8" w14:paraId="2926503B" w14:textId="77777777" w:rsidTr="00F16287">
        <w:tc>
          <w:tcPr>
            <w:tcW w:w="2616" w:type="dxa"/>
            <w:tcBorders>
              <w:top w:val="nil"/>
              <w:left w:val="nil"/>
              <w:bottom w:val="nil"/>
              <w:right w:val="nil"/>
            </w:tcBorders>
          </w:tcPr>
          <w:p w14:paraId="24F8773B"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atertEd</w:t>
            </w:r>
            <w:proofErr w:type="spellEnd"/>
          </w:p>
        </w:tc>
        <w:tc>
          <w:tcPr>
            <w:tcW w:w="1656" w:type="dxa"/>
            <w:tcBorders>
              <w:top w:val="nil"/>
              <w:left w:val="nil"/>
              <w:bottom w:val="nil"/>
              <w:right w:val="nil"/>
            </w:tcBorders>
          </w:tcPr>
          <w:p w14:paraId="6B02E321"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.2171937</w:t>
            </w:r>
          </w:p>
        </w:tc>
        <w:tc>
          <w:tcPr>
            <w:tcW w:w="1656" w:type="dxa"/>
            <w:tcBorders>
              <w:top w:val="nil"/>
              <w:left w:val="nil"/>
              <w:bottom w:val="nil"/>
              <w:right w:val="nil"/>
            </w:tcBorders>
          </w:tcPr>
          <w:p w14:paraId="68D05AE1"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.2176764</w:t>
            </w:r>
          </w:p>
        </w:tc>
        <w:tc>
          <w:tcPr>
            <w:tcW w:w="1656" w:type="dxa"/>
            <w:tcBorders>
              <w:top w:val="nil"/>
              <w:left w:val="nil"/>
              <w:bottom w:val="nil"/>
              <w:right w:val="nil"/>
            </w:tcBorders>
          </w:tcPr>
          <w:p w14:paraId="1C3B472D"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9135</w:t>
            </w:r>
          </w:p>
        </w:tc>
      </w:tr>
      <w:tr w:rsidR="008015D8" w14:paraId="344FC8FC" w14:textId="77777777" w:rsidTr="00F16287">
        <w:tc>
          <w:tcPr>
            <w:tcW w:w="2616" w:type="dxa"/>
            <w:tcBorders>
              <w:top w:val="nil"/>
              <w:left w:val="nil"/>
              <w:bottom w:val="nil"/>
              <w:right w:val="nil"/>
            </w:tcBorders>
          </w:tcPr>
          <w:p w14:paraId="3DE0BAD4"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itertEd</w:t>
            </w:r>
            <w:proofErr w:type="spellEnd"/>
          </w:p>
        </w:tc>
        <w:tc>
          <w:tcPr>
            <w:tcW w:w="1656" w:type="dxa"/>
            <w:tcBorders>
              <w:top w:val="nil"/>
              <w:left w:val="nil"/>
              <w:bottom w:val="nil"/>
              <w:right w:val="nil"/>
            </w:tcBorders>
          </w:tcPr>
          <w:p w14:paraId="716C3739"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.2131696</w:t>
            </w:r>
          </w:p>
        </w:tc>
        <w:tc>
          <w:tcPr>
            <w:tcW w:w="1656" w:type="dxa"/>
            <w:tcBorders>
              <w:top w:val="nil"/>
              <w:left w:val="nil"/>
              <w:bottom w:val="nil"/>
              <w:right w:val="nil"/>
            </w:tcBorders>
          </w:tcPr>
          <w:p w14:paraId="5F8F683C"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.2156816</w:t>
            </w:r>
          </w:p>
        </w:tc>
        <w:tc>
          <w:tcPr>
            <w:tcW w:w="1656" w:type="dxa"/>
            <w:tcBorders>
              <w:top w:val="nil"/>
              <w:left w:val="nil"/>
              <w:bottom w:val="nil"/>
              <w:right w:val="nil"/>
            </w:tcBorders>
          </w:tcPr>
          <w:p w14:paraId="1B9EC09B"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10091</w:t>
            </w:r>
          </w:p>
        </w:tc>
      </w:tr>
      <w:tr w:rsidR="008015D8" w14:paraId="1F5E5347" w14:textId="77777777" w:rsidTr="00F16287">
        <w:tc>
          <w:tcPr>
            <w:tcW w:w="2616" w:type="dxa"/>
            <w:tcBorders>
              <w:top w:val="nil"/>
              <w:left w:val="nil"/>
              <w:bottom w:val="nil"/>
              <w:right w:val="nil"/>
            </w:tcBorders>
          </w:tcPr>
          <w:p w14:paraId="73DE3ABE"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issbizsh</w:t>
            </w:r>
            <w:proofErr w:type="spellEnd"/>
          </w:p>
        </w:tc>
        <w:tc>
          <w:tcPr>
            <w:tcW w:w="1656" w:type="dxa"/>
            <w:tcBorders>
              <w:top w:val="nil"/>
              <w:left w:val="nil"/>
              <w:bottom w:val="nil"/>
              <w:right w:val="nil"/>
            </w:tcBorders>
          </w:tcPr>
          <w:p w14:paraId="2F808B01"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.3566224</w:t>
            </w:r>
          </w:p>
        </w:tc>
        <w:tc>
          <w:tcPr>
            <w:tcW w:w="1656" w:type="dxa"/>
            <w:tcBorders>
              <w:top w:val="nil"/>
              <w:left w:val="nil"/>
              <w:bottom w:val="nil"/>
              <w:right w:val="nil"/>
            </w:tcBorders>
          </w:tcPr>
          <w:p w14:paraId="71616221"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.0783327</w:t>
            </w:r>
          </w:p>
        </w:tc>
        <w:tc>
          <w:tcPr>
            <w:tcW w:w="1656" w:type="dxa"/>
            <w:tcBorders>
              <w:top w:val="nil"/>
              <w:left w:val="nil"/>
              <w:bottom w:val="nil"/>
              <w:right w:val="nil"/>
            </w:tcBorders>
          </w:tcPr>
          <w:p w14:paraId="3FFE71BE"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355</w:t>
            </w:r>
          </w:p>
        </w:tc>
      </w:tr>
      <w:tr w:rsidR="008015D8" w14:paraId="79F45481" w14:textId="77777777" w:rsidTr="00F16287">
        <w:tc>
          <w:tcPr>
            <w:tcW w:w="2616" w:type="dxa"/>
            <w:tcBorders>
              <w:top w:val="nil"/>
              <w:left w:val="nil"/>
              <w:bottom w:val="nil"/>
              <w:right w:val="nil"/>
            </w:tcBorders>
          </w:tcPr>
          <w:p w14:paraId="00AD88B0"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ivaggGDP</w:t>
            </w:r>
            <w:proofErr w:type="spellEnd"/>
          </w:p>
        </w:tc>
        <w:tc>
          <w:tcPr>
            <w:tcW w:w="1656" w:type="dxa"/>
            <w:tcBorders>
              <w:top w:val="nil"/>
              <w:left w:val="nil"/>
              <w:bottom w:val="nil"/>
              <w:right w:val="nil"/>
            </w:tcBorders>
          </w:tcPr>
          <w:p w14:paraId="1C617CC4"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2.47e+08</w:t>
            </w:r>
          </w:p>
        </w:tc>
        <w:tc>
          <w:tcPr>
            <w:tcW w:w="1656" w:type="dxa"/>
            <w:tcBorders>
              <w:top w:val="nil"/>
              <w:left w:val="nil"/>
              <w:bottom w:val="nil"/>
              <w:right w:val="nil"/>
            </w:tcBorders>
          </w:tcPr>
          <w:p w14:paraId="62FC20DA"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8.36e+08</w:t>
            </w:r>
          </w:p>
        </w:tc>
        <w:tc>
          <w:tcPr>
            <w:tcW w:w="1656" w:type="dxa"/>
            <w:tcBorders>
              <w:top w:val="nil"/>
              <w:left w:val="nil"/>
              <w:bottom w:val="nil"/>
              <w:right w:val="nil"/>
            </w:tcBorders>
          </w:tcPr>
          <w:p w14:paraId="7D8532A1"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4404</w:t>
            </w:r>
          </w:p>
        </w:tc>
      </w:tr>
      <w:tr w:rsidR="008015D8" w14:paraId="7D8F52A0" w14:textId="77777777" w:rsidTr="00F16287">
        <w:tc>
          <w:tcPr>
            <w:tcW w:w="2616" w:type="dxa"/>
            <w:tcBorders>
              <w:top w:val="nil"/>
              <w:left w:val="nil"/>
              <w:bottom w:val="nil"/>
              <w:right w:val="nil"/>
            </w:tcBorders>
          </w:tcPr>
          <w:p w14:paraId="2D5AC92F"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iwbaggGDP</w:t>
            </w:r>
            <w:proofErr w:type="spellEnd"/>
          </w:p>
        </w:tc>
        <w:tc>
          <w:tcPr>
            <w:tcW w:w="1656" w:type="dxa"/>
            <w:tcBorders>
              <w:top w:val="nil"/>
              <w:left w:val="nil"/>
              <w:bottom w:val="nil"/>
              <w:right w:val="nil"/>
            </w:tcBorders>
          </w:tcPr>
          <w:p w14:paraId="0EE4CE58"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2.90e+12</w:t>
            </w:r>
          </w:p>
        </w:tc>
        <w:tc>
          <w:tcPr>
            <w:tcW w:w="1656" w:type="dxa"/>
            <w:tcBorders>
              <w:top w:val="nil"/>
              <w:left w:val="nil"/>
              <w:bottom w:val="nil"/>
              <w:right w:val="nil"/>
            </w:tcBorders>
          </w:tcPr>
          <w:p w14:paraId="7ACCB745"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9.23e+12</w:t>
            </w:r>
          </w:p>
        </w:tc>
        <w:tc>
          <w:tcPr>
            <w:tcW w:w="1656" w:type="dxa"/>
            <w:tcBorders>
              <w:top w:val="nil"/>
              <w:left w:val="nil"/>
              <w:bottom w:val="nil"/>
              <w:right w:val="nil"/>
            </w:tcBorders>
          </w:tcPr>
          <w:p w14:paraId="1A9FBFD7"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6734</w:t>
            </w:r>
          </w:p>
        </w:tc>
      </w:tr>
      <w:tr w:rsidR="008015D8" w14:paraId="4ADBA7C9" w14:textId="77777777" w:rsidTr="00F16287">
        <w:tc>
          <w:tcPr>
            <w:tcW w:w="2616" w:type="dxa"/>
            <w:tcBorders>
              <w:top w:val="nil"/>
              <w:left w:val="nil"/>
              <w:bottom w:val="nil"/>
              <w:right w:val="nil"/>
            </w:tcBorders>
          </w:tcPr>
          <w:p w14:paraId="7E61B4D0"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issbizagg</w:t>
            </w:r>
            <w:proofErr w:type="spellEnd"/>
          </w:p>
        </w:tc>
        <w:tc>
          <w:tcPr>
            <w:tcW w:w="1656" w:type="dxa"/>
            <w:tcBorders>
              <w:top w:val="nil"/>
              <w:left w:val="nil"/>
              <w:bottom w:val="nil"/>
              <w:right w:val="nil"/>
            </w:tcBorders>
          </w:tcPr>
          <w:p w14:paraId="056296F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.2353083</w:t>
            </w:r>
          </w:p>
        </w:tc>
        <w:tc>
          <w:tcPr>
            <w:tcW w:w="1656" w:type="dxa"/>
            <w:tcBorders>
              <w:top w:val="nil"/>
              <w:left w:val="nil"/>
              <w:bottom w:val="nil"/>
              <w:right w:val="nil"/>
            </w:tcBorders>
          </w:tcPr>
          <w:p w14:paraId="32461789"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.0692435</w:t>
            </w:r>
          </w:p>
        </w:tc>
        <w:tc>
          <w:tcPr>
            <w:tcW w:w="1656" w:type="dxa"/>
            <w:tcBorders>
              <w:top w:val="nil"/>
              <w:left w:val="nil"/>
              <w:bottom w:val="nil"/>
              <w:right w:val="nil"/>
            </w:tcBorders>
          </w:tcPr>
          <w:p w14:paraId="4601B724"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345</w:t>
            </w:r>
          </w:p>
        </w:tc>
      </w:tr>
      <w:tr w:rsidR="008015D8" w14:paraId="1F5E6835" w14:textId="77777777" w:rsidTr="00F16287">
        <w:tc>
          <w:tcPr>
            <w:tcW w:w="2616" w:type="dxa"/>
            <w:tcBorders>
              <w:top w:val="nil"/>
              <w:left w:val="nil"/>
              <w:bottom w:val="nil"/>
              <w:right w:val="nil"/>
            </w:tcBorders>
          </w:tcPr>
          <w:p w14:paraId="67C09D56"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Chinn-Ito index, normalized</w:t>
            </w:r>
          </w:p>
        </w:tc>
        <w:tc>
          <w:tcPr>
            <w:tcW w:w="1656" w:type="dxa"/>
            <w:tcBorders>
              <w:top w:val="nil"/>
              <w:left w:val="nil"/>
              <w:bottom w:val="nil"/>
              <w:right w:val="nil"/>
            </w:tcBorders>
          </w:tcPr>
          <w:p w14:paraId="6360EBD8"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.4497587</w:t>
            </w:r>
          </w:p>
        </w:tc>
        <w:tc>
          <w:tcPr>
            <w:tcW w:w="1656" w:type="dxa"/>
            <w:tcBorders>
              <w:top w:val="nil"/>
              <w:left w:val="nil"/>
              <w:bottom w:val="nil"/>
              <w:right w:val="nil"/>
            </w:tcBorders>
          </w:tcPr>
          <w:p w14:paraId="1844A420"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.3591833</w:t>
            </w:r>
          </w:p>
        </w:tc>
        <w:tc>
          <w:tcPr>
            <w:tcW w:w="1656" w:type="dxa"/>
            <w:tcBorders>
              <w:top w:val="nil"/>
              <w:left w:val="nil"/>
              <w:bottom w:val="nil"/>
              <w:right w:val="nil"/>
            </w:tcBorders>
          </w:tcPr>
          <w:p w14:paraId="1C590D42"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7237</w:t>
            </w:r>
          </w:p>
        </w:tc>
      </w:tr>
      <w:tr w:rsidR="008015D8" w14:paraId="743D59AE" w14:textId="77777777" w:rsidTr="00F16287">
        <w:tc>
          <w:tcPr>
            <w:tcW w:w="2616" w:type="dxa"/>
            <w:tcBorders>
              <w:top w:val="nil"/>
              <w:left w:val="nil"/>
              <w:bottom w:val="nil"/>
              <w:right w:val="nil"/>
            </w:tcBorders>
          </w:tcPr>
          <w:p w14:paraId="03D07AD2"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mka_open</w:t>
            </w:r>
            <w:proofErr w:type="spellEnd"/>
          </w:p>
        </w:tc>
        <w:tc>
          <w:tcPr>
            <w:tcW w:w="1656" w:type="dxa"/>
            <w:tcBorders>
              <w:top w:val="nil"/>
              <w:left w:val="nil"/>
              <w:bottom w:val="nil"/>
              <w:right w:val="nil"/>
            </w:tcBorders>
          </w:tcPr>
          <w:p w14:paraId="70047B4A"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.4164419</w:t>
            </w:r>
          </w:p>
        </w:tc>
        <w:tc>
          <w:tcPr>
            <w:tcW w:w="1656" w:type="dxa"/>
            <w:tcBorders>
              <w:top w:val="nil"/>
              <w:left w:val="nil"/>
              <w:bottom w:val="nil"/>
              <w:right w:val="nil"/>
            </w:tcBorders>
          </w:tcPr>
          <w:p w14:paraId="76FABE24"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0C5D5973"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14495</w:t>
            </w:r>
          </w:p>
        </w:tc>
      </w:tr>
      <w:tr w:rsidR="008015D8" w14:paraId="2DE70A77" w14:textId="77777777" w:rsidTr="00F16287">
        <w:tc>
          <w:tcPr>
            <w:tcW w:w="2616" w:type="dxa"/>
            <w:tcBorders>
              <w:top w:val="nil"/>
              <w:left w:val="nil"/>
              <w:bottom w:val="nil"/>
              <w:right w:val="nil"/>
            </w:tcBorders>
          </w:tcPr>
          <w:p w14:paraId="70A65E4C"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highka_open</w:t>
            </w:r>
            <w:proofErr w:type="spellEnd"/>
          </w:p>
        </w:tc>
        <w:tc>
          <w:tcPr>
            <w:tcW w:w="1656" w:type="dxa"/>
            <w:tcBorders>
              <w:top w:val="nil"/>
              <w:left w:val="nil"/>
              <w:bottom w:val="nil"/>
              <w:right w:val="nil"/>
            </w:tcBorders>
          </w:tcPr>
          <w:p w14:paraId="397C6DA4"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.3892497</w:t>
            </w:r>
          </w:p>
        </w:tc>
        <w:tc>
          <w:tcPr>
            <w:tcW w:w="1656" w:type="dxa"/>
            <w:tcBorders>
              <w:top w:val="nil"/>
              <w:left w:val="nil"/>
              <w:bottom w:val="nil"/>
              <w:right w:val="nil"/>
            </w:tcBorders>
          </w:tcPr>
          <w:p w14:paraId="7586F2EF"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.4876138</w:t>
            </w:r>
          </w:p>
        </w:tc>
        <w:tc>
          <w:tcPr>
            <w:tcW w:w="1656" w:type="dxa"/>
            <w:tcBorders>
              <w:top w:val="nil"/>
              <w:left w:val="nil"/>
              <w:bottom w:val="nil"/>
              <w:right w:val="nil"/>
            </w:tcBorders>
          </w:tcPr>
          <w:p w14:paraId="5522AA2B"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7237</w:t>
            </w:r>
          </w:p>
        </w:tc>
      </w:tr>
      <w:tr w:rsidR="008015D8" w14:paraId="565F9EFD" w14:textId="77777777" w:rsidTr="00F16287">
        <w:tc>
          <w:tcPr>
            <w:tcW w:w="2616" w:type="dxa"/>
            <w:tcBorders>
              <w:top w:val="nil"/>
              <w:left w:val="nil"/>
              <w:bottom w:val="single" w:sz="4" w:space="0" w:color="auto"/>
              <w:right w:val="nil"/>
            </w:tcBorders>
          </w:tcPr>
          <w:p w14:paraId="13893EB7" w14:textId="77777777" w:rsidR="008015D8" w:rsidRDefault="008015D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deme_polity2</w:t>
            </w:r>
          </w:p>
        </w:tc>
        <w:tc>
          <w:tcPr>
            <w:tcW w:w="1656" w:type="dxa"/>
            <w:tcBorders>
              <w:top w:val="nil"/>
              <w:left w:val="nil"/>
              <w:bottom w:val="single" w:sz="4" w:space="0" w:color="auto"/>
              <w:right w:val="nil"/>
            </w:tcBorders>
          </w:tcPr>
          <w:p w14:paraId="1337B0E6"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.5366764</w:t>
            </w:r>
          </w:p>
        </w:tc>
        <w:tc>
          <w:tcPr>
            <w:tcW w:w="1656" w:type="dxa"/>
            <w:tcBorders>
              <w:top w:val="nil"/>
              <w:left w:val="nil"/>
              <w:bottom w:val="single" w:sz="4" w:space="0" w:color="auto"/>
              <w:right w:val="nil"/>
            </w:tcBorders>
          </w:tcPr>
          <w:p w14:paraId="5A8A26CB"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.4986863</w:t>
            </w:r>
          </w:p>
        </w:tc>
        <w:tc>
          <w:tcPr>
            <w:tcW w:w="1656" w:type="dxa"/>
            <w:tcBorders>
              <w:top w:val="nil"/>
              <w:left w:val="nil"/>
              <w:bottom w:val="single" w:sz="4" w:space="0" w:color="auto"/>
              <w:right w:val="nil"/>
            </w:tcBorders>
          </w:tcPr>
          <w:p w14:paraId="00FF1F47" w14:textId="77777777" w:rsidR="008015D8" w:rsidRDefault="008015D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7498</w:t>
            </w:r>
          </w:p>
        </w:tc>
      </w:tr>
    </w:tbl>
    <w:p w14:paraId="431E681B" w14:textId="77777777" w:rsidR="008015D8" w:rsidRDefault="008015D8" w:rsidP="002338C3"/>
    <w:p w14:paraId="539FA986" w14:textId="530CB14D" w:rsidR="002338C3" w:rsidRDefault="000D6626" w:rsidP="002338C3">
      <w:r>
        <w:t>Table A</w:t>
      </w:r>
      <w:r w:rsidR="00EE26BA">
        <w:t>2</w:t>
      </w:r>
      <w:r w:rsidR="00C01CA3">
        <w:t>:</w:t>
      </w:r>
      <w:r w:rsidR="00F514D8">
        <w:t xml:space="preserve"> OLS Regression on the left, FE panel regression on the right.</w:t>
      </w:r>
    </w:p>
    <w:tbl>
      <w:tblPr>
        <w:tblW w:w="0" w:type="auto"/>
        <w:tblLayout w:type="fixed"/>
        <w:tblLook w:val="0000" w:firstRow="0" w:lastRow="0" w:firstColumn="0" w:lastColumn="0" w:noHBand="0" w:noVBand="0"/>
      </w:tblPr>
      <w:tblGrid>
        <w:gridCol w:w="2136"/>
        <w:gridCol w:w="1656"/>
        <w:gridCol w:w="1656"/>
      </w:tblGrid>
      <w:tr w:rsidR="00F1782E" w14:paraId="3FF35443" w14:textId="77777777" w:rsidTr="00F16287">
        <w:tc>
          <w:tcPr>
            <w:tcW w:w="2136" w:type="dxa"/>
            <w:tcBorders>
              <w:top w:val="single" w:sz="4" w:space="0" w:color="auto"/>
              <w:left w:val="nil"/>
              <w:bottom w:val="nil"/>
              <w:right w:val="nil"/>
            </w:tcBorders>
          </w:tcPr>
          <w:p w14:paraId="1FA80709" w14:textId="77777777" w:rsidR="00F1782E" w:rsidRDefault="00F1782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0C2296C6" w14:textId="77777777" w:rsidR="00F1782E" w:rsidRDefault="00F1782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25FEEDBE" w14:textId="77777777" w:rsidR="00F1782E" w:rsidRDefault="00F1782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F1782E" w14:paraId="40B207A2" w14:textId="77777777" w:rsidTr="00F16287">
        <w:tc>
          <w:tcPr>
            <w:tcW w:w="2136" w:type="dxa"/>
            <w:tcBorders>
              <w:top w:val="nil"/>
              <w:left w:val="nil"/>
              <w:bottom w:val="nil"/>
              <w:right w:val="nil"/>
            </w:tcBorders>
          </w:tcPr>
          <w:p w14:paraId="74F457B1" w14:textId="77777777" w:rsidR="00F1782E" w:rsidRDefault="00F1782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CD51AD5" w14:textId="77777777" w:rsidR="00F1782E" w:rsidRDefault="00F1782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76734F31" w14:textId="77777777" w:rsidR="00F1782E" w:rsidRDefault="00F1782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r>
      <w:tr w:rsidR="00F1782E" w14:paraId="690F7663" w14:textId="77777777" w:rsidTr="00F16287">
        <w:tc>
          <w:tcPr>
            <w:tcW w:w="2136" w:type="dxa"/>
            <w:tcBorders>
              <w:top w:val="single" w:sz="4" w:space="0" w:color="auto"/>
              <w:left w:val="nil"/>
              <w:bottom w:val="nil"/>
              <w:right w:val="nil"/>
            </w:tcBorders>
          </w:tcPr>
          <w:p w14:paraId="08DB9D02" w14:textId="77777777" w:rsidR="00F1782E" w:rsidRDefault="00F1782E"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6C231051" w14:textId="77777777" w:rsidR="00F1782E" w:rsidRDefault="00F1782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-0.222</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1835F547" w14:textId="77777777" w:rsidR="00F1782E" w:rsidRDefault="00F1782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-0.156</w:t>
            </w:r>
            <w:r>
              <w:rPr>
                <w:rFonts w:ascii="Times New Roman" w:hAnsi="Times New Roman" w:cs="Times New Roman"/>
                <w:sz w:val="24"/>
                <w:szCs w:val="24"/>
                <w:vertAlign w:val="superscript"/>
              </w:rPr>
              <w:t>*</w:t>
            </w:r>
          </w:p>
        </w:tc>
      </w:tr>
      <w:tr w:rsidR="00F1782E" w14:paraId="1E11545E" w14:textId="77777777" w:rsidTr="00F16287">
        <w:tc>
          <w:tcPr>
            <w:tcW w:w="2136" w:type="dxa"/>
            <w:tcBorders>
              <w:top w:val="nil"/>
              <w:left w:val="nil"/>
              <w:bottom w:val="nil"/>
              <w:right w:val="nil"/>
            </w:tcBorders>
          </w:tcPr>
          <w:p w14:paraId="113DACC1" w14:textId="77777777" w:rsidR="00F1782E" w:rsidRDefault="00F1782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619141A" w14:textId="77777777" w:rsidR="00F1782E" w:rsidRDefault="00F1782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(-3.43)</w:t>
            </w:r>
          </w:p>
        </w:tc>
        <w:tc>
          <w:tcPr>
            <w:tcW w:w="1656" w:type="dxa"/>
            <w:tcBorders>
              <w:top w:val="nil"/>
              <w:left w:val="nil"/>
              <w:bottom w:val="nil"/>
              <w:right w:val="nil"/>
            </w:tcBorders>
          </w:tcPr>
          <w:p w14:paraId="0B24CE77" w14:textId="77777777" w:rsidR="00F1782E" w:rsidRDefault="00F1782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(-2.29)</w:t>
            </w:r>
          </w:p>
        </w:tc>
      </w:tr>
      <w:tr w:rsidR="00F1782E" w14:paraId="40095A8C" w14:textId="77777777" w:rsidTr="00F16287">
        <w:tc>
          <w:tcPr>
            <w:tcW w:w="2136" w:type="dxa"/>
            <w:tcBorders>
              <w:top w:val="nil"/>
              <w:left w:val="nil"/>
              <w:bottom w:val="nil"/>
              <w:right w:val="nil"/>
            </w:tcBorders>
          </w:tcPr>
          <w:p w14:paraId="19DE6946" w14:textId="77777777" w:rsidR="00F1782E" w:rsidRDefault="00F1782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4797514" w14:textId="77777777" w:rsidR="00F1782E" w:rsidRDefault="00F1782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28D4127" w14:textId="77777777" w:rsidR="00F1782E" w:rsidRDefault="00F1782E" w:rsidP="00F16287">
            <w:pPr>
              <w:widowControl w:val="0"/>
              <w:autoSpaceDE w:val="0"/>
              <w:autoSpaceDN w:val="0"/>
              <w:adjustRightInd w:val="0"/>
              <w:spacing w:after="0" w:line="240" w:lineRule="auto"/>
              <w:rPr>
                <w:rFonts w:ascii="Times New Roman" w:hAnsi="Times New Roman" w:cs="Times New Roman"/>
                <w:sz w:val="24"/>
                <w:szCs w:val="24"/>
              </w:rPr>
            </w:pPr>
          </w:p>
        </w:tc>
      </w:tr>
      <w:tr w:rsidR="00F1782E" w14:paraId="34B92C28" w14:textId="77777777" w:rsidTr="00F16287">
        <w:tc>
          <w:tcPr>
            <w:tcW w:w="2136" w:type="dxa"/>
            <w:tcBorders>
              <w:top w:val="nil"/>
              <w:left w:val="nil"/>
              <w:bottom w:val="nil"/>
              <w:right w:val="nil"/>
            </w:tcBorders>
          </w:tcPr>
          <w:p w14:paraId="41E37D7C" w14:textId="77777777" w:rsidR="00F1782E" w:rsidRDefault="00F1782E"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4F51C29B" w14:textId="77777777" w:rsidR="00F1782E" w:rsidRDefault="00F1782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0.840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EA395DE" w14:textId="77777777" w:rsidR="00F1782E" w:rsidRDefault="00F1782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0.784</w:t>
            </w:r>
            <w:r>
              <w:rPr>
                <w:rFonts w:ascii="Times New Roman" w:hAnsi="Times New Roman" w:cs="Times New Roman"/>
                <w:sz w:val="24"/>
                <w:szCs w:val="24"/>
                <w:vertAlign w:val="superscript"/>
              </w:rPr>
              <w:t>***</w:t>
            </w:r>
          </w:p>
        </w:tc>
      </w:tr>
      <w:tr w:rsidR="00F1782E" w14:paraId="6C23618C" w14:textId="77777777" w:rsidTr="00F16287">
        <w:tc>
          <w:tcPr>
            <w:tcW w:w="2136" w:type="dxa"/>
            <w:tcBorders>
              <w:top w:val="nil"/>
              <w:left w:val="nil"/>
              <w:bottom w:val="single" w:sz="4" w:space="0" w:color="auto"/>
              <w:right w:val="nil"/>
            </w:tcBorders>
          </w:tcPr>
          <w:p w14:paraId="3EDFD173" w14:textId="77777777" w:rsidR="00F1782E" w:rsidRDefault="00F1782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2B72F73B" w14:textId="77777777" w:rsidR="00F1782E" w:rsidRDefault="00F1782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(13.86)</w:t>
            </w:r>
          </w:p>
        </w:tc>
        <w:tc>
          <w:tcPr>
            <w:tcW w:w="1656" w:type="dxa"/>
            <w:tcBorders>
              <w:top w:val="nil"/>
              <w:left w:val="nil"/>
              <w:bottom w:val="single" w:sz="4" w:space="0" w:color="auto"/>
              <w:right w:val="nil"/>
            </w:tcBorders>
          </w:tcPr>
          <w:p w14:paraId="74834CBA" w14:textId="77777777" w:rsidR="00F1782E" w:rsidRDefault="00F1782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(13.24)</w:t>
            </w:r>
          </w:p>
        </w:tc>
      </w:tr>
      <w:tr w:rsidR="00F1782E" w14:paraId="7D854C4A" w14:textId="77777777" w:rsidTr="00F16287">
        <w:tc>
          <w:tcPr>
            <w:tcW w:w="2136" w:type="dxa"/>
            <w:tcBorders>
              <w:top w:val="nil"/>
              <w:left w:val="nil"/>
              <w:bottom w:val="single" w:sz="4" w:space="0" w:color="auto"/>
              <w:right w:val="nil"/>
            </w:tcBorders>
          </w:tcPr>
          <w:p w14:paraId="246219F1" w14:textId="77777777" w:rsidR="00F1782E" w:rsidRDefault="00F1782E"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628A038C" w14:textId="77777777" w:rsidR="00F1782E" w:rsidRDefault="00F1782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1796</w:t>
            </w:r>
          </w:p>
        </w:tc>
        <w:tc>
          <w:tcPr>
            <w:tcW w:w="1656" w:type="dxa"/>
            <w:tcBorders>
              <w:top w:val="nil"/>
              <w:left w:val="nil"/>
              <w:bottom w:val="single" w:sz="4" w:space="0" w:color="auto"/>
              <w:right w:val="nil"/>
            </w:tcBorders>
          </w:tcPr>
          <w:p w14:paraId="63B6F942" w14:textId="77777777" w:rsidR="00F1782E" w:rsidRDefault="00F1782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1796</w:t>
            </w:r>
          </w:p>
        </w:tc>
      </w:tr>
    </w:tbl>
    <w:p w14:paraId="7DCCA1A0" w14:textId="77777777" w:rsidR="002338C3" w:rsidRDefault="002338C3" w:rsidP="002338C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E6162F3" w14:textId="77777777" w:rsidR="002338C3" w:rsidRDefault="002338C3" w:rsidP="002338C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2414E2D" w14:textId="77777777" w:rsidR="00120F67" w:rsidRDefault="00120F67" w:rsidP="002338C3"/>
    <w:p w14:paraId="7227A65D" w14:textId="34E22749" w:rsidR="002338C3" w:rsidRDefault="008277D1" w:rsidP="002338C3">
      <w:r>
        <w:t xml:space="preserve">Table </w:t>
      </w:r>
      <w:r w:rsidR="007A6118">
        <w:t>A3</w:t>
      </w:r>
      <w:r w:rsidR="00F5039F">
        <w:t>:</w:t>
      </w:r>
      <w:r>
        <w:t xml:space="preserve"> OLS Regression on the left, FE panel regression on the right.</w:t>
      </w:r>
    </w:p>
    <w:tbl>
      <w:tblPr>
        <w:tblW w:w="0" w:type="auto"/>
        <w:tblLayout w:type="fixed"/>
        <w:tblLook w:val="0000" w:firstRow="0" w:lastRow="0" w:firstColumn="0" w:lastColumn="0" w:noHBand="0" w:noVBand="0"/>
      </w:tblPr>
      <w:tblGrid>
        <w:gridCol w:w="2136"/>
        <w:gridCol w:w="1656"/>
        <w:gridCol w:w="1656"/>
      </w:tblGrid>
      <w:tr w:rsidR="009D270E" w14:paraId="0F7B5DB3" w14:textId="77777777" w:rsidTr="00F16287">
        <w:tc>
          <w:tcPr>
            <w:tcW w:w="2136" w:type="dxa"/>
            <w:tcBorders>
              <w:top w:val="single" w:sz="4" w:space="0" w:color="auto"/>
              <w:left w:val="nil"/>
              <w:bottom w:val="nil"/>
              <w:right w:val="nil"/>
            </w:tcBorders>
          </w:tcPr>
          <w:p w14:paraId="7643CB3A" w14:textId="77777777" w:rsidR="009D270E" w:rsidRDefault="009D270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21D85D18" w14:textId="77777777" w:rsidR="009D270E" w:rsidRDefault="009D270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0478204A" w14:textId="77777777" w:rsidR="009D270E" w:rsidRDefault="009D270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D270E" w14:paraId="2532FA86" w14:textId="77777777" w:rsidTr="00F16287">
        <w:tc>
          <w:tcPr>
            <w:tcW w:w="2136" w:type="dxa"/>
            <w:tcBorders>
              <w:top w:val="nil"/>
              <w:left w:val="nil"/>
              <w:bottom w:val="nil"/>
              <w:right w:val="nil"/>
            </w:tcBorders>
          </w:tcPr>
          <w:p w14:paraId="0AC652F4" w14:textId="77777777" w:rsidR="009D270E" w:rsidRDefault="009D270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5691395" w14:textId="77777777" w:rsidR="009D270E" w:rsidRDefault="009D270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5B213D21" w14:textId="77777777" w:rsidR="009D270E" w:rsidRDefault="009D270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r>
      <w:tr w:rsidR="009D270E" w14:paraId="5BAF6BD1" w14:textId="77777777" w:rsidTr="00F16287">
        <w:tc>
          <w:tcPr>
            <w:tcW w:w="2136" w:type="dxa"/>
            <w:tcBorders>
              <w:top w:val="single" w:sz="4" w:space="0" w:color="auto"/>
              <w:left w:val="nil"/>
              <w:bottom w:val="nil"/>
              <w:right w:val="nil"/>
            </w:tcBorders>
          </w:tcPr>
          <w:p w14:paraId="2FC1B0DC" w14:textId="5299FD71" w:rsidR="009D270E" w:rsidRDefault="009D270E"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CB Governor Time in Office</w:t>
            </w:r>
          </w:p>
        </w:tc>
        <w:tc>
          <w:tcPr>
            <w:tcW w:w="1656" w:type="dxa"/>
            <w:tcBorders>
              <w:top w:val="single" w:sz="4" w:space="0" w:color="auto"/>
              <w:left w:val="nil"/>
              <w:bottom w:val="nil"/>
              <w:right w:val="nil"/>
            </w:tcBorders>
          </w:tcPr>
          <w:p w14:paraId="34AABB05" w14:textId="77777777" w:rsidR="009D270E" w:rsidRDefault="009D270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-0.0196</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14D57327" w14:textId="77777777" w:rsidR="009D270E" w:rsidRDefault="009D270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-0.0161</w:t>
            </w:r>
            <w:r>
              <w:rPr>
                <w:rFonts w:ascii="Times New Roman" w:hAnsi="Times New Roman" w:cs="Times New Roman"/>
                <w:sz w:val="24"/>
                <w:szCs w:val="24"/>
                <w:vertAlign w:val="superscript"/>
              </w:rPr>
              <w:t>*</w:t>
            </w:r>
          </w:p>
        </w:tc>
      </w:tr>
      <w:tr w:rsidR="009D270E" w14:paraId="56F4B642" w14:textId="77777777" w:rsidTr="00F16287">
        <w:tc>
          <w:tcPr>
            <w:tcW w:w="2136" w:type="dxa"/>
            <w:tcBorders>
              <w:top w:val="nil"/>
              <w:left w:val="nil"/>
              <w:bottom w:val="nil"/>
              <w:right w:val="nil"/>
            </w:tcBorders>
          </w:tcPr>
          <w:p w14:paraId="73C82A28" w14:textId="77777777" w:rsidR="009D270E" w:rsidRDefault="009D270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1063CB0" w14:textId="77777777" w:rsidR="009D270E" w:rsidRDefault="009D270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(-4.18)</w:t>
            </w:r>
          </w:p>
        </w:tc>
        <w:tc>
          <w:tcPr>
            <w:tcW w:w="1656" w:type="dxa"/>
            <w:tcBorders>
              <w:top w:val="nil"/>
              <w:left w:val="nil"/>
              <w:bottom w:val="nil"/>
              <w:right w:val="nil"/>
            </w:tcBorders>
          </w:tcPr>
          <w:p w14:paraId="47530507" w14:textId="77777777" w:rsidR="009D270E" w:rsidRDefault="009D270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(-2.43)</w:t>
            </w:r>
          </w:p>
        </w:tc>
      </w:tr>
      <w:tr w:rsidR="009D270E" w14:paraId="7DB9D52B" w14:textId="77777777" w:rsidTr="00F16287">
        <w:tc>
          <w:tcPr>
            <w:tcW w:w="2136" w:type="dxa"/>
            <w:tcBorders>
              <w:top w:val="nil"/>
              <w:left w:val="nil"/>
              <w:bottom w:val="nil"/>
              <w:right w:val="nil"/>
            </w:tcBorders>
          </w:tcPr>
          <w:p w14:paraId="0500DE38" w14:textId="77777777" w:rsidR="009D270E" w:rsidRDefault="009D270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D59AE76" w14:textId="77777777" w:rsidR="009D270E" w:rsidRDefault="009D270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486AD79" w14:textId="77777777" w:rsidR="009D270E" w:rsidRDefault="009D270E" w:rsidP="00F16287">
            <w:pPr>
              <w:widowControl w:val="0"/>
              <w:autoSpaceDE w:val="0"/>
              <w:autoSpaceDN w:val="0"/>
              <w:adjustRightInd w:val="0"/>
              <w:spacing w:after="0" w:line="240" w:lineRule="auto"/>
              <w:rPr>
                <w:rFonts w:ascii="Times New Roman" w:hAnsi="Times New Roman" w:cs="Times New Roman"/>
                <w:sz w:val="24"/>
                <w:szCs w:val="24"/>
              </w:rPr>
            </w:pPr>
          </w:p>
        </w:tc>
      </w:tr>
      <w:tr w:rsidR="009D270E" w14:paraId="3893BBFB" w14:textId="77777777" w:rsidTr="00F16287">
        <w:tc>
          <w:tcPr>
            <w:tcW w:w="2136" w:type="dxa"/>
            <w:tcBorders>
              <w:top w:val="nil"/>
              <w:left w:val="nil"/>
              <w:bottom w:val="nil"/>
              <w:right w:val="nil"/>
            </w:tcBorders>
          </w:tcPr>
          <w:p w14:paraId="5D33C722" w14:textId="77777777" w:rsidR="009D270E" w:rsidRDefault="009D270E"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266B4E93" w14:textId="77777777" w:rsidR="009D270E" w:rsidRDefault="009D270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0.736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DB23477" w14:textId="77777777" w:rsidR="009D270E" w:rsidRDefault="009D270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0.722</w:t>
            </w:r>
            <w:r>
              <w:rPr>
                <w:rFonts w:ascii="Times New Roman" w:hAnsi="Times New Roman" w:cs="Times New Roman"/>
                <w:sz w:val="24"/>
                <w:szCs w:val="24"/>
                <w:vertAlign w:val="superscript"/>
              </w:rPr>
              <w:t>***</w:t>
            </w:r>
          </w:p>
        </w:tc>
      </w:tr>
      <w:tr w:rsidR="009D270E" w14:paraId="72934624" w14:textId="77777777" w:rsidTr="00F16287">
        <w:tc>
          <w:tcPr>
            <w:tcW w:w="2136" w:type="dxa"/>
            <w:tcBorders>
              <w:top w:val="nil"/>
              <w:left w:val="nil"/>
              <w:bottom w:val="single" w:sz="4" w:space="0" w:color="auto"/>
              <w:right w:val="nil"/>
            </w:tcBorders>
          </w:tcPr>
          <w:p w14:paraId="169F64AD" w14:textId="77777777" w:rsidR="009D270E" w:rsidRDefault="009D270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7BE6082D" w14:textId="77777777" w:rsidR="009D270E" w:rsidRDefault="009D270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(25.23)</w:t>
            </w:r>
          </w:p>
        </w:tc>
        <w:tc>
          <w:tcPr>
            <w:tcW w:w="1656" w:type="dxa"/>
            <w:tcBorders>
              <w:top w:val="nil"/>
              <w:left w:val="nil"/>
              <w:bottom w:val="single" w:sz="4" w:space="0" w:color="auto"/>
              <w:right w:val="nil"/>
            </w:tcBorders>
          </w:tcPr>
          <w:p w14:paraId="42D4A38E" w14:textId="77777777" w:rsidR="009D270E" w:rsidRDefault="009D270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(27.51)</w:t>
            </w:r>
          </w:p>
        </w:tc>
      </w:tr>
      <w:tr w:rsidR="009D270E" w14:paraId="7A92E86E" w14:textId="77777777" w:rsidTr="00F16287">
        <w:tc>
          <w:tcPr>
            <w:tcW w:w="2136" w:type="dxa"/>
            <w:tcBorders>
              <w:top w:val="nil"/>
              <w:left w:val="nil"/>
              <w:bottom w:val="single" w:sz="4" w:space="0" w:color="auto"/>
              <w:right w:val="nil"/>
            </w:tcBorders>
          </w:tcPr>
          <w:p w14:paraId="16F6BED4" w14:textId="77777777" w:rsidR="009D270E" w:rsidRDefault="009D270E"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13038649" w14:textId="77777777" w:rsidR="009D270E" w:rsidRDefault="009D270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1764</w:t>
            </w:r>
          </w:p>
        </w:tc>
        <w:tc>
          <w:tcPr>
            <w:tcW w:w="1656" w:type="dxa"/>
            <w:tcBorders>
              <w:top w:val="nil"/>
              <w:left w:val="nil"/>
              <w:bottom w:val="single" w:sz="4" w:space="0" w:color="auto"/>
              <w:right w:val="nil"/>
            </w:tcBorders>
          </w:tcPr>
          <w:p w14:paraId="09436C00" w14:textId="77777777" w:rsidR="009D270E" w:rsidRDefault="009D270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1764</w:t>
            </w:r>
          </w:p>
        </w:tc>
      </w:tr>
    </w:tbl>
    <w:p w14:paraId="70EBB925" w14:textId="77777777" w:rsidR="002338C3" w:rsidRDefault="002338C3" w:rsidP="002338C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43CE8C32" w14:textId="3DCFF3F4" w:rsidR="002338C3" w:rsidRDefault="002338C3" w:rsidP="00B428B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A397D40" w14:textId="6A86F510" w:rsidR="00F83B53" w:rsidRDefault="00F83B53" w:rsidP="00B428BA">
      <w:pPr>
        <w:widowControl w:val="0"/>
        <w:autoSpaceDE w:val="0"/>
        <w:autoSpaceDN w:val="0"/>
        <w:adjustRightInd w:val="0"/>
        <w:spacing w:after="0" w:line="240" w:lineRule="auto"/>
        <w:rPr>
          <w:rFonts w:ascii="Times New Roman" w:hAnsi="Times New Roman" w:cs="Times New Roman"/>
          <w:sz w:val="20"/>
          <w:szCs w:val="20"/>
        </w:rPr>
      </w:pPr>
    </w:p>
    <w:p w14:paraId="75CB28C9" w14:textId="397D8E76" w:rsidR="00CD7DED" w:rsidRDefault="00CD7DED" w:rsidP="00D97364">
      <w:r>
        <w:t xml:space="preserve">Table </w:t>
      </w:r>
      <w:r w:rsidR="00EA1C39">
        <w:t>A</w:t>
      </w:r>
      <w:r w:rsidR="008513DA">
        <w:t>4</w:t>
      </w:r>
      <w:r w:rsidR="00EA1C39">
        <w:t>:</w:t>
      </w:r>
    </w:p>
    <w:p w14:paraId="56744778" w14:textId="72851031" w:rsidR="00F83B53" w:rsidRDefault="00D97364" w:rsidP="00D97364">
      <w:r>
        <w:t>Note that in this regression variables and labels have not yet been updated. A higher RR rate scale is the opposite of a fixed exchange rate.</w:t>
      </w:r>
    </w:p>
    <w:p w14:paraId="1990E78F" w14:textId="77777777" w:rsidR="00D97364" w:rsidRDefault="00D97364" w:rsidP="00B428BA">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tblGrid>
      <w:tr w:rsidR="00E536A3" w14:paraId="3642600F" w14:textId="77777777" w:rsidTr="00F16287">
        <w:tc>
          <w:tcPr>
            <w:tcW w:w="2136" w:type="dxa"/>
            <w:tcBorders>
              <w:top w:val="single" w:sz="4" w:space="0" w:color="auto"/>
              <w:left w:val="nil"/>
              <w:bottom w:val="nil"/>
              <w:right w:val="nil"/>
            </w:tcBorders>
          </w:tcPr>
          <w:p w14:paraId="71B99F11" w14:textId="77777777" w:rsidR="00E536A3" w:rsidRDefault="00E536A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791843C3" w14:textId="77777777" w:rsidR="00E536A3" w:rsidRDefault="00E536A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32EC81F5" w14:textId="77777777" w:rsidR="00E536A3" w:rsidRDefault="00E536A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536A3" w14:paraId="4A271825" w14:textId="77777777" w:rsidTr="00F16287">
        <w:tc>
          <w:tcPr>
            <w:tcW w:w="2136" w:type="dxa"/>
            <w:tcBorders>
              <w:top w:val="nil"/>
              <w:left w:val="nil"/>
              <w:bottom w:val="nil"/>
              <w:right w:val="nil"/>
            </w:tcBorders>
          </w:tcPr>
          <w:p w14:paraId="2B6BE0F0" w14:textId="77777777" w:rsidR="00E536A3" w:rsidRDefault="00E536A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4A12795" w14:textId="77777777" w:rsidR="00E536A3" w:rsidRDefault="00E536A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15787B83" w14:textId="77777777" w:rsidR="00E536A3" w:rsidRDefault="00E536A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r>
      <w:tr w:rsidR="00E536A3" w14:paraId="6FD2EE77" w14:textId="77777777" w:rsidTr="00F16287">
        <w:tc>
          <w:tcPr>
            <w:tcW w:w="2136" w:type="dxa"/>
            <w:tcBorders>
              <w:top w:val="single" w:sz="4" w:space="0" w:color="auto"/>
              <w:left w:val="nil"/>
              <w:bottom w:val="nil"/>
              <w:right w:val="nil"/>
            </w:tcBorders>
          </w:tcPr>
          <w:p w14:paraId="58D62F30" w14:textId="77777777" w:rsidR="00E536A3" w:rsidRDefault="00E536A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single" w:sz="4" w:space="0" w:color="auto"/>
              <w:left w:val="nil"/>
              <w:bottom w:val="nil"/>
              <w:right w:val="nil"/>
            </w:tcBorders>
          </w:tcPr>
          <w:p w14:paraId="2BDD25EC" w14:textId="77777777" w:rsidR="00E536A3" w:rsidRDefault="00E536A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0.0334</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5E048E46" w14:textId="77777777" w:rsidR="00E536A3" w:rsidRDefault="00E536A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0.0203</w:t>
            </w:r>
            <w:r>
              <w:rPr>
                <w:rFonts w:ascii="Times New Roman" w:hAnsi="Times New Roman" w:cs="Times New Roman"/>
                <w:sz w:val="24"/>
                <w:szCs w:val="24"/>
                <w:vertAlign w:val="superscript"/>
              </w:rPr>
              <w:t>**</w:t>
            </w:r>
          </w:p>
        </w:tc>
      </w:tr>
      <w:tr w:rsidR="00E536A3" w14:paraId="52B910B7" w14:textId="77777777" w:rsidTr="00F16287">
        <w:tc>
          <w:tcPr>
            <w:tcW w:w="2136" w:type="dxa"/>
            <w:tcBorders>
              <w:top w:val="nil"/>
              <w:left w:val="nil"/>
              <w:bottom w:val="nil"/>
              <w:right w:val="nil"/>
            </w:tcBorders>
          </w:tcPr>
          <w:p w14:paraId="0A133FAC" w14:textId="77777777" w:rsidR="00E536A3" w:rsidRDefault="00E536A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F7E6774" w14:textId="77777777" w:rsidR="00E536A3" w:rsidRDefault="00E536A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(7.30)</w:t>
            </w:r>
          </w:p>
        </w:tc>
        <w:tc>
          <w:tcPr>
            <w:tcW w:w="1656" w:type="dxa"/>
            <w:tcBorders>
              <w:top w:val="nil"/>
              <w:left w:val="nil"/>
              <w:bottom w:val="nil"/>
              <w:right w:val="nil"/>
            </w:tcBorders>
          </w:tcPr>
          <w:p w14:paraId="4F5388EF" w14:textId="77777777" w:rsidR="00E536A3" w:rsidRDefault="00E536A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(2.75)</w:t>
            </w:r>
          </w:p>
        </w:tc>
      </w:tr>
      <w:tr w:rsidR="00E536A3" w14:paraId="0DD9120C" w14:textId="77777777" w:rsidTr="00F16287">
        <w:tc>
          <w:tcPr>
            <w:tcW w:w="2136" w:type="dxa"/>
            <w:tcBorders>
              <w:top w:val="nil"/>
              <w:left w:val="nil"/>
              <w:bottom w:val="nil"/>
              <w:right w:val="nil"/>
            </w:tcBorders>
          </w:tcPr>
          <w:p w14:paraId="20C318CB" w14:textId="77777777" w:rsidR="00E536A3" w:rsidRDefault="00E536A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79AF531" w14:textId="77777777" w:rsidR="00E536A3" w:rsidRDefault="00E536A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EBD43A7" w14:textId="77777777" w:rsidR="00E536A3" w:rsidRDefault="00E536A3" w:rsidP="00F16287">
            <w:pPr>
              <w:widowControl w:val="0"/>
              <w:autoSpaceDE w:val="0"/>
              <w:autoSpaceDN w:val="0"/>
              <w:adjustRightInd w:val="0"/>
              <w:spacing w:after="0" w:line="240" w:lineRule="auto"/>
              <w:rPr>
                <w:rFonts w:ascii="Times New Roman" w:hAnsi="Times New Roman" w:cs="Times New Roman"/>
                <w:sz w:val="24"/>
                <w:szCs w:val="24"/>
              </w:rPr>
            </w:pPr>
          </w:p>
        </w:tc>
      </w:tr>
      <w:tr w:rsidR="00E536A3" w14:paraId="431B4955" w14:textId="77777777" w:rsidTr="00F16287">
        <w:tc>
          <w:tcPr>
            <w:tcW w:w="2136" w:type="dxa"/>
            <w:tcBorders>
              <w:top w:val="nil"/>
              <w:left w:val="nil"/>
              <w:bottom w:val="nil"/>
              <w:right w:val="nil"/>
            </w:tcBorders>
          </w:tcPr>
          <w:p w14:paraId="5B96088F" w14:textId="77777777" w:rsidR="00E536A3" w:rsidRDefault="00E536A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25D34A9D" w14:textId="77777777" w:rsidR="00E536A3" w:rsidRDefault="00E536A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5E23BC2" w14:textId="77777777" w:rsidR="00E536A3" w:rsidRDefault="00E536A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-0.333</w:t>
            </w:r>
            <w:r>
              <w:rPr>
                <w:rFonts w:ascii="Times New Roman" w:hAnsi="Times New Roman" w:cs="Times New Roman"/>
                <w:sz w:val="24"/>
                <w:szCs w:val="24"/>
                <w:vertAlign w:val="superscript"/>
              </w:rPr>
              <w:t>***</w:t>
            </w:r>
          </w:p>
        </w:tc>
      </w:tr>
      <w:tr w:rsidR="00E536A3" w14:paraId="5F3D8A44" w14:textId="77777777" w:rsidTr="00F16287">
        <w:tc>
          <w:tcPr>
            <w:tcW w:w="2136" w:type="dxa"/>
            <w:tcBorders>
              <w:top w:val="nil"/>
              <w:left w:val="nil"/>
              <w:bottom w:val="single" w:sz="4" w:space="0" w:color="auto"/>
              <w:right w:val="nil"/>
            </w:tcBorders>
          </w:tcPr>
          <w:p w14:paraId="08D92324" w14:textId="77777777" w:rsidR="00E536A3" w:rsidRDefault="00E536A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0D25C6B7" w14:textId="77777777" w:rsidR="00E536A3" w:rsidRDefault="00E536A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(-9.47)</w:t>
            </w:r>
          </w:p>
        </w:tc>
        <w:tc>
          <w:tcPr>
            <w:tcW w:w="1656" w:type="dxa"/>
            <w:tcBorders>
              <w:top w:val="nil"/>
              <w:left w:val="nil"/>
              <w:bottom w:val="single" w:sz="4" w:space="0" w:color="auto"/>
              <w:right w:val="nil"/>
            </w:tcBorders>
          </w:tcPr>
          <w:p w14:paraId="7D451B84" w14:textId="77777777" w:rsidR="00E536A3" w:rsidRDefault="00E536A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(-5.08)</w:t>
            </w:r>
          </w:p>
        </w:tc>
      </w:tr>
      <w:tr w:rsidR="00E536A3" w14:paraId="71A96B16" w14:textId="77777777" w:rsidTr="00F16287">
        <w:tc>
          <w:tcPr>
            <w:tcW w:w="2136" w:type="dxa"/>
            <w:tcBorders>
              <w:top w:val="nil"/>
              <w:left w:val="nil"/>
              <w:bottom w:val="single" w:sz="4" w:space="0" w:color="auto"/>
              <w:right w:val="nil"/>
            </w:tcBorders>
          </w:tcPr>
          <w:p w14:paraId="56EE4185" w14:textId="77777777" w:rsidR="00E536A3" w:rsidRDefault="00E536A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0D547DF6" w14:textId="77777777" w:rsidR="00E536A3" w:rsidRDefault="00E536A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2962</w:t>
            </w:r>
          </w:p>
        </w:tc>
        <w:tc>
          <w:tcPr>
            <w:tcW w:w="1656" w:type="dxa"/>
            <w:tcBorders>
              <w:top w:val="nil"/>
              <w:left w:val="nil"/>
              <w:bottom w:val="single" w:sz="4" w:space="0" w:color="auto"/>
              <w:right w:val="nil"/>
            </w:tcBorders>
          </w:tcPr>
          <w:p w14:paraId="7D70F665" w14:textId="77777777" w:rsidR="00E536A3" w:rsidRDefault="00E536A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2962</w:t>
            </w:r>
          </w:p>
        </w:tc>
      </w:tr>
    </w:tbl>
    <w:p w14:paraId="0B7E2880" w14:textId="77777777" w:rsidR="00715D77" w:rsidRDefault="00715D77" w:rsidP="00715D77">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01E47392" w14:textId="77777777" w:rsidR="00715D77" w:rsidRDefault="00715D77" w:rsidP="00715D77">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09AAE201" w14:textId="00531A1F" w:rsidR="00715D77" w:rsidRDefault="00715D77" w:rsidP="00B428BA">
      <w:pPr>
        <w:widowControl w:val="0"/>
        <w:autoSpaceDE w:val="0"/>
        <w:autoSpaceDN w:val="0"/>
        <w:adjustRightInd w:val="0"/>
        <w:spacing w:after="0" w:line="240" w:lineRule="auto"/>
        <w:rPr>
          <w:rFonts w:ascii="Times New Roman" w:hAnsi="Times New Roman" w:cs="Times New Roman"/>
          <w:sz w:val="20"/>
          <w:szCs w:val="20"/>
        </w:rPr>
      </w:pPr>
    </w:p>
    <w:p w14:paraId="578C0762" w14:textId="27EEAE8A" w:rsidR="00CD7DED" w:rsidRDefault="00CD7DED" w:rsidP="00CD7DED">
      <w:r>
        <w:t xml:space="preserve">Table </w:t>
      </w:r>
      <w:r w:rsidR="00F97268">
        <w:t>A</w:t>
      </w:r>
      <w:r w:rsidR="008513DA">
        <w:t>5</w:t>
      </w:r>
      <w:r w:rsidR="00F97268">
        <w:t>:</w:t>
      </w:r>
    </w:p>
    <w:p w14:paraId="0F1DCCC4" w14:textId="7082733E" w:rsidR="00CD7DED" w:rsidRDefault="00CD7DED" w:rsidP="00CD7DED">
      <w:r>
        <w:t>Note that in this regression variables and labels have not yet been updated. A higher RR rate scale is the opposite of a fixed exchange rate.</w:t>
      </w:r>
    </w:p>
    <w:tbl>
      <w:tblPr>
        <w:tblW w:w="0" w:type="auto"/>
        <w:tblLayout w:type="fixed"/>
        <w:tblLook w:val="0000" w:firstRow="0" w:lastRow="0" w:firstColumn="0" w:lastColumn="0" w:noHBand="0" w:noVBand="0"/>
      </w:tblPr>
      <w:tblGrid>
        <w:gridCol w:w="2136"/>
        <w:gridCol w:w="1656"/>
        <w:gridCol w:w="1656"/>
      </w:tblGrid>
      <w:tr w:rsidR="009D613F" w14:paraId="6E2FE0C9" w14:textId="77777777" w:rsidTr="00F16287">
        <w:tc>
          <w:tcPr>
            <w:tcW w:w="2136" w:type="dxa"/>
            <w:tcBorders>
              <w:top w:val="single" w:sz="4" w:space="0" w:color="auto"/>
              <w:left w:val="nil"/>
              <w:bottom w:val="nil"/>
              <w:right w:val="nil"/>
            </w:tcBorders>
          </w:tcPr>
          <w:p w14:paraId="4F3F48CF" w14:textId="77777777" w:rsidR="009D613F" w:rsidRDefault="009D613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49D904F1" w14:textId="77777777" w:rsidR="009D613F" w:rsidRDefault="009D613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259F5FED" w14:textId="77777777" w:rsidR="009D613F" w:rsidRDefault="009D613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D613F" w14:paraId="61A9D3E5" w14:textId="77777777" w:rsidTr="00F16287">
        <w:tc>
          <w:tcPr>
            <w:tcW w:w="2136" w:type="dxa"/>
            <w:tcBorders>
              <w:top w:val="nil"/>
              <w:left w:val="nil"/>
              <w:bottom w:val="nil"/>
              <w:right w:val="nil"/>
            </w:tcBorders>
          </w:tcPr>
          <w:p w14:paraId="3DCF691E" w14:textId="77777777" w:rsidR="009D613F" w:rsidRDefault="009D613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9008587" w14:textId="77777777" w:rsidR="009D613F" w:rsidRDefault="009D613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c>
          <w:tcPr>
            <w:tcW w:w="1656" w:type="dxa"/>
            <w:tcBorders>
              <w:top w:val="nil"/>
              <w:left w:val="nil"/>
              <w:bottom w:val="nil"/>
              <w:right w:val="nil"/>
            </w:tcBorders>
          </w:tcPr>
          <w:p w14:paraId="040F7FE3" w14:textId="77777777" w:rsidR="009D613F" w:rsidRDefault="009D613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9D613F" w14:paraId="32A7EFEB" w14:textId="77777777" w:rsidTr="00F16287">
        <w:tc>
          <w:tcPr>
            <w:tcW w:w="2136" w:type="dxa"/>
            <w:tcBorders>
              <w:top w:val="single" w:sz="4" w:space="0" w:color="auto"/>
              <w:left w:val="nil"/>
              <w:bottom w:val="nil"/>
              <w:right w:val="nil"/>
            </w:tcBorders>
          </w:tcPr>
          <w:p w14:paraId="4B32ED61" w14:textId="77777777" w:rsidR="009D613F" w:rsidRDefault="009D613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single" w:sz="4" w:space="0" w:color="auto"/>
              <w:left w:val="nil"/>
              <w:bottom w:val="nil"/>
              <w:right w:val="nil"/>
            </w:tcBorders>
          </w:tcPr>
          <w:p w14:paraId="7BC97F5F" w14:textId="77777777" w:rsidR="009D613F" w:rsidRDefault="009D613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-0.00131</w:t>
            </w:r>
          </w:p>
        </w:tc>
        <w:tc>
          <w:tcPr>
            <w:tcW w:w="1656" w:type="dxa"/>
            <w:tcBorders>
              <w:top w:val="single" w:sz="4" w:space="0" w:color="auto"/>
              <w:left w:val="nil"/>
              <w:bottom w:val="nil"/>
              <w:right w:val="nil"/>
            </w:tcBorders>
          </w:tcPr>
          <w:p w14:paraId="7C28573E" w14:textId="77777777" w:rsidR="009D613F" w:rsidRDefault="009D613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0.00944</w:t>
            </w:r>
            <w:r>
              <w:rPr>
                <w:rFonts w:ascii="Times New Roman" w:hAnsi="Times New Roman" w:cs="Times New Roman"/>
                <w:sz w:val="24"/>
                <w:szCs w:val="24"/>
                <w:vertAlign w:val="superscript"/>
              </w:rPr>
              <w:t>*</w:t>
            </w:r>
          </w:p>
        </w:tc>
      </w:tr>
      <w:tr w:rsidR="009D613F" w14:paraId="15D92BAE" w14:textId="77777777" w:rsidTr="00F16287">
        <w:tc>
          <w:tcPr>
            <w:tcW w:w="2136" w:type="dxa"/>
            <w:tcBorders>
              <w:top w:val="nil"/>
              <w:left w:val="nil"/>
              <w:bottom w:val="nil"/>
              <w:right w:val="nil"/>
            </w:tcBorders>
          </w:tcPr>
          <w:p w14:paraId="6FABD0BA" w14:textId="77777777" w:rsidR="009D613F" w:rsidRDefault="009D613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D735EEA" w14:textId="77777777" w:rsidR="009D613F" w:rsidRDefault="009D613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1656" w:type="dxa"/>
            <w:tcBorders>
              <w:top w:val="nil"/>
              <w:left w:val="nil"/>
              <w:bottom w:val="nil"/>
              <w:right w:val="nil"/>
            </w:tcBorders>
          </w:tcPr>
          <w:p w14:paraId="3E0D0DDA" w14:textId="77777777" w:rsidR="009D613F" w:rsidRDefault="009D613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9D613F" w14:paraId="245775A5" w14:textId="77777777" w:rsidTr="00F16287">
        <w:tc>
          <w:tcPr>
            <w:tcW w:w="2136" w:type="dxa"/>
            <w:tcBorders>
              <w:top w:val="nil"/>
              <w:left w:val="nil"/>
              <w:bottom w:val="nil"/>
              <w:right w:val="nil"/>
            </w:tcBorders>
          </w:tcPr>
          <w:p w14:paraId="476D70A0" w14:textId="77777777" w:rsidR="009D613F" w:rsidRDefault="009D613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C868FBA" w14:textId="77777777" w:rsidR="009D613F" w:rsidRDefault="009D613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144B819" w14:textId="77777777" w:rsidR="009D613F" w:rsidRDefault="009D613F" w:rsidP="00F16287">
            <w:pPr>
              <w:widowControl w:val="0"/>
              <w:autoSpaceDE w:val="0"/>
              <w:autoSpaceDN w:val="0"/>
              <w:adjustRightInd w:val="0"/>
              <w:spacing w:after="0" w:line="240" w:lineRule="auto"/>
              <w:rPr>
                <w:rFonts w:ascii="Times New Roman" w:hAnsi="Times New Roman" w:cs="Times New Roman"/>
                <w:sz w:val="24"/>
                <w:szCs w:val="24"/>
              </w:rPr>
            </w:pPr>
          </w:p>
        </w:tc>
      </w:tr>
      <w:tr w:rsidR="009D613F" w14:paraId="4F3B73B1" w14:textId="77777777" w:rsidTr="00F16287">
        <w:tc>
          <w:tcPr>
            <w:tcW w:w="2136" w:type="dxa"/>
            <w:tcBorders>
              <w:top w:val="nil"/>
              <w:left w:val="nil"/>
              <w:bottom w:val="nil"/>
              <w:right w:val="nil"/>
            </w:tcBorders>
          </w:tcPr>
          <w:p w14:paraId="4A48F742" w14:textId="77777777" w:rsidR="009D613F" w:rsidRDefault="009D613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6C428148" w14:textId="77777777" w:rsidR="009D613F" w:rsidRDefault="009D613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E668CFC" w14:textId="77777777" w:rsidR="009D613F" w:rsidRDefault="009D613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0.300</w:t>
            </w:r>
            <w:r>
              <w:rPr>
                <w:rFonts w:ascii="Times New Roman" w:hAnsi="Times New Roman" w:cs="Times New Roman"/>
                <w:sz w:val="24"/>
                <w:szCs w:val="24"/>
                <w:vertAlign w:val="superscript"/>
              </w:rPr>
              <w:t>***</w:t>
            </w:r>
          </w:p>
        </w:tc>
      </w:tr>
      <w:tr w:rsidR="009D613F" w14:paraId="6BD94D7A" w14:textId="77777777" w:rsidTr="00F16287">
        <w:tc>
          <w:tcPr>
            <w:tcW w:w="2136" w:type="dxa"/>
            <w:tcBorders>
              <w:top w:val="nil"/>
              <w:left w:val="nil"/>
              <w:bottom w:val="single" w:sz="4" w:space="0" w:color="auto"/>
              <w:right w:val="nil"/>
            </w:tcBorders>
          </w:tcPr>
          <w:p w14:paraId="36D22677" w14:textId="77777777" w:rsidR="009D613F" w:rsidRDefault="009D613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371A82EA" w14:textId="77777777" w:rsidR="009D613F" w:rsidRDefault="009D613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(27.97)</w:t>
            </w:r>
          </w:p>
        </w:tc>
        <w:tc>
          <w:tcPr>
            <w:tcW w:w="1656" w:type="dxa"/>
            <w:tcBorders>
              <w:top w:val="nil"/>
              <w:left w:val="nil"/>
              <w:bottom w:val="single" w:sz="4" w:space="0" w:color="auto"/>
              <w:right w:val="nil"/>
            </w:tcBorders>
          </w:tcPr>
          <w:p w14:paraId="0F1D2320" w14:textId="77777777" w:rsidR="009D613F" w:rsidRDefault="009D613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(8.35)</w:t>
            </w:r>
          </w:p>
        </w:tc>
      </w:tr>
      <w:tr w:rsidR="009D613F" w14:paraId="42413ED5" w14:textId="77777777" w:rsidTr="00F16287">
        <w:tc>
          <w:tcPr>
            <w:tcW w:w="2136" w:type="dxa"/>
            <w:tcBorders>
              <w:top w:val="nil"/>
              <w:left w:val="nil"/>
              <w:bottom w:val="single" w:sz="4" w:space="0" w:color="auto"/>
              <w:right w:val="nil"/>
            </w:tcBorders>
          </w:tcPr>
          <w:p w14:paraId="0A7E2CC5" w14:textId="77777777" w:rsidR="009D613F" w:rsidRDefault="009D613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25884754" w14:textId="77777777" w:rsidR="009D613F" w:rsidRDefault="009D613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5273</w:t>
            </w:r>
          </w:p>
        </w:tc>
        <w:tc>
          <w:tcPr>
            <w:tcW w:w="1656" w:type="dxa"/>
            <w:tcBorders>
              <w:top w:val="nil"/>
              <w:left w:val="nil"/>
              <w:bottom w:val="single" w:sz="4" w:space="0" w:color="auto"/>
              <w:right w:val="nil"/>
            </w:tcBorders>
          </w:tcPr>
          <w:p w14:paraId="7825191C" w14:textId="77777777" w:rsidR="009D613F" w:rsidRDefault="009D613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5273</w:t>
            </w:r>
          </w:p>
        </w:tc>
      </w:tr>
    </w:tbl>
    <w:p w14:paraId="5C144E5D" w14:textId="77777777" w:rsidR="005C4B05" w:rsidRDefault="005C4B05" w:rsidP="005C4B0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20F2F96" w14:textId="77777777" w:rsidR="005C4B05" w:rsidRDefault="005C4B05" w:rsidP="005C4B0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34E272FA" w14:textId="77777777" w:rsidR="00B428BA" w:rsidRPr="00B428BA" w:rsidRDefault="00B428BA" w:rsidP="00B428BA">
      <w:pPr>
        <w:widowControl w:val="0"/>
        <w:autoSpaceDE w:val="0"/>
        <w:autoSpaceDN w:val="0"/>
        <w:adjustRightInd w:val="0"/>
        <w:spacing w:after="0" w:line="240" w:lineRule="auto"/>
        <w:rPr>
          <w:rFonts w:ascii="Times New Roman" w:hAnsi="Times New Roman" w:cs="Times New Roman"/>
          <w:sz w:val="20"/>
          <w:szCs w:val="20"/>
        </w:rPr>
      </w:pPr>
    </w:p>
    <w:p w14:paraId="661875C9" w14:textId="74665833" w:rsidR="008E65F3" w:rsidRPr="00C53311" w:rsidRDefault="006071DE" w:rsidP="008E65F3">
      <w:r w:rsidRPr="00C53311">
        <w:t>Table A</w:t>
      </w:r>
      <w:r w:rsidR="00986FFE" w:rsidRPr="00C53311">
        <w:t>6</w:t>
      </w:r>
      <w:r w:rsidR="002F74F1" w:rsidRPr="00C53311">
        <w:t>.</w:t>
      </w:r>
      <w:r w:rsidRPr="00C53311">
        <w:t xml:space="preserve"> </w:t>
      </w:r>
      <w:r w:rsidR="008E65F3" w:rsidRPr="00C53311">
        <w:t>Ordinal regression (ordinal panel logit with clustered SEs), Random effects, Coeff</w:t>
      </w:r>
      <w:r w:rsidR="002F74F1" w:rsidRPr="00C53311">
        <w:t>icients</w:t>
      </w:r>
    </w:p>
    <w:tbl>
      <w:tblPr>
        <w:tblW w:w="0" w:type="auto"/>
        <w:tblLayout w:type="fixed"/>
        <w:tblLook w:val="0000" w:firstRow="0" w:lastRow="0" w:firstColumn="0" w:lastColumn="0" w:noHBand="0" w:noVBand="0"/>
      </w:tblPr>
      <w:tblGrid>
        <w:gridCol w:w="2136"/>
        <w:gridCol w:w="1656"/>
        <w:gridCol w:w="1656"/>
        <w:gridCol w:w="1656"/>
      </w:tblGrid>
      <w:tr w:rsidR="00C53311" w14:paraId="408C7C44" w14:textId="77777777" w:rsidTr="00F16287">
        <w:tc>
          <w:tcPr>
            <w:tcW w:w="2136" w:type="dxa"/>
            <w:tcBorders>
              <w:top w:val="single" w:sz="4" w:space="0" w:color="auto"/>
              <w:left w:val="nil"/>
              <w:bottom w:val="nil"/>
              <w:right w:val="nil"/>
            </w:tcBorders>
          </w:tcPr>
          <w:p w14:paraId="14C56A72" w14:textId="77777777" w:rsidR="00C53311" w:rsidRDefault="00C53311" w:rsidP="00F16287">
            <w:pPr>
              <w:widowControl w:val="0"/>
              <w:autoSpaceDE w:val="0"/>
              <w:autoSpaceDN w:val="0"/>
              <w:adjustRightInd w:val="0"/>
              <w:spacing w:after="0" w:line="240" w:lineRule="auto"/>
              <w:rPr>
                <w:rFonts w:ascii="Times New Roman" w:hAnsi="Times New Roman"/>
                <w:sz w:val="24"/>
                <w:szCs w:val="24"/>
              </w:rPr>
            </w:pPr>
          </w:p>
        </w:tc>
        <w:tc>
          <w:tcPr>
            <w:tcW w:w="1656" w:type="dxa"/>
            <w:tcBorders>
              <w:top w:val="single" w:sz="4" w:space="0" w:color="auto"/>
              <w:left w:val="nil"/>
              <w:bottom w:val="nil"/>
              <w:right w:val="nil"/>
            </w:tcBorders>
          </w:tcPr>
          <w:p w14:paraId="74916650"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w:t>
            </w:r>
          </w:p>
        </w:tc>
        <w:tc>
          <w:tcPr>
            <w:tcW w:w="1656" w:type="dxa"/>
            <w:tcBorders>
              <w:top w:val="single" w:sz="4" w:space="0" w:color="auto"/>
              <w:left w:val="nil"/>
              <w:bottom w:val="nil"/>
              <w:right w:val="nil"/>
            </w:tcBorders>
          </w:tcPr>
          <w:p w14:paraId="090EEF2C"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w:t>
            </w:r>
          </w:p>
        </w:tc>
        <w:tc>
          <w:tcPr>
            <w:tcW w:w="1656" w:type="dxa"/>
            <w:tcBorders>
              <w:top w:val="single" w:sz="4" w:space="0" w:color="auto"/>
              <w:left w:val="nil"/>
              <w:bottom w:val="nil"/>
              <w:right w:val="nil"/>
            </w:tcBorders>
          </w:tcPr>
          <w:p w14:paraId="1CFA11E0"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w:t>
            </w:r>
          </w:p>
        </w:tc>
      </w:tr>
      <w:tr w:rsidR="00C53311" w14:paraId="4EAFC7D2" w14:textId="77777777" w:rsidTr="00F16287">
        <w:tc>
          <w:tcPr>
            <w:tcW w:w="2136" w:type="dxa"/>
            <w:tcBorders>
              <w:top w:val="nil"/>
              <w:left w:val="nil"/>
              <w:bottom w:val="nil"/>
              <w:right w:val="nil"/>
            </w:tcBorders>
          </w:tcPr>
          <w:p w14:paraId="688817E4" w14:textId="77777777" w:rsidR="00C53311" w:rsidRDefault="00C53311" w:rsidP="00F16287">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480961D7"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Head of Govt. Turnover</w:t>
            </w:r>
          </w:p>
        </w:tc>
        <w:tc>
          <w:tcPr>
            <w:tcW w:w="1656" w:type="dxa"/>
            <w:tcBorders>
              <w:top w:val="nil"/>
              <w:left w:val="nil"/>
              <w:bottom w:val="nil"/>
              <w:right w:val="nil"/>
            </w:tcBorders>
          </w:tcPr>
          <w:p w14:paraId="2AFB510B"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Head of State Turnover</w:t>
            </w:r>
          </w:p>
        </w:tc>
        <w:tc>
          <w:tcPr>
            <w:tcW w:w="1656" w:type="dxa"/>
            <w:tcBorders>
              <w:top w:val="nil"/>
              <w:left w:val="nil"/>
              <w:bottom w:val="nil"/>
              <w:right w:val="nil"/>
            </w:tcBorders>
          </w:tcPr>
          <w:p w14:paraId="0660E7F8"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Lower House Turnover</w:t>
            </w:r>
          </w:p>
        </w:tc>
      </w:tr>
      <w:tr w:rsidR="00C53311" w14:paraId="5EA13F1A" w14:textId="77777777" w:rsidTr="00F16287">
        <w:tc>
          <w:tcPr>
            <w:tcW w:w="2136" w:type="dxa"/>
            <w:tcBorders>
              <w:top w:val="single" w:sz="4" w:space="0" w:color="auto"/>
              <w:left w:val="nil"/>
              <w:bottom w:val="nil"/>
              <w:right w:val="nil"/>
            </w:tcBorders>
          </w:tcPr>
          <w:p w14:paraId="48919C01" w14:textId="77777777" w:rsidR="00C53311" w:rsidRDefault="00C53311" w:rsidP="00F16287">
            <w:pPr>
              <w:widowControl w:val="0"/>
              <w:autoSpaceDE w:val="0"/>
              <w:autoSpaceDN w:val="0"/>
              <w:adjustRightInd w:val="0"/>
              <w:spacing w:after="0" w:line="240" w:lineRule="auto"/>
              <w:rPr>
                <w:rFonts w:ascii="Times New Roman" w:hAnsi="Times New Roman"/>
                <w:sz w:val="24"/>
                <w:szCs w:val="24"/>
              </w:rPr>
            </w:pPr>
          </w:p>
        </w:tc>
        <w:tc>
          <w:tcPr>
            <w:tcW w:w="1656" w:type="dxa"/>
            <w:tcBorders>
              <w:top w:val="single" w:sz="4" w:space="0" w:color="auto"/>
              <w:left w:val="nil"/>
              <w:bottom w:val="nil"/>
              <w:right w:val="nil"/>
            </w:tcBorders>
          </w:tcPr>
          <w:p w14:paraId="151AAE9A"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single" w:sz="4" w:space="0" w:color="auto"/>
              <w:left w:val="nil"/>
              <w:bottom w:val="nil"/>
              <w:right w:val="nil"/>
            </w:tcBorders>
          </w:tcPr>
          <w:p w14:paraId="3BA9146D"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single" w:sz="4" w:space="0" w:color="auto"/>
              <w:left w:val="nil"/>
              <w:bottom w:val="nil"/>
              <w:right w:val="nil"/>
            </w:tcBorders>
          </w:tcPr>
          <w:p w14:paraId="60816234"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p>
        </w:tc>
      </w:tr>
      <w:tr w:rsidR="00C53311" w14:paraId="475A7E70" w14:textId="77777777" w:rsidTr="00F16287">
        <w:tc>
          <w:tcPr>
            <w:tcW w:w="2136" w:type="dxa"/>
            <w:tcBorders>
              <w:top w:val="nil"/>
              <w:left w:val="nil"/>
              <w:bottom w:val="nil"/>
              <w:right w:val="nil"/>
            </w:tcBorders>
          </w:tcPr>
          <w:p w14:paraId="6AFEBCF5" w14:textId="77777777" w:rsidR="00C53311" w:rsidRPr="00371635" w:rsidRDefault="00C53311" w:rsidP="00F16287">
            <w:pPr>
              <w:widowControl w:val="0"/>
              <w:autoSpaceDE w:val="0"/>
              <w:autoSpaceDN w:val="0"/>
              <w:adjustRightInd w:val="0"/>
              <w:spacing w:after="0" w:line="240" w:lineRule="auto"/>
              <w:rPr>
                <w:rFonts w:ascii="Times New Roman" w:hAnsi="Times New Roman"/>
                <w:sz w:val="24"/>
                <w:szCs w:val="24"/>
                <w:lang w:val="fr-BE"/>
              </w:rPr>
            </w:pPr>
            <w:r w:rsidRPr="00371635">
              <w:rPr>
                <w:rFonts w:ascii="Times New Roman" w:hAnsi="Times New Roman"/>
                <w:sz w:val="24"/>
                <w:szCs w:val="24"/>
                <w:lang w:val="fr-BE"/>
              </w:rPr>
              <w:t>De Jure CBI (CNW Index)</w:t>
            </w:r>
          </w:p>
        </w:tc>
        <w:tc>
          <w:tcPr>
            <w:tcW w:w="1656" w:type="dxa"/>
            <w:tcBorders>
              <w:top w:val="nil"/>
              <w:left w:val="nil"/>
              <w:bottom w:val="nil"/>
              <w:right w:val="nil"/>
            </w:tcBorders>
          </w:tcPr>
          <w:p w14:paraId="49A3EE27"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0.740</w:t>
            </w:r>
          </w:p>
        </w:tc>
        <w:tc>
          <w:tcPr>
            <w:tcW w:w="1656" w:type="dxa"/>
            <w:tcBorders>
              <w:top w:val="nil"/>
              <w:left w:val="nil"/>
              <w:bottom w:val="nil"/>
              <w:right w:val="nil"/>
            </w:tcBorders>
          </w:tcPr>
          <w:p w14:paraId="30F41E6B"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1.771</w:t>
            </w:r>
            <w:r>
              <w:rPr>
                <w:rFonts w:ascii="Times New Roman" w:hAnsi="Times New Roman"/>
                <w:sz w:val="24"/>
                <w:szCs w:val="24"/>
                <w:vertAlign w:val="superscript"/>
              </w:rPr>
              <w:t>***</w:t>
            </w:r>
          </w:p>
        </w:tc>
        <w:tc>
          <w:tcPr>
            <w:tcW w:w="1656" w:type="dxa"/>
            <w:tcBorders>
              <w:top w:val="nil"/>
              <w:left w:val="nil"/>
              <w:bottom w:val="nil"/>
              <w:right w:val="nil"/>
            </w:tcBorders>
          </w:tcPr>
          <w:p w14:paraId="203FB6F4"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1.461</w:t>
            </w:r>
            <w:r>
              <w:rPr>
                <w:rFonts w:ascii="Times New Roman" w:hAnsi="Times New Roman"/>
                <w:sz w:val="24"/>
                <w:szCs w:val="24"/>
                <w:vertAlign w:val="superscript"/>
              </w:rPr>
              <w:t>***</w:t>
            </w:r>
          </w:p>
        </w:tc>
      </w:tr>
      <w:tr w:rsidR="00C53311" w14:paraId="6FC00773" w14:textId="77777777" w:rsidTr="00F16287">
        <w:tc>
          <w:tcPr>
            <w:tcW w:w="2136" w:type="dxa"/>
            <w:tcBorders>
              <w:top w:val="nil"/>
              <w:left w:val="nil"/>
              <w:bottom w:val="nil"/>
              <w:right w:val="nil"/>
            </w:tcBorders>
          </w:tcPr>
          <w:p w14:paraId="75B179AF" w14:textId="77777777" w:rsidR="00C53311" w:rsidRDefault="00C53311" w:rsidP="00F16287">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3496171A"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(1.90)</w:t>
            </w:r>
          </w:p>
        </w:tc>
        <w:tc>
          <w:tcPr>
            <w:tcW w:w="1656" w:type="dxa"/>
            <w:tcBorders>
              <w:top w:val="nil"/>
              <w:left w:val="nil"/>
              <w:bottom w:val="nil"/>
              <w:right w:val="nil"/>
            </w:tcBorders>
          </w:tcPr>
          <w:p w14:paraId="7D0102E7"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(3.59)</w:t>
            </w:r>
          </w:p>
        </w:tc>
        <w:tc>
          <w:tcPr>
            <w:tcW w:w="1656" w:type="dxa"/>
            <w:tcBorders>
              <w:top w:val="nil"/>
              <w:left w:val="nil"/>
              <w:bottom w:val="nil"/>
              <w:right w:val="nil"/>
            </w:tcBorders>
          </w:tcPr>
          <w:p w14:paraId="2AD95C8B"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(3.60)</w:t>
            </w:r>
          </w:p>
        </w:tc>
      </w:tr>
      <w:tr w:rsidR="00C53311" w14:paraId="63EE429A" w14:textId="77777777" w:rsidTr="00F16287">
        <w:tc>
          <w:tcPr>
            <w:tcW w:w="2136" w:type="dxa"/>
            <w:tcBorders>
              <w:top w:val="nil"/>
              <w:left w:val="nil"/>
              <w:bottom w:val="nil"/>
              <w:right w:val="nil"/>
            </w:tcBorders>
          </w:tcPr>
          <w:p w14:paraId="34EAC781" w14:textId="77777777" w:rsidR="00C53311" w:rsidRDefault="00C53311" w:rsidP="00F16287">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2DF47C1A" w14:textId="77777777" w:rsidR="00C53311" w:rsidRDefault="00C53311" w:rsidP="00F16287">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1749BBED" w14:textId="77777777" w:rsidR="00C53311" w:rsidRDefault="00C53311" w:rsidP="00F16287">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02BB3BB5" w14:textId="77777777" w:rsidR="00C53311" w:rsidRDefault="00C53311" w:rsidP="00F16287">
            <w:pPr>
              <w:widowControl w:val="0"/>
              <w:autoSpaceDE w:val="0"/>
              <w:autoSpaceDN w:val="0"/>
              <w:adjustRightInd w:val="0"/>
              <w:spacing w:after="0" w:line="240" w:lineRule="auto"/>
              <w:rPr>
                <w:rFonts w:ascii="Times New Roman" w:hAnsi="Times New Roman"/>
                <w:sz w:val="24"/>
                <w:szCs w:val="24"/>
              </w:rPr>
            </w:pPr>
          </w:p>
        </w:tc>
      </w:tr>
      <w:tr w:rsidR="00C53311" w14:paraId="37301668" w14:textId="77777777" w:rsidTr="00F16287">
        <w:tc>
          <w:tcPr>
            <w:tcW w:w="2136" w:type="dxa"/>
            <w:tcBorders>
              <w:top w:val="nil"/>
              <w:left w:val="nil"/>
              <w:bottom w:val="nil"/>
              <w:right w:val="nil"/>
            </w:tcBorders>
          </w:tcPr>
          <w:p w14:paraId="467E0276" w14:textId="77777777" w:rsidR="00C53311" w:rsidRDefault="00C53311" w:rsidP="00F1628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Exchange Rate Classification (RR inverted, higher = more fixed)</w:t>
            </w:r>
          </w:p>
        </w:tc>
        <w:tc>
          <w:tcPr>
            <w:tcW w:w="1656" w:type="dxa"/>
            <w:tcBorders>
              <w:top w:val="nil"/>
              <w:left w:val="nil"/>
              <w:bottom w:val="nil"/>
              <w:right w:val="nil"/>
            </w:tcBorders>
          </w:tcPr>
          <w:p w14:paraId="6B3144A7"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-0.0402</w:t>
            </w:r>
            <w:r>
              <w:rPr>
                <w:rFonts w:ascii="Times New Roman" w:hAnsi="Times New Roman"/>
                <w:sz w:val="24"/>
                <w:szCs w:val="24"/>
                <w:vertAlign w:val="superscript"/>
              </w:rPr>
              <w:t>*</w:t>
            </w:r>
          </w:p>
        </w:tc>
        <w:tc>
          <w:tcPr>
            <w:tcW w:w="1656" w:type="dxa"/>
            <w:tcBorders>
              <w:top w:val="nil"/>
              <w:left w:val="nil"/>
              <w:bottom w:val="nil"/>
              <w:right w:val="nil"/>
            </w:tcBorders>
          </w:tcPr>
          <w:p w14:paraId="5C23A810"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-0.0763</w:t>
            </w:r>
            <w:r>
              <w:rPr>
                <w:rFonts w:ascii="Times New Roman" w:hAnsi="Times New Roman"/>
                <w:sz w:val="24"/>
                <w:szCs w:val="24"/>
                <w:vertAlign w:val="superscript"/>
              </w:rPr>
              <w:t>**</w:t>
            </w:r>
          </w:p>
        </w:tc>
        <w:tc>
          <w:tcPr>
            <w:tcW w:w="1656" w:type="dxa"/>
            <w:tcBorders>
              <w:top w:val="nil"/>
              <w:left w:val="nil"/>
              <w:bottom w:val="nil"/>
              <w:right w:val="nil"/>
            </w:tcBorders>
          </w:tcPr>
          <w:p w14:paraId="5EF34F25"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-0.0181</w:t>
            </w:r>
          </w:p>
        </w:tc>
      </w:tr>
      <w:tr w:rsidR="00C53311" w14:paraId="7DADA6DE" w14:textId="77777777" w:rsidTr="00F16287">
        <w:tc>
          <w:tcPr>
            <w:tcW w:w="2136" w:type="dxa"/>
            <w:tcBorders>
              <w:top w:val="nil"/>
              <w:left w:val="nil"/>
              <w:bottom w:val="nil"/>
              <w:right w:val="nil"/>
            </w:tcBorders>
          </w:tcPr>
          <w:p w14:paraId="4AD87710" w14:textId="77777777" w:rsidR="00C53311" w:rsidRDefault="00C53311" w:rsidP="00F16287">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6D5C6E23"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(-2.42)</w:t>
            </w:r>
          </w:p>
        </w:tc>
        <w:tc>
          <w:tcPr>
            <w:tcW w:w="1656" w:type="dxa"/>
            <w:tcBorders>
              <w:top w:val="nil"/>
              <w:left w:val="nil"/>
              <w:bottom w:val="nil"/>
              <w:right w:val="nil"/>
            </w:tcBorders>
          </w:tcPr>
          <w:p w14:paraId="0DFA1FF1"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(-3.26)</w:t>
            </w:r>
          </w:p>
        </w:tc>
        <w:tc>
          <w:tcPr>
            <w:tcW w:w="1656" w:type="dxa"/>
            <w:tcBorders>
              <w:top w:val="nil"/>
              <w:left w:val="nil"/>
              <w:bottom w:val="nil"/>
              <w:right w:val="nil"/>
            </w:tcBorders>
          </w:tcPr>
          <w:p w14:paraId="4FA81154"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(-0.96)</w:t>
            </w:r>
          </w:p>
        </w:tc>
      </w:tr>
      <w:tr w:rsidR="00C53311" w14:paraId="3386F793" w14:textId="77777777" w:rsidTr="00F16287">
        <w:tc>
          <w:tcPr>
            <w:tcW w:w="2136" w:type="dxa"/>
            <w:tcBorders>
              <w:top w:val="single" w:sz="4" w:space="0" w:color="auto"/>
              <w:left w:val="nil"/>
              <w:bottom w:val="nil"/>
              <w:right w:val="nil"/>
            </w:tcBorders>
          </w:tcPr>
          <w:p w14:paraId="09E78D4F" w14:textId="77777777" w:rsidR="00C53311" w:rsidRDefault="00C53311" w:rsidP="00F1628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cut1</w:t>
            </w:r>
          </w:p>
        </w:tc>
        <w:tc>
          <w:tcPr>
            <w:tcW w:w="1656" w:type="dxa"/>
            <w:tcBorders>
              <w:top w:val="single" w:sz="4" w:space="0" w:color="auto"/>
              <w:left w:val="nil"/>
              <w:bottom w:val="nil"/>
              <w:right w:val="nil"/>
            </w:tcBorders>
          </w:tcPr>
          <w:p w14:paraId="1324D084"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single" w:sz="4" w:space="0" w:color="auto"/>
              <w:left w:val="nil"/>
              <w:bottom w:val="nil"/>
              <w:right w:val="nil"/>
            </w:tcBorders>
          </w:tcPr>
          <w:p w14:paraId="06601001"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single" w:sz="4" w:space="0" w:color="auto"/>
              <w:left w:val="nil"/>
              <w:bottom w:val="nil"/>
              <w:right w:val="nil"/>
            </w:tcBorders>
          </w:tcPr>
          <w:p w14:paraId="2E52A4BF"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p>
        </w:tc>
      </w:tr>
      <w:tr w:rsidR="00C53311" w14:paraId="3B145ABE" w14:textId="77777777" w:rsidTr="00F16287">
        <w:tc>
          <w:tcPr>
            <w:tcW w:w="2136" w:type="dxa"/>
            <w:tcBorders>
              <w:top w:val="nil"/>
              <w:left w:val="nil"/>
              <w:bottom w:val="nil"/>
              <w:right w:val="nil"/>
            </w:tcBorders>
          </w:tcPr>
          <w:p w14:paraId="5BD4811E" w14:textId="77777777" w:rsidR="00C53311" w:rsidRDefault="00C53311" w:rsidP="00F1628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Constant</w:t>
            </w:r>
          </w:p>
        </w:tc>
        <w:tc>
          <w:tcPr>
            <w:tcW w:w="1656" w:type="dxa"/>
            <w:tcBorders>
              <w:top w:val="nil"/>
              <w:left w:val="nil"/>
              <w:bottom w:val="nil"/>
              <w:right w:val="nil"/>
            </w:tcBorders>
          </w:tcPr>
          <w:p w14:paraId="026A3704"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0.718</w:t>
            </w:r>
            <w:r>
              <w:rPr>
                <w:rFonts w:ascii="Times New Roman" w:hAnsi="Times New Roman"/>
                <w:sz w:val="24"/>
                <w:szCs w:val="24"/>
                <w:vertAlign w:val="superscript"/>
              </w:rPr>
              <w:t>**</w:t>
            </w:r>
          </w:p>
        </w:tc>
        <w:tc>
          <w:tcPr>
            <w:tcW w:w="1656" w:type="dxa"/>
            <w:tcBorders>
              <w:top w:val="nil"/>
              <w:left w:val="nil"/>
              <w:bottom w:val="nil"/>
              <w:right w:val="nil"/>
            </w:tcBorders>
          </w:tcPr>
          <w:p w14:paraId="3FCD4322"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2.234</w:t>
            </w:r>
            <w:r>
              <w:rPr>
                <w:rFonts w:ascii="Times New Roman" w:hAnsi="Times New Roman"/>
                <w:sz w:val="24"/>
                <w:szCs w:val="24"/>
                <w:vertAlign w:val="superscript"/>
              </w:rPr>
              <w:t>***</w:t>
            </w:r>
          </w:p>
        </w:tc>
        <w:tc>
          <w:tcPr>
            <w:tcW w:w="1656" w:type="dxa"/>
            <w:tcBorders>
              <w:top w:val="nil"/>
              <w:left w:val="nil"/>
              <w:bottom w:val="nil"/>
              <w:right w:val="nil"/>
            </w:tcBorders>
          </w:tcPr>
          <w:p w14:paraId="40954F6A"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0.761</w:t>
            </w:r>
            <w:r>
              <w:rPr>
                <w:rFonts w:ascii="Times New Roman" w:hAnsi="Times New Roman"/>
                <w:sz w:val="24"/>
                <w:szCs w:val="24"/>
                <w:vertAlign w:val="superscript"/>
              </w:rPr>
              <w:t>**</w:t>
            </w:r>
          </w:p>
        </w:tc>
      </w:tr>
      <w:tr w:rsidR="00C53311" w14:paraId="12B08722" w14:textId="77777777" w:rsidTr="00F16287">
        <w:tc>
          <w:tcPr>
            <w:tcW w:w="2136" w:type="dxa"/>
            <w:tcBorders>
              <w:top w:val="nil"/>
              <w:left w:val="nil"/>
              <w:bottom w:val="nil"/>
              <w:right w:val="nil"/>
            </w:tcBorders>
          </w:tcPr>
          <w:p w14:paraId="16E9FE92" w14:textId="77777777" w:rsidR="00C53311" w:rsidRDefault="00C53311" w:rsidP="00F16287">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29D7EED2"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(3.13)</w:t>
            </w:r>
          </w:p>
        </w:tc>
        <w:tc>
          <w:tcPr>
            <w:tcW w:w="1656" w:type="dxa"/>
            <w:tcBorders>
              <w:top w:val="nil"/>
              <w:left w:val="nil"/>
              <w:bottom w:val="nil"/>
              <w:right w:val="nil"/>
            </w:tcBorders>
          </w:tcPr>
          <w:p w14:paraId="5BF1C894"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(6.68)</w:t>
            </w:r>
          </w:p>
        </w:tc>
        <w:tc>
          <w:tcPr>
            <w:tcW w:w="1656" w:type="dxa"/>
            <w:tcBorders>
              <w:top w:val="nil"/>
              <w:left w:val="nil"/>
              <w:bottom w:val="nil"/>
              <w:right w:val="nil"/>
            </w:tcBorders>
          </w:tcPr>
          <w:p w14:paraId="65A8AAE2"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(3.03)</w:t>
            </w:r>
          </w:p>
        </w:tc>
      </w:tr>
      <w:tr w:rsidR="00C53311" w14:paraId="1D65D4A7" w14:textId="77777777" w:rsidTr="00F16287">
        <w:tc>
          <w:tcPr>
            <w:tcW w:w="2136" w:type="dxa"/>
            <w:tcBorders>
              <w:top w:val="single" w:sz="4" w:space="0" w:color="auto"/>
              <w:left w:val="nil"/>
              <w:bottom w:val="nil"/>
              <w:right w:val="nil"/>
            </w:tcBorders>
          </w:tcPr>
          <w:p w14:paraId="193CCD77" w14:textId="77777777" w:rsidR="00C53311" w:rsidRDefault="00C53311" w:rsidP="00F1628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cut2</w:t>
            </w:r>
          </w:p>
        </w:tc>
        <w:tc>
          <w:tcPr>
            <w:tcW w:w="1656" w:type="dxa"/>
            <w:tcBorders>
              <w:top w:val="single" w:sz="4" w:space="0" w:color="auto"/>
              <w:left w:val="nil"/>
              <w:bottom w:val="nil"/>
              <w:right w:val="nil"/>
            </w:tcBorders>
          </w:tcPr>
          <w:p w14:paraId="4CA304DA"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single" w:sz="4" w:space="0" w:color="auto"/>
              <w:left w:val="nil"/>
              <w:bottom w:val="nil"/>
              <w:right w:val="nil"/>
            </w:tcBorders>
          </w:tcPr>
          <w:p w14:paraId="24FE08FF"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single" w:sz="4" w:space="0" w:color="auto"/>
              <w:left w:val="nil"/>
              <w:bottom w:val="nil"/>
              <w:right w:val="nil"/>
            </w:tcBorders>
          </w:tcPr>
          <w:p w14:paraId="40ABE465"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p>
        </w:tc>
      </w:tr>
      <w:tr w:rsidR="00C53311" w14:paraId="2C2A42C4" w14:textId="77777777" w:rsidTr="00F16287">
        <w:tc>
          <w:tcPr>
            <w:tcW w:w="2136" w:type="dxa"/>
            <w:tcBorders>
              <w:top w:val="nil"/>
              <w:left w:val="nil"/>
              <w:bottom w:val="nil"/>
              <w:right w:val="nil"/>
            </w:tcBorders>
          </w:tcPr>
          <w:p w14:paraId="669BDBF7" w14:textId="77777777" w:rsidR="00C53311" w:rsidRDefault="00C53311" w:rsidP="00F1628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Constant</w:t>
            </w:r>
          </w:p>
        </w:tc>
        <w:tc>
          <w:tcPr>
            <w:tcW w:w="1656" w:type="dxa"/>
            <w:tcBorders>
              <w:top w:val="nil"/>
              <w:left w:val="nil"/>
              <w:bottom w:val="nil"/>
              <w:right w:val="nil"/>
            </w:tcBorders>
          </w:tcPr>
          <w:p w14:paraId="04526FA5"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1.119</w:t>
            </w:r>
            <w:r>
              <w:rPr>
                <w:rFonts w:ascii="Times New Roman" w:hAnsi="Times New Roman"/>
                <w:sz w:val="24"/>
                <w:szCs w:val="24"/>
                <w:vertAlign w:val="superscript"/>
              </w:rPr>
              <w:t>***</w:t>
            </w:r>
          </w:p>
        </w:tc>
        <w:tc>
          <w:tcPr>
            <w:tcW w:w="1656" w:type="dxa"/>
            <w:tcBorders>
              <w:top w:val="nil"/>
              <w:left w:val="nil"/>
              <w:bottom w:val="nil"/>
              <w:right w:val="nil"/>
            </w:tcBorders>
          </w:tcPr>
          <w:p w14:paraId="6991C968"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2.748</w:t>
            </w:r>
            <w:r>
              <w:rPr>
                <w:rFonts w:ascii="Times New Roman" w:hAnsi="Times New Roman"/>
                <w:sz w:val="24"/>
                <w:szCs w:val="24"/>
                <w:vertAlign w:val="superscript"/>
              </w:rPr>
              <w:t>***</w:t>
            </w:r>
          </w:p>
        </w:tc>
        <w:tc>
          <w:tcPr>
            <w:tcW w:w="1656" w:type="dxa"/>
            <w:tcBorders>
              <w:top w:val="nil"/>
              <w:left w:val="nil"/>
              <w:bottom w:val="nil"/>
              <w:right w:val="nil"/>
            </w:tcBorders>
          </w:tcPr>
          <w:p w14:paraId="18E88B07"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2.077</w:t>
            </w:r>
            <w:r>
              <w:rPr>
                <w:rFonts w:ascii="Times New Roman" w:hAnsi="Times New Roman"/>
                <w:sz w:val="24"/>
                <w:szCs w:val="24"/>
                <w:vertAlign w:val="superscript"/>
              </w:rPr>
              <w:t>***</w:t>
            </w:r>
          </w:p>
        </w:tc>
      </w:tr>
      <w:tr w:rsidR="00C53311" w14:paraId="736573D8" w14:textId="77777777" w:rsidTr="00F16287">
        <w:tc>
          <w:tcPr>
            <w:tcW w:w="2136" w:type="dxa"/>
            <w:tcBorders>
              <w:top w:val="nil"/>
              <w:left w:val="nil"/>
              <w:bottom w:val="nil"/>
              <w:right w:val="nil"/>
            </w:tcBorders>
          </w:tcPr>
          <w:p w14:paraId="6C502E05" w14:textId="77777777" w:rsidR="00C53311" w:rsidRDefault="00C53311" w:rsidP="00F16287">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5B026755"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(4.75)</w:t>
            </w:r>
          </w:p>
        </w:tc>
        <w:tc>
          <w:tcPr>
            <w:tcW w:w="1656" w:type="dxa"/>
            <w:tcBorders>
              <w:top w:val="nil"/>
              <w:left w:val="nil"/>
              <w:bottom w:val="nil"/>
              <w:right w:val="nil"/>
            </w:tcBorders>
          </w:tcPr>
          <w:p w14:paraId="064308EA"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(8.23)</w:t>
            </w:r>
          </w:p>
        </w:tc>
        <w:tc>
          <w:tcPr>
            <w:tcW w:w="1656" w:type="dxa"/>
            <w:tcBorders>
              <w:top w:val="nil"/>
              <w:left w:val="nil"/>
              <w:bottom w:val="nil"/>
              <w:right w:val="nil"/>
            </w:tcBorders>
          </w:tcPr>
          <w:p w14:paraId="54B9B519"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(8.12)</w:t>
            </w:r>
          </w:p>
        </w:tc>
      </w:tr>
      <w:tr w:rsidR="00C53311" w14:paraId="04D80920" w14:textId="77777777" w:rsidTr="00F16287">
        <w:tc>
          <w:tcPr>
            <w:tcW w:w="2136" w:type="dxa"/>
            <w:tcBorders>
              <w:top w:val="single" w:sz="4" w:space="0" w:color="auto"/>
              <w:left w:val="nil"/>
              <w:bottom w:val="nil"/>
              <w:right w:val="nil"/>
            </w:tcBorders>
          </w:tcPr>
          <w:p w14:paraId="161A17AA" w14:textId="77777777" w:rsidR="00C53311" w:rsidRDefault="00C53311" w:rsidP="00F1628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sigma2_u</w:t>
            </w:r>
          </w:p>
        </w:tc>
        <w:tc>
          <w:tcPr>
            <w:tcW w:w="1656" w:type="dxa"/>
            <w:tcBorders>
              <w:top w:val="single" w:sz="4" w:space="0" w:color="auto"/>
              <w:left w:val="nil"/>
              <w:bottom w:val="nil"/>
              <w:right w:val="nil"/>
            </w:tcBorders>
          </w:tcPr>
          <w:p w14:paraId="020A8158"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single" w:sz="4" w:space="0" w:color="auto"/>
              <w:left w:val="nil"/>
              <w:bottom w:val="nil"/>
              <w:right w:val="nil"/>
            </w:tcBorders>
          </w:tcPr>
          <w:p w14:paraId="6810C35D"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single" w:sz="4" w:space="0" w:color="auto"/>
              <w:left w:val="nil"/>
              <w:bottom w:val="nil"/>
              <w:right w:val="nil"/>
            </w:tcBorders>
          </w:tcPr>
          <w:p w14:paraId="6623C20B"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p>
        </w:tc>
      </w:tr>
      <w:tr w:rsidR="00C53311" w14:paraId="39FF22ED" w14:textId="77777777" w:rsidTr="00F16287">
        <w:tc>
          <w:tcPr>
            <w:tcW w:w="2136" w:type="dxa"/>
            <w:tcBorders>
              <w:top w:val="nil"/>
              <w:left w:val="nil"/>
              <w:bottom w:val="nil"/>
              <w:right w:val="nil"/>
            </w:tcBorders>
          </w:tcPr>
          <w:p w14:paraId="6EE2BE07" w14:textId="77777777" w:rsidR="00C53311" w:rsidRDefault="00C53311" w:rsidP="00F1628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Constant</w:t>
            </w:r>
          </w:p>
        </w:tc>
        <w:tc>
          <w:tcPr>
            <w:tcW w:w="1656" w:type="dxa"/>
            <w:tcBorders>
              <w:top w:val="nil"/>
              <w:left w:val="nil"/>
              <w:bottom w:val="nil"/>
              <w:right w:val="nil"/>
            </w:tcBorders>
          </w:tcPr>
          <w:p w14:paraId="0BA11599"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0.798</w:t>
            </w:r>
            <w:r>
              <w:rPr>
                <w:rFonts w:ascii="Times New Roman" w:hAnsi="Times New Roman"/>
                <w:sz w:val="24"/>
                <w:szCs w:val="24"/>
                <w:vertAlign w:val="superscript"/>
              </w:rPr>
              <w:t>***</w:t>
            </w:r>
          </w:p>
        </w:tc>
        <w:tc>
          <w:tcPr>
            <w:tcW w:w="1656" w:type="dxa"/>
            <w:tcBorders>
              <w:top w:val="nil"/>
              <w:left w:val="nil"/>
              <w:bottom w:val="nil"/>
              <w:right w:val="nil"/>
            </w:tcBorders>
          </w:tcPr>
          <w:p w14:paraId="3DC63638"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2.575</w:t>
            </w:r>
            <w:r>
              <w:rPr>
                <w:rFonts w:ascii="Times New Roman" w:hAnsi="Times New Roman"/>
                <w:sz w:val="24"/>
                <w:szCs w:val="24"/>
                <w:vertAlign w:val="superscript"/>
              </w:rPr>
              <w:t>***</w:t>
            </w:r>
          </w:p>
        </w:tc>
        <w:tc>
          <w:tcPr>
            <w:tcW w:w="1656" w:type="dxa"/>
            <w:tcBorders>
              <w:top w:val="nil"/>
              <w:left w:val="nil"/>
              <w:bottom w:val="nil"/>
              <w:right w:val="nil"/>
            </w:tcBorders>
          </w:tcPr>
          <w:p w14:paraId="781ADF8D"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0.590</w:t>
            </w:r>
            <w:r>
              <w:rPr>
                <w:rFonts w:ascii="Times New Roman" w:hAnsi="Times New Roman"/>
                <w:sz w:val="24"/>
                <w:szCs w:val="24"/>
                <w:vertAlign w:val="superscript"/>
              </w:rPr>
              <w:t>***</w:t>
            </w:r>
          </w:p>
        </w:tc>
      </w:tr>
      <w:tr w:rsidR="00C53311" w14:paraId="3B0D3707" w14:textId="77777777" w:rsidTr="00F16287">
        <w:tc>
          <w:tcPr>
            <w:tcW w:w="2136" w:type="dxa"/>
            <w:tcBorders>
              <w:top w:val="nil"/>
              <w:left w:val="nil"/>
              <w:bottom w:val="single" w:sz="4" w:space="0" w:color="auto"/>
              <w:right w:val="nil"/>
            </w:tcBorders>
          </w:tcPr>
          <w:p w14:paraId="0BEBBDEF" w14:textId="77777777" w:rsidR="00C53311" w:rsidRDefault="00C53311" w:rsidP="00F16287">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single" w:sz="4" w:space="0" w:color="auto"/>
              <w:right w:val="nil"/>
            </w:tcBorders>
          </w:tcPr>
          <w:p w14:paraId="6DE23983"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(3.96)</w:t>
            </w:r>
          </w:p>
        </w:tc>
        <w:tc>
          <w:tcPr>
            <w:tcW w:w="1656" w:type="dxa"/>
            <w:tcBorders>
              <w:top w:val="nil"/>
              <w:left w:val="nil"/>
              <w:bottom w:val="single" w:sz="4" w:space="0" w:color="auto"/>
              <w:right w:val="nil"/>
            </w:tcBorders>
          </w:tcPr>
          <w:p w14:paraId="1AC53F91"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(4.61)</w:t>
            </w:r>
          </w:p>
        </w:tc>
        <w:tc>
          <w:tcPr>
            <w:tcW w:w="1656" w:type="dxa"/>
            <w:tcBorders>
              <w:top w:val="nil"/>
              <w:left w:val="nil"/>
              <w:bottom w:val="single" w:sz="4" w:space="0" w:color="auto"/>
              <w:right w:val="nil"/>
            </w:tcBorders>
          </w:tcPr>
          <w:p w14:paraId="1C246396"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(3.78)</w:t>
            </w:r>
          </w:p>
        </w:tc>
      </w:tr>
      <w:tr w:rsidR="00C53311" w14:paraId="70824B0C" w14:textId="77777777" w:rsidTr="00F16287">
        <w:tc>
          <w:tcPr>
            <w:tcW w:w="2136" w:type="dxa"/>
            <w:tcBorders>
              <w:top w:val="nil"/>
              <w:left w:val="nil"/>
              <w:bottom w:val="single" w:sz="4" w:space="0" w:color="auto"/>
              <w:right w:val="nil"/>
            </w:tcBorders>
          </w:tcPr>
          <w:p w14:paraId="0504D09A" w14:textId="77777777" w:rsidR="00C53311" w:rsidRDefault="00C53311" w:rsidP="00F1628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Observations</w:t>
            </w:r>
          </w:p>
        </w:tc>
        <w:tc>
          <w:tcPr>
            <w:tcW w:w="1656" w:type="dxa"/>
            <w:tcBorders>
              <w:top w:val="nil"/>
              <w:left w:val="nil"/>
              <w:bottom w:val="single" w:sz="4" w:space="0" w:color="auto"/>
              <w:right w:val="nil"/>
            </w:tcBorders>
          </w:tcPr>
          <w:p w14:paraId="24C35B3F"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1399</w:t>
            </w:r>
          </w:p>
        </w:tc>
        <w:tc>
          <w:tcPr>
            <w:tcW w:w="1656" w:type="dxa"/>
            <w:tcBorders>
              <w:top w:val="nil"/>
              <w:left w:val="nil"/>
              <w:bottom w:val="single" w:sz="4" w:space="0" w:color="auto"/>
              <w:right w:val="nil"/>
            </w:tcBorders>
          </w:tcPr>
          <w:p w14:paraId="7590354F"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1399</w:t>
            </w:r>
          </w:p>
        </w:tc>
        <w:tc>
          <w:tcPr>
            <w:tcW w:w="1656" w:type="dxa"/>
            <w:tcBorders>
              <w:top w:val="nil"/>
              <w:left w:val="nil"/>
              <w:bottom w:val="single" w:sz="4" w:space="0" w:color="auto"/>
              <w:right w:val="nil"/>
            </w:tcBorders>
          </w:tcPr>
          <w:p w14:paraId="385A0518" w14:textId="77777777" w:rsidR="00C53311" w:rsidRDefault="00C53311" w:rsidP="00F1628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1141</w:t>
            </w:r>
          </w:p>
        </w:tc>
      </w:tr>
    </w:tbl>
    <w:p w14:paraId="518609B0" w14:textId="77777777" w:rsidR="008E65F3" w:rsidRDefault="008E65F3" w:rsidP="008E65F3">
      <w:pPr>
        <w:widowControl w:val="0"/>
        <w:autoSpaceDE w:val="0"/>
        <w:autoSpaceDN w:val="0"/>
        <w:adjustRightInd w:val="0"/>
        <w:spacing w:after="0" w:line="240" w:lineRule="auto"/>
        <w:rPr>
          <w:rFonts w:ascii="Times New Roman" w:hAnsi="Times New Roman"/>
          <w:sz w:val="20"/>
          <w:szCs w:val="20"/>
        </w:rPr>
      </w:pPr>
      <w:r>
        <w:rPr>
          <w:rFonts w:ascii="Times New Roman" w:hAnsi="Times New Roman"/>
          <w:i/>
          <w:sz w:val="20"/>
          <w:szCs w:val="20"/>
        </w:rPr>
        <w:t>t</w:t>
      </w:r>
      <w:r>
        <w:rPr>
          <w:rFonts w:ascii="Times New Roman" w:hAnsi="Times New Roman"/>
          <w:sz w:val="20"/>
          <w:szCs w:val="20"/>
        </w:rPr>
        <w:t xml:space="preserve"> statistics in parentheses</w:t>
      </w:r>
    </w:p>
    <w:p w14:paraId="1E2E885F" w14:textId="53A84B38" w:rsidR="008E65F3" w:rsidRDefault="008E65F3" w:rsidP="008E65F3">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vertAlign w:val="superscript"/>
        </w:rPr>
        <w:t>*</w:t>
      </w:r>
      <w:r>
        <w:rPr>
          <w:rFonts w:ascii="Times New Roman" w:hAnsi="Times New Roman"/>
          <w:sz w:val="20"/>
          <w:szCs w:val="20"/>
        </w:rPr>
        <w:t xml:space="preserve"> </w:t>
      </w:r>
      <w:r>
        <w:rPr>
          <w:rFonts w:ascii="Times New Roman" w:hAnsi="Times New Roman"/>
          <w:i/>
          <w:sz w:val="20"/>
          <w:szCs w:val="20"/>
        </w:rPr>
        <w:t>p</w:t>
      </w:r>
      <w:r>
        <w:rPr>
          <w:rFonts w:ascii="Times New Roman" w:hAnsi="Times New Roman"/>
          <w:sz w:val="20"/>
          <w:szCs w:val="20"/>
        </w:rPr>
        <w:t xml:space="preserve"> &lt; 0.05, </w:t>
      </w:r>
      <w:r>
        <w:rPr>
          <w:rFonts w:ascii="Times New Roman" w:hAnsi="Times New Roman"/>
          <w:sz w:val="20"/>
          <w:szCs w:val="20"/>
          <w:vertAlign w:val="superscript"/>
        </w:rPr>
        <w:t>**</w:t>
      </w:r>
      <w:r>
        <w:rPr>
          <w:rFonts w:ascii="Times New Roman" w:hAnsi="Times New Roman"/>
          <w:sz w:val="20"/>
          <w:szCs w:val="20"/>
        </w:rPr>
        <w:t xml:space="preserve"> </w:t>
      </w:r>
      <w:r>
        <w:rPr>
          <w:rFonts w:ascii="Times New Roman" w:hAnsi="Times New Roman"/>
          <w:i/>
          <w:sz w:val="20"/>
          <w:szCs w:val="20"/>
        </w:rPr>
        <w:t>p</w:t>
      </w:r>
      <w:r>
        <w:rPr>
          <w:rFonts w:ascii="Times New Roman" w:hAnsi="Times New Roman"/>
          <w:sz w:val="20"/>
          <w:szCs w:val="20"/>
        </w:rPr>
        <w:t xml:space="preserve"> &lt; 0.01, </w:t>
      </w:r>
      <w:r>
        <w:rPr>
          <w:rFonts w:ascii="Times New Roman" w:hAnsi="Times New Roman"/>
          <w:sz w:val="20"/>
          <w:szCs w:val="20"/>
          <w:vertAlign w:val="superscript"/>
        </w:rPr>
        <w:t>***</w:t>
      </w:r>
      <w:r>
        <w:rPr>
          <w:rFonts w:ascii="Times New Roman" w:hAnsi="Times New Roman"/>
          <w:sz w:val="20"/>
          <w:szCs w:val="20"/>
        </w:rPr>
        <w:t xml:space="preserve"> </w:t>
      </w:r>
      <w:r>
        <w:rPr>
          <w:rFonts w:ascii="Times New Roman" w:hAnsi="Times New Roman"/>
          <w:i/>
          <w:sz w:val="20"/>
          <w:szCs w:val="20"/>
        </w:rPr>
        <w:t>p</w:t>
      </w:r>
      <w:r>
        <w:rPr>
          <w:rFonts w:ascii="Times New Roman" w:hAnsi="Times New Roman"/>
          <w:sz w:val="20"/>
          <w:szCs w:val="20"/>
        </w:rPr>
        <w:t xml:space="preserve"> &lt; 0.001</w:t>
      </w:r>
    </w:p>
    <w:p w14:paraId="7A5A8845" w14:textId="77777777" w:rsidR="007173F2" w:rsidRDefault="007173F2" w:rsidP="00C53311">
      <w:pPr>
        <w:widowControl w:val="0"/>
        <w:autoSpaceDE w:val="0"/>
        <w:autoSpaceDN w:val="0"/>
        <w:adjustRightInd w:val="0"/>
        <w:spacing w:after="0" w:line="240" w:lineRule="auto"/>
        <w:rPr>
          <w:rFonts w:ascii="Times New Roman" w:hAnsi="Times New Roman"/>
          <w:sz w:val="20"/>
          <w:szCs w:val="20"/>
        </w:rPr>
      </w:pPr>
    </w:p>
    <w:tbl>
      <w:tblPr>
        <w:tblW w:w="0" w:type="auto"/>
        <w:tblLayout w:type="fixed"/>
        <w:tblLook w:val="0000" w:firstRow="0" w:lastRow="0" w:firstColumn="0" w:lastColumn="0" w:noHBand="0" w:noVBand="0"/>
      </w:tblPr>
      <w:tblGrid>
        <w:gridCol w:w="2136"/>
        <w:gridCol w:w="1656"/>
        <w:gridCol w:w="1656"/>
        <w:gridCol w:w="1656"/>
      </w:tblGrid>
      <w:tr w:rsidR="007173F2" w14:paraId="78912523" w14:textId="77777777" w:rsidTr="00F16287">
        <w:tc>
          <w:tcPr>
            <w:tcW w:w="2136" w:type="dxa"/>
            <w:tcBorders>
              <w:top w:val="single" w:sz="4" w:space="0" w:color="auto"/>
              <w:left w:val="nil"/>
              <w:bottom w:val="nil"/>
              <w:right w:val="nil"/>
            </w:tcBorders>
          </w:tcPr>
          <w:p w14:paraId="677A99FF"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6572C83E"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7F78CEFB"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58A978EE"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7173F2" w14:paraId="233AF524" w14:textId="77777777" w:rsidTr="00F16287">
        <w:tc>
          <w:tcPr>
            <w:tcW w:w="2136" w:type="dxa"/>
            <w:tcBorders>
              <w:top w:val="nil"/>
              <w:left w:val="nil"/>
              <w:bottom w:val="nil"/>
              <w:right w:val="nil"/>
            </w:tcBorders>
          </w:tcPr>
          <w:p w14:paraId="734AB862"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4906D6F"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03C2E91C"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677589F9"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r>
      <w:tr w:rsidR="007173F2" w14:paraId="4377B111" w14:textId="77777777" w:rsidTr="00F16287">
        <w:tc>
          <w:tcPr>
            <w:tcW w:w="2136" w:type="dxa"/>
            <w:tcBorders>
              <w:top w:val="single" w:sz="4" w:space="0" w:color="auto"/>
              <w:left w:val="nil"/>
              <w:bottom w:val="nil"/>
              <w:right w:val="nil"/>
            </w:tcBorders>
          </w:tcPr>
          <w:p w14:paraId="27DB3E32"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main</w:t>
            </w:r>
          </w:p>
        </w:tc>
        <w:tc>
          <w:tcPr>
            <w:tcW w:w="1656" w:type="dxa"/>
            <w:tcBorders>
              <w:top w:val="single" w:sz="4" w:space="0" w:color="auto"/>
              <w:left w:val="nil"/>
              <w:bottom w:val="nil"/>
              <w:right w:val="nil"/>
            </w:tcBorders>
          </w:tcPr>
          <w:p w14:paraId="20EDCF05"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5E2BB7E6"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4E3ADE87"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p>
        </w:tc>
      </w:tr>
      <w:tr w:rsidR="007173F2" w14:paraId="1BB9B37D" w14:textId="77777777" w:rsidTr="00F16287">
        <w:tc>
          <w:tcPr>
            <w:tcW w:w="2136" w:type="dxa"/>
            <w:tcBorders>
              <w:top w:val="nil"/>
              <w:left w:val="nil"/>
              <w:bottom w:val="nil"/>
              <w:right w:val="nil"/>
            </w:tcBorders>
          </w:tcPr>
          <w:p w14:paraId="61D0B2B7"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1E64F2A5"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1BD6774"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-0.295</w:t>
            </w:r>
          </w:p>
        </w:tc>
        <w:tc>
          <w:tcPr>
            <w:tcW w:w="1656" w:type="dxa"/>
            <w:tcBorders>
              <w:top w:val="nil"/>
              <w:left w:val="nil"/>
              <w:bottom w:val="nil"/>
              <w:right w:val="nil"/>
            </w:tcBorders>
          </w:tcPr>
          <w:p w14:paraId="7A3699DD"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-0.544</w:t>
            </w:r>
            <w:r>
              <w:rPr>
                <w:rFonts w:ascii="Times New Roman" w:hAnsi="Times New Roman" w:cs="Times New Roman"/>
                <w:sz w:val="24"/>
                <w:szCs w:val="24"/>
                <w:vertAlign w:val="superscript"/>
              </w:rPr>
              <w:t>**</w:t>
            </w:r>
          </w:p>
        </w:tc>
      </w:tr>
      <w:tr w:rsidR="007173F2" w14:paraId="2AADC319" w14:textId="77777777" w:rsidTr="00F16287">
        <w:tc>
          <w:tcPr>
            <w:tcW w:w="2136" w:type="dxa"/>
            <w:tcBorders>
              <w:top w:val="nil"/>
              <w:left w:val="nil"/>
              <w:bottom w:val="nil"/>
              <w:right w:val="nil"/>
            </w:tcBorders>
          </w:tcPr>
          <w:p w14:paraId="3E279428"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F6BA2E4"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(-2.22)</w:t>
            </w:r>
          </w:p>
        </w:tc>
        <w:tc>
          <w:tcPr>
            <w:tcW w:w="1656" w:type="dxa"/>
            <w:tcBorders>
              <w:top w:val="nil"/>
              <w:left w:val="nil"/>
              <w:bottom w:val="nil"/>
              <w:right w:val="nil"/>
            </w:tcBorders>
          </w:tcPr>
          <w:p w14:paraId="2F54CEEF"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(-1.31)</w:t>
            </w:r>
          </w:p>
        </w:tc>
        <w:tc>
          <w:tcPr>
            <w:tcW w:w="1656" w:type="dxa"/>
            <w:tcBorders>
              <w:top w:val="nil"/>
              <w:left w:val="nil"/>
              <w:bottom w:val="nil"/>
              <w:right w:val="nil"/>
            </w:tcBorders>
          </w:tcPr>
          <w:p w14:paraId="639372F3"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(-3.14)</w:t>
            </w:r>
          </w:p>
        </w:tc>
      </w:tr>
      <w:tr w:rsidR="007173F2" w14:paraId="12415C96" w14:textId="77777777" w:rsidTr="00F16287">
        <w:tc>
          <w:tcPr>
            <w:tcW w:w="2136" w:type="dxa"/>
            <w:tcBorders>
              <w:top w:val="nil"/>
              <w:left w:val="nil"/>
              <w:bottom w:val="nil"/>
              <w:right w:val="nil"/>
            </w:tcBorders>
          </w:tcPr>
          <w:p w14:paraId="6722625B"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D2439D1"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1CACAF5"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BD91682"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p>
        </w:tc>
      </w:tr>
      <w:tr w:rsidR="007173F2" w14:paraId="6E1F88DC" w14:textId="77777777" w:rsidTr="00F16287">
        <w:tc>
          <w:tcPr>
            <w:tcW w:w="2136" w:type="dxa"/>
            <w:tcBorders>
              <w:top w:val="nil"/>
              <w:left w:val="nil"/>
              <w:bottom w:val="nil"/>
              <w:right w:val="nil"/>
            </w:tcBorders>
          </w:tcPr>
          <w:p w14:paraId="7089946C"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690FDA55"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-0.0195</w:t>
            </w:r>
          </w:p>
        </w:tc>
        <w:tc>
          <w:tcPr>
            <w:tcW w:w="1656" w:type="dxa"/>
            <w:tcBorders>
              <w:top w:val="nil"/>
              <w:left w:val="nil"/>
              <w:bottom w:val="nil"/>
              <w:right w:val="nil"/>
            </w:tcBorders>
          </w:tcPr>
          <w:p w14:paraId="2037ECB0"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-0.0392</w:t>
            </w:r>
          </w:p>
        </w:tc>
        <w:tc>
          <w:tcPr>
            <w:tcW w:w="1656" w:type="dxa"/>
            <w:tcBorders>
              <w:top w:val="nil"/>
              <w:left w:val="nil"/>
              <w:bottom w:val="nil"/>
              <w:right w:val="nil"/>
            </w:tcBorders>
          </w:tcPr>
          <w:p w14:paraId="1C7FCE71"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0.0202</w:t>
            </w:r>
          </w:p>
        </w:tc>
      </w:tr>
      <w:tr w:rsidR="007173F2" w14:paraId="46D8B5F7" w14:textId="77777777" w:rsidTr="00F16287">
        <w:tc>
          <w:tcPr>
            <w:tcW w:w="2136" w:type="dxa"/>
            <w:tcBorders>
              <w:top w:val="nil"/>
              <w:left w:val="nil"/>
              <w:bottom w:val="nil"/>
              <w:right w:val="nil"/>
            </w:tcBorders>
          </w:tcPr>
          <w:p w14:paraId="4AD24885"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035060A"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(-1.32)</w:t>
            </w:r>
          </w:p>
        </w:tc>
        <w:tc>
          <w:tcPr>
            <w:tcW w:w="1656" w:type="dxa"/>
            <w:tcBorders>
              <w:top w:val="nil"/>
              <w:left w:val="nil"/>
              <w:bottom w:val="nil"/>
              <w:right w:val="nil"/>
            </w:tcBorders>
          </w:tcPr>
          <w:p w14:paraId="0D355A72"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(-1.96)</w:t>
            </w:r>
          </w:p>
        </w:tc>
        <w:tc>
          <w:tcPr>
            <w:tcW w:w="1656" w:type="dxa"/>
            <w:tcBorders>
              <w:top w:val="nil"/>
              <w:left w:val="nil"/>
              <w:bottom w:val="nil"/>
              <w:right w:val="nil"/>
            </w:tcBorders>
          </w:tcPr>
          <w:p w14:paraId="52DB6C5B"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w:t>
            </w:r>
          </w:p>
        </w:tc>
      </w:tr>
      <w:tr w:rsidR="007173F2" w14:paraId="5E7137C0" w14:textId="77777777" w:rsidTr="00F16287">
        <w:tc>
          <w:tcPr>
            <w:tcW w:w="2136" w:type="dxa"/>
            <w:tcBorders>
              <w:top w:val="single" w:sz="4" w:space="0" w:color="auto"/>
              <w:left w:val="nil"/>
              <w:bottom w:val="nil"/>
              <w:right w:val="nil"/>
            </w:tcBorders>
          </w:tcPr>
          <w:p w14:paraId="02C9AA43"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cut1</w:t>
            </w:r>
          </w:p>
        </w:tc>
        <w:tc>
          <w:tcPr>
            <w:tcW w:w="1656" w:type="dxa"/>
            <w:tcBorders>
              <w:top w:val="single" w:sz="4" w:space="0" w:color="auto"/>
              <w:left w:val="nil"/>
              <w:bottom w:val="nil"/>
              <w:right w:val="nil"/>
            </w:tcBorders>
          </w:tcPr>
          <w:p w14:paraId="0D95848A"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3C0A5E74"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74D65B15"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p>
        </w:tc>
      </w:tr>
      <w:tr w:rsidR="007173F2" w14:paraId="01950A29" w14:textId="77777777" w:rsidTr="00F16287">
        <w:tc>
          <w:tcPr>
            <w:tcW w:w="2136" w:type="dxa"/>
            <w:tcBorders>
              <w:top w:val="nil"/>
              <w:left w:val="nil"/>
              <w:bottom w:val="nil"/>
              <w:right w:val="nil"/>
            </w:tcBorders>
          </w:tcPr>
          <w:p w14:paraId="3874BC28"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71632A96"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0.168</w:t>
            </w:r>
          </w:p>
        </w:tc>
        <w:tc>
          <w:tcPr>
            <w:tcW w:w="1656" w:type="dxa"/>
            <w:tcBorders>
              <w:top w:val="nil"/>
              <w:left w:val="nil"/>
              <w:bottom w:val="nil"/>
              <w:right w:val="nil"/>
            </w:tcBorders>
          </w:tcPr>
          <w:p w14:paraId="0465B774"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1.317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D3B9377"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-0.176</w:t>
            </w:r>
          </w:p>
        </w:tc>
      </w:tr>
      <w:tr w:rsidR="007173F2" w14:paraId="536A168E" w14:textId="77777777" w:rsidTr="00F16287">
        <w:tc>
          <w:tcPr>
            <w:tcW w:w="2136" w:type="dxa"/>
            <w:tcBorders>
              <w:top w:val="nil"/>
              <w:left w:val="nil"/>
              <w:bottom w:val="nil"/>
              <w:right w:val="nil"/>
            </w:tcBorders>
          </w:tcPr>
          <w:p w14:paraId="4DB376C6"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8E06664"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w:t>
            </w:r>
          </w:p>
        </w:tc>
        <w:tc>
          <w:tcPr>
            <w:tcW w:w="1656" w:type="dxa"/>
            <w:tcBorders>
              <w:top w:val="nil"/>
              <w:left w:val="nil"/>
              <w:bottom w:val="nil"/>
              <w:right w:val="nil"/>
            </w:tcBorders>
          </w:tcPr>
          <w:p w14:paraId="53C4F52D"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(4.23)</w:t>
            </w:r>
          </w:p>
        </w:tc>
        <w:tc>
          <w:tcPr>
            <w:tcW w:w="1656" w:type="dxa"/>
            <w:tcBorders>
              <w:top w:val="nil"/>
              <w:left w:val="nil"/>
              <w:bottom w:val="nil"/>
              <w:right w:val="nil"/>
            </w:tcBorders>
          </w:tcPr>
          <w:p w14:paraId="45FE9A16"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w:t>
            </w:r>
          </w:p>
        </w:tc>
      </w:tr>
      <w:tr w:rsidR="007173F2" w14:paraId="790FFFC9" w14:textId="77777777" w:rsidTr="00F16287">
        <w:tc>
          <w:tcPr>
            <w:tcW w:w="2136" w:type="dxa"/>
            <w:tcBorders>
              <w:top w:val="single" w:sz="4" w:space="0" w:color="auto"/>
              <w:left w:val="nil"/>
              <w:bottom w:val="nil"/>
              <w:right w:val="nil"/>
            </w:tcBorders>
          </w:tcPr>
          <w:p w14:paraId="27F03A40"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cut2</w:t>
            </w:r>
          </w:p>
        </w:tc>
        <w:tc>
          <w:tcPr>
            <w:tcW w:w="1656" w:type="dxa"/>
            <w:tcBorders>
              <w:top w:val="single" w:sz="4" w:space="0" w:color="auto"/>
              <w:left w:val="nil"/>
              <w:bottom w:val="nil"/>
              <w:right w:val="nil"/>
            </w:tcBorders>
          </w:tcPr>
          <w:p w14:paraId="45F77BF9"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425BC750"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55FA2952"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p>
        </w:tc>
      </w:tr>
      <w:tr w:rsidR="007173F2" w14:paraId="051EA0DC" w14:textId="77777777" w:rsidTr="00F16287">
        <w:tc>
          <w:tcPr>
            <w:tcW w:w="2136" w:type="dxa"/>
            <w:tcBorders>
              <w:top w:val="nil"/>
              <w:left w:val="nil"/>
              <w:bottom w:val="nil"/>
              <w:right w:val="nil"/>
            </w:tcBorders>
          </w:tcPr>
          <w:p w14:paraId="75D4A96B"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7A74612F"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DC136E4"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863BB8B"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0.996</w:t>
            </w:r>
            <w:r>
              <w:rPr>
                <w:rFonts w:ascii="Times New Roman" w:hAnsi="Times New Roman" w:cs="Times New Roman"/>
                <w:sz w:val="24"/>
                <w:szCs w:val="24"/>
                <w:vertAlign w:val="superscript"/>
              </w:rPr>
              <w:t>***</w:t>
            </w:r>
          </w:p>
        </w:tc>
      </w:tr>
      <w:tr w:rsidR="007173F2" w14:paraId="2AEB8686" w14:textId="77777777" w:rsidTr="00F16287">
        <w:tc>
          <w:tcPr>
            <w:tcW w:w="2136" w:type="dxa"/>
            <w:tcBorders>
              <w:top w:val="nil"/>
              <w:left w:val="nil"/>
              <w:bottom w:val="nil"/>
              <w:right w:val="nil"/>
            </w:tcBorders>
          </w:tcPr>
          <w:p w14:paraId="030DD7D7"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51E0442"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(2.81)</w:t>
            </w:r>
          </w:p>
        </w:tc>
        <w:tc>
          <w:tcPr>
            <w:tcW w:w="1656" w:type="dxa"/>
            <w:tcBorders>
              <w:top w:val="nil"/>
              <w:left w:val="nil"/>
              <w:bottom w:val="nil"/>
              <w:right w:val="nil"/>
            </w:tcBorders>
          </w:tcPr>
          <w:p w14:paraId="2B9637D0"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(5.95)</w:t>
            </w:r>
          </w:p>
        </w:tc>
        <w:tc>
          <w:tcPr>
            <w:tcW w:w="1656" w:type="dxa"/>
            <w:tcBorders>
              <w:top w:val="nil"/>
              <w:left w:val="nil"/>
              <w:bottom w:val="nil"/>
              <w:right w:val="nil"/>
            </w:tcBorders>
          </w:tcPr>
          <w:p w14:paraId="3CE7FD41"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(4.54)</w:t>
            </w:r>
          </w:p>
        </w:tc>
      </w:tr>
      <w:tr w:rsidR="007173F2" w14:paraId="36EA3BD1" w14:textId="77777777" w:rsidTr="00F16287">
        <w:tc>
          <w:tcPr>
            <w:tcW w:w="2136" w:type="dxa"/>
            <w:tcBorders>
              <w:top w:val="single" w:sz="4" w:space="0" w:color="auto"/>
              <w:left w:val="nil"/>
              <w:bottom w:val="nil"/>
              <w:right w:val="nil"/>
            </w:tcBorders>
          </w:tcPr>
          <w:p w14:paraId="28948957"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sigma2_u</w:t>
            </w:r>
          </w:p>
        </w:tc>
        <w:tc>
          <w:tcPr>
            <w:tcW w:w="1656" w:type="dxa"/>
            <w:tcBorders>
              <w:top w:val="single" w:sz="4" w:space="0" w:color="auto"/>
              <w:left w:val="nil"/>
              <w:bottom w:val="nil"/>
              <w:right w:val="nil"/>
            </w:tcBorders>
          </w:tcPr>
          <w:p w14:paraId="65658D18"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03E2BE4B"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2CAAFE4B"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p>
        </w:tc>
      </w:tr>
      <w:tr w:rsidR="007173F2" w14:paraId="1A483FEA" w14:textId="77777777" w:rsidTr="00F16287">
        <w:tc>
          <w:tcPr>
            <w:tcW w:w="2136" w:type="dxa"/>
            <w:tcBorders>
              <w:top w:val="nil"/>
              <w:left w:val="nil"/>
              <w:bottom w:val="nil"/>
              <w:right w:val="nil"/>
            </w:tcBorders>
          </w:tcPr>
          <w:p w14:paraId="5305A015"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19DB39B2"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0.843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A412301"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2.690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FE89FD2"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0.610</w:t>
            </w:r>
            <w:r>
              <w:rPr>
                <w:rFonts w:ascii="Times New Roman" w:hAnsi="Times New Roman" w:cs="Times New Roman"/>
                <w:sz w:val="24"/>
                <w:szCs w:val="24"/>
                <w:vertAlign w:val="superscript"/>
              </w:rPr>
              <w:t>***</w:t>
            </w:r>
          </w:p>
        </w:tc>
      </w:tr>
      <w:tr w:rsidR="007173F2" w14:paraId="6862AADE" w14:textId="77777777" w:rsidTr="00F16287">
        <w:tc>
          <w:tcPr>
            <w:tcW w:w="2136" w:type="dxa"/>
            <w:tcBorders>
              <w:top w:val="nil"/>
              <w:left w:val="nil"/>
              <w:bottom w:val="single" w:sz="4" w:space="0" w:color="auto"/>
              <w:right w:val="nil"/>
            </w:tcBorders>
          </w:tcPr>
          <w:p w14:paraId="60C8BAF7"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0FB97019"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(4.67)</w:t>
            </w:r>
          </w:p>
        </w:tc>
        <w:tc>
          <w:tcPr>
            <w:tcW w:w="1656" w:type="dxa"/>
            <w:tcBorders>
              <w:top w:val="nil"/>
              <w:left w:val="nil"/>
              <w:bottom w:val="single" w:sz="4" w:space="0" w:color="auto"/>
              <w:right w:val="nil"/>
            </w:tcBorders>
          </w:tcPr>
          <w:p w14:paraId="580E24CE"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656" w:type="dxa"/>
            <w:tcBorders>
              <w:top w:val="nil"/>
              <w:left w:val="nil"/>
              <w:bottom w:val="single" w:sz="4" w:space="0" w:color="auto"/>
              <w:right w:val="nil"/>
            </w:tcBorders>
          </w:tcPr>
          <w:p w14:paraId="31A6D5BE"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(4.29)</w:t>
            </w:r>
          </w:p>
        </w:tc>
      </w:tr>
      <w:tr w:rsidR="007173F2" w14:paraId="6A1967D4" w14:textId="77777777" w:rsidTr="00F16287">
        <w:tc>
          <w:tcPr>
            <w:tcW w:w="2136" w:type="dxa"/>
            <w:tcBorders>
              <w:top w:val="nil"/>
              <w:left w:val="nil"/>
              <w:bottom w:val="single" w:sz="4" w:space="0" w:color="auto"/>
              <w:right w:val="nil"/>
            </w:tcBorders>
          </w:tcPr>
          <w:p w14:paraId="2C42067A" w14:textId="77777777" w:rsidR="007173F2" w:rsidRDefault="007173F2"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7BFF4B83"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1651</w:t>
            </w:r>
          </w:p>
        </w:tc>
        <w:tc>
          <w:tcPr>
            <w:tcW w:w="1656" w:type="dxa"/>
            <w:tcBorders>
              <w:top w:val="nil"/>
              <w:left w:val="nil"/>
              <w:bottom w:val="single" w:sz="4" w:space="0" w:color="auto"/>
              <w:right w:val="nil"/>
            </w:tcBorders>
          </w:tcPr>
          <w:p w14:paraId="0C00CE97"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1651</w:t>
            </w:r>
          </w:p>
        </w:tc>
        <w:tc>
          <w:tcPr>
            <w:tcW w:w="1656" w:type="dxa"/>
            <w:tcBorders>
              <w:top w:val="nil"/>
              <w:left w:val="nil"/>
              <w:bottom w:val="single" w:sz="4" w:space="0" w:color="auto"/>
              <w:right w:val="nil"/>
            </w:tcBorders>
          </w:tcPr>
          <w:p w14:paraId="16021CD9" w14:textId="77777777" w:rsidR="007173F2" w:rsidRDefault="007173F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1334</w:t>
            </w:r>
          </w:p>
        </w:tc>
      </w:tr>
    </w:tbl>
    <w:p w14:paraId="6BB1164A" w14:textId="77777777" w:rsidR="007173F2" w:rsidRDefault="007173F2" w:rsidP="007173F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7EDD6031" w14:textId="5A5787A2" w:rsidR="008E65F3" w:rsidRDefault="007173F2" w:rsidP="007173F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6AFB490F" w14:textId="77777777" w:rsidR="007173F2" w:rsidRPr="007173F2" w:rsidRDefault="007173F2" w:rsidP="007173F2">
      <w:pPr>
        <w:widowControl w:val="0"/>
        <w:autoSpaceDE w:val="0"/>
        <w:autoSpaceDN w:val="0"/>
        <w:adjustRightInd w:val="0"/>
        <w:spacing w:after="0" w:line="240" w:lineRule="auto"/>
        <w:rPr>
          <w:rFonts w:ascii="Times New Roman" w:hAnsi="Times New Roman" w:cs="Times New Roman"/>
          <w:sz w:val="20"/>
          <w:szCs w:val="20"/>
        </w:rPr>
      </w:pPr>
    </w:p>
    <w:p w14:paraId="404677F1" w14:textId="1549B06E" w:rsidR="003627FE" w:rsidRPr="007173F2" w:rsidRDefault="003627FE" w:rsidP="002338C3">
      <w:r w:rsidRPr="007173F2">
        <w:t>Table A</w:t>
      </w:r>
      <w:r w:rsidR="001779BB" w:rsidRPr="007173F2">
        <w:t>7</w:t>
      </w:r>
      <w:r w:rsidR="00E228D2" w:rsidRPr="007173F2">
        <w:t>:</w:t>
      </w:r>
      <w:r w:rsidRPr="007173F2">
        <w:t xml:space="preserve"> Binary Instability Event Panel Logit, Fixed Effects and Clustered Standard Errors</w:t>
      </w:r>
      <w:r w:rsidR="006520FB" w:rsidRPr="007173F2">
        <w:t>, Coefficients</w:t>
      </w:r>
    </w:p>
    <w:tbl>
      <w:tblPr>
        <w:tblW w:w="0" w:type="auto"/>
        <w:tblLayout w:type="fixed"/>
        <w:tblLook w:val="0000" w:firstRow="0" w:lastRow="0" w:firstColumn="0" w:lastColumn="0" w:noHBand="0" w:noVBand="0"/>
      </w:tblPr>
      <w:tblGrid>
        <w:gridCol w:w="2136"/>
        <w:gridCol w:w="1656"/>
      </w:tblGrid>
      <w:tr w:rsidR="0089119D" w14:paraId="24BA0A66" w14:textId="77777777" w:rsidTr="00F16287">
        <w:tc>
          <w:tcPr>
            <w:tcW w:w="2136" w:type="dxa"/>
            <w:tcBorders>
              <w:top w:val="single" w:sz="4" w:space="0" w:color="auto"/>
              <w:left w:val="nil"/>
              <w:bottom w:val="nil"/>
              <w:right w:val="nil"/>
            </w:tcBorders>
          </w:tcPr>
          <w:p w14:paraId="595B23E9" w14:textId="77777777" w:rsidR="0089119D" w:rsidRDefault="0089119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187D9496" w14:textId="77777777" w:rsidR="0089119D" w:rsidRDefault="0089119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9119D" w14:paraId="156ED78C" w14:textId="77777777" w:rsidTr="00F16287">
        <w:tc>
          <w:tcPr>
            <w:tcW w:w="2136" w:type="dxa"/>
            <w:tcBorders>
              <w:top w:val="nil"/>
              <w:left w:val="nil"/>
              <w:bottom w:val="nil"/>
              <w:right w:val="nil"/>
            </w:tcBorders>
          </w:tcPr>
          <w:p w14:paraId="102D9E9C" w14:textId="77777777" w:rsidR="0089119D" w:rsidRDefault="0089119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12A78F3" w14:textId="77777777" w:rsidR="0089119D" w:rsidRDefault="0089119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89119D" w14:paraId="68D9DBD1" w14:textId="77777777" w:rsidTr="00F16287">
        <w:tc>
          <w:tcPr>
            <w:tcW w:w="2136" w:type="dxa"/>
            <w:tcBorders>
              <w:top w:val="single" w:sz="4" w:space="0" w:color="auto"/>
              <w:left w:val="nil"/>
              <w:bottom w:val="nil"/>
              <w:right w:val="nil"/>
            </w:tcBorders>
          </w:tcPr>
          <w:p w14:paraId="584FE475" w14:textId="77777777" w:rsidR="0089119D" w:rsidRDefault="0089119D"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Instability Event Indicator</w:t>
            </w:r>
          </w:p>
        </w:tc>
        <w:tc>
          <w:tcPr>
            <w:tcW w:w="1656" w:type="dxa"/>
            <w:tcBorders>
              <w:top w:val="single" w:sz="4" w:space="0" w:color="auto"/>
              <w:left w:val="nil"/>
              <w:bottom w:val="nil"/>
              <w:right w:val="nil"/>
            </w:tcBorders>
          </w:tcPr>
          <w:p w14:paraId="0BFC4B1A" w14:textId="77777777" w:rsidR="0089119D" w:rsidRDefault="0089119D" w:rsidP="00F16287">
            <w:pPr>
              <w:widowControl w:val="0"/>
              <w:autoSpaceDE w:val="0"/>
              <w:autoSpaceDN w:val="0"/>
              <w:adjustRightInd w:val="0"/>
              <w:spacing w:after="0" w:line="240" w:lineRule="auto"/>
              <w:jc w:val="center"/>
              <w:rPr>
                <w:rFonts w:ascii="Times New Roman" w:hAnsi="Times New Roman" w:cs="Times New Roman"/>
                <w:sz w:val="24"/>
                <w:szCs w:val="24"/>
              </w:rPr>
            </w:pPr>
          </w:p>
        </w:tc>
      </w:tr>
      <w:tr w:rsidR="0089119D" w14:paraId="46231DC1" w14:textId="77777777" w:rsidTr="00F16287">
        <w:tc>
          <w:tcPr>
            <w:tcW w:w="2136" w:type="dxa"/>
            <w:tcBorders>
              <w:top w:val="nil"/>
              <w:left w:val="nil"/>
              <w:bottom w:val="nil"/>
              <w:right w:val="nil"/>
            </w:tcBorders>
          </w:tcPr>
          <w:p w14:paraId="08D2C3AF" w14:textId="77777777" w:rsidR="0089119D" w:rsidRPr="0089119D" w:rsidRDefault="0089119D" w:rsidP="00F16287">
            <w:pPr>
              <w:widowControl w:val="0"/>
              <w:autoSpaceDE w:val="0"/>
              <w:autoSpaceDN w:val="0"/>
              <w:adjustRightInd w:val="0"/>
              <w:spacing w:after="0" w:line="240" w:lineRule="auto"/>
              <w:rPr>
                <w:rFonts w:ascii="Times New Roman" w:hAnsi="Times New Roman" w:cs="Times New Roman"/>
                <w:sz w:val="24"/>
                <w:szCs w:val="24"/>
                <w:lang w:val="fr-BE"/>
              </w:rPr>
            </w:pPr>
            <w:r w:rsidRPr="0089119D">
              <w:rPr>
                <w:rFonts w:ascii="Times New Roman" w:hAnsi="Times New Roman" w:cs="Times New Roman"/>
                <w:sz w:val="24"/>
                <w:szCs w:val="24"/>
                <w:lang w:val="fr-BE"/>
              </w:rPr>
              <w:t>De Jure CBI (CNW Index)</w:t>
            </w:r>
          </w:p>
        </w:tc>
        <w:tc>
          <w:tcPr>
            <w:tcW w:w="1656" w:type="dxa"/>
            <w:tcBorders>
              <w:top w:val="nil"/>
              <w:left w:val="nil"/>
              <w:bottom w:val="nil"/>
              <w:right w:val="nil"/>
            </w:tcBorders>
          </w:tcPr>
          <w:p w14:paraId="18A9D37D" w14:textId="77777777" w:rsidR="0089119D" w:rsidRDefault="0089119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6.085</w:t>
            </w:r>
            <w:r>
              <w:rPr>
                <w:rFonts w:ascii="Times New Roman" w:hAnsi="Times New Roman" w:cs="Times New Roman"/>
                <w:sz w:val="24"/>
                <w:szCs w:val="24"/>
                <w:vertAlign w:val="superscript"/>
              </w:rPr>
              <w:t>***</w:t>
            </w:r>
          </w:p>
        </w:tc>
      </w:tr>
      <w:tr w:rsidR="0089119D" w14:paraId="265BE653" w14:textId="77777777" w:rsidTr="00F16287">
        <w:tc>
          <w:tcPr>
            <w:tcW w:w="2136" w:type="dxa"/>
            <w:tcBorders>
              <w:top w:val="nil"/>
              <w:left w:val="nil"/>
              <w:bottom w:val="nil"/>
              <w:right w:val="nil"/>
            </w:tcBorders>
          </w:tcPr>
          <w:p w14:paraId="4C39498F" w14:textId="77777777" w:rsidR="0089119D" w:rsidRDefault="0089119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CC7C1A0" w14:textId="77777777" w:rsidR="0089119D" w:rsidRDefault="0089119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(15.42)</w:t>
            </w:r>
          </w:p>
        </w:tc>
      </w:tr>
      <w:tr w:rsidR="0089119D" w14:paraId="457A6BA2" w14:textId="77777777" w:rsidTr="00F16287">
        <w:tc>
          <w:tcPr>
            <w:tcW w:w="2136" w:type="dxa"/>
            <w:tcBorders>
              <w:top w:val="nil"/>
              <w:left w:val="nil"/>
              <w:bottom w:val="nil"/>
              <w:right w:val="nil"/>
            </w:tcBorders>
          </w:tcPr>
          <w:p w14:paraId="2E9FD7C5" w14:textId="77777777" w:rsidR="0089119D" w:rsidRDefault="0089119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5255D55" w14:textId="77777777" w:rsidR="0089119D" w:rsidRDefault="0089119D" w:rsidP="00F16287">
            <w:pPr>
              <w:widowControl w:val="0"/>
              <w:autoSpaceDE w:val="0"/>
              <w:autoSpaceDN w:val="0"/>
              <w:adjustRightInd w:val="0"/>
              <w:spacing w:after="0" w:line="240" w:lineRule="auto"/>
              <w:rPr>
                <w:rFonts w:ascii="Times New Roman" w:hAnsi="Times New Roman" w:cs="Times New Roman"/>
                <w:sz w:val="24"/>
                <w:szCs w:val="24"/>
              </w:rPr>
            </w:pPr>
          </w:p>
        </w:tc>
      </w:tr>
      <w:tr w:rsidR="0089119D" w14:paraId="5D66AA6F" w14:textId="77777777" w:rsidTr="00F16287">
        <w:tc>
          <w:tcPr>
            <w:tcW w:w="2136" w:type="dxa"/>
            <w:tcBorders>
              <w:top w:val="nil"/>
              <w:left w:val="nil"/>
              <w:bottom w:val="nil"/>
              <w:right w:val="nil"/>
            </w:tcBorders>
          </w:tcPr>
          <w:p w14:paraId="047FF2F5" w14:textId="77777777" w:rsidR="0089119D" w:rsidRDefault="0089119D"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3B9850F5" w14:textId="77777777" w:rsidR="0089119D" w:rsidRDefault="0089119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0.0366</w:t>
            </w:r>
            <w:r>
              <w:rPr>
                <w:rFonts w:ascii="Times New Roman" w:hAnsi="Times New Roman" w:cs="Times New Roman"/>
                <w:sz w:val="24"/>
                <w:szCs w:val="24"/>
                <w:vertAlign w:val="superscript"/>
              </w:rPr>
              <w:t>**</w:t>
            </w:r>
          </w:p>
        </w:tc>
      </w:tr>
      <w:tr w:rsidR="0089119D" w14:paraId="2F0739C6" w14:textId="77777777" w:rsidTr="00F16287">
        <w:tc>
          <w:tcPr>
            <w:tcW w:w="2136" w:type="dxa"/>
            <w:tcBorders>
              <w:top w:val="nil"/>
              <w:left w:val="nil"/>
              <w:bottom w:val="single" w:sz="4" w:space="0" w:color="auto"/>
              <w:right w:val="nil"/>
            </w:tcBorders>
          </w:tcPr>
          <w:p w14:paraId="46A53F96" w14:textId="77777777" w:rsidR="0089119D" w:rsidRDefault="0089119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4C854079" w14:textId="77777777" w:rsidR="0089119D" w:rsidRDefault="0089119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(2.67)</w:t>
            </w:r>
          </w:p>
        </w:tc>
      </w:tr>
      <w:tr w:rsidR="0089119D" w14:paraId="6820511C" w14:textId="77777777" w:rsidTr="00F16287">
        <w:tc>
          <w:tcPr>
            <w:tcW w:w="2136" w:type="dxa"/>
            <w:tcBorders>
              <w:top w:val="nil"/>
              <w:left w:val="nil"/>
              <w:bottom w:val="single" w:sz="4" w:space="0" w:color="auto"/>
              <w:right w:val="nil"/>
            </w:tcBorders>
          </w:tcPr>
          <w:p w14:paraId="43403646" w14:textId="77777777" w:rsidR="0089119D" w:rsidRDefault="0089119D"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116EF100" w14:textId="77777777" w:rsidR="0089119D" w:rsidRDefault="0089119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3912</w:t>
            </w:r>
          </w:p>
        </w:tc>
      </w:tr>
    </w:tbl>
    <w:p w14:paraId="3AD47D48" w14:textId="77777777" w:rsidR="00B428BA" w:rsidRDefault="00B428BA" w:rsidP="00B428B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 xml:space="preserve"> statistics in parentheses</w:t>
      </w:r>
    </w:p>
    <w:p w14:paraId="04D71265" w14:textId="24F79D2C" w:rsidR="00B428BA" w:rsidRDefault="00B428BA" w:rsidP="00B428B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0.001</w:t>
      </w:r>
    </w:p>
    <w:p w14:paraId="4A55707C" w14:textId="77777777" w:rsidR="003627FE" w:rsidRDefault="003627FE" w:rsidP="0089119D">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tblGrid>
      <w:tr w:rsidR="00E31AA0" w14:paraId="5175B58A" w14:textId="77777777" w:rsidTr="00F16287">
        <w:tc>
          <w:tcPr>
            <w:tcW w:w="2136" w:type="dxa"/>
            <w:tcBorders>
              <w:top w:val="single" w:sz="4" w:space="0" w:color="auto"/>
              <w:left w:val="nil"/>
              <w:bottom w:val="nil"/>
              <w:right w:val="nil"/>
            </w:tcBorders>
          </w:tcPr>
          <w:p w14:paraId="12970908" w14:textId="77777777" w:rsidR="00E31AA0" w:rsidRDefault="00E31AA0"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4742319A" w14:textId="77777777" w:rsidR="00E31AA0" w:rsidRDefault="00E31AA0"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31AA0" w14:paraId="6033FB55" w14:textId="77777777" w:rsidTr="00F16287">
        <w:tc>
          <w:tcPr>
            <w:tcW w:w="2136" w:type="dxa"/>
            <w:tcBorders>
              <w:top w:val="nil"/>
              <w:left w:val="nil"/>
              <w:bottom w:val="nil"/>
              <w:right w:val="nil"/>
            </w:tcBorders>
          </w:tcPr>
          <w:p w14:paraId="2BC24BBF" w14:textId="77777777" w:rsidR="00E31AA0" w:rsidRDefault="00E31AA0"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7E0A558" w14:textId="77777777" w:rsidR="00E31AA0" w:rsidRDefault="00E31AA0"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E31AA0" w14:paraId="56D60B10" w14:textId="77777777" w:rsidTr="00F16287">
        <w:tc>
          <w:tcPr>
            <w:tcW w:w="2136" w:type="dxa"/>
            <w:tcBorders>
              <w:top w:val="single" w:sz="4" w:space="0" w:color="auto"/>
              <w:left w:val="nil"/>
              <w:bottom w:val="nil"/>
              <w:right w:val="nil"/>
            </w:tcBorders>
          </w:tcPr>
          <w:p w14:paraId="453DC7F7" w14:textId="77777777" w:rsidR="00E31AA0" w:rsidRDefault="00E31AA0"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Instability Event Indicator</w:t>
            </w:r>
          </w:p>
        </w:tc>
        <w:tc>
          <w:tcPr>
            <w:tcW w:w="1656" w:type="dxa"/>
            <w:tcBorders>
              <w:top w:val="single" w:sz="4" w:space="0" w:color="auto"/>
              <w:left w:val="nil"/>
              <w:bottom w:val="nil"/>
              <w:right w:val="nil"/>
            </w:tcBorders>
          </w:tcPr>
          <w:p w14:paraId="6E2D31A2" w14:textId="77777777" w:rsidR="00E31AA0" w:rsidRDefault="00E31AA0" w:rsidP="00F16287">
            <w:pPr>
              <w:widowControl w:val="0"/>
              <w:autoSpaceDE w:val="0"/>
              <w:autoSpaceDN w:val="0"/>
              <w:adjustRightInd w:val="0"/>
              <w:spacing w:after="0" w:line="240" w:lineRule="auto"/>
              <w:jc w:val="center"/>
              <w:rPr>
                <w:rFonts w:ascii="Times New Roman" w:hAnsi="Times New Roman" w:cs="Times New Roman"/>
                <w:sz w:val="24"/>
                <w:szCs w:val="24"/>
              </w:rPr>
            </w:pPr>
          </w:p>
        </w:tc>
      </w:tr>
      <w:tr w:rsidR="00E31AA0" w14:paraId="5A116195" w14:textId="77777777" w:rsidTr="00F16287">
        <w:tc>
          <w:tcPr>
            <w:tcW w:w="2136" w:type="dxa"/>
            <w:tcBorders>
              <w:top w:val="nil"/>
              <w:left w:val="nil"/>
              <w:bottom w:val="nil"/>
              <w:right w:val="nil"/>
            </w:tcBorders>
          </w:tcPr>
          <w:p w14:paraId="6C733E59" w14:textId="77777777" w:rsidR="00E31AA0" w:rsidRDefault="00E31AA0"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1C2BDEDC" w14:textId="77777777" w:rsidR="00E31AA0" w:rsidRDefault="00E31AA0"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0.127</w:t>
            </w:r>
          </w:p>
        </w:tc>
      </w:tr>
      <w:tr w:rsidR="00E31AA0" w14:paraId="47912E64" w14:textId="77777777" w:rsidTr="00F16287">
        <w:tc>
          <w:tcPr>
            <w:tcW w:w="2136" w:type="dxa"/>
            <w:tcBorders>
              <w:top w:val="nil"/>
              <w:left w:val="nil"/>
              <w:bottom w:val="nil"/>
              <w:right w:val="nil"/>
            </w:tcBorders>
          </w:tcPr>
          <w:p w14:paraId="67D96BCA" w14:textId="77777777" w:rsidR="00E31AA0" w:rsidRDefault="00E31AA0"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B091C58" w14:textId="77777777" w:rsidR="00E31AA0" w:rsidRDefault="00E31AA0"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w:t>
            </w:r>
          </w:p>
        </w:tc>
      </w:tr>
      <w:tr w:rsidR="00E31AA0" w14:paraId="7526FC91" w14:textId="77777777" w:rsidTr="00F16287">
        <w:tc>
          <w:tcPr>
            <w:tcW w:w="2136" w:type="dxa"/>
            <w:tcBorders>
              <w:top w:val="nil"/>
              <w:left w:val="nil"/>
              <w:bottom w:val="nil"/>
              <w:right w:val="nil"/>
            </w:tcBorders>
          </w:tcPr>
          <w:p w14:paraId="27AD84AD" w14:textId="77777777" w:rsidR="00E31AA0" w:rsidRDefault="00E31AA0"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6C7AC3A" w14:textId="77777777" w:rsidR="00E31AA0" w:rsidRDefault="00E31AA0" w:rsidP="00F16287">
            <w:pPr>
              <w:widowControl w:val="0"/>
              <w:autoSpaceDE w:val="0"/>
              <w:autoSpaceDN w:val="0"/>
              <w:adjustRightInd w:val="0"/>
              <w:spacing w:after="0" w:line="240" w:lineRule="auto"/>
              <w:rPr>
                <w:rFonts w:ascii="Times New Roman" w:hAnsi="Times New Roman" w:cs="Times New Roman"/>
                <w:sz w:val="24"/>
                <w:szCs w:val="24"/>
              </w:rPr>
            </w:pPr>
          </w:p>
        </w:tc>
      </w:tr>
      <w:tr w:rsidR="00E31AA0" w14:paraId="743E2A3E" w14:textId="77777777" w:rsidTr="00F16287">
        <w:tc>
          <w:tcPr>
            <w:tcW w:w="2136" w:type="dxa"/>
            <w:tcBorders>
              <w:top w:val="nil"/>
              <w:left w:val="nil"/>
              <w:bottom w:val="nil"/>
              <w:right w:val="nil"/>
            </w:tcBorders>
          </w:tcPr>
          <w:p w14:paraId="73B43C29" w14:textId="77777777" w:rsidR="00E31AA0" w:rsidRDefault="00E31AA0"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Exchange Rate Classification (RR inverted, higher = more fixed)</w:t>
            </w:r>
          </w:p>
        </w:tc>
        <w:tc>
          <w:tcPr>
            <w:tcW w:w="1656" w:type="dxa"/>
            <w:tcBorders>
              <w:top w:val="nil"/>
              <w:left w:val="nil"/>
              <w:bottom w:val="nil"/>
              <w:right w:val="nil"/>
            </w:tcBorders>
          </w:tcPr>
          <w:p w14:paraId="6474E9E7" w14:textId="77777777" w:rsidR="00E31AA0" w:rsidRDefault="00E31AA0"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0.0685</w:t>
            </w:r>
            <w:r>
              <w:rPr>
                <w:rFonts w:ascii="Times New Roman" w:hAnsi="Times New Roman" w:cs="Times New Roman"/>
                <w:sz w:val="24"/>
                <w:szCs w:val="24"/>
                <w:vertAlign w:val="superscript"/>
              </w:rPr>
              <w:t>***</w:t>
            </w:r>
          </w:p>
        </w:tc>
      </w:tr>
      <w:tr w:rsidR="00E31AA0" w14:paraId="3F6F7FA1" w14:textId="77777777" w:rsidTr="00F16287">
        <w:tc>
          <w:tcPr>
            <w:tcW w:w="2136" w:type="dxa"/>
            <w:tcBorders>
              <w:top w:val="nil"/>
              <w:left w:val="nil"/>
              <w:bottom w:val="single" w:sz="4" w:space="0" w:color="auto"/>
              <w:right w:val="nil"/>
            </w:tcBorders>
          </w:tcPr>
          <w:p w14:paraId="0FE778DF" w14:textId="77777777" w:rsidR="00E31AA0" w:rsidRDefault="00E31AA0"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3E14CFAA" w14:textId="77777777" w:rsidR="00E31AA0" w:rsidRDefault="00E31AA0"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(5.64)</w:t>
            </w:r>
          </w:p>
        </w:tc>
      </w:tr>
      <w:tr w:rsidR="00E31AA0" w14:paraId="1DE441BC" w14:textId="77777777" w:rsidTr="00F16287">
        <w:tc>
          <w:tcPr>
            <w:tcW w:w="2136" w:type="dxa"/>
            <w:tcBorders>
              <w:top w:val="nil"/>
              <w:left w:val="nil"/>
              <w:bottom w:val="single" w:sz="4" w:space="0" w:color="auto"/>
              <w:right w:val="nil"/>
            </w:tcBorders>
          </w:tcPr>
          <w:p w14:paraId="33801948" w14:textId="77777777" w:rsidR="00E31AA0" w:rsidRDefault="00E31AA0"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5456B82C" w14:textId="77777777" w:rsidR="00E31AA0" w:rsidRDefault="00E31AA0"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4163</w:t>
            </w:r>
          </w:p>
        </w:tc>
      </w:tr>
    </w:tbl>
    <w:p w14:paraId="58BA834A" w14:textId="77777777" w:rsidR="00E31AA0" w:rsidRDefault="00E31AA0" w:rsidP="00E31AA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064B9E5B" w14:textId="77777777" w:rsidR="00E31AA0" w:rsidRDefault="00E31AA0" w:rsidP="00E31AA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EBD1672" w14:textId="77777777" w:rsidR="0089119D" w:rsidRPr="00194F07" w:rsidRDefault="0089119D" w:rsidP="002338C3">
      <w:pPr>
        <w:rPr>
          <w:highlight w:val="yellow"/>
        </w:rPr>
      </w:pPr>
    </w:p>
    <w:p w14:paraId="043A4B43" w14:textId="5FB61EED" w:rsidR="00827C1C" w:rsidRPr="00EC2D2A" w:rsidRDefault="00827C1C" w:rsidP="002338C3">
      <w:r w:rsidRPr="00E31AA0">
        <w:t>Table A</w:t>
      </w:r>
      <w:r w:rsidR="00FC2FC8" w:rsidRPr="00E31AA0">
        <w:t>8</w:t>
      </w:r>
      <w:r w:rsidRPr="00E31AA0">
        <w:t>. Institutional Interaction Terms Panel Regression with Fes,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4D3E22" w14:paraId="290F47BD" w14:textId="77777777" w:rsidTr="00F16287">
        <w:tc>
          <w:tcPr>
            <w:tcW w:w="2136" w:type="dxa"/>
            <w:tcBorders>
              <w:top w:val="single" w:sz="4" w:space="0" w:color="auto"/>
              <w:left w:val="nil"/>
              <w:bottom w:val="nil"/>
              <w:right w:val="nil"/>
            </w:tcBorders>
          </w:tcPr>
          <w:p w14:paraId="5B98CE0B"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10256AF8"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06855FF3"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45BE9510"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3B6971F6"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5745BA77"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4D3E22" w14:paraId="70BB0FE8" w14:textId="77777777" w:rsidTr="00F16287">
        <w:tc>
          <w:tcPr>
            <w:tcW w:w="2136" w:type="dxa"/>
            <w:tcBorders>
              <w:top w:val="nil"/>
              <w:left w:val="nil"/>
              <w:bottom w:val="nil"/>
              <w:right w:val="nil"/>
            </w:tcBorders>
          </w:tcPr>
          <w:p w14:paraId="4A3FF5B3"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2C1BE47"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2DAD7300"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72218C3B"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0C0DAD58"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03BFD0D4"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4D3E22" w14:paraId="0D5CE40A" w14:textId="77777777" w:rsidTr="00F16287">
        <w:tc>
          <w:tcPr>
            <w:tcW w:w="2136" w:type="dxa"/>
            <w:tcBorders>
              <w:top w:val="single" w:sz="4" w:space="0" w:color="auto"/>
              <w:left w:val="nil"/>
              <w:bottom w:val="nil"/>
              <w:right w:val="nil"/>
            </w:tcBorders>
          </w:tcPr>
          <w:p w14:paraId="535E2EA4" w14:textId="77777777" w:rsidR="004D3E22" w:rsidRPr="001608BD" w:rsidRDefault="004D3E22" w:rsidP="00F16287">
            <w:pPr>
              <w:widowControl w:val="0"/>
              <w:autoSpaceDE w:val="0"/>
              <w:autoSpaceDN w:val="0"/>
              <w:adjustRightInd w:val="0"/>
              <w:spacing w:after="0" w:line="240" w:lineRule="auto"/>
              <w:rPr>
                <w:rFonts w:ascii="Times New Roman" w:hAnsi="Times New Roman" w:cs="Times New Roman"/>
                <w:sz w:val="24"/>
                <w:szCs w:val="24"/>
                <w:lang w:val="fr-BE"/>
              </w:rPr>
            </w:pPr>
            <w:r w:rsidRPr="001608BD">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5F30310D"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0.393</w:t>
            </w:r>
          </w:p>
        </w:tc>
        <w:tc>
          <w:tcPr>
            <w:tcW w:w="1656" w:type="dxa"/>
            <w:tcBorders>
              <w:top w:val="single" w:sz="4" w:space="0" w:color="auto"/>
              <w:left w:val="nil"/>
              <w:bottom w:val="nil"/>
              <w:right w:val="nil"/>
            </w:tcBorders>
          </w:tcPr>
          <w:p w14:paraId="56D6BA01"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0.331</w:t>
            </w:r>
          </w:p>
        </w:tc>
        <w:tc>
          <w:tcPr>
            <w:tcW w:w="1656" w:type="dxa"/>
            <w:tcBorders>
              <w:top w:val="single" w:sz="4" w:space="0" w:color="auto"/>
              <w:left w:val="nil"/>
              <w:bottom w:val="nil"/>
              <w:right w:val="nil"/>
            </w:tcBorders>
          </w:tcPr>
          <w:p w14:paraId="06AAA2FD"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0.233</w:t>
            </w:r>
          </w:p>
        </w:tc>
        <w:tc>
          <w:tcPr>
            <w:tcW w:w="1656" w:type="dxa"/>
            <w:tcBorders>
              <w:top w:val="single" w:sz="4" w:space="0" w:color="auto"/>
              <w:left w:val="nil"/>
              <w:bottom w:val="nil"/>
              <w:right w:val="nil"/>
            </w:tcBorders>
          </w:tcPr>
          <w:p w14:paraId="5B3B8998"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-0.259</w:t>
            </w:r>
          </w:p>
        </w:tc>
        <w:tc>
          <w:tcPr>
            <w:tcW w:w="1656" w:type="dxa"/>
            <w:tcBorders>
              <w:top w:val="single" w:sz="4" w:space="0" w:color="auto"/>
              <w:left w:val="nil"/>
              <w:bottom w:val="nil"/>
              <w:right w:val="nil"/>
            </w:tcBorders>
          </w:tcPr>
          <w:p w14:paraId="161A6337"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0.608</w:t>
            </w:r>
            <w:r>
              <w:rPr>
                <w:rFonts w:ascii="Times New Roman" w:hAnsi="Times New Roman" w:cs="Times New Roman"/>
                <w:sz w:val="24"/>
                <w:szCs w:val="24"/>
                <w:vertAlign w:val="superscript"/>
              </w:rPr>
              <w:t>**</w:t>
            </w:r>
          </w:p>
        </w:tc>
      </w:tr>
      <w:tr w:rsidR="004D3E22" w14:paraId="4AE7BBBA" w14:textId="77777777" w:rsidTr="00F16287">
        <w:tc>
          <w:tcPr>
            <w:tcW w:w="2136" w:type="dxa"/>
            <w:tcBorders>
              <w:top w:val="nil"/>
              <w:left w:val="nil"/>
              <w:bottom w:val="nil"/>
              <w:right w:val="nil"/>
            </w:tcBorders>
          </w:tcPr>
          <w:p w14:paraId="3FA509CE"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9760A30"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(1.05)</w:t>
            </w:r>
          </w:p>
        </w:tc>
        <w:tc>
          <w:tcPr>
            <w:tcW w:w="1656" w:type="dxa"/>
            <w:tcBorders>
              <w:top w:val="nil"/>
              <w:left w:val="nil"/>
              <w:bottom w:val="nil"/>
              <w:right w:val="nil"/>
            </w:tcBorders>
          </w:tcPr>
          <w:p w14:paraId="0071B1ED"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(1.35)</w:t>
            </w:r>
          </w:p>
        </w:tc>
        <w:tc>
          <w:tcPr>
            <w:tcW w:w="1656" w:type="dxa"/>
            <w:tcBorders>
              <w:top w:val="nil"/>
              <w:left w:val="nil"/>
              <w:bottom w:val="nil"/>
              <w:right w:val="nil"/>
            </w:tcBorders>
          </w:tcPr>
          <w:p w14:paraId="24C38673"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w:t>
            </w:r>
          </w:p>
        </w:tc>
        <w:tc>
          <w:tcPr>
            <w:tcW w:w="1656" w:type="dxa"/>
            <w:tcBorders>
              <w:top w:val="nil"/>
              <w:left w:val="nil"/>
              <w:bottom w:val="nil"/>
              <w:right w:val="nil"/>
            </w:tcBorders>
          </w:tcPr>
          <w:p w14:paraId="7C09A9D7"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(-0.99)</w:t>
            </w:r>
          </w:p>
        </w:tc>
        <w:tc>
          <w:tcPr>
            <w:tcW w:w="1656" w:type="dxa"/>
            <w:tcBorders>
              <w:top w:val="nil"/>
              <w:left w:val="nil"/>
              <w:bottom w:val="nil"/>
              <w:right w:val="nil"/>
            </w:tcBorders>
          </w:tcPr>
          <w:p w14:paraId="19C58E10"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(3.33)</w:t>
            </w:r>
          </w:p>
        </w:tc>
      </w:tr>
      <w:tr w:rsidR="004D3E22" w14:paraId="2FCC261E" w14:textId="77777777" w:rsidTr="00F16287">
        <w:tc>
          <w:tcPr>
            <w:tcW w:w="2136" w:type="dxa"/>
            <w:tcBorders>
              <w:top w:val="nil"/>
              <w:left w:val="nil"/>
              <w:bottom w:val="nil"/>
              <w:right w:val="nil"/>
            </w:tcBorders>
          </w:tcPr>
          <w:p w14:paraId="3719A616"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E0579D3"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31F79B4"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98CD784"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B34B6B9"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052B3E4"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r>
      <w:tr w:rsidR="004D3E22" w14:paraId="76645949" w14:textId="77777777" w:rsidTr="00F16287">
        <w:tc>
          <w:tcPr>
            <w:tcW w:w="2136" w:type="dxa"/>
            <w:tcBorders>
              <w:top w:val="nil"/>
              <w:left w:val="nil"/>
              <w:bottom w:val="nil"/>
              <w:right w:val="nil"/>
            </w:tcBorders>
          </w:tcPr>
          <w:p w14:paraId="45DF2324"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1C53F88B"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-0.00527</w:t>
            </w:r>
          </w:p>
        </w:tc>
        <w:tc>
          <w:tcPr>
            <w:tcW w:w="1656" w:type="dxa"/>
            <w:tcBorders>
              <w:top w:val="nil"/>
              <w:left w:val="nil"/>
              <w:bottom w:val="nil"/>
              <w:right w:val="nil"/>
            </w:tcBorders>
          </w:tcPr>
          <w:p w14:paraId="5C72A584"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-0.0192</w:t>
            </w:r>
          </w:p>
        </w:tc>
        <w:tc>
          <w:tcPr>
            <w:tcW w:w="1656" w:type="dxa"/>
            <w:tcBorders>
              <w:top w:val="nil"/>
              <w:left w:val="nil"/>
              <w:bottom w:val="nil"/>
              <w:right w:val="nil"/>
            </w:tcBorders>
          </w:tcPr>
          <w:p w14:paraId="35449B8F"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-0.0150</w:t>
            </w:r>
          </w:p>
        </w:tc>
        <w:tc>
          <w:tcPr>
            <w:tcW w:w="1656" w:type="dxa"/>
            <w:tcBorders>
              <w:top w:val="nil"/>
              <w:left w:val="nil"/>
              <w:bottom w:val="nil"/>
              <w:right w:val="nil"/>
            </w:tcBorders>
          </w:tcPr>
          <w:p w14:paraId="2410984A"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0.0208</w:t>
            </w:r>
          </w:p>
        </w:tc>
        <w:tc>
          <w:tcPr>
            <w:tcW w:w="1656" w:type="dxa"/>
            <w:tcBorders>
              <w:top w:val="nil"/>
              <w:left w:val="nil"/>
              <w:bottom w:val="nil"/>
              <w:right w:val="nil"/>
            </w:tcBorders>
          </w:tcPr>
          <w:p w14:paraId="2BAF1278"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-0.0139</w:t>
            </w:r>
          </w:p>
        </w:tc>
      </w:tr>
      <w:tr w:rsidR="004D3E22" w14:paraId="74EA5D44" w14:textId="77777777" w:rsidTr="00F16287">
        <w:tc>
          <w:tcPr>
            <w:tcW w:w="2136" w:type="dxa"/>
            <w:tcBorders>
              <w:top w:val="nil"/>
              <w:left w:val="nil"/>
              <w:bottom w:val="nil"/>
              <w:right w:val="nil"/>
            </w:tcBorders>
          </w:tcPr>
          <w:p w14:paraId="02C2419B"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15B82FD"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w:t>
            </w:r>
          </w:p>
        </w:tc>
        <w:tc>
          <w:tcPr>
            <w:tcW w:w="1656" w:type="dxa"/>
            <w:tcBorders>
              <w:top w:val="nil"/>
              <w:left w:val="nil"/>
              <w:bottom w:val="nil"/>
              <w:right w:val="nil"/>
            </w:tcBorders>
          </w:tcPr>
          <w:p w14:paraId="5EBD2024"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w:t>
            </w:r>
          </w:p>
        </w:tc>
        <w:tc>
          <w:tcPr>
            <w:tcW w:w="1656" w:type="dxa"/>
            <w:tcBorders>
              <w:top w:val="nil"/>
              <w:left w:val="nil"/>
              <w:bottom w:val="nil"/>
              <w:right w:val="nil"/>
            </w:tcBorders>
          </w:tcPr>
          <w:p w14:paraId="1886FC24"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w:t>
            </w:r>
          </w:p>
        </w:tc>
        <w:tc>
          <w:tcPr>
            <w:tcW w:w="1656" w:type="dxa"/>
            <w:tcBorders>
              <w:top w:val="nil"/>
              <w:left w:val="nil"/>
              <w:bottom w:val="nil"/>
              <w:right w:val="nil"/>
            </w:tcBorders>
          </w:tcPr>
          <w:p w14:paraId="0D83BC9C"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(1.37)</w:t>
            </w:r>
          </w:p>
        </w:tc>
        <w:tc>
          <w:tcPr>
            <w:tcW w:w="1656" w:type="dxa"/>
            <w:tcBorders>
              <w:top w:val="nil"/>
              <w:left w:val="nil"/>
              <w:bottom w:val="nil"/>
              <w:right w:val="nil"/>
            </w:tcBorders>
          </w:tcPr>
          <w:p w14:paraId="11E763BF"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(-1.59)</w:t>
            </w:r>
          </w:p>
        </w:tc>
      </w:tr>
      <w:tr w:rsidR="004D3E22" w14:paraId="4AB5A586" w14:textId="77777777" w:rsidTr="00F16287">
        <w:tc>
          <w:tcPr>
            <w:tcW w:w="2136" w:type="dxa"/>
            <w:tcBorders>
              <w:top w:val="nil"/>
              <w:left w:val="nil"/>
              <w:bottom w:val="nil"/>
              <w:right w:val="nil"/>
            </w:tcBorders>
          </w:tcPr>
          <w:p w14:paraId="5E08F376"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870D627"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BD4594E"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C72D595"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C78A393"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280E33"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r>
      <w:tr w:rsidR="004D3E22" w14:paraId="65A40A81" w14:textId="77777777" w:rsidTr="00F16287">
        <w:tc>
          <w:tcPr>
            <w:tcW w:w="2136" w:type="dxa"/>
            <w:tcBorders>
              <w:top w:val="nil"/>
              <w:left w:val="nil"/>
              <w:bottom w:val="nil"/>
              <w:right w:val="nil"/>
            </w:tcBorders>
          </w:tcPr>
          <w:p w14:paraId="359BEE35"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 Jure CBI (CNW Index) * Exchange Rate Classification (RR inverted, higher = more fixed)</w:t>
            </w:r>
          </w:p>
        </w:tc>
        <w:tc>
          <w:tcPr>
            <w:tcW w:w="1656" w:type="dxa"/>
            <w:tcBorders>
              <w:top w:val="nil"/>
              <w:left w:val="nil"/>
              <w:bottom w:val="nil"/>
              <w:right w:val="nil"/>
            </w:tcBorders>
          </w:tcPr>
          <w:p w14:paraId="3A0E29A4"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-0.0135</w:t>
            </w:r>
          </w:p>
        </w:tc>
        <w:tc>
          <w:tcPr>
            <w:tcW w:w="1656" w:type="dxa"/>
            <w:tcBorders>
              <w:top w:val="nil"/>
              <w:left w:val="nil"/>
              <w:bottom w:val="nil"/>
              <w:right w:val="nil"/>
            </w:tcBorders>
          </w:tcPr>
          <w:p w14:paraId="4C604FDF"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-0.00318</w:t>
            </w:r>
          </w:p>
        </w:tc>
        <w:tc>
          <w:tcPr>
            <w:tcW w:w="1656" w:type="dxa"/>
            <w:tcBorders>
              <w:top w:val="nil"/>
              <w:left w:val="nil"/>
              <w:bottom w:val="nil"/>
              <w:right w:val="nil"/>
            </w:tcBorders>
          </w:tcPr>
          <w:p w14:paraId="25E4E8F1"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0.0181</w:t>
            </w:r>
          </w:p>
        </w:tc>
        <w:tc>
          <w:tcPr>
            <w:tcW w:w="1656" w:type="dxa"/>
            <w:tcBorders>
              <w:top w:val="nil"/>
              <w:left w:val="nil"/>
              <w:bottom w:val="nil"/>
              <w:right w:val="nil"/>
            </w:tcBorders>
          </w:tcPr>
          <w:p w14:paraId="59C9319A"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-0.0177</w:t>
            </w:r>
          </w:p>
        </w:tc>
        <w:tc>
          <w:tcPr>
            <w:tcW w:w="1656" w:type="dxa"/>
            <w:tcBorders>
              <w:top w:val="nil"/>
              <w:left w:val="nil"/>
              <w:bottom w:val="nil"/>
              <w:right w:val="nil"/>
            </w:tcBorders>
          </w:tcPr>
          <w:p w14:paraId="1680C8CC"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0.0467</w:t>
            </w:r>
            <w:r>
              <w:rPr>
                <w:rFonts w:ascii="Times New Roman" w:hAnsi="Times New Roman" w:cs="Times New Roman"/>
                <w:sz w:val="24"/>
                <w:szCs w:val="24"/>
                <w:vertAlign w:val="superscript"/>
              </w:rPr>
              <w:t>*</w:t>
            </w:r>
          </w:p>
        </w:tc>
      </w:tr>
      <w:tr w:rsidR="004D3E22" w14:paraId="4556B107" w14:textId="77777777" w:rsidTr="00F16287">
        <w:tc>
          <w:tcPr>
            <w:tcW w:w="2136" w:type="dxa"/>
            <w:tcBorders>
              <w:top w:val="nil"/>
              <w:left w:val="nil"/>
              <w:bottom w:val="nil"/>
              <w:right w:val="nil"/>
            </w:tcBorders>
          </w:tcPr>
          <w:p w14:paraId="6133F33E"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1077F72"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w:t>
            </w:r>
          </w:p>
        </w:tc>
        <w:tc>
          <w:tcPr>
            <w:tcW w:w="1656" w:type="dxa"/>
            <w:tcBorders>
              <w:top w:val="nil"/>
              <w:left w:val="nil"/>
              <w:bottom w:val="nil"/>
              <w:right w:val="nil"/>
            </w:tcBorders>
          </w:tcPr>
          <w:p w14:paraId="37B0FDCC"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656" w:type="dxa"/>
            <w:tcBorders>
              <w:top w:val="nil"/>
              <w:left w:val="nil"/>
              <w:bottom w:val="nil"/>
              <w:right w:val="nil"/>
            </w:tcBorders>
          </w:tcPr>
          <w:p w14:paraId="1C055C98"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656" w:type="dxa"/>
            <w:tcBorders>
              <w:top w:val="nil"/>
              <w:left w:val="nil"/>
              <w:bottom w:val="nil"/>
              <w:right w:val="nil"/>
            </w:tcBorders>
          </w:tcPr>
          <w:p w14:paraId="14BDF2C3"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w:t>
            </w:r>
          </w:p>
        </w:tc>
        <w:tc>
          <w:tcPr>
            <w:tcW w:w="1656" w:type="dxa"/>
            <w:tcBorders>
              <w:top w:val="nil"/>
              <w:left w:val="nil"/>
              <w:bottom w:val="nil"/>
              <w:right w:val="nil"/>
            </w:tcBorders>
          </w:tcPr>
          <w:p w14:paraId="5616D783"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(2.58)</w:t>
            </w:r>
          </w:p>
        </w:tc>
      </w:tr>
      <w:tr w:rsidR="004D3E22" w14:paraId="4D6BC04F" w14:textId="77777777" w:rsidTr="00F16287">
        <w:tc>
          <w:tcPr>
            <w:tcW w:w="2136" w:type="dxa"/>
            <w:tcBorders>
              <w:top w:val="nil"/>
              <w:left w:val="nil"/>
              <w:bottom w:val="nil"/>
              <w:right w:val="nil"/>
            </w:tcBorders>
          </w:tcPr>
          <w:p w14:paraId="29D23DB9"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196B66E"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DE153BC"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8560880"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790D421"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A26CBF8"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r>
      <w:tr w:rsidR="004D3E22" w14:paraId="704A47DA" w14:textId="77777777" w:rsidTr="00F16287">
        <w:tc>
          <w:tcPr>
            <w:tcW w:w="2136" w:type="dxa"/>
            <w:tcBorders>
              <w:top w:val="nil"/>
              <w:left w:val="nil"/>
              <w:bottom w:val="nil"/>
              <w:right w:val="nil"/>
            </w:tcBorders>
          </w:tcPr>
          <w:p w14:paraId="39BD8106"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360B935B"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520CB2B"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61F2AE8"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4BDCA8A"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-0.0600</w:t>
            </w:r>
          </w:p>
        </w:tc>
        <w:tc>
          <w:tcPr>
            <w:tcW w:w="1656" w:type="dxa"/>
            <w:tcBorders>
              <w:top w:val="nil"/>
              <w:left w:val="nil"/>
              <w:bottom w:val="nil"/>
              <w:right w:val="nil"/>
            </w:tcBorders>
          </w:tcPr>
          <w:p w14:paraId="300FFC2E"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0.0556</w:t>
            </w:r>
          </w:p>
        </w:tc>
      </w:tr>
      <w:tr w:rsidR="004D3E22" w14:paraId="61C5B9CB" w14:textId="77777777" w:rsidTr="00F16287">
        <w:tc>
          <w:tcPr>
            <w:tcW w:w="2136" w:type="dxa"/>
            <w:tcBorders>
              <w:top w:val="nil"/>
              <w:left w:val="nil"/>
              <w:bottom w:val="single" w:sz="4" w:space="0" w:color="auto"/>
              <w:right w:val="nil"/>
            </w:tcBorders>
          </w:tcPr>
          <w:p w14:paraId="6CB3598C"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377F4AAB"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656" w:type="dxa"/>
            <w:tcBorders>
              <w:top w:val="nil"/>
              <w:left w:val="nil"/>
              <w:bottom w:val="single" w:sz="4" w:space="0" w:color="auto"/>
              <w:right w:val="nil"/>
            </w:tcBorders>
          </w:tcPr>
          <w:p w14:paraId="296050DF"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(3.30)</w:t>
            </w:r>
          </w:p>
        </w:tc>
        <w:tc>
          <w:tcPr>
            <w:tcW w:w="1656" w:type="dxa"/>
            <w:tcBorders>
              <w:top w:val="nil"/>
              <w:left w:val="nil"/>
              <w:bottom w:val="single" w:sz="4" w:space="0" w:color="auto"/>
              <w:right w:val="nil"/>
            </w:tcBorders>
          </w:tcPr>
          <w:p w14:paraId="6F0B512D"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(3.61)</w:t>
            </w:r>
          </w:p>
        </w:tc>
        <w:tc>
          <w:tcPr>
            <w:tcW w:w="1656" w:type="dxa"/>
            <w:tcBorders>
              <w:top w:val="nil"/>
              <w:left w:val="nil"/>
              <w:bottom w:val="single" w:sz="4" w:space="0" w:color="auto"/>
              <w:right w:val="nil"/>
            </w:tcBorders>
          </w:tcPr>
          <w:p w14:paraId="20362735"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656" w:type="dxa"/>
            <w:tcBorders>
              <w:top w:val="nil"/>
              <w:left w:val="nil"/>
              <w:bottom w:val="single" w:sz="4" w:space="0" w:color="auto"/>
              <w:right w:val="nil"/>
            </w:tcBorders>
          </w:tcPr>
          <w:p w14:paraId="588AD978"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w:t>
            </w:r>
          </w:p>
        </w:tc>
      </w:tr>
      <w:tr w:rsidR="004D3E22" w14:paraId="629B6544" w14:textId="77777777" w:rsidTr="00F16287">
        <w:tc>
          <w:tcPr>
            <w:tcW w:w="2136" w:type="dxa"/>
            <w:tcBorders>
              <w:top w:val="nil"/>
              <w:left w:val="nil"/>
              <w:bottom w:val="single" w:sz="4" w:space="0" w:color="auto"/>
              <w:right w:val="nil"/>
            </w:tcBorders>
          </w:tcPr>
          <w:p w14:paraId="79757B7B" w14:textId="77777777" w:rsidR="004D3E22" w:rsidRDefault="004D3E22"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2B0F1C9D"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1399</w:t>
            </w:r>
          </w:p>
        </w:tc>
        <w:tc>
          <w:tcPr>
            <w:tcW w:w="1656" w:type="dxa"/>
            <w:tcBorders>
              <w:top w:val="nil"/>
              <w:left w:val="nil"/>
              <w:bottom w:val="single" w:sz="4" w:space="0" w:color="auto"/>
              <w:right w:val="nil"/>
            </w:tcBorders>
          </w:tcPr>
          <w:p w14:paraId="7DC9817B"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1399</w:t>
            </w:r>
          </w:p>
        </w:tc>
        <w:tc>
          <w:tcPr>
            <w:tcW w:w="1656" w:type="dxa"/>
            <w:tcBorders>
              <w:top w:val="nil"/>
              <w:left w:val="nil"/>
              <w:bottom w:val="single" w:sz="4" w:space="0" w:color="auto"/>
              <w:right w:val="nil"/>
            </w:tcBorders>
          </w:tcPr>
          <w:p w14:paraId="367952B5"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1141</w:t>
            </w:r>
          </w:p>
        </w:tc>
        <w:tc>
          <w:tcPr>
            <w:tcW w:w="1656" w:type="dxa"/>
            <w:tcBorders>
              <w:top w:val="nil"/>
              <w:left w:val="nil"/>
              <w:bottom w:val="single" w:sz="4" w:space="0" w:color="auto"/>
              <w:right w:val="nil"/>
            </w:tcBorders>
          </w:tcPr>
          <w:p w14:paraId="6766A984"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2141</w:t>
            </w:r>
          </w:p>
        </w:tc>
        <w:tc>
          <w:tcPr>
            <w:tcW w:w="1656" w:type="dxa"/>
            <w:tcBorders>
              <w:top w:val="nil"/>
              <w:left w:val="nil"/>
              <w:bottom w:val="single" w:sz="4" w:space="0" w:color="auto"/>
              <w:right w:val="nil"/>
            </w:tcBorders>
          </w:tcPr>
          <w:p w14:paraId="68821CE5" w14:textId="77777777" w:rsidR="004D3E22" w:rsidRDefault="004D3E2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4207</w:t>
            </w:r>
          </w:p>
        </w:tc>
      </w:tr>
    </w:tbl>
    <w:p w14:paraId="7E88C701" w14:textId="77777777" w:rsidR="004D3E22" w:rsidRDefault="004D3E22" w:rsidP="004D3E2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60476161" w14:textId="77777777" w:rsidR="004D3E22" w:rsidRDefault="004D3E22" w:rsidP="004D3E2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2D6FB55C" w14:textId="77777777" w:rsidR="004D3E22" w:rsidRDefault="004D3E22" w:rsidP="004D3E22">
      <w:pPr>
        <w:widowControl w:val="0"/>
        <w:autoSpaceDE w:val="0"/>
        <w:autoSpaceDN w:val="0"/>
        <w:adjustRightInd w:val="0"/>
        <w:spacing w:after="0" w:line="240" w:lineRule="auto"/>
        <w:rPr>
          <w:rFonts w:ascii="Times New Roman" w:hAnsi="Times New Roman" w:cs="Times New Roman"/>
          <w:sz w:val="24"/>
          <w:szCs w:val="24"/>
        </w:rPr>
      </w:pPr>
    </w:p>
    <w:tbl>
      <w:tblPr>
        <w:tblW w:w="10416" w:type="dxa"/>
        <w:tblLayout w:type="fixed"/>
        <w:tblLook w:val="0000" w:firstRow="0" w:lastRow="0" w:firstColumn="0" w:lastColumn="0" w:noHBand="0" w:noVBand="0"/>
      </w:tblPr>
      <w:tblGrid>
        <w:gridCol w:w="2136"/>
        <w:gridCol w:w="1656"/>
        <w:gridCol w:w="1656"/>
        <w:gridCol w:w="1656"/>
        <w:gridCol w:w="1656"/>
        <w:gridCol w:w="1656"/>
      </w:tblGrid>
      <w:tr w:rsidR="005410B1" w14:paraId="386D33C0" w14:textId="77777777" w:rsidTr="00F16287">
        <w:tc>
          <w:tcPr>
            <w:tcW w:w="2136" w:type="dxa"/>
            <w:tcBorders>
              <w:top w:val="single" w:sz="4" w:space="0" w:color="auto"/>
              <w:left w:val="nil"/>
              <w:bottom w:val="nil"/>
              <w:right w:val="nil"/>
            </w:tcBorders>
          </w:tcPr>
          <w:p w14:paraId="1544FD0A"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12AC15BE"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6ECADAD5"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773A2226"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0C3D06EA"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1C3F0345"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5410B1" w14:paraId="4D2BCAE7" w14:textId="77777777" w:rsidTr="00F16287">
        <w:tc>
          <w:tcPr>
            <w:tcW w:w="2136" w:type="dxa"/>
            <w:tcBorders>
              <w:top w:val="nil"/>
              <w:left w:val="nil"/>
              <w:bottom w:val="nil"/>
              <w:right w:val="nil"/>
            </w:tcBorders>
          </w:tcPr>
          <w:p w14:paraId="506723BE"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FD30572"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7D849C95"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63780CD8"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0F91991B"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5FAB6418"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5410B1" w14:paraId="60DAC5AD" w14:textId="77777777" w:rsidTr="00F16287">
        <w:tc>
          <w:tcPr>
            <w:tcW w:w="2136" w:type="dxa"/>
            <w:tcBorders>
              <w:top w:val="single" w:sz="4" w:space="0" w:color="auto"/>
              <w:left w:val="nil"/>
              <w:bottom w:val="nil"/>
              <w:right w:val="nil"/>
            </w:tcBorders>
          </w:tcPr>
          <w:p w14:paraId="2413E61F"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(Lack of) Irregular CB Governor </w:t>
            </w:r>
            <w:r>
              <w:rPr>
                <w:rFonts w:ascii="Times New Roman" w:hAnsi="Times New Roman" w:cs="Times New Roman"/>
                <w:sz w:val="24"/>
                <w:szCs w:val="24"/>
              </w:rPr>
              <w:lastRenderedPageBreak/>
              <w:t>Turnover (higher = more de facto CBI)</w:t>
            </w:r>
          </w:p>
        </w:tc>
        <w:tc>
          <w:tcPr>
            <w:tcW w:w="1656" w:type="dxa"/>
            <w:tcBorders>
              <w:top w:val="single" w:sz="4" w:space="0" w:color="auto"/>
              <w:left w:val="nil"/>
              <w:bottom w:val="nil"/>
              <w:right w:val="nil"/>
            </w:tcBorders>
          </w:tcPr>
          <w:p w14:paraId="2A7003D0"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-0.0656</w:t>
            </w:r>
          </w:p>
        </w:tc>
        <w:tc>
          <w:tcPr>
            <w:tcW w:w="1656" w:type="dxa"/>
            <w:tcBorders>
              <w:top w:val="single" w:sz="4" w:space="0" w:color="auto"/>
              <w:left w:val="nil"/>
              <w:bottom w:val="nil"/>
              <w:right w:val="nil"/>
            </w:tcBorders>
          </w:tcPr>
          <w:p w14:paraId="264F0028"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-0.119</w:t>
            </w:r>
          </w:p>
        </w:tc>
        <w:tc>
          <w:tcPr>
            <w:tcW w:w="1656" w:type="dxa"/>
            <w:tcBorders>
              <w:top w:val="single" w:sz="4" w:space="0" w:color="auto"/>
              <w:left w:val="nil"/>
              <w:bottom w:val="nil"/>
              <w:right w:val="nil"/>
            </w:tcBorders>
          </w:tcPr>
          <w:p w14:paraId="3FC5BDD9"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-0.331</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2010F3F8"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0.0986</w:t>
            </w:r>
          </w:p>
        </w:tc>
        <w:tc>
          <w:tcPr>
            <w:tcW w:w="1656" w:type="dxa"/>
            <w:tcBorders>
              <w:top w:val="single" w:sz="4" w:space="0" w:color="auto"/>
              <w:left w:val="nil"/>
              <w:bottom w:val="nil"/>
              <w:right w:val="nil"/>
            </w:tcBorders>
          </w:tcPr>
          <w:p w14:paraId="456C252B"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0.00651</w:t>
            </w:r>
          </w:p>
        </w:tc>
      </w:tr>
      <w:tr w:rsidR="005410B1" w14:paraId="7D9222A0" w14:textId="77777777" w:rsidTr="00F16287">
        <w:tc>
          <w:tcPr>
            <w:tcW w:w="2136" w:type="dxa"/>
            <w:tcBorders>
              <w:top w:val="nil"/>
              <w:left w:val="nil"/>
              <w:bottom w:val="nil"/>
              <w:right w:val="nil"/>
            </w:tcBorders>
          </w:tcPr>
          <w:p w14:paraId="43DE5CA2"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4948413"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656" w:type="dxa"/>
            <w:tcBorders>
              <w:top w:val="nil"/>
              <w:left w:val="nil"/>
              <w:bottom w:val="nil"/>
              <w:right w:val="nil"/>
            </w:tcBorders>
          </w:tcPr>
          <w:p w14:paraId="109BA2D9"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w:t>
            </w:r>
          </w:p>
        </w:tc>
        <w:tc>
          <w:tcPr>
            <w:tcW w:w="1656" w:type="dxa"/>
            <w:tcBorders>
              <w:top w:val="nil"/>
              <w:left w:val="nil"/>
              <w:bottom w:val="nil"/>
              <w:right w:val="nil"/>
            </w:tcBorders>
          </w:tcPr>
          <w:p w14:paraId="3DC31F6C"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(-2.57)</w:t>
            </w:r>
          </w:p>
        </w:tc>
        <w:tc>
          <w:tcPr>
            <w:tcW w:w="1656" w:type="dxa"/>
            <w:tcBorders>
              <w:top w:val="nil"/>
              <w:left w:val="nil"/>
              <w:bottom w:val="nil"/>
              <w:right w:val="nil"/>
            </w:tcBorders>
          </w:tcPr>
          <w:p w14:paraId="01993BBE"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(1.73)</w:t>
            </w:r>
          </w:p>
        </w:tc>
        <w:tc>
          <w:tcPr>
            <w:tcW w:w="1656" w:type="dxa"/>
            <w:tcBorders>
              <w:top w:val="nil"/>
              <w:left w:val="nil"/>
              <w:bottom w:val="nil"/>
              <w:right w:val="nil"/>
            </w:tcBorders>
          </w:tcPr>
          <w:p w14:paraId="6E95A2C4"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r>
      <w:tr w:rsidR="005410B1" w14:paraId="4DFF3D3C" w14:textId="77777777" w:rsidTr="00F16287">
        <w:tc>
          <w:tcPr>
            <w:tcW w:w="2136" w:type="dxa"/>
            <w:tcBorders>
              <w:top w:val="nil"/>
              <w:left w:val="nil"/>
              <w:bottom w:val="nil"/>
              <w:right w:val="nil"/>
            </w:tcBorders>
          </w:tcPr>
          <w:p w14:paraId="6A474F61"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CBD34CC"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19F59EB"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9493DC0"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9D2BD1F"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4AE4E51"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r>
      <w:tr w:rsidR="005410B1" w14:paraId="5C936697" w14:textId="77777777" w:rsidTr="00F16287">
        <w:tc>
          <w:tcPr>
            <w:tcW w:w="2136" w:type="dxa"/>
            <w:tcBorders>
              <w:top w:val="nil"/>
              <w:left w:val="nil"/>
              <w:bottom w:val="nil"/>
              <w:right w:val="nil"/>
            </w:tcBorders>
          </w:tcPr>
          <w:p w14:paraId="53DD0F65"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62A48568"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0.000174</w:t>
            </w:r>
          </w:p>
        </w:tc>
        <w:tc>
          <w:tcPr>
            <w:tcW w:w="1656" w:type="dxa"/>
            <w:tcBorders>
              <w:top w:val="nil"/>
              <w:left w:val="nil"/>
              <w:bottom w:val="nil"/>
              <w:right w:val="nil"/>
            </w:tcBorders>
          </w:tcPr>
          <w:p w14:paraId="5C9EE050"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-0.0191</w:t>
            </w:r>
          </w:p>
        </w:tc>
        <w:tc>
          <w:tcPr>
            <w:tcW w:w="1656" w:type="dxa"/>
            <w:tcBorders>
              <w:top w:val="nil"/>
              <w:left w:val="nil"/>
              <w:bottom w:val="nil"/>
              <w:right w:val="nil"/>
            </w:tcBorders>
          </w:tcPr>
          <w:p w14:paraId="56104EBA"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-0.00886</w:t>
            </w:r>
          </w:p>
        </w:tc>
        <w:tc>
          <w:tcPr>
            <w:tcW w:w="1656" w:type="dxa"/>
            <w:tcBorders>
              <w:top w:val="nil"/>
              <w:left w:val="nil"/>
              <w:bottom w:val="nil"/>
              <w:right w:val="nil"/>
            </w:tcBorders>
          </w:tcPr>
          <w:p w14:paraId="4AA92477"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5E8BC7A"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0.0106</w:t>
            </w:r>
          </w:p>
        </w:tc>
      </w:tr>
      <w:tr w:rsidR="005410B1" w14:paraId="7957A488" w14:textId="77777777" w:rsidTr="00F16287">
        <w:tc>
          <w:tcPr>
            <w:tcW w:w="2136" w:type="dxa"/>
            <w:tcBorders>
              <w:top w:val="nil"/>
              <w:left w:val="nil"/>
              <w:bottom w:val="nil"/>
              <w:right w:val="nil"/>
            </w:tcBorders>
          </w:tcPr>
          <w:p w14:paraId="1DD399A1"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9B9891B"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656" w:type="dxa"/>
            <w:tcBorders>
              <w:top w:val="nil"/>
              <w:left w:val="nil"/>
              <w:bottom w:val="nil"/>
              <w:right w:val="nil"/>
            </w:tcBorders>
          </w:tcPr>
          <w:p w14:paraId="3DCDC5EC"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(-1.31)</w:t>
            </w:r>
          </w:p>
        </w:tc>
        <w:tc>
          <w:tcPr>
            <w:tcW w:w="1656" w:type="dxa"/>
            <w:tcBorders>
              <w:top w:val="nil"/>
              <w:left w:val="nil"/>
              <w:bottom w:val="nil"/>
              <w:right w:val="nil"/>
            </w:tcBorders>
          </w:tcPr>
          <w:p w14:paraId="1A2EC4E8"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(-0.64)</w:t>
            </w:r>
          </w:p>
        </w:tc>
        <w:tc>
          <w:tcPr>
            <w:tcW w:w="1656" w:type="dxa"/>
            <w:tcBorders>
              <w:top w:val="nil"/>
              <w:left w:val="nil"/>
              <w:bottom w:val="nil"/>
              <w:right w:val="nil"/>
            </w:tcBorders>
          </w:tcPr>
          <w:p w14:paraId="0F44A76A"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(2.62)</w:t>
            </w:r>
          </w:p>
        </w:tc>
        <w:tc>
          <w:tcPr>
            <w:tcW w:w="1656" w:type="dxa"/>
            <w:tcBorders>
              <w:top w:val="nil"/>
              <w:left w:val="nil"/>
              <w:bottom w:val="nil"/>
              <w:right w:val="nil"/>
            </w:tcBorders>
          </w:tcPr>
          <w:p w14:paraId="57D74AA6"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5410B1" w14:paraId="3E7794A4" w14:textId="77777777" w:rsidTr="00F16287">
        <w:tc>
          <w:tcPr>
            <w:tcW w:w="2136" w:type="dxa"/>
            <w:tcBorders>
              <w:top w:val="nil"/>
              <w:left w:val="nil"/>
              <w:bottom w:val="nil"/>
              <w:right w:val="nil"/>
            </w:tcBorders>
          </w:tcPr>
          <w:p w14:paraId="324FFAA1"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14ECAD4"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6C806C7"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2B8B904"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39E952F"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5CE17E6"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r>
      <w:tr w:rsidR="005410B1" w14:paraId="550B5C11" w14:textId="77777777" w:rsidTr="00F16287">
        <w:tc>
          <w:tcPr>
            <w:tcW w:w="2136" w:type="dxa"/>
            <w:tcBorders>
              <w:top w:val="nil"/>
              <w:left w:val="nil"/>
              <w:bottom w:val="nil"/>
              <w:right w:val="nil"/>
            </w:tcBorders>
          </w:tcPr>
          <w:p w14:paraId="0C8E395D"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 * Exchange Rate Classification (RR inverted, higher = more fixed)</w:t>
            </w:r>
          </w:p>
        </w:tc>
        <w:tc>
          <w:tcPr>
            <w:tcW w:w="1656" w:type="dxa"/>
            <w:tcBorders>
              <w:top w:val="nil"/>
              <w:left w:val="nil"/>
              <w:bottom w:val="nil"/>
              <w:right w:val="nil"/>
            </w:tcBorders>
          </w:tcPr>
          <w:p w14:paraId="473B59D6"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-0.00693</w:t>
            </w:r>
          </w:p>
        </w:tc>
        <w:tc>
          <w:tcPr>
            <w:tcW w:w="1656" w:type="dxa"/>
            <w:tcBorders>
              <w:top w:val="nil"/>
              <w:left w:val="nil"/>
              <w:bottom w:val="nil"/>
              <w:right w:val="nil"/>
            </w:tcBorders>
          </w:tcPr>
          <w:p w14:paraId="4AF2314C"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0.00904</w:t>
            </w:r>
          </w:p>
        </w:tc>
        <w:tc>
          <w:tcPr>
            <w:tcW w:w="1656" w:type="dxa"/>
            <w:tcBorders>
              <w:top w:val="nil"/>
              <w:left w:val="nil"/>
              <w:bottom w:val="nil"/>
              <w:right w:val="nil"/>
            </w:tcBorders>
          </w:tcPr>
          <w:p w14:paraId="485A002F"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0.0163</w:t>
            </w:r>
          </w:p>
        </w:tc>
        <w:tc>
          <w:tcPr>
            <w:tcW w:w="1656" w:type="dxa"/>
            <w:tcBorders>
              <w:top w:val="nil"/>
              <w:left w:val="nil"/>
              <w:bottom w:val="nil"/>
              <w:right w:val="nil"/>
            </w:tcBorders>
          </w:tcPr>
          <w:p w14:paraId="3FC5E12B"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55BFD26"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0.00267</w:t>
            </w:r>
          </w:p>
        </w:tc>
      </w:tr>
      <w:tr w:rsidR="005410B1" w14:paraId="704A1B3C" w14:textId="77777777" w:rsidTr="00F16287">
        <w:tc>
          <w:tcPr>
            <w:tcW w:w="2136" w:type="dxa"/>
            <w:tcBorders>
              <w:top w:val="nil"/>
              <w:left w:val="nil"/>
              <w:bottom w:val="nil"/>
              <w:right w:val="nil"/>
            </w:tcBorders>
          </w:tcPr>
          <w:p w14:paraId="2FD7DA09"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6D4474A"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w:t>
            </w:r>
          </w:p>
        </w:tc>
        <w:tc>
          <w:tcPr>
            <w:tcW w:w="1656" w:type="dxa"/>
            <w:tcBorders>
              <w:top w:val="nil"/>
              <w:left w:val="nil"/>
              <w:bottom w:val="nil"/>
              <w:right w:val="nil"/>
            </w:tcBorders>
          </w:tcPr>
          <w:p w14:paraId="18BFA851"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656" w:type="dxa"/>
            <w:tcBorders>
              <w:top w:val="nil"/>
              <w:left w:val="nil"/>
              <w:bottom w:val="nil"/>
              <w:right w:val="nil"/>
            </w:tcBorders>
          </w:tcPr>
          <w:p w14:paraId="0BA8FB61"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w:t>
            </w:r>
          </w:p>
        </w:tc>
        <w:tc>
          <w:tcPr>
            <w:tcW w:w="1656" w:type="dxa"/>
            <w:tcBorders>
              <w:top w:val="nil"/>
              <w:left w:val="nil"/>
              <w:bottom w:val="nil"/>
              <w:right w:val="nil"/>
            </w:tcBorders>
          </w:tcPr>
          <w:p w14:paraId="6CC06472"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656" w:type="dxa"/>
            <w:tcBorders>
              <w:top w:val="nil"/>
              <w:left w:val="nil"/>
              <w:bottom w:val="nil"/>
              <w:right w:val="nil"/>
            </w:tcBorders>
          </w:tcPr>
          <w:p w14:paraId="2BDA49B3"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5410B1" w14:paraId="65EBC7D6" w14:textId="77777777" w:rsidTr="00F16287">
        <w:tc>
          <w:tcPr>
            <w:tcW w:w="2136" w:type="dxa"/>
            <w:tcBorders>
              <w:top w:val="nil"/>
              <w:left w:val="nil"/>
              <w:bottom w:val="nil"/>
              <w:right w:val="nil"/>
            </w:tcBorders>
          </w:tcPr>
          <w:p w14:paraId="6603CA60"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A77AF33"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C8907B4"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FF94581"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8EC39C9"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9719848"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r>
      <w:tr w:rsidR="005410B1" w14:paraId="76343602" w14:textId="77777777" w:rsidTr="00F16287">
        <w:tc>
          <w:tcPr>
            <w:tcW w:w="2136" w:type="dxa"/>
            <w:tcBorders>
              <w:top w:val="nil"/>
              <w:left w:val="nil"/>
              <w:bottom w:val="nil"/>
              <w:right w:val="nil"/>
            </w:tcBorders>
          </w:tcPr>
          <w:p w14:paraId="215E5A19"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3BB34680"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0.764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7A47909"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BC434A0"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1239640"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D47CA99"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0.274</w:t>
            </w:r>
            <w:r>
              <w:rPr>
                <w:rFonts w:ascii="Times New Roman" w:hAnsi="Times New Roman" w:cs="Times New Roman"/>
                <w:sz w:val="24"/>
                <w:szCs w:val="24"/>
                <w:vertAlign w:val="superscript"/>
              </w:rPr>
              <w:t>***</w:t>
            </w:r>
          </w:p>
        </w:tc>
      </w:tr>
      <w:tr w:rsidR="005410B1" w14:paraId="2CC46569" w14:textId="77777777" w:rsidTr="00F16287">
        <w:tc>
          <w:tcPr>
            <w:tcW w:w="2136" w:type="dxa"/>
            <w:tcBorders>
              <w:top w:val="nil"/>
              <w:left w:val="nil"/>
              <w:bottom w:val="single" w:sz="4" w:space="0" w:color="auto"/>
              <w:right w:val="nil"/>
            </w:tcBorders>
          </w:tcPr>
          <w:p w14:paraId="4C08D041"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092A2C40"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(5.36)</w:t>
            </w:r>
          </w:p>
        </w:tc>
        <w:tc>
          <w:tcPr>
            <w:tcW w:w="1656" w:type="dxa"/>
            <w:tcBorders>
              <w:top w:val="nil"/>
              <w:left w:val="nil"/>
              <w:bottom w:val="single" w:sz="4" w:space="0" w:color="auto"/>
              <w:right w:val="nil"/>
            </w:tcBorders>
          </w:tcPr>
          <w:p w14:paraId="31F05689"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(4.43)</w:t>
            </w:r>
          </w:p>
        </w:tc>
        <w:tc>
          <w:tcPr>
            <w:tcW w:w="1656" w:type="dxa"/>
            <w:tcBorders>
              <w:top w:val="nil"/>
              <w:left w:val="nil"/>
              <w:bottom w:val="single" w:sz="4" w:space="0" w:color="auto"/>
              <w:right w:val="nil"/>
            </w:tcBorders>
          </w:tcPr>
          <w:p w14:paraId="6C34A3F4"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(7.86)</w:t>
            </w:r>
          </w:p>
        </w:tc>
        <w:tc>
          <w:tcPr>
            <w:tcW w:w="1656" w:type="dxa"/>
            <w:tcBorders>
              <w:top w:val="nil"/>
              <w:left w:val="nil"/>
              <w:bottom w:val="single" w:sz="4" w:space="0" w:color="auto"/>
              <w:right w:val="nil"/>
            </w:tcBorders>
          </w:tcPr>
          <w:p w14:paraId="3A82ADD8"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(-3.72)</w:t>
            </w:r>
          </w:p>
        </w:tc>
        <w:tc>
          <w:tcPr>
            <w:tcW w:w="1656" w:type="dxa"/>
            <w:tcBorders>
              <w:top w:val="nil"/>
              <w:left w:val="nil"/>
              <w:bottom w:val="single" w:sz="4" w:space="0" w:color="auto"/>
              <w:right w:val="nil"/>
            </w:tcBorders>
          </w:tcPr>
          <w:p w14:paraId="42540804"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(6.49)</w:t>
            </w:r>
          </w:p>
        </w:tc>
      </w:tr>
      <w:tr w:rsidR="005410B1" w14:paraId="5BFC002D" w14:textId="77777777" w:rsidTr="00F16287">
        <w:tc>
          <w:tcPr>
            <w:tcW w:w="2136" w:type="dxa"/>
            <w:tcBorders>
              <w:top w:val="nil"/>
              <w:left w:val="nil"/>
              <w:bottom w:val="single" w:sz="4" w:space="0" w:color="auto"/>
              <w:right w:val="nil"/>
            </w:tcBorders>
          </w:tcPr>
          <w:p w14:paraId="05732C76" w14:textId="77777777" w:rsidR="005410B1" w:rsidRDefault="005410B1"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2E7D7100"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1651</w:t>
            </w:r>
          </w:p>
        </w:tc>
        <w:tc>
          <w:tcPr>
            <w:tcW w:w="1656" w:type="dxa"/>
            <w:tcBorders>
              <w:top w:val="nil"/>
              <w:left w:val="nil"/>
              <w:bottom w:val="single" w:sz="4" w:space="0" w:color="auto"/>
              <w:right w:val="nil"/>
            </w:tcBorders>
          </w:tcPr>
          <w:p w14:paraId="1D64E771"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1651</w:t>
            </w:r>
          </w:p>
        </w:tc>
        <w:tc>
          <w:tcPr>
            <w:tcW w:w="1656" w:type="dxa"/>
            <w:tcBorders>
              <w:top w:val="nil"/>
              <w:left w:val="nil"/>
              <w:bottom w:val="single" w:sz="4" w:space="0" w:color="auto"/>
              <w:right w:val="nil"/>
            </w:tcBorders>
          </w:tcPr>
          <w:p w14:paraId="430F96BE"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1334</w:t>
            </w:r>
          </w:p>
        </w:tc>
        <w:tc>
          <w:tcPr>
            <w:tcW w:w="1656" w:type="dxa"/>
            <w:tcBorders>
              <w:top w:val="nil"/>
              <w:left w:val="nil"/>
              <w:bottom w:val="single" w:sz="4" w:space="0" w:color="auto"/>
              <w:right w:val="nil"/>
            </w:tcBorders>
          </w:tcPr>
          <w:p w14:paraId="4816D5CF"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2669</w:t>
            </w:r>
          </w:p>
        </w:tc>
        <w:tc>
          <w:tcPr>
            <w:tcW w:w="1656" w:type="dxa"/>
            <w:tcBorders>
              <w:top w:val="nil"/>
              <w:left w:val="nil"/>
              <w:bottom w:val="single" w:sz="4" w:space="0" w:color="auto"/>
              <w:right w:val="nil"/>
            </w:tcBorders>
          </w:tcPr>
          <w:p w14:paraId="2F15376C" w14:textId="77777777" w:rsidR="005410B1" w:rsidRDefault="005410B1"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4491</w:t>
            </w:r>
          </w:p>
        </w:tc>
      </w:tr>
    </w:tbl>
    <w:p w14:paraId="6D9FA54C" w14:textId="77777777" w:rsidR="005410B1" w:rsidRDefault="005410B1" w:rsidP="005410B1">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095447B" w14:textId="77777777" w:rsidR="005410B1" w:rsidRDefault="005410B1" w:rsidP="005410B1">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A8496C5" w14:textId="77777777" w:rsidR="004D3E22" w:rsidRPr="00194F07" w:rsidRDefault="004D3E22" w:rsidP="002338C3">
      <w:pPr>
        <w:rPr>
          <w:highlight w:val="yellow"/>
        </w:rPr>
      </w:pPr>
    </w:p>
    <w:p w14:paraId="43EDE943" w14:textId="0D47C51D" w:rsidR="0059220F" w:rsidRPr="00A565DA" w:rsidRDefault="00442124" w:rsidP="002338C3">
      <w:r w:rsidRPr="00A565DA">
        <w:t>Table A</w:t>
      </w:r>
      <w:r w:rsidR="00D12663" w:rsidRPr="00A565DA">
        <w:t>9</w:t>
      </w:r>
      <w:r w:rsidRPr="00A565DA">
        <w:t>: All controls, Fixed Effects and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FF2C5F" w14:paraId="080977B2" w14:textId="77777777" w:rsidTr="00F16287">
        <w:tc>
          <w:tcPr>
            <w:tcW w:w="2136" w:type="dxa"/>
            <w:tcBorders>
              <w:top w:val="single" w:sz="4" w:space="0" w:color="auto"/>
              <w:left w:val="nil"/>
              <w:bottom w:val="nil"/>
              <w:right w:val="nil"/>
            </w:tcBorders>
          </w:tcPr>
          <w:p w14:paraId="2E538443"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5505B975"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57A8A368"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7B91A7D1"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1DDFF15E"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333B611E"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FF2C5F" w14:paraId="07E3CA9F" w14:textId="77777777" w:rsidTr="00F16287">
        <w:tc>
          <w:tcPr>
            <w:tcW w:w="2136" w:type="dxa"/>
            <w:tcBorders>
              <w:top w:val="nil"/>
              <w:left w:val="nil"/>
              <w:bottom w:val="nil"/>
              <w:right w:val="nil"/>
            </w:tcBorders>
          </w:tcPr>
          <w:p w14:paraId="6E419930"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59EC91C"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17962EFC"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77953E07"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3379937F"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5A1C39D7"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FF2C5F" w14:paraId="6650ADB1" w14:textId="77777777" w:rsidTr="00F16287">
        <w:tc>
          <w:tcPr>
            <w:tcW w:w="2136" w:type="dxa"/>
            <w:tcBorders>
              <w:top w:val="single" w:sz="4" w:space="0" w:color="auto"/>
              <w:left w:val="nil"/>
              <w:bottom w:val="nil"/>
              <w:right w:val="nil"/>
            </w:tcBorders>
          </w:tcPr>
          <w:p w14:paraId="48E0DD40" w14:textId="77777777" w:rsidR="00FF2C5F" w:rsidRPr="00FF2C5F" w:rsidRDefault="00FF2C5F" w:rsidP="00F16287">
            <w:pPr>
              <w:widowControl w:val="0"/>
              <w:autoSpaceDE w:val="0"/>
              <w:autoSpaceDN w:val="0"/>
              <w:adjustRightInd w:val="0"/>
              <w:spacing w:after="0" w:line="240" w:lineRule="auto"/>
              <w:rPr>
                <w:rFonts w:ascii="Times New Roman" w:hAnsi="Times New Roman" w:cs="Times New Roman"/>
                <w:sz w:val="24"/>
                <w:szCs w:val="24"/>
                <w:lang w:val="fr-BE"/>
              </w:rPr>
            </w:pPr>
            <w:r w:rsidRPr="00FF2C5F">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7594AF85"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0.277</w:t>
            </w:r>
          </w:p>
        </w:tc>
        <w:tc>
          <w:tcPr>
            <w:tcW w:w="1656" w:type="dxa"/>
            <w:tcBorders>
              <w:top w:val="single" w:sz="4" w:space="0" w:color="auto"/>
              <w:left w:val="nil"/>
              <w:bottom w:val="nil"/>
              <w:right w:val="nil"/>
            </w:tcBorders>
          </w:tcPr>
          <w:p w14:paraId="641E8843"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-0.0876</w:t>
            </w:r>
          </w:p>
        </w:tc>
        <w:tc>
          <w:tcPr>
            <w:tcW w:w="1656" w:type="dxa"/>
            <w:tcBorders>
              <w:top w:val="single" w:sz="4" w:space="0" w:color="auto"/>
              <w:left w:val="nil"/>
              <w:bottom w:val="nil"/>
              <w:right w:val="nil"/>
            </w:tcBorders>
          </w:tcPr>
          <w:p w14:paraId="025E516E"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0.854</w:t>
            </w:r>
          </w:p>
        </w:tc>
        <w:tc>
          <w:tcPr>
            <w:tcW w:w="1656" w:type="dxa"/>
            <w:tcBorders>
              <w:top w:val="single" w:sz="4" w:space="0" w:color="auto"/>
              <w:left w:val="nil"/>
              <w:bottom w:val="nil"/>
              <w:right w:val="nil"/>
            </w:tcBorders>
          </w:tcPr>
          <w:p w14:paraId="77668954"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-0.0282</w:t>
            </w:r>
          </w:p>
        </w:tc>
        <w:tc>
          <w:tcPr>
            <w:tcW w:w="1656" w:type="dxa"/>
            <w:tcBorders>
              <w:top w:val="single" w:sz="4" w:space="0" w:color="auto"/>
              <w:left w:val="nil"/>
              <w:bottom w:val="nil"/>
              <w:right w:val="nil"/>
            </w:tcBorders>
          </w:tcPr>
          <w:p w14:paraId="33AF4757"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0.828</w:t>
            </w:r>
            <w:r>
              <w:rPr>
                <w:rFonts w:ascii="Times New Roman" w:hAnsi="Times New Roman" w:cs="Times New Roman"/>
                <w:sz w:val="24"/>
                <w:szCs w:val="24"/>
                <w:vertAlign w:val="superscript"/>
              </w:rPr>
              <w:t>*</w:t>
            </w:r>
          </w:p>
        </w:tc>
      </w:tr>
      <w:tr w:rsidR="00FF2C5F" w14:paraId="30C6E987" w14:textId="77777777" w:rsidTr="00F16287">
        <w:tc>
          <w:tcPr>
            <w:tcW w:w="2136" w:type="dxa"/>
            <w:tcBorders>
              <w:top w:val="nil"/>
              <w:left w:val="nil"/>
              <w:bottom w:val="nil"/>
              <w:right w:val="nil"/>
            </w:tcBorders>
          </w:tcPr>
          <w:p w14:paraId="40245E61"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E458B79"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w:t>
            </w:r>
          </w:p>
        </w:tc>
        <w:tc>
          <w:tcPr>
            <w:tcW w:w="1656" w:type="dxa"/>
            <w:tcBorders>
              <w:top w:val="nil"/>
              <w:left w:val="nil"/>
              <w:bottom w:val="nil"/>
              <w:right w:val="nil"/>
            </w:tcBorders>
          </w:tcPr>
          <w:p w14:paraId="5D0491CC"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656" w:type="dxa"/>
            <w:tcBorders>
              <w:top w:val="nil"/>
              <w:left w:val="nil"/>
              <w:bottom w:val="nil"/>
              <w:right w:val="nil"/>
            </w:tcBorders>
          </w:tcPr>
          <w:p w14:paraId="135A2E15"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(1.35)</w:t>
            </w:r>
          </w:p>
        </w:tc>
        <w:tc>
          <w:tcPr>
            <w:tcW w:w="1656" w:type="dxa"/>
            <w:tcBorders>
              <w:top w:val="nil"/>
              <w:left w:val="nil"/>
              <w:bottom w:val="nil"/>
              <w:right w:val="nil"/>
            </w:tcBorders>
          </w:tcPr>
          <w:p w14:paraId="05A68F7C"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656" w:type="dxa"/>
            <w:tcBorders>
              <w:top w:val="nil"/>
              <w:left w:val="nil"/>
              <w:bottom w:val="nil"/>
              <w:right w:val="nil"/>
            </w:tcBorders>
          </w:tcPr>
          <w:p w14:paraId="61DB2FD5"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(2.39)</w:t>
            </w:r>
          </w:p>
        </w:tc>
      </w:tr>
      <w:tr w:rsidR="00FF2C5F" w14:paraId="62AB0F04" w14:textId="77777777" w:rsidTr="00F16287">
        <w:tc>
          <w:tcPr>
            <w:tcW w:w="2136" w:type="dxa"/>
            <w:tcBorders>
              <w:top w:val="nil"/>
              <w:left w:val="nil"/>
              <w:bottom w:val="nil"/>
              <w:right w:val="nil"/>
            </w:tcBorders>
          </w:tcPr>
          <w:p w14:paraId="59F9B024"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AE73596"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2FF9388"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1CBB2A7"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E91A064"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3C2C924"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r>
      <w:tr w:rsidR="00FF2C5F" w14:paraId="517DCADD" w14:textId="77777777" w:rsidTr="00F16287">
        <w:tc>
          <w:tcPr>
            <w:tcW w:w="2136" w:type="dxa"/>
            <w:tcBorders>
              <w:top w:val="nil"/>
              <w:left w:val="nil"/>
              <w:bottom w:val="nil"/>
              <w:right w:val="nil"/>
            </w:tcBorders>
          </w:tcPr>
          <w:p w14:paraId="576BFB59"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64965893"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0.0357</w:t>
            </w:r>
          </w:p>
        </w:tc>
        <w:tc>
          <w:tcPr>
            <w:tcW w:w="1656" w:type="dxa"/>
            <w:tcBorders>
              <w:top w:val="nil"/>
              <w:left w:val="nil"/>
              <w:bottom w:val="nil"/>
              <w:right w:val="nil"/>
            </w:tcBorders>
          </w:tcPr>
          <w:p w14:paraId="76D0F809"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-0.00248</w:t>
            </w:r>
          </w:p>
        </w:tc>
        <w:tc>
          <w:tcPr>
            <w:tcW w:w="1656" w:type="dxa"/>
            <w:tcBorders>
              <w:top w:val="nil"/>
              <w:left w:val="nil"/>
              <w:bottom w:val="nil"/>
              <w:right w:val="nil"/>
            </w:tcBorders>
          </w:tcPr>
          <w:p w14:paraId="49C85C0B"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0.0163</w:t>
            </w:r>
          </w:p>
        </w:tc>
        <w:tc>
          <w:tcPr>
            <w:tcW w:w="1656" w:type="dxa"/>
            <w:tcBorders>
              <w:top w:val="nil"/>
              <w:left w:val="nil"/>
              <w:bottom w:val="nil"/>
              <w:right w:val="nil"/>
            </w:tcBorders>
          </w:tcPr>
          <w:p w14:paraId="267FE5B1"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-0.0172</w:t>
            </w:r>
          </w:p>
        </w:tc>
        <w:tc>
          <w:tcPr>
            <w:tcW w:w="1656" w:type="dxa"/>
            <w:tcBorders>
              <w:top w:val="nil"/>
              <w:left w:val="nil"/>
              <w:bottom w:val="nil"/>
              <w:right w:val="nil"/>
            </w:tcBorders>
          </w:tcPr>
          <w:p w14:paraId="139B8D06"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0.0191</w:t>
            </w:r>
          </w:p>
        </w:tc>
      </w:tr>
      <w:tr w:rsidR="00FF2C5F" w14:paraId="1AEBCCEE" w14:textId="77777777" w:rsidTr="00F16287">
        <w:tc>
          <w:tcPr>
            <w:tcW w:w="2136" w:type="dxa"/>
            <w:tcBorders>
              <w:top w:val="nil"/>
              <w:left w:val="nil"/>
              <w:bottom w:val="nil"/>
              <w:right w:val="nil"/>
            </w:tcBorders>
          </w:tcPr>
          <w:p w14:paraId="61DC5627"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CE1F626"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(1.79)</w:t>
            </w:r>
          </w:p>
        </w:tc>
        <w:tc>
          <w:tcPr>
            <w:tcW w:w="1656" w:type="dxa"/>
            <w:tcBorders>
              <w:top w:val="nil"/>
              <w:left w:val="nil"/>
              <w:bottom w:val="nil"/>
              <w:right w:val="nil"/>
            </w:tcBorders>
          </w:tcPr>
          <w:p w14:paraId="63AD03CB"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656" w:type="dxa"/>
            <w:tcBorders>
              <w:top w:val="nil"/>
              <w:left w:val="nil"/>
              <w:bottom w:val="nil"/>
              <w:right w:val="nil"/>
            </w:tcBorders>
          </w:tcPr>
          <w:p w14:paraId="7F77637A"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w:t>
            </w:r>
          </w:p>
        </w:tc>
        <w:tc>
          <w:tcPr>
            <w:tcW w:w="1656" w:type="dxa"/>
            <w:tcBorders>
              <w:top w:val="nil"/>
              <w:left w:val="nil"/>
              <w:bottom w:val="nil"/>
              <w:right w:val="nil"/>
            </w:tcBorders>
          </w:tcPr>
          <w:p w14:paraId="22302C45"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w:t>
            </w:r>
          </w:p>
        </w:tc>
        <w:tc>
          <w:tcPr>
            <w:tcW w:w="1656" w:type="dxa"/>
            <w:tcBorders>
              <w:top w:val="nil"/>
              <w:left w:val="nil"/>
              <w:bottom w:val="nil"/>
              <w:right w:val="nil"/>
            </w:tcBorders>
          </w:tcPr>
          <w:p w14:paraId="2D1F0ABD"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w:t>
            </w:r>
          </w:p>
        </w:tc>
      </w:tr>
      <w:tr w:rsidR="00FF2C5F" w14:paraId="6BBB4E64" w14:textId="77777777" w:rsidTr="00F16287">
        <w:tc>
          <w:tcPr>
            <w:tcW w:w="2136" w:type="dxa"/>
            <w:tcBorders>
              <w:top w:val="nil"/>
              <w:left w:val="nil"/>
              <w:bottom w:val="nil"/>
              <w:right w:val="nil"/>
            </w:tcBorders>
          </w:tcPr>
          <w:p w14:paraId="632178E3"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277FAC"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459AFD9"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FBBBA72"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FECA478"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46E6F94"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r>
      <w:tr w:rsidR="00FF2C5F" w14:paraId="1F2F9990" w14:textId="77777777" w:rsidTr="00F16287">
        <w:tc>
          <w:tcPr>
            <w:tcW w:w="2136" w:type="dxa"/>
            <w:tcBorders>
              <w:top w:val="nil"/>
              <w:left w:val="nil"/>
              <w:bottom w:val="nil"/>
              <w:right w:val="nil"/>
            </w:tcBorders>
          </w:tcPr>
          <w:p w14:paraId="0BBB3310"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Regional government exists   </w:t>
            </w:r>
          </w:p>
        </w:tc>
        <w:tc>
          <w:tcPr>
            <w:tcW w:w="1656" w:type="dxa"/>
            <w:tcBorders>
              <w:top w:val="nil"/>
              <w:left w:val="nil"/>
              <w:bottom w:val="nil"/>
              <w:right w:val="nil"/>
            </w:tcBorders>
          </w:tcPr>
          <w:p w14:paraId="27A2B379"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7CBE773"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0.429</w:t>
            </w:r>
          </w:p>
        </w:tc>
        <w:tc>
          <w:tcPr>
            <w:tcW w:w="1656" w:type="dxa"/>
            <w:tcBorders>
              <w:top w:val="nil"/>
              <w:left w:val="nil"/>
              <w:bottom w:val="nil"/>
              <w:right w:val="nil"/>
            </w:tcBorders>
          </w:tcPr>
          <w:p w14:paraId="547AECFC"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-1.057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AE260F5"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29AE4F94"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-0.276</w:t>
            </w:r>
          </w:p>
        </w:tc>
      </w:tr>
      <w:tr w:rsidR="00FF2C5F" w14:paraId="6F2B94F6" w14:textId="77777777" w:rsidTr="00F16287">
        <w:tc>
          <w:tcPr>
            <w:tcW w:w="2136" w:type="dxa"/>
            <w:tcBorders>
              <w:top w:val="nil"/>
              <w:left w:val="nil"/>
              <w:bottom w:val="nil"/>
              <w:right w:val="nil"/>
            </w:tcBorders>
          </w:tcPr>
          <w:p w14:paraId="0022F704"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86B15CA"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656" w:type="dxa"/>
            <w:tcBorders>
              <w:top w:val="nil"/>
              <w:left w:val="nil"/>
              <w:bottom w:val="nil"/>
              <w:right w:val="nil"/>
            </w:tcBorders>
          </w:tcPr>
          <w:p w14:paraId="1F2FCF36"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(1.94)</w:t>
            </w:r>
          </w:p>
        </w:tc>
        <w:tc>
          <w:tcPr>
            <w:tcW w:w="1656" w:type="dxa"/>
            <w:tcBorders>
              <w:top w:val="nil"/>
              <w:left w:val="nil"/>
              <w:bottom w:val="nil"/>
              <w:right w:val="nil"/>
            </w:tcBorders>
          </w:tcPr>
          <w:p w14:paraId="082D10E7"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(-2.61)</w:t>
            </w:r>
          </w:p>
        </w:tc>
        <w:tc>
          <w:tcPr>
            <w:tcW w:w="1656" w:type="dxa"/>
            <w:tcBorders>
              <w:top w:val="nil"/>
              <w:left w:val="nil"/>
              <w:bottom w:val="nil"/>
              <w:right w:val="nil"/>
            </w:tcBorders>
          </w:tcPr>
          <w:p w14:paraId="43EE2FEE"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23B19847"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(-1.66)</w:t>
            </w:r>
          </w:p>
        </w:tc>
      </w:tr>
      <w:tr w:rsidR="00FF2C5F" w14:paraId="794DEC67" w14:textId="77777777" w:rsidTr="00F16287">
        <w:tc>
          <w:tcPr>
            <w:tcW w:w="2136" w:type="dxa"/>
            <w:tcBorders>
              <w:top w:val="nil"/>
              <w:left w:val="nil"/>
              <w:bottom w:val="nil"/>
              <w:right w:val="nil"/>
            </w:tcBorders>
          </w:tcPr>
          <w:p w14:paraId="75FE91E8"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2306AE4"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6817F2C"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0F8ACBA"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F072B12"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10C20A9"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r>
      <w:tr w:rsidR="00FF2C5F" w14:paraId="050C86D6" w14:textId="77777777" w:rsidTr="00F16287">
        <w:tc>
          <w:tcPr>
            <w:tcW w:w="2136" w:type="dxa"/>
            <w:tcBorders>
              <w:top w:val="nil"/>
              <w:left w:val="nil"/>
              <w:bottom w:val="nil"/>
              <w:right w:val="nil"/>
            </w:tcBorders>
          </w:tcPr>
          <w:p w14:paraId="3D7312BF"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Horizontal accountability index</w:t>
            </w:r>
          </w:p>
        </w:tc>
        <w:tc>
          <w:tcPr>
            <w:tcW w:w="1656" w:type="dxa"/>
            <w:tcBorders>
              <w:top w:val="nil"/>
              <w:left w:val="nil"/>
              <w:bottom w:val="nil"/>
              <w:right w:val="nil"/>
            </w:tcBorders>
          </w:tcPr>
          <w:p w14:paraId="02A2EF73"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-0.0533</w:t>
            </w:r>
          </w:p>
        </w:tc>
        <w:tc>
          <w:tcPr>
            <w:tcW w:w="1656" w:type="dxa"/>
            <w:tcBorders>
              <w:top w:val="nil"/>
              <w:left w:val="nil"/>
              <w:bottom w:val="nil"/>
              <w:right w:val="nil"/>
            </w:tcBorders>
          </w:tcPr>
          <w:p w14:paraId="3FC8BBE2"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0.233</w:t>
            </w:r>
          </w:p>
        </w:tc>
        <w:tc>
          <w:tcPr>
            <w:tcW w:w="1656" w:type="dxa"/>
            <w:tcBorders>
              <w:top w:val="nil"/>
              <w:left w:val="nil"/>
              <w:bottom w:val="nil"/>
              <w:right w:val="nil"/>
            </w:tcBorders>
          </w:tcPr>
          <w:p w14:paraId="12DCB449"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0.0464</w:t>
            </w:r>
          </w:p>
        </w:tc>
        <w:tc>
          <w:tcPr>
            <w:tcW w:w="1656" w:type="dxa"/>
            <w:tcBorders>
              <w:top w:val="nil"/>
              <w:left w:val="nil"/>
              <w:bottom w:val="nil"/>
              <w:right w:val="nil"/>
            </w:tcBorders>
          </w:tcPr>
          <w:p w14:paraId="37FCFD35"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-0.0247</w:t>
            </w:r>
          </w:p>
        </w:tc>
        <w:tc>
          <w:tcPr>
            <w:tcW w:w="1656" w:type="dxa"/>
            <w:tcBorders>
              <w:top w:val="nil"/>
              <w:left w:val="nil"/>
              <w:bottom w:val="nil"/>
              <w:right w:val="nil"/>
            </w:tcBorders>
          </w:tcPr>
          <w:p w14:paraId="7F8AA5EE"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0.268</w:t>
            </w:r>
            <w:r>
              <w:rPr>
                <w:rFonts w:ascii="Times New Roman" w:hAnsi="Times New Roman" w:cs="Times New Roman"/>
                <w:sz w:val="24"/>
                <w:szCs w:val="24"/>
                <w:vertAlign w:val="superscript"/>
              </w:rPr>
              <w:t>*</w:t>
            </w:r>
          </w:p>
        </w:tc>
      </w:tr>
      <w:tr w:rsidR="00FF2C5F" w14:paraId="2F115FE2" w14:textId="77777777" w:rsidTr="00F16287">
        <w:tc>
          <w:tcPr>
            <w:tcW w:w="2136" w:type="dxa"/>
            <w:tcBorders>
              <w:top w:val="nil"/>
              <w:left w:val="nil"/>
              <w:bottom w:val="nil"/>
              <w:right w:val="nil"/>
            </w:tcBorders>
          </w:tcPr>
          <w:p w14:paraId="4C9D7E75"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109299E"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w:t>
            </w:r>
          </w:p>
        </w:tc>
        <w:tc>
          <w:tcPr>
            <w:tcW w:w="1656" w:type="dxa"/>
            <w:tcBorders>
              <w:top w:val="nil"/>
              <w:left w:val="nil"/>
              <w:bottom w:val="nil"/>
              <w:right w:val="nil"/>
            </w:tcBorders>
          </w:tcPr>
          <w:p w14:paraId="678E6771"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(1.93)</w:t>
            </w:r>
          </w:p>
        </w:tc>
        <w:tc>
          <w:tcPr>
            <w:tcW w:w="1656" w:type="dxa"/>
            <w:tcBorders>
              <w:top w:val="nil"/>
              <w:left w:val="nil"/>
              <w:bottom w:val="nil"/>
              <w:right w:val="nil"/>
            </w:tcBorders>
          </w:tcPr>
          <w:p w14:paraId="5D233A1B"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656" w:type="dxa"/>
            <w:tcBorders>
              <w:top w:val="nil"/>
              <w:left w:val="nil"/>
              <w:bottom w:val="nil"/>
              <w:right w:val="nil"/>
            </w:tcBorders>
          </w:tcPr>
          <w:p w14:paraId="2B7918C4"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656" w:type="dxa"/>
            <w:tcBorders>
              <w:top w:val="nil"/>
              <w:left w:val="nil"/>
              <w:bottom w:val="nil"/>
              <w:right w:val="nil"/>
            </w:tcBorders>
          </w:tcPr>
          <w:p w14:paraId="5FB7F3D0"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(2.49)</w:t>
            </w:r>
          </w:p>
        </w:tc>
      </w:tr>
      <w:tr w:rsidR="00FF2C5F" w14:paraId="69A144C0" w14:textId="77777777" w:rsidTr="00F16287">
        <w:tc>
          <w:tcPr>
            <w:tcW w:w="2136" w:type="dxa"/>
            <w:tcBorders>
              <w:top w:val="nil"/>
              <w:left w:val="nil"/>
              <w:bottom w:val="nil"/>
              <w:right w:val="nil"/>
            </w:tcBorders>
          </w:tcPr>
          <w:p w14:paraId="48983B77"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32E2052"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B9AA654"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6EBDBBA"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159481C"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9303656"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r>
      <w:tr w:rsidR="00FF2C5F" w14:paraId="5D2C8D48" w14:textId="77777777" w:rsidTr="00F16287">
        <w:tc>
          <w:tcPr>
            <w:tcW w:w="2136" w:type="dxa"/>
            <w:tcBorders>
              <w:top w:val="nil"/>
              <w:left w:val="nil"/>
              <w:bottom w:val="nil"/>
              <w:right w:val="nil"/>
            </w:tcBorders>
          </w:tcPr>
          <w:p w14:paraId="6AD76CD6"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Checks and Balances</w:t>
            </w:r>
          </w:p>
        </w:tc>
        <w:tc>
          <w:tcPr>
            <w:tcW w:w="1656" w:type="dxa"/>
            <w:tcBorders>
              <w:top w:val="nil"/>
              <w:left w:val="nil"/>
              <w:bottom w:val="nil"/>
              <w:right w:val="nil"/>
            </w:tcBorders>
          </w:tcPr>
          <w:p w14:paraId="65774DF1"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0.0862</w:t>
            </w:r>
          </w:p>
        </w:tc>
        <w:tc>
          <w:tcPr>
            <w:tcW w:w="1656" w:type="dxa"/>
            <w:tcBorders>
              <w:top w:val="nil"/>
              <w:left w:val="nil"/>
              <w:bottom w:val="nil"/>
              <w:right w:val="nil"/>
            </w:tcBorders>
          </w:tcPr>
          <w:p w14:paraId="2CF60EAA"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-0.0944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69D49C0"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0.0870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B233B39"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0.0317</w:t>
            </w:r>
          </w:p>
        </w:tc>
        <w:tc>
          <w:tcPr>
            <w:tcW w:w="1656" w:type="dxa"/>
            <w:tcBorders>
              <w:top w:val="nil"/>
              <w:left w:val="nil"/>
              <w:bottom w:val="nil"/>
              <w:right w:val="nil"/>
            </w:tcBorders>
          </w:tcPr>
          <w:p w14:paraId="61A39F8B"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-0.0259</w:t>
            </w:r>
          </w:p>
        </w:tc>
      </w:tr>
      <w:tr w:rsidR="00FF2C5F" w14:paraId="0465F7C8" w14:textId="77777777" w:rsidTr="00F16287">
        <w:tc>
          <w:tcPr>
            <w:tcW w:w="2136" w:type="dxa"/>
            <w:tcBorders>
              <w:top w:val="nil"/>
              <w:left w:val="nil"/>
              <w:bottom w:val="nil"/>
              <w:right w:val="nil"/>
            </w:tcBorders>
          </w:tcPr>
          <w:p w14:paraId="1134F1AE"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728509E"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(1.98)</w:t>
            </w:r>
          </w:p>
        </w:tc>
        <w:tc>
          <w:tcPr>
            <w:tcW w:w="1656" w:type="dxa"/>
            <w:tcBorders>
              <w:top w:val="nil"/>
              <w:left w:val="nil"/>
              <w:bottom w:val="nil"/>
              <w:right w:val="nil"/>
            </w:tcBorders>
          </w:tcPr>
          <w:p w14:paraId="20A97DEA"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656" w:type="dxa"/>
            <w:tcBorders>
              <w:top w:val="nil"/>
              <w:left w:val="nil"/>
              <w:bottom w:val="nil"/>
              <w:right w:val="nil"/>
            </w:tcBorders>
          </w:tcPr>
          <w:p w14:paraId="21503C8C"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(2.13)</w:t>
            </w:r>
          </w:p>
        </w:tc>
        <w:tc>
          <w:tcPr>
            <w:tcW w:w="1656" w:type="dxa"/>
            <w:tcBorders>
              <w:top w:val="nil"/>
              <w:left w:val="nil"/>
              <w:bottom w:val="nil"/>
              <w:right w:val="nil"/>
            </w:tcBorders>
          </w:tcPr>
          <w:p w14:paraId="1E2F85BA"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w:t>
            </w:r>
          </w:p>
        </w:tc>
        <w:tc>
          <w:tcPr>
            <w:tcW w:w="1656" w:type="dxa"/>
            <w:tcBorders>
              <w:top w:val="nil"/>
              <w:left w:val="nil"/>
              <w:bottom w:val="nil"/>
              <w:right w:val="nil"/>
            </w:tcBorders>
          </w:tcPr>
          <w:p w14:paraId="2029F342"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(-1.05)</w:t>
            </w:r>
          </w:p>
        </w:tc>
      </w:tr>
      <w:tr w:rsidR="00FF2C5F" w14:paraId="0EA38902" w14:textId="77777777" w:rsidTr="00F16287">
        <w:tc>
          <w:tcPr>
            <w:tcW w:w="2136" w:type="dxa"/>
            <w:tcBorders>
              <w:top w:val="nil"/>
              <w:left w:val="nil"/>
              <w:bottom w:val="nil"/>
              <w:right w:val="nil"/>
            </w:tcBorders>
          </w:tcPr>
          <w:p w14:paraId="56DF6E19"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48FA8FF"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6531867"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CDBF21F"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CE46CC5"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22DB5C7"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r>
      <w:tr w:rsidR="00FF2C5F" w14:paraId="11CCE6AB" w14:textId="77777777" w:rsidTr="00F16287">
        <w:tc>
          <w:tcPr>
            <w:tcW w:w="2136" w:type="dxa"/>
            <w:tcBorders>
              <w:top w:val="nil"/>
              <w:left w:val="nil"/>
              <w:bottom w:val="nil"/>
              <w:right w:val="nil"/>
            </w:tcBorders>
          </w:tcPr>
          <w:p w14:paraId="32CBD2EA"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Autonomous Regions</w:t>
            </w:r>
          </w:p>
        </w:tc>
        <w:tc>
          <w:tcPr>
            <w:tcW w:w="1656" w:type="dxa"/>
            <w:tcBorders>
              <w:top w:val="nil"/>
              <w:left w:val="nil"/>
              <w:bottom w:val="nil"/>
              <w:right w:val="nil"/>
            </w:tcBorders>
          </w:tcPr>
          <w:p w14:paraId="506735E5"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1.478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28B78B2"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-0.0946</w:t>
            </w:r>
          </w:p>
        </w:tc>
        <w:tc>
          <w:tcPr>
            <w:tcW w:w="1656" w:type="dxa"/>
            <w:tcBorders>
              <w:top w:val="nil"/>
              <w:left w:val="nil"/>
              <w:bottom w:val="nil"/>
              <w:right w:val="nil"/>
            </w:tcBorders>
          </w:tcPr>
          <w:p w14:paraId="5BA20AB8"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2822EAD"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07458A07"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-0.121</w:t>
            </w:r>
          </w:p>
        </w:tc>
      </w:tr>
      <w:tr w:rsidR="00FF2C5F" w14:paraId="4BDBF7DA" w14:textId="77777777" w:rsidTr="00F16287">
        <w:tc>
          <w:tcPr>
            <w:tcW w:w="2136" w:type="dxa"/>
            <w:tcBorders>
              <w:top w:val="nil"/>
              <w:left w:val="nil"/>
              <w:bottom w:val="nil"/>
              <w:right w:val="nil"/>
            </w:tcBorders>
          </w:tcPr>
          <w:p w14:paraId="7CB9E377"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2585906"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(7.76)</w:t>
            </w:r>
          </w:p>
        </w:tc>
        <w:tc>
          <w:tcPr>
            <w:tcW w:w="1656" w:type="dxa"/>
            <w:tcBorders>
              <w:top w:val="nil"/>
              <w:left w:val="nil"/>
              <w:bottom w:val="nil"/>
              <w:right w:val="nil"/>
            </w:tcBorders>
          </w:tcPr>
          <w:p w14:paraId="125BFA59"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(-1.02)</w:t>
            </w:r>
          </w:p>
        </w:tc>
        <w:tc>
          <w:tcPr>
            <w:tcW w:w="1656" w:type="dxa"/>
            <w:tcBorders>
              <w:top w:val="nil"/>
              <w:left w:val="nil"/>
              <w:bottom w:val="nil"/>
              <w:right w:val="nil"/>
            </w:tcBorders>
          </w:tcPr>
          <w:p w14:paraId="6D9FE087"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(3.60)</w:t>
            </w:r>
          </w:p>
        </w:tc>
        <w:tc>
          <w:tcPr>
            <w:tcW w:w="1656" w:type="dxa"/>
            <w:tcBorders>
              <w:top w:val="nil"/>
              <w:left w:val="nil"/>
              <w:bottom w:val="nil"/>
              <w:right w:val="nil"/>
            </w:tcBorders>
          </w:tcPr>
          <w:p w14:paraId="297594BA"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1ED77CD0"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(-1.54)</w:t>
            </w:r>
          </w:p>
        </w:tc>
      </w:tr>
      <w:tr w:rsidR="00FF2C5F" w14:paraId="36475D48" w14:textId="77777777" w:rsidTr="00F16287">
        <w:tc>
          <w:tcPr>
            <w:tcW w:w="2136" w:type="dxa"/>
            <w:tcBorders>
              <w:top w:val="nil"/>
              <w:left w:val="nil"/>
              <w:bottom w:val="nil"/>
              <w:right w:val="nil"/>
            </w:tcBorders>
          </w:tcPr>
          <w:p w14:paraId="50C03A30"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9853507"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6503579"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E201409"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FAD7623"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C99E086"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r>
      <w:tr w:rsidR="00FF2C5F" w14:paraId="2ED669E8" w14:textId="77777777" w:rsidTr="00F16287">
        <w:tc>
          <w:tcPr>
            <w:tcW w:w="2136" w:type="dxa"/>
            <w:tcBorders>
              <w:top w:val="nil"/>
              <w:left w:val="nil"/>
              <w:bottom w:val="nil"/>
              <w:right w:val="nil"/>
            </w:tcBorders>
          </w:tcPr>
          <w:p w14:paraId="6AD25C82"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 Government Authority over Taxing, Spending, or Legislating</w:t>
            </w:r>
          </w:p>
        </w:tc>
        <w:tc>
          <w:tcPr>
            <w:tcW w:w="1656" w:type="dxa"/>
            <w:tcBorders>
              <w:top w:val="nil"/>
              <w:left w:val="nil"/>
              <w:bottom w:val="nil"/>
              <w:right w:val="nil"/>
            </w:tcBorders>
          </w:tcPr>
          <w:p w14:paraId="2333E0C3"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0.732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842644C"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0.111</w:t>
            </w:r>
          </w:p>
        </w:tc>
        <w:tc>
          <w:tcPr>
            <w:tcW w:w="1656" w:type="dxa"/>
            <w:tcBorders>
              <w:top w:val="nil"/>
              <w:left w:val="nil"/>
              <w:bottom w:val="nil"/>
              <w:right w:val="nil"/>
            </w:tcBorders>
          </w:tcPr>
          <w:p w14:paraId="460E67B7"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-0.181</w:t>
            </w:r>
          </w:p>
        </w:tc>
        <w:tc>
          <w:tcPr>
            <w:tcW w:w="1656" w:type="dxa"/>
            <w:tcBorders>
              <w:top w:val="nil"/>
              <w:left w:val="nil"/>
              <w:bottom w:val="nil"/>
              <w:right w:val="nil"/>
            </w:tcBorders>
          </w:tcPr>
          <w:p w14:paraId="31ADA27C"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6D3F4211"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0.0355</w:t>
            </w:r>
          </w:p>
        </w:tc>
      </w:tr>
      <w:tr w:rsidR="00FF2C5F" w14:paraId="3EE4F26C" w14:textId="77777777" w:rsidTr="00F16287">
        <w:tc>
          <w:tcPr>
            <w:tcW w:w="2136" w:type="dxa"/>
            <w:tcBorders>
              <w:top w:val="nil"/>
              <w:left w:val="nil"/>
              <w:bottom w:val="nil"/>
              <w:right w:val="nil"/>
            </w:tcBorders>
          </w:tcPr>
          <w:p w14:paraId="72A9BA20"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4565D73"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(4.54)</w:t>
            </w:r>
          </w:p>
        </w:tc>
        <w:tc>
          <w:tcPr>
            <w:tcW w:w="1656" w:type="dxa"/>
            <w:tcBorders>
              <w:top w:val="nil"/>
              <w:left w:val="nil"/>
              <w:bottom w:val="nil"/>
              <w:right w:val="nil"/>
            </w:tcBorders>
          </w:tcPr>
          <w:p w14:paraId="304C007C"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656" w:type="dxa"/>
            <w:tcBorders>
              <w:top w:val="nil"/>
              <w:left w:val="nil"/>
              <w:bottom w:val="nil"/>
              <w:right w:val="nil"/>
            </w:tcBorders>
          </w:tcPr>
          <w:p w14:paraId="6EBB6AB0"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656" w:type="dxa"/>
            <w:tcBorders>
              <w:top w:val="nil"/>
              <w:left w:val="nil"/>
              <w:bottom w:val="nil"/>
              <w:right w:val="nil"/>
            </w:tcBorders>
          </w:tcPr>
          <w:p w14:paraId="26F8D361"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32D20A61"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w:t>
            </w:r>
          </w:p>
        </w:tc>
      </w:tr>
      <w:tr w:rsidR="00FF2C5F" w14:paraId="6B0B9231" w14:textId="77777777" w:rsidTr="00F16287">
        <w:tc>
          <w:tcPr>
            <w:tcW w:w="2136" w:type="dxa"/>
            <w:tcBorders>
              <w:top w:val="nil"/>
              <w:left w:val="nil"/>
              <w:bottom w:val="nil"/>
              <w:right w:val="nil"/>
            </w:tcBorders>
          </w:tcPr>
          <w:p w14:paraId="7034E223"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7D44ECD"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6DFF280"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8670526"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33D44D1"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085E0BD"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r>
      <w:tr w:rsidR="00FF2C5F" w14:paraId="524AB05B" w14:textId="77777777" w:rsidTr="00F16287">
        <w:tc>
          <w:tcPr>
            <w:tcW w:w="2136" w:type="dxa"/>
            <w:tcBorders>
              <w:top w:val="nil"/>
              <w:left w:val="nil"/>
              <w:bottom w:val="nil"/>
              <w:right w:val="nil"/>
            </w:tcBorders>
          </w:tcPr>
          <w:p w14:paraId="35F45258"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Coord</w:t>
            </w:r>
          </w:p>
        </w:tc>
        <w:tc>
          <w:tcPr>
            <w:tcW w:w="1656" w:type="dxa"/>
            <w:tcBorders>
              <w:top w:val="nil"/>
              <w:left w:val="nil"/>
              <w:bottom w:val="nil"/>
              <w:right w:val="nil"/>
            </w:tcBorders>
          </w:tcPr>
          <w:p w14:paraId="7907CD36"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0.102</w:t>
            </w:r>
          </w:p>
        </w:tc>
        <w:tc>
          <w:tcPr>
            <w:tcW w:w="1656" w:type="dxa"/>
            <w:tcBorders>
              <w:top w:val="nil"/>
              <w:left w:val="nil"/>
              <w:bottom w:val="nil"/>
              <w:right w:val="nil"/>
            </w:tcBorders>
          </w:tcPr>
          <w:p w14:paraId="3B588941"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0.170</w:t>
            </w:r>
          </w:p>
        </w:tc>
        <w:tc>
          <w:tcPr>
            <w:tcW w:w="1656" w:type="dxa"/>
            <w:tcBorders>
              <w:top w:val="nil"/>
              <w:left w:val="nil"/>
              <w:bottom w:val="nil"/>
              <w:right w:val="nil"/>
            </w:tcBorders>
          </w:tcPr>
          <w:p w14:paraId="4E96472C"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0.0321</w:t>
            </w:r>
          </w:p>
        </w:tc>
        <w:tc>
          <w:tcPr>
            <w:tcW w:w="1656" w:type="dxa"/>
            <w:tcBorders>
              <w:top w:val="nil"/>
              <w:left w:val="nil"/>
              <w:bottom w:val="nil"/>
              <w:right w:val="nil"/>
            </w:tcBorders>
          </w:tcPr>
          <w:p w14:paraId="7635448A"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-0.0834</w:t>
            </w:r>
          </w:p>
        </w:tc>
        <w:tc>
          <w:tcPr>
            <w:tcW w:w="1656" w:type="dxa"/>
            <w:tcBorders>
              <w:top w:val="nil"/>
              <w:left w:val="nil"/>
              <w:bottom w:val="nil"/>
              <w:right w:val="nil"/>
            </w:tcBorders>
          </w:tcPr>
          <w:p w14:paraId="74934F00"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-0.0484</w:t>
            </w:r>
          </w:p>
        </w:tc>
      </w:tr>
      <w:tr w:rsidR="00FF2C5F" w14:paraId="6F6B51F3" w14:textId="77777777" w:rsidTr="00F16287">
        <w:tc>
          <w:tcPr>
            <w:tcW w:w="2136" w:type="dxa"/>
            <w:tcBorders>
              <w:top w:val="nil"/>
              <w:left w:val="nil"/>
              <w:bottom w:val="nil"/>
              <w:right w:val="nil"/>
            </w:tcBorders>
          </w:tcPr>
          <w:p w14:paraId="165C688E"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223CCBA"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656" w:type="dxa"/>
            <w:tcBorders>
              <w:top w:val="nil"/>
              <w:left w:val="nil"/>
              <w:bottom w:val="nil"/>
              <w:right w:val="nil"/>
            </w:tcBorders>
          </w:tcPr>
          <w:p w14:paraId="6271DDCD"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w:t>
            </w:r>
          </w:p>
        </w:tc>
        <w:tc>
          <w:tcPr>
            <w:tcW w:w="1656" w:type="dxa"/>
            <w:tcBorders>
              <w:top w:val="nil"/>
              <w:left w:val="nil"/>
              <w:bottom w:val="nil"/>
              <w:right w:val="nil"/>
            </w:tcBorders>
          </w:tcPr>
          <w:p w14:paraId="4556E068"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656" w:type="dxa"/>
            <w:tcBorders>
              <w:top w:val="nil"/>
              <w:left w:val="nil"/>
              <w:bottom w:val="nil"/>
              <w:right w:val="nil"/>
            </w:tcBorders>
          </w:tcPr>
          <w:p w14:paraId="30EBD4F1"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w:t>
            </w:r>
          </w:p>
        </w:tc>
        <w:tc>
          <w:tcPr>
            <w:tcW w:w="1656" w:type="dxa"/>
            <w:tcBorders>
              <w:top w:val="nil"/>
              <w:left w:val="nil"/>
              <w:bottom w:val="nil"/>
              <w:right w:val="nil"/>
            </w:tcBorders>
          </w:tcPr>
          <w:p w14:paraId="6254EF40"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w:t>
            </w:r>
          </w:p>
        </w:tc>
      </w:tr>
      <w:tr w:rsidR="00FF2C5F" w14:paraId="50CA946D" w14:textId="77777777" w:rsidTr="00F16287">
        <w:tc>
          <w:tcPr>
            <w:tcW w:w="2136" w:type="dxa"/>
            <w:tcBorders>
              <w:top w:val="nil"/>
              <w:left w:val="nil"/>
              <w:bottom w:val="nil"/>
              <w:right w:val="nil"/>
            </w:tcBorders>
          </w:tcPr>
          <w:p w14:paraId="0333C01B"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35D83C7"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5955D6F"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E2E4AB6"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0F4E45C"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DE978C3"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r>
      <w:tr w:rsidR="00FF2C5F" w14:paraId="250F2164" w14:textId="77777777" w:rsidTr="00F16287">
        <w:tc>
          <w:tcPr>
            <w:tcW w:w="2136" w:type="dxa"/>
            <w:tcBorders>
              <w:top w:val="nil"/>
              <w:left w:val="nil"/>
              <w:bottom w:val="nil"/>
              <w:right w:val="nil"/>
            </w:tcBorders>
          </w:tcPr>
          <w:p w14:paraId="06ACED4C"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Type</w:t>
            </w:r>
          </w:p>
        </w:tc>
        <w:tc>
          <w:tcPr>
            <w:tcW w:w="1656" w:type="dxa"/>
            <w:tcBorders>
              <w:top w:val="nil"/>
              <w:left w:val="nil"/>
              <w:bottom w:val="nil"/>
              <w:right w:val="nil"/>
            </w:tcBorders>
          </w:tcPr>
          <w:p w14:paraId="33182BF7"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-0.0126</w:t>
            </w:r>
          </w:p>
        </w:tc>
        <w:tc>
          <w:tcPr>
            <w:tcW w:w="1656" w:type="dxa"/>
            <w:tcBorders>
              <w:top w:val="nil"/>
              <w:left w:val="nil"/>
              <w:bottom w:val="nil"/>
              <w:right w:val="nil"/>
            </w:tcBorders>
          </w:tcPr>
          <w:p w14:paraId="415B74C7"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-0.0728</w:t>
            </w:r>
          </w:p>
        </w:tc>
        <w:tc>
          <w:tcPr>
            <w:tcW w:w="1656" w:type="dxa"/>
            <w:tcBorders>
              <w:top w:val="nil"/>
              <w:left w:val="nil"/>
              <w:bottom w:val="nil"/>
              <w:right w:val="nil"/>
            </w:tcBorders>
          </w:tcPr>
          <w:p w14:paraId="6C9BCC29"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0.108</w:t>
            </w:r>
          </w:p>
        </w:tc>
        <w:tc>
          <w:tcPr>
            <w:tcW w:w="1656" w:type="dxa"/>
            <w:tcBorders>
              <w:top w:val="nil"/>
              <w:left w:val="nil"/>
              <w:bottom w:val="nil"/>
              <w:right w:val="nil"/>
            </w:tcBorders>
          </w:tcPr>
          <w:p w14:paraId="2FF420E1"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0.0963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39E2570"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-0.0307</w:t>
            </w:r>
          </w:p>
        </w:tc>
      </w:tr>
      <w:tr w:rsidR="00FF2C5F" w14:paraId="2F53B775" w14:textId="77777777" w:rsidTr="00F16287">
        <w:tc>
          <w:tcPr>
            <w:tcW w:w="2136" w:type="dxa"/>
            <w:tcBorders>
              <w:top w:val="nil"/>
              <w:left w:val="nil"/>
              <w:bottom w:val="nil"/>
              <w:right w:val="nil"/>
            </w:tcBorders>
          </w:tcPr>
          <w:p w14:paraId="5080BBCA"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5B112A4"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656" w:type="dxa"/>
            <w:tcBorders>
              <w:top w:val="nil"/>
              <w:left w:val="nil"/>
              <w:bottom w:val="nil"/>
              <w:right w:val="nil"/>
            </w:tcBorders>
          </w:tcPr>
          <w:p w14:paraId="25250AC0"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c>
          <w:tcPr>
            <w:tcW w:w="1656" w:type="dxa"/>
            <w:tcBorders>
              <w:top w:val="nil"/>
              <w:left w:val="nil"/>
              <w:bottom w:val="nil"/>
              <w:right w:val="nil"/>
            </w:tcBorders>
          </w:tcPr>
          <w:p w14:paraId="191A3441"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(0.81)</w:t>
            </w:r>
          </w:p>
        </w:tc>
        <w:tc>
          <w:tcPr>
            <w:tcW w:w="1656" w:type="dxa"/>
            <w:tcBorders>
              <w:top w:val="nil"/>
              <w:left w:val="nil"/>
              <w:bottom w:val="nil"/>
              <w:right w:val="nil"/>
            </w:tcBorders>
          </w:tcPr>
          <w:p w14:paraId="1D53668D"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(2.38)</w:t>
            </w:r>
          </w:p>
        </w:tc>
        <w:tc>
          <w:tcPr>
            <w:tcW w:w="1656" w:type="dxa"/>
            <w:tcBorders>
              <w:top w:val="nil"/>
              <w:left w:val="nil"/>
              <w:bottom w:val="nil"/>
              <w:right w:val="nil"/>
            </w:tcBorders>
          </w:tcPr>
          <w:p w14:paraId="2391E6E5"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r>
      <w:tr w:rsidR="00FF2C5F" w14:paraId="38EAF3E1" w14:textId="77777777" w:rsidTr="00F16287">
        <w:tc>
          <w:tcPr>
            <w:tcW w:w="2136" w:type="dxa"/>
            <w:tcBorders>
              <w:top w:val="nil"/>
              <w:left w:val="nil"/>
              <w:bottom w:val="nil"/>
              <w:right w:val="nil"/>
            </w:tcBorders>
          </w:tcPr>
          <w:p w14:paraId="39B1DC4B"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75D0C73"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7B38480"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CEEEB8E"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4CF8440"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81140AD"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r>
      <w:tr w:rsidR="00FF2C5F" w14:paraId="7BE97E24" w14:textId="77777777" w:rsidTr="00F16287">
        <w:tc>
          <w:tcPr>
            <w:tcW w:w="2136" w:type="dxa"/>
            <w:tcBorders>
              <w:top w:val="nil"/>
              <w:left w:val="nil"/>
              <w:bottom w:val="nil"/>
              <w:right w:val="nil"/>
            </w:tcBorders>
          </w:tcPr>
          <w:p w14:paraId="289AE012"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5892EA81"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-0.344</w:t>
            </w:r>
          </w:p>
        </w:tc>
        <w:tc>
          <w:tcPr>
            <w:tcW w:w="1656" w:type="dxa"/>
            <w:tcBorders>
              <w:top w:val="nil"/>
              <w:left w:val="nil"/>
              <w:bottom w:val="nil"/>
              <w:right w:val="nil"/>
            </w:tcBorders>
          </w:tcPr>
          <w:p w14:paraId="173B3A25"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-0.240</w:t>
            </w:r>
          </w:p>
        </w:tc>
        <w:tc>
          <w:tcPr>
            <w:tcW w:w="1656" w:type="dxa"/>
            <w:tcBorders>
              <w:top w:val="nil"/>
              <w:left w:val="nil"/>
              <w:bottom w:val="nil"/>
              <w:right w:val="nil"/>
            </w:tcBorders>
          </w:tcPr>
          <w:p w14:paraId="56326AC4"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0.267</w:t>
            </w:r>
          </w:p>
        </w:tc>
        <w:tc>
          <w:tcPr>
            <w:tcW w:w="1656" w:type="dxa"/>
            <w:tcBorders>
              <w:top w:val="nil"/>
              <w:left w:val="nil"/>
              <w:bottom w:val="nil"/>
              <w:right w:val="nil"/>
            </w:tcBorders>
          </w:tcPr>
          <w:p w14:paraId="6736CC6C"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C4D48AA"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-0.108</w:t>
            </w:r>
          </w:p>
        </w:tc>
      </w:tr>
      <w:tr w:rsidR="00FF2C5F" w14:paraId="56D07F57" w14:textId="77777777" w:rsidTr="00F16287">
        <w:tc>
          <w:tcPr>
            <w:tcW w:w="2136" w:type="dxa"/>
            <w:tcBorders>
              <w:top w:val="nil"/>
              <w:left w:val="nil"/>
              <w:bottom w:val="single" w:sz="4" w:space="0" w:color="auto"/>
              <w:right w:val="nil"/>
            </w:tcBorders>
          </w:tcPr>
          <w:p w14:paraId="479929DB"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59E79D49"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(-0.76)</w:t>
            </w:r>
          </w:p>
        </w:tc>
        <w:tc>
          <w:tcPr>
            <w:tcW w:w="1656" w:type="dxa"/>
            <w:tcBorders>
              <w:top w:val="nil"/>
              <w:left w:val="nil"/>
              <w:bottom w:val="single" w:sz="4" w:space="0" w:color="auto"/>
              <w:right w:val="nil"/>
            </w:tcBorders>
          </w:tcPr>
          <w:p w14:paraId="2589D47C"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656" w:type="dxa"/>
            <w:tcBorders>
              <w:top w:val="nil"/>
              <w:left w:val="nil"/>
              <w:bottom w:val="single" w:sz="4" w:space="0" w:color="auto"/>
              <w:right w:val="nil"/>
            </w:tcBorders>
          </w:tcPr>
          <w:p w14:paraId="33A96028"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w:t>
            </w:r>
          </w:p>
        </w:tc>
        <w:tc>
          <w:tcPr>
            <w:tcW w:w="1656" w:type="dxa"/>
            <w:tcBorders>
              <w:top w:val="nil"/>
              <w:left w:val="nil"/>
              <w:bottom w:val="single" w:sz="4" w:space="0" w:color="auto"/>
              <w:right w:val="nil"/>
            </w:tcBorders>
          </w:tcPr>
          <w:p w14:paraId="03DAA079"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1656" w:type="dxa"/>
            <w:tcBorders>
              <w:top w:val="nil"/>
              <w:left w:val="nil"/>
              <w:bottom w:val="single" w:sz="4" w:space="0" w:color="auto"/>
              <w:right w:val="nil"/>
            </w:tcBorders>
          </w:tcPr>
          <w:p w14:paraId="754AEF70"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r>
      <w:tr w:rsidR="00FF2C5F" w14:paraId="0EFD77B8" w14:textId="77777777" w:rsidTr="00F16287">
        <w:tc>
          <w:tcPr>
            <w:tcW w:w="2136" w:type="dxa"/>
            <w:tcBorders>
              <w:top w:val="nil"/>
              <w:left w:val="nil"/>
              <w:bottom w:val="single" w:sz="4" w:space="0" w:color="auto"/>
              <w:right w:val="nil"/>
            </w:tcBorders>
          </w:tcPr>
          <w:p w14:paraId="17B21CED" w14:textId="77777777" w:rsidR="00FF2C5F" w:rsidRDefault="00FF2C5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270C6E4A"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192</w:t>
            </w:r>
          </w:p>
        </w:tc>
        <w:tc>
          <w:tcPr>
            <w:tcW w:w="1656" w:type="dxa"/>
            <w:tcBorders>
              <w:top w:val="nil"/>
              <w:left w:val="nil"/>
              <w:bottom w:val="single" w:sz="4" w:space="0" w:color="auto"/>
              <w:right w:val="nil"/>
            </w:tcBorders>
          </w:tcPr>
          <w:p w14:paraId="22EFDD95"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192</w:t>
            </w:r>
          </w:p>
        </w:tc>
        <w:tc>
          <w:tcPr>
            <w:tcW w:w="1656" w:type="dxa"/>
            <w:tcBorders>
              <w:top w:val="nil"/>
              <w:left w:val="nil"/>
              <w:bottom w:val="single" w:sz="4" w:space="0" w:color="auto"/>
              <w:right w:val="nil"/>
            </w:tcBorders>
          </w:tcPr>
          <w:p w14:paraId="671468A8"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178</w:t>
            </w:r>
          </w:p>
        </w:tc>
        <w:tc>
          <w:tcPr>
            <w:tcW w:w="1656" w:type="dxa"/>
            <w:tcBorders>
              <w:top w:val="nil"/>
              <w:left w:val="nil"/>
              <w:bottom w:val="single" w:sz="4" w:space="0" w:color="auto"/>
              <w:right w:val="nil"/>
            </w:tcBorders>
          </w:tcPr>
          <w:p w14:paraId="14FFD278"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283</w:t>
            </w:r>
          </w:p>
        </w:tc>
        <w:tc>
          <w:tcPr>
            <w:tcW w:w="1656" w:type="dxa"/>
            <w:tcBorders>
              <w:top w:val="nil"/>
              <w:left w:val="nil"/>
              <w:bottom w:val="single" w:sz="4" w:space="0" w:color="auto"/>
              <w:right w:val="nil"/>
            </w:tcBorders>
          </w:tcPr>
          <w:p w14:paraId="353A0C7A" w14:textId="77777777" w:rsidR="00FF2C5F" w:rsidRDefault="00FF2C5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489</w:t>
            </w:r>
          </w:p>
        </w:tc>
      </w:tr>
    </w:tbl>
    <w:p w14:paraId="2CE687B1" w14:textId="77777777" w:rsidR="00FF2C5F" w:rsidRDefault="00FF2C5F" w:rsidP="00FF2C5F">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2F04D78" w14:textId="77777777" w:rsidR="00FF2C5F" w:rsidRDefault="00FF2C5F" w:rsidP="00FF2C5F">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7D8C8F6" w14:textId="776CFCD5" w:rsidR="00FF2C5F" w:rsidRDefault="00FF2C5F" w:rsidP="00FF2C5F">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625753" w14:paraId="2FCC435E" w14:textId="77777777" w:rsidTr="00F16287">
        <w:tc>
          <w:tcPr>
            <w:tcW w:w="2136" w:type="dxa"/>
            <w:tcBorders>
              <w:top w:val="single" w:sz="4" w:space="0" w:color="auto"/>
              <w:left w:val="nil"/>
              <w:bottom w:val="nil"/>
              <w:right w:val="nil"/>
            </w:tcBorders>
          </w:tcPr>
          <w:p w14:paraId="535CD1DA"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2AEB7136"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2562F65E"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60922E24"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63010B8B"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3A24C5FD"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625753" w14:paraId="6DA5AAFE" w14:textId="77777777" w:rsidTr="00F16287">
        <w:tc>
          <w:tcPr>
            <w:tcW w:w="2136" w:type="dxa"/>
            <w:tcBorders>
              <w:top w:val="nil"/>
              <w:left w:val="nil"/>
              <w:bottom w:val="nil"/>
              <w:right w:val="nil"/>
            </w:tcBorders>
          </w:tcPr>
          <w:p w14:paraId="4A41396D"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344E0FD"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4478344F"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527B91D7"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6996C875"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58952B29"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625753" w14:paraId="0AB93DE4" w14:textId="77777777" w:rsidTr="00F16287">
        <w:tc>
          <w:tcPr>
            <w:tcW w:w="2136" w:type="dxa"/>
            <w:tcBorders>
              <w:top w:val="single" w:sz="4" w:space="0" w:color="auto"/>
              <w:left w:val="nil"/>
              <w:bottom w:val="nil"/>
              <w:right w:val="nil"/>
            </w:tcBorders>
          </w:tcPr>
          <w:p w14:paraId="079DD015"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4C446835"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-0.332</w:t>
            </w:r>
          </w:p>
        </w:tc>
        <w:tc>
          <w:tcPr>
            <w:tcW w:w="1656" w:type="dxa"/>
            <w:tcBorders>
              <w:top w:val="single" w:sz="4" w:space="0" w:color="auto"/>
              <w:left w:val="nil"/>
              <w:bottom w:val="nil"/>
              <w:right w:val="nil"/>
            </w:tcBorders>
          </w:tcPr>
          <w:p w14:paraId="775E8407"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-0.0672</w:t>
            </w:r>
          </w:p>
        </w:tc>
        <w:tc>
          <w:tcPr>
            <w:tcW w:w="1656" w:type="dxa"/>
            <w:tcBorders>
              <w:top w:val="single" w:sz="4" w:space="0" w:color="auto"/>
              <w:left w:val="nil"/>
              <w:bottom w:val="nil"/>
              <w:right w:val="nil"/>
            </w:tcBorders>
          </w:tcPr>
          <w:p w14:paraId="7FFC0B62"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-0.528</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034D9EC6"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0.0745</w:t>
            </w:r>
          </w:p>
        </w:tc>
        <w:tc>
          <w:tcPr>
            <w:tcW w:w="1656" w:type="dxa"/>
            <w:tcBorders>
              <w:top w:val="single" w:sz="4" w:space="0" w:color="auto"/>
              <w:left w:val="nil"/>
              <w:bottom w:val="nil"/>
              <w:right w:val="nil"/>
            </w:tcBorders>
          </w:tcPr>
          <w:p w14:paraId="53D0C242"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-0.0254</w:t>
            </w:r>
          </w:p>
        </w:tc>
      </w:tr>
      <w:tr w:rsidR="00625753" w14:paraId="25571DFB" w14:textId="77777777" w:rsidTr="00F16287">
        <w:tc>
          <w:tcPr>
            <w:tcW w:w="2136" w:type="dxa"/>
            <w:tcBorders>
              <w:top w:val="nil"/>
              <w:left w:val="nil"/>
              <w:bottom w:val="nil"/>
              <w:right w:val="nil"/>
            </w:tcBorders>
          </w:tcPr>
          <w:p w14:paraId="7F880B1F"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11FA66A"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w:t>
            </w:r>
          </w:p>
        </w:tc>
        <w:tc>
          <w:tcPr>
            <w:tcW w:w="1656" w:type="dxa"/>
            <w:tcBorders>
              <w:top w:val="nil"/>
              <w:left w:val="nil"/>
              <w:bottom w:val="nil"/>
              <w:right w:val="nil"/>
            </w:tcBorders>
          </w:tcPr>
          <w:p w14:paraId="563FF79D"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656" w:type="dxa"/>
            <w:tcBorders>
              <w:top w:val="nil"/>
              <w:left w:val="nil"/>
              <w:bottom w:val="nil"/>
              <w:right w:val="nil"/>
            </w:tcBorders>
          </w:tcPr>
          <w:p w14:paraId="6F0B2A55"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656" w:type="dxa"/>
            <w:tcBorders>
              <w:top w:val="nil"/>
              <w:left w:val="nil"/>
              <w:bottom w:val="nil"/>
              <w:right w:val="nil"/>
            </w:tcBorders>
          </w:tcPr>
          <w:p w14:paraId="1A63F917"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(1.94)</w:t>
            </w:r>
          </w:p>
        </w:tc>
        <w:tc>
          <w:tcPr>
            <w:tcW w:w="1656" w:type="dxa"/>
            <w:tcBorders>
              <w:top w:val="nil"/>
              <w:left w:val="nil"/>
              <w:bottom w:val="nil"/>
              <w:right w:val="nil"/>
            </w:tcBorders>
          </w:tcPr>
          <w:p w14:paraId="0857A4BA"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625753" w14:paraId="46BA59B2" w14:textId="77777777" w:rsidTr="00F16287">
        <w:tc>
          <w:tcPr>
            <w:tcW w:w="2136" w:type="dxa"/>
            <w:tcBorders>
              <w:top w:val="nil"/>
              <w:left w:val="nil"/>
              <w:bottom w:val="nil"/>
              <w:right w:val="nil"/>
            </w:tcBorders>
          </w:tcPr>
          <w:p w14:paraId="1A25F8AF"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DC20487"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734764C"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2AB37D9"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D8A4B6F"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D7CC5BA"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r>
      <w:tr w:rsidR="00625753" w14:paraId="00D03294" w14:textId="77777777" w:rsidTr="00F16287">
        <w:tc>
          <w:tcPr>
            <w:tcW w:w="2136" w:type="dxa"/>
            <w:tcBorders>
              <w:top w:val="nil"/>
              <w:left w:val="nil"/>
              <w:bottom w:val="nil"/>
              <w:right w:val="nil"/>
            </w:tcBorders>
          </w:tcPr>
          <w:p w14:paraId="760FD56E"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587BE002"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34DA118"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0.00437</w:t>
            </w:r>
          </w:p>
        </w:tc>
        <w:tc>
          <w:tcPr>
            <w:tcW w:w="1656" w:type="dxa"/>
            <w:tcBorders>
              <w:top w:val="nil"/>
              <w:left w:val="nil"/>
              <w:bottom w:val="nil"/>
              <w:right w:val="nil"/>
            </w:tcBorders>
          </w:tcPr>
          <w:p w14:paraId="7429CC90"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0.0411</w:t>
            </w:r>
          </w:p>
        </w:tc>
        <w:tc>
          <w:tcPr>
            <w:tcW w:w="1656" w:type="dxa"/>
            <w:tcBorders>
              <w:top w:val="nil"/>
              <w:left w:val="nil"/>
              <w:bottom w:val="nil"/>
              <w:right w:val="nil"/>
            </w:tcBorders>
          </w:tcPr>
          <w:p w14:paraId="0299AF05"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-0.0198</w:t>
            </w:r>
          </w:p>
        </w:tc>
        <w:tc>
          <w:tcPr>
            <w:tcW w:w="1656" w:type="dxa"/>
            <w:tcBorders>
              <w:top w:val="nil"/>
              <w:left w:val="nil"/>
              <w:bottom w:val="nil"/>
              <w:right w:val="nil"/>
            </w:tcBorders>
          </w:tcPr>
          <w:p w14:paraId="5CDC0C49"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0.0427</w:t>
            </w:r>
            <w:r>
              <w:rPr>
                <w:rFonts w:ascii="Times New Roman" w:hAnsi="Times New Roman" w:cs="Times New Roman"/>
                <w:sz w:val="24"/>
                <w:szCs w:val="24"/>
                <w:vertAlign w:val="superscript"/>
              </w:rPr>
              <w:t>**</w:t>
            </w:r>
          </w:p>
        </w:tc>
      </w:tr>
      <w:tr w:rsidR="00625753" w14:paraId="6BD7F84A" w14:textId="77777777" w:rsidTr="00F16287">
        <w:tc>
          <w:tcPr>
            <w:tcW w:w="2136" w:type="dxa"/>
            <w:tcBorders>
              <w:top w:val="nil"/>
              <w:left w:val="nil"/>
              <w:bottom w:val="nil"/>
              <w:right w:val="nil"/>
            </w:tcBorders>
          </w:tcPr>
          <w:p w14:paraId="4E310B04"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A807B96"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(2.40)</w:t>
            </w:r>
          </w:p>
        </w:tc>
        <w:tc>
          <w:tcPr>
            <w:tcW w:w="1656" w:type="dxa"/>
            <w:tcBorders>
              <w:top w:val="nil"/>
              <w:left w:val="nil"/>
              <w:bottom w:val="nil"/>
              <w:right w:val="nil"/>
            </w:tcBorders>
          </w:tcPr>
          <w:p w14:paraId="3E11F459"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656" w:type="dxa"/>
            <w:tcBorders>
              <w:top w:val="nil"/>
              <w:left w:val="nil"/>
              <w:bottom w:val="nil"/>
              <w:right w:val="nil"/>
            </w:tcBorders>
          </w:tcPr>
          <w:p w14:paraId="51D7BF6A"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w:t>
            </w:r>
          </w:p>
        </w:tc>
        <w:tc>
          <w:tcPr>
            <w:tcW w:w="1656" w:type="dxa"/>
            <w:tcBorders>
              <w:top w:val="nil"/>
              <w:left w:val="nil"/>
              <w:bottom w:val="nil"/>
              <w:right w:val="nil"/>
            </w:tcBorders>
          </w:tcPr>
          <w:p w14:paraId="5CD7317A"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w:t>
            </w:r>
          </w:p>
        </w:tc>
        <w:tc>
          <w:tcPr>
            <w:tcW w:w="1656" w:type="dxa"/>
            <w:tcBorders>
              <w:top w:val="nil"/>
              <w:left w:val="nil"/>
              <w:bottom w:val="nil"/>
              <w:right w:val="nil"/>
            </w:tcBorders>
          </w:tcPr>
          <w:p w14:paraId="46920BB5"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(3.29)</w:t>
            </w:r>
          </w:p>
        </w:tc>
      </w:tr>
      <w:tr w:rsidR="00625753" w14:paraId="60EC4BFE" w14:textId="77777777" w:rsidTr="00F16287">
        <w:tc>
          <w:tcPr>
            <w:tcW w:w="2136" w:type="dxa"/>
            <w:tcBorders>
              <w:top w:val="nil"/>
              <w:left w:val="nil"/>
              <w:bottom w:val="nil"/>
              <w:right w:val="nil"/>
            </w:tcBorders>
          </w:tcPr>
          <w:p w14:paraId="575D3168"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D3D4CCE"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3B85580"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1B4E118"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32C4E81"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5CC7D36"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r>
      <w:tr w:rsidR="00625753" w14:paraId="7A79299F" w14:textId="77777777" w:rsidTr="00F16287">
        <w:tc>
          <w:tcPr>
            <w:tcW w:w="2136" w:type="dxa"/>
            <w:tcBorders>
              <w:top w:val="nil"/>
              <w:left w:val="nil"/>
              <w:bottom w:val="nil"/>
              <w:right w:val="nil"/>
            </w:tcBorders>
          </w:tcPr>
          <w:p w14:paraId="642C4522"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Regional government exists   </w:t>
            </w:r>
          </w:p>
        </w:tc>
        <w:tc>
          <w:tcPr>
            <w:tcW w:w="1656" w:type="dxa"/>
            <w:tcBorders>
              <w:top w:val="nil"/>
              <w:left w:val="nil"/>
              <w:bottom w:val="nil"/>
              <w:right w:val="nil"/>
            </w:tcBorders>
          </w:tcPr>
          <w:p w14:paraId="11651ED8"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-0.462</w:t>
            </w:r>
          </w:p>
        </w:tc>
        <w:tc>
          <w:tcPr>
            <w:tcW w:w="1656" w:type="dxa"/>
            <w:tcBorders>
              <w:top w:val="nil"/>
              <w:left w:val="nil"/>
              <w:bottom w:val="nil"/>
              <w:right w:val="nil"/>
            </w:tcBorders>
          </w:tcPr>
          <w:p w14:paraId="6F5CF0C0"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0.388</w:t>
            </w:r>
          </w:p>
        </w:tc>
        <w:tc>
          <w:tcPr>
            <w:tcW w:w="1656" w:type="dxa"/>
            <w:tcBorders>
              <w:top w:val="nil"/>
              <w:left w:val="nil"/>
              <w:bottom w:val="nil"/>
              <w:right w:val="nil"/>
            </w:tcBorders>
          </w:tcPr>
          <w:p w14:paraId="5B8CDD00"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-0.177</w:t>
            </w:r>
          </w:p>
        </w:tc>
        <w:tc>
          <w:tcPr>
            <w:tcW w:w="1656" w:type="dxa"/>
            <w:tcBorders>
              <w:top w:val="nil"/>
              <w:left w:val="nil"/>
              <w:bottom w:val="nil"/>
              <w:right w:val="nil"/>
            </w:tcBorders>
          </w:tcPr>
          <w:p w14:paraId="46072E87"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1C90CF9B"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0.0444</w:t>
            </w:r>
          </w:p>
        </w:tc>
      </w:tr>
      <w:tr w:rsidR="00625753" w14:paraId="75B799D1" w14:textId="77777777" w:rsidTr="00F16287">
        <w:tc>
          <w:tcPr>
            <w:tcW w:w="2136" w:type="dxa"/>
            <w:tcBorders>
              <w:top w:val="nil"/>
              <w:left w:val="nil"/>
              <w:bottom w:val="nil"/>
              <w:right w:val="nil"/>
            </w:tcBorders>
          </w:tcPr>
          <w:p w14:paraId="153EC16F"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38F7ECA"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(-1.45)</w:t>
            </w:r>
          </w:p>
        </w:tc>
        <w:tc>
          <w:tcPr>
            <w:tcW w:w="1656" w:type="dxa"/>
            <w:tcBorders>
              <w:top w:val="nil"/>
              <w:left w:val="nil"/>
              <w:bottom w:val="nil"/>
              <w:right w:val="nil"/>
            </w:tcBorders>
          </w:tcPr>
          <w:p w14:paraId="52FFDF74"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w:t>
            </w:r>
          </w:p>
        </w:tc>
        <w:tc>
          <w:tcPr>
            <w:tcW w:w="1656" w:type="dxa"/>
            <w:tcBorders>
              <w:top w:val="nil"/>
              <w:left w:val="nil"/>
              <w:bottom w:val="nil"/>
              <w:right w:val="nil"/>
            </w:tcBorders>
          </w:tcPr>
          <w:p w14:paraId="3D2C3756"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656" w:type="dxa"/>
            <w:tcBorders>
              <w:top w:val="nil"/>
              <w:left w:val="nil"/>
              <w:bottom w:val="nil"/>
              <w:right w:val="nil"/>
            </w:tcBorders>
          </w:tcPr>
          <w:p w14:paraId="6453C20B"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7C481E19"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r>
      <w:tr w:rsidR="00625753" w14:paraId="65B3AD5F" w14:textId="77777777" w:rsidTr="00F16287">
        <w:tc>
          <w:tcPr>
            <w:tcW w:w="2136" w:type="dxa"/>
            <w:tcBorders>
              <w:top w:val="nil"/>
              <w:left w:val="nil"/>
              <w:bottom w:val="nil"/>
              <w:right w:val="nil"/>
            </w:tcBorders>
          </w:tcPr>
          <w:p w14:paraId="1F94E721"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E73AEBD"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70342A8"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320F123"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1CF97D7"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40101EC"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r>
      <w:tr w:rsidR="00625753" w14:paraId="7472D051" w14:textId="77777777" w:rsidTr="00F16287">
        <w:tc>
          <w:tcPr>
            <w:tcW w:w="2136" w:type="dxa"/>
            <w:tcBorders>
              <w:top w:val="nil"/>
              <w:left w:val="nil"/>
              <w:bottom w:val="nil"/>
              <w:right w:val="nil"/>
            </w:tcBorders>
          </w:tcPr>
          <w:p w14:paraId="390F126B"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Horizontal accountability index</w:t>
            </w:r>
          </w:p>
        </w:tc>
        <w:tc>
          <w:tcPr>
            <w:tcW w:w="1656" w:type="dxa"/>
            <w:tcBorders>
              <w:top w:val="nil"/>
              <w:left w:val="nil"/>
              <w:bottom w:val="nil"/>
              <w:right w:val="nil"/>
            </w:tcBorders>
          </w:tcPr>
          <w:p w14:paraId="124264D9"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0.0987</w:t>
            </w:r>
          </w:p>
        </w:tc>
        <w:tc>
          <w:tcPr>
            <w:tcW w:w="1656" w:type="dxa"/>
            <w:tcBorders>
              <w:top w:val="nil"/>
              <w:left w:val="nil"/>
              <w:bottom w:val="nil"/>
              <w:right w:val="nil"/>
            </w:tcBorders>
          </w:tcPr>
          <w:p w14:paraId="1823815F"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526D741"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E1CA5DD"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0.0655</w:t>
            </w:r>
          </w:p>
        </w:tc>
        <w:tc>
          <w:tcPr>
            <w:tcW w:w="1656" w:type="dxa"/>
            <w:tcBorders>
              <w:top w:val="nil"/>
              <w:left w:val="nil"/>
              <w:bottom w:val="nil"/>
              <w:right w:val="nil"/>
            </w:tcBorders>
          </w:tcPr>
          <w:p w14:paraId="0C13F38B"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0.472</w:t>
            </w:r>
            <w:r>
              <w:rPr>
                <w:rFonts w:ascii="Times New Roman" w:hAnsi="Times New Roman" w:cs="Times New Roman"/>
                <w:sz w:val="24"/>
                <w:szCs w:val="24"/>
                <w:vertAlign w:val="superscript"/>
              </w:rPr>
              <w:t>***</w:t>
            </w:r>
          </w:p>
        </w:tc>
      </w:tr>
      <w:tr w:rsidR="00625753" w14:paraId="0074FED2" w14:textId="77777777" w:rsidTr="00F16287">
        <w:tc>
          <w:tcPr>
            <w:tcW w:w="2136" w:type="dxa"/>
            <w:tcBorders>
              <w:top w:val="nil"/>
              <w:left w:val="nil"/>
              <w:bottom w:val="nil"/>
              <w:right w:val="nil"/>
            </w:tcBorders>
          </w:tcPr>
          <w:p w14:paraId="73AEB5CC"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081556A"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656" w:type="dxa"/>
            <w:tcBorders>
              <w:top w:val="nil"/>
              <w:left w:val="nil"/>
              <w:bottom w:val="nil"/>
              <w:right w:val="nil"/>
            </w:tcBorders>
          </w:tcPr>
          <w:p w14:paraId="4CB67230"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(2.77)</w:t>
            </w:r>
          </w:p>
        </w:tc>
        <w:tc>
          <w:tcPr>
            <w:tcW w:w="1656" w:type="dxa"/>
            <w:tcBorders>
              <w:top w:val="nil"/>
              <w:left w:val="nil"/>
              <w:bottom w:val="nil"/>
              <w:right w:val="nil"/>
            </w:tcBorders>
          </w:tcPr>
          <w:p w14:paraId="0E477B80"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(2.84)</w:t>
            </w:r>
          </w:p>
        </w:tc>
        <w:tc>
          <w:tcPr>
            <w:tcW w:w="1656" w:type="dxa"/>
            <w:tcBorders>
              <w:top w:val="nil"/>
              <w:left w:val="nil"/>
              <w:bottom w:val="nil"/>
              <w:right w:val="nil"/>
            </w:tcBorders>
          </w:tcPr>
          <w:p w14:paraId="67598BBB"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w:t>
            </w:r>
          </w:p>
        </w:tc>
        <w:tc>
          <w:tcPr>
            <w:tcW w:w="1656" w:type="dxa"/>
            <w:tcBorders>
              <w:top w:val="nil"/>
              <w:left w:val="nil"/>
              <w:bottom w:val="nil"/>
              <w:right w:val="nil"/>
            </w:tcBorders>
          </w:tcPr>
          <w:p w14:paraId="7152618B"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(4.13)</w:t>
            </w:r>
          </w:p>
        </w:tc>
      </w:tr>
      <w:tr w:rsidR="00625753" w14:paraId="5B4190BC" w14:textId="77777777" w:rsidTr="00F16287">
        <w:tc>
          <w:tcPr>
            <w:tcW w:w="2136" w:type="dxa"/>
            <w:tcBorders>
              <w:top w:val="nil"/>
              <w:left w:val="nil"/>
              <w:bottom w:val="nil"/>
              <w:right w:val="nil"/>
            </w:tcBorders>
          </w:tcPr>
          <w:p w14:paraId="2360725E"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6103CD7"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7FAEE63"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098523C"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E97B4D2"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D009ADB"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r>
      <w:tr w:rsidR="00625753" w14:paraId="118B68C6" w14:textId="77777777" w:rsidTr="00F16287">
        <w:tc>
          <w:tcPr>
            <w:tcW w:w="2136" w:type="dxa"/>
            <w:tcBorders>
              <w:top w:val="nil"/>
              <w:left w:val="nil"/>
              <w:bottom w:val="nil"/>
              <w:right w:val="nil"/>
            </w:tcBorders>
          </w:tcPr>
          <w:p w14:paraId="7D5A5994"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Checks and Balances</w:t>
            </w:r>
          </w:p>
        </w:tc>
        <w:tc>
          <w:tcPr>
            <w:tcW w:w="1656" w:type="dxa"/>
            <w:tcBorders>
              <w:top w:val="nil"/>
              <w:left w:val="nil"/>
              <w:bottom w:val="nil"/>
              <w:right w:val="nil"/>
            </w:tcBorders>
          </w:tcPr>
          <w:p w14:paraId="0E2B8871"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0.0591</w:t>
            </w:r>
          </w:p>
        </w:tc>
        <w:tc>
          <w:tcPr>
            <w:tcW w:w="1656" w:type="dxa"/>
            <w:tcBorders>
              <w:top w:val="nil"/>
              <w:left w:val="nil"/>
              <w:bottom w:val="nil"/>
              <w:right w:val="nil"/>
            </w:tcBorders>
          </w:tcPr>
          <w:p w14:paraId="371E0C53"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-0.0772</w:t>
            </w:r>
          </w:p>
        </w:tc>
        <w:tc>
          <w:tcPr>
            <w:tcW w:w="1656" w:type="dxa"/>
            <w:tcBorders>
              <w:top w:val="nil"/>
              <w:left w:val="nil"/>
              <w:bottom w:val="nil"/>
              <w:right w:val="nil"/>
            </w:tcBorders>
          </w:tcPr>
          <w:p w14:paraId="16CBAB9D"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0.0476</w:t>
            </w:r>
          </w:p>
        </w:tc>
        <w:tc>
          <w:tcPr>
            <w:tcW w:w="1656" w:type="dxa"/>
            <w:tcBorders>
              <w:top w:val="nil"/>
              <w:left w:val="nil"/>
              <w:bottom w:val="nil"/>
              <w:right w:val="nil"/>
            </w:tcBorders>
          </w:tcPr>
          <w:p w14:paraId="1E836940"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-0.0151</w:t>
            </w:r>
          </w:p>
        </w:tc>
        <w:tc>
          <w:tcPr>
            <w:tcW w:w="1656" w:type="dxa"/>
            <w:tcBorders>
              <w:top w:val="nil"/>
              <w:left w:val="nil"/>
              <w:bottom w:val="nil"/>
              <w:right w:val="nil"/>
            </w:tcBorders>
          </w:tcPr>
          <w:p w14:paraId="32696D1B"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-0.0567</w:t>
            </w:r>
            <w:r>
              <w:rPr>
                <w:rFonts w:ascii="Times New Roman" w:hAnsi="Times New Roman" w:cs="Times New Roman"/>
                <w:sz w:val="24"/>
                <w:szCs w:val="24"/>
                <w:vertAlign w:val="superscript"/>
              </w:rPr>
              <w:t>*</w:t>
            </w:r>
          </w:p>
        </w:tc>
      </w:tr>
      <w:tr w:rsidR="00625753" w14:paraId="21958D7B" w14:textId="77777777" w:rsidTr="00F16287">
        <w:tc>
          <w:tcPr>
            <w:tcW w:w="2136" w:type="dxa"/>
            <w:tcBorders>
              <w:top w:val="nil"/>
              <w:left w:val="nil"/>
              <w:bottom w:val="nil"/>
              <w:right w:val="nil"/>
            </w:tcBorders>
          </w:tcPr>
          <w:p w14:paraId="2C3F1DBE"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C64C324"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w:t>
            </w:r>
          </w:p>
        </w:tc>
        <w:tc>
          <w:tcPr>
            <w:tcW w:w="1656" w:type="dxa"/>
            <w:tcBorders>
              <w:top w:val="nil"/>
              <w:left w:val="nil"/>
              <w:bottom w:val="nil"/>
              <w:right w:val="nil"/>
            </w:tcBorders>
          </w:tcPr>
          <w:p w14:paraId="109EE9A3"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w:t>
            </w:r>
          </w:p>
        </w:tc>
        <w:tc>
          <w:tcPr>
            <w:tcW w:w="1656" w:type="dxa"/>
            <w:tcBorders>
              <w:top w:val="nil"/>
              <w:left w:val="nil"/>
              <w:bottom w:val="nil"/>
              <w:right w:val="nil"/>
            </w:tcBorders>
          </w:tcPr>
          <w:p w14:paraId="3B75D67A"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w:t>
            </w:r>
          </w:p>
        </w:tc>
        <w:tc>
          <w:tcPr>
            <w:tcW w:w="1656" w:type="dxa"/>
            <w:tcBorders>
              <w:top w:val="nil"/>
              <w:left w:val="nil"/>
              <w:bottom w:val="nil"/>
              <w:right w:val="nil"/>
            </w:tcBorders>
          </w:tcPr>
          <w:p w14:paraId="32B1CC01"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c>
          <w:tcPr>
            <w:tcW w:w="1656" w:type="dxa"/>
            <w:tcBorders>
              <w:top w:val="nil"/>
              <w:left w:val="nil"/>
              <w:bottom w:val="nil"/>
              <w:right w:val="nil"/>
            </w:tcBorders>
          </w:tcPr>
          <w:p w14:paraId="69EC195A"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(-2.26)</w:t>
            </w:r>
          </w:p>
        </w:tc>
      </w:tr>
      <w:tr w:rsidR="00625753" w14:paraId="79E4ABBD" w14:textId="77777777" w:rsidTr="00F16287">
        <w:tc>
          <w:tcPr>
            <w:tcW w:w="2136" w:type="dxa"/>
            <w:tcBorders>
              <w:top w:val="nil"/>
              <w:left w:val="nil"/>
              <w:bottom w:val="nil"/>
              <w:right w:val="nil"/>
            </w:tcBorders>
          </w:tcPr>
          <w:p w14:paraId="01615DDC"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F5A80EA"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E104922"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1D25E33"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E74BF9B"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FE75CEC"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r>
      <w:tr w:rsidR="00625753" w14:paraId="690542E1" w14:textId="77777777" w:rsidTr="00F16287">
        <w:tc>
          <w:tcPr>
            <w:tcW w:w="2136" w:type="dxa"/>
            <w:tcBorders>
              <w:top w:val="nil"/>
              <w:left w:val="nil"/>
              <w:bottom w:val="nil"/>
              <w:right w:val="nil"/>
            </w:tcBorders>
          </w:tcPr>
          <w:p w14:paraId="549D61FA"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Autonomous Regions</w:t>
            </w:r>
          </w:p>
        </w:tc>
        <w:tc>
          <w:tcPr>
            <w:tcW w:w="1656" w:type="dxa"/>
            <w:tcBorders>
              <w:top w:val="nil"/>
              <w:left w:val="nil"/>
              <w:bottom w:val="nil"/>
              <w:right w:val="nil"/>
            </w:tcBorders>
          </w:tcPr>
          <w:p w14:paraId="34C49873"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1.098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5194B71"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656" w:type="dxa"/>
            <w:tcBorders>
              <w:top w:val="nil"/>
              <w:left w:val="nil"/>
              <w:bottom w:val="nil"/>
              <w:right w:val="nil"/>
            </w:tcBorders>
          </w:tcPr>
          <w:p w14:paraId="66701BD2"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0.251</w:t>
            </w:r>
          </w:p>
        </w:tc>
        <w:tc>
          <w:tcPr>
            <w:tcW w:w="1656" w:type="dxa"/>
            <w:tcBorders>
              <w:top w:val="nil"/>
              <w:left w:val="nil"/>
              <w:bottom w:val="nil"/>
              <w:right w:val="nil"/>
            </w:tcBorders>
          </w:tcPr>
          <w:p w14:paraId="75E8252C"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65E6F9AD"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-0.118</w:t>
            </w:r>
          </w:p>
        </w:tc>
      </w:tr>
      <w:tr w:rsidR="00625753" w14:paraId="42AA3B76" w14:textId="77777777" w:rsidTr="00F16287">
        <w:tc>
          <w:tcPr>
            <w:tcW w:w="2136" w:type="dxa"/>
            <w:tcBorders>
              <w:top w:val="nil"/>
              <w:left w:val="nil"/>
              <w:bottom w:val="nil"/>
              <w:right w:val="nil"/>
            </w:tcBorders>
          </w:tcPr>
          <w:p w14:paraId="09E39433"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AB90F90"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656" w:type="dxa"/>
            <w:tcBorders>
              <w:top w:val="nil"/>
              <w:left w:val="nil"/>
              <w:bottom w:val="nil"/>
              <w:right w:val="nil"/>
            </w:tcBorders>
          </w:tcPr>
          <w:p w14:paraId="2896F981"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w:t>
            </w:r>
          </w:p>
        </w:tc>
        <w:tc>
          <w:tcPr>
            <w:tcW w:w="1656" w:type="dxa"/>
            <w:tcBorders>
              <w:top w:val="nil"/>
              <w:left w:val="nil"/>
              <w:bottom w:val="nil"/>
              <w:right w:val="nil"/>
            </w:tcBorders>
          </w:tcPr>
          <w:p w14:paraId="42EE9CCF"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w:t>
            </w:r>
          </w:p>
        </w:tc>
        <w:tc>
          <w:tcPr>
            <w:tcW w:w="1656" w:type="dxa"/>
            <w:tcBorders>
              <w:top w:val="nil"/>
              <w:left w:val="nil"/>
              <w:bottom w:val="nil"/>
              <w:right w:val="nil"/>
            </w:tcBorders>
          </w:tcPr>
          <w:p w14:paraId="57028DF6"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180CEB44"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w:t>
            </w:r>
          </w:p>
        </w:tc>
      </w:tr>
      <w:tr w:rsidR="00625753" w14:paraId="1E544F1A" w14:textId="77777777" w:rsidTr="00F16287">
        <w:tc>
          <w:tcPr>
            <w:tcW w:w="2136" w:type="dxa"/>
            <w:tcBorders>
              <w:top w:val="nil"/>
              <w:left w:val="nil"/>
              <w:bottom w:val="nil"/>
              <w:right w:val="nil"/>
            </w:tcBorders>
          </w:tcPr>
          <w:p w14:paraId="17B7FAB5"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819A742"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B32369D"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066023F"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471033A"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E95A7D5"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r>
      <w:tr w:rsidR="00625753" w14:paraId="606E1A10" w14:textId="77777777" w:rsidTr="00F16287">
        <w:tc>
          <w:tcPr>
            <w:tcW w:w="2136" w:type="dxa"/>
            <w:tcBorders>
              <w:top w:val="nil"/>
              <w:left w:val="nil"/>
              <w:bottom w:val="nil"/>
              <w:right w:val="nil"/>
            </w:tcBorders>
          </w:tcPr>
          <w:p w14:paraId="236B5F2E"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 Government Authority over Taxing, Spending, or Legislating</w:t>
            </w:r>
          </w:p>
        </w:tc>
        <w:tc>
          <w:tcPr>
            <w:tcW w:w="1656" w:type="dxa"/>
            <w:tcBorders>
              <w:top w:val="nil"/>
              <w:left w:val="nil"/>
              <w:bottom w:val="nil"/>
              <w:right w:val="nil"/>
            </w:tcBorders>
          </w:tcPr>
          <w:p w14:paraId="692F2D2B"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1E4B312"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0.0281</w:t>
            </w:r>
          </w:p>
        </w:tc>
        <w:tc>
          <w:tcPr>
            <w:tcW w:w="1656" w:type="dxa"/>
            <w:tcBorders>
              <w:top w:val="nil"/>
              <w:left w:val="nil"/>
              <w:bottom w:val="nil"/>
              <w:right w:val="nil"/>
            </w:tcBorders>
          </w:tcPr>
          <w:p w14:paraId="4DB69B52"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0.130</w:t>
            </w:r>
          </w:p>
        </w:tc>
        <w:tc>
          <w:tcPr>
            <w:tcW w:w="1656" w:type="dxa"/>
            <w:tcBorders>
              <w:top w:val="nil"/>
              <w:left w:val="nil"/>
              <w:bottom w:val="nil"/>
              <w:right w:val="nil"/>
            </w:tcBorders>
          </w:tcPr>
          <w:p w14:paraId="71717433"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2883B972"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0.239</w:t>
            </w:r>
            <w:r>
              <w:rPr>
                <w:rFonts w:ascii="Times New Roman" w:hAnsi="Times New Roman" w:cs="Times New Roman"/>
                <w:sz w:val="24"/>
                <w:szCs w:val="24"/>
                <w:vertAlign w:val="superscript"/>
              </w:rPr>
              <w:t>**</w:t>
            </w:r>
          </w:p>
        </w:tc>
      </w:tr>
      <w:tr w:rsidR="00625753" w14:paraId="6FF62F90" w14:textId="77777777" w:rsidTr="00F16287">
        <w:tc>
          <w:tcPr>
            <w:tcW w:w="2136" w:type="dxa"/>
            <w:tcBorders>
              <w:top w:val="nil"/>
              <w:left w:val="nil"/>
              <w:bottom w:val="nil"/>
              <w:right w:val="nil"/>
            </w:tcBorders>
          </w:tcPr>
          <w:p w14:paraId="7AEAB4DF"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929BFC8"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(11.06)</w:t>
            </w:r>
          </w:p>
        </w:tc>
        <w:tc>
          <w:tcPr>
            <w:tcW w:w="1656" w:type="dxa"/>
            <w:tcBorders>
              <w:top w:val="nil"/>
              <w:left w:val="nil"/>
              <w:bottom w:val="nil"/>
              <w:right w:val="nil"/>
            </w:tcBorders>
          </w:tcPr>
          <w:p w14:paraId="71AF1D5E"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656" w:type="dxa"/>
            <w:tcBorders>
              <w:top w:val="nil"/>
              <w:left w:val="nil"/>
              <w:bottom w:val="nil"/>
              <w:right w:val="nil"/>
            </w:tcBorders>
          </w:tcPr>
          <w:p w14:paraId="66068473"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(0.79)</w:t>
            </w:r>
          </w:p>
        </w:tc>
        <w:tc>
          <w:tcPr>
            <w:tcW w:w="1656" w:type="dxa"/>
            <w:tcBorders>
              <w:top w:val="nil"/>
              <w:left w:val="nil"/>
              <w:bottom w:val="nil"/>
              <w:right w:val="nil"/>
            </w:tcBorders>
          </w:tcPr>
          <w:p w14:paraId="23141FCC"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56149DCA"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625753" w14:paraId="6751AD6F" w14:textId="77777777" w:rsidTr="00F16287">
        <w:tc>
          <w:tcPr>
            <w:tcW w:w="2136" w:type="dxa"/>
            <w:tcBorders>
              <w:top w:val="nil"/>
              <w:left w:val="nil"/>
              <w:bottom w:val="nil"/>
              <w:right w:val="nil"/>
            </w:tcBorders>
          </w:tcPr>
          <w:p w14:paraId="528B97B4"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047BFE9"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B9A4095"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7AC8666"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0ACAAAE"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B1CB4D3"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r>
      <w:tr w:rsidR="00625753" w14:paraId="613DF208" w14:textId="77777777" w:rsidTr="00F16287">
        <w:tc>
          <w:tcPr>
            <w:tcW w:w="2136" w:type="dxa"/>
            <w:tcBorders>
              <w:top w:val="nil"/>
              <w:left w:val="nil"/>
              <w:bottom w:val="nil"/>
              <w:right w:val="nil"/>
            </w:tcBorders>
          </w:tcPr>
          <w:p w14:paraId="437770A9"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Coord</w:t>
            </w:r>
          </w:p>
        </w:tc>
        <w:tc>
          <w:tcPr>
            <w:tcW w:w="1656" w:type="dxa"/>
            <w:tcBorders>
              <w:top w:val="nil"/>
              <w:left w:val="nil"/>
              <w:bottom w:val="nil"/>
              <w:right w:val="nil"/>
            </w:tcBorders>
          </w:tcPr>
          <w:p w14:paraId="5829EE77"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0.0680</w:t>
            </w:r>
          </w:p>
        </w:tc>
        <w:tc>
          <w:tcPr>
            <w:tcW w:w="1656" w:type="dxa"/>
            <w:tcBorders>
              <w:top w:val="nil"/>
              <w:left w:val="nil"/>
              <w:bottom w:val="nil"/>
              <w:right w:val="nil"/>
            </w:tcBorders>
          </w:tcPr>
          <w:p w14:paraId="5BAE3AB9"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0.156</w:t>
            </w:r>
          </w:p>
        </w:tc>
        <w:tc>
          <w:tcPr>
            <w:tcW w:w="1656" w:type="dxa"/>
            <w:tcBorders>
              <w:top w:val="nil"/>
              <w:left w:val="nil"/>
              <w:bottom w:val="nil"/>
              <w:right w:val="nil"/>
            </w:tcBorders>
          </w:tcPr>
          <w:p w14:paraId="460FAFD6"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1656" w:type="dxa"/>
            <w:tcBorders>
              <w:top w:val="nil"/>
              <w:left w:val="nil"/>
              <w:bottom w:val="nil"/>
              <w:right w:val="nil"/>
            </w:tcBorders>
          </w:tcPr>
          <w:p w14:paraId="62D97C68"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-0.0753</w:t>
            </w:r>
          </w:p>
        </w:tc>
        <w:tc>
          <w:tcPr>
            <w:tcW w:w="1656" w:type="dxa"/>
            <w:tcBorders>
              <w:top w:val="nil"/>
              <w:left w:val="nil"/>
              <w:bottom w:val="nil"/>
              <w:right w:val="nil"/>
            </w:tcBorders>
          </w:tcPr>
          <w:p w14:paraId="4C868F8D"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-0.0141</w:t>
            </w:r>
          </w:p>
        </w:tc>
      </w:tr>
      <w:tr w:rsidR="00625753" w14:paraId="12BA71A5" w14:textId="77777777" w:rsidTr="00F16287">
        <w:tc>
          <w:tcPr>
            <w:tcW w:w="2136" w:type="dxa"/>
            <w:tcBorders>
              <w:top w:val="nil"/>
              <w:left w:val="nil"/>
              <w:bottom w:val="nil"/>
              <w:right w:val="nil"/>
            </w:tcBorders>
          </w:tcPr>
          <w:p w14:paraId="207B06A2"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ABA33A5"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c>
          <w:tcPr>
            <w:tcW w:w="1656" w:type="dxa"/>
            <w:tcBorders>
              <w:top w:val="nil"/>
              <w:left w:val="nil"/>
              <w:bottom w:val="nil"/>
              <w:right w:val="nil"/>
            </w:tcBorders>
          </w:tcPr>
          <w:p w14:paraId="445BFCA9"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656" w:type="dxa"/>
            <w:tcBorders>
              <w:top w:val="nil"/>
              <w:left w:val="nil"/>
              <w:bottom w:val="nil"/>
              <w:right w:val="nil"/>
            </w:tcBorders>
          </w:tcPr>
          <w:p w14:paraId="17F8B052"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656" w:type="dxa"/>
            <w:tcBorders>
              <w:top w:val="nil"/>
              <w:left w:val="nil"/>
              <w:bottom w:val="nil"/>
              <w:right w:val="nil"/>
            </w:tcBorders>
          </w:tcPr>
          <w:p w14:paraId="3A90F3DC"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656" w:type="dxa"/>
            <w:tcBorders>
              <w:top w:val="nil"/>
              <w:left w:val="nil"/>
              <w:bottom w:val="nil"/>
              <w:right w:val="nil"/>
            </w:tcBorders>
          </w:tcPr>
          <w:p w14:paraId="65E80FFE"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w:t>
            </w:r>
          </w:p>
        </w:tc>
      </w:tr>
      <w:tr w:rsidR="00625753" w14:paraId="5E83429B" w14:textId="77777777" w:rsidTr="00F16287">
        <w:tc>
          <w:tcPr>
            <w:tcW w:w="2136" w:type="dxa"/>
            <w:tcBorders>
              <w:top w:val="nil"/>
              <w:left w:val="nil"/>
              <w:bottom w:val="nil"/>
              <w:right w:val="nil"/>
            </w:tcBorders>
          </w:tcPr>
          <w:p w14:paraId="15A68FC6"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1E667B0"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F248CB9"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837817A"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46F114B"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3F73A46"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r>
      <w:tr w:rsidR="00625753" w14:paraId="12BC6644" w14:textId="77777777" w:rsidTr="00F16287">
        <w:tc>
          <w:tcPr>
            <w:tcW w:w="2136" w:type="dxa"/>
            <w:tcBorders>
              <w:top w:val="nil"/>
              <w:left w:val="nil"/>
              <w:bottom w:val="nil"/>
              <w:right w:val="nil"/>
            </w:tcBorders>
          </w:tcPr>
          <w:p w14:paraId="6C9F1078"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Type</w:t>
            </w:r>
          </w:p>
        </w:tc>
        <w:tc>
          <w:tcPr>
            <w:tcW w:w="1656" w:type="dxa"/>
            <w:tcBorders>
              <w:top w:val="nil"/>
              <w:left w:val="nil"/>
              <w:bottom w:val="nil"/>
              <w:right w:val="nil"/>
            </w:tcBorders>
          </w:tcPr>
          <w:p w14:paraId="2D47B578"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0.00993</w:t>
            </w:r>
          </w:p>
        </w:tc>
        <w:tc>
          <w:tcPr>
            <w:tcW w:w="1656" w:type="dxa"/>
            <w:tcBorders>
              <w:top w:val="nil"/>
              <w:left w:val="nil"/>
              <w:bottom w:val="nil"/>
              <w:right w:val="nil"/>
            </w:tcBorders>
          </w:tcPr>
          <w:p w14:paraId="33098965"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-0.0685</w:t>
            </w:r>
          </w:p>
        </w:tc>
        <w:tc>
          <w:tcPr>
            <w:tcW w:w="1656" w:type="dxa"/>
            <w:tcBorders>
              <w:top w:val="nil"/>
              <w:left w:val="nil"/>
              <w:bottom w:val="nil"/>
              <w:right w:val="nil"/>
            </w:tcBorders>
          </w:tcPr>
          <w:p w14:paraId="0FE8C881"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0.0270</w:t>
            </w:r>
          </w:p>
        </w:tc>
        <w:tc>
          <w:tcPr>
            <w:tcW w:w="1656" w:type="dxa"/>
            <w:tcBorders>
              <w:top w:val="nil"/>
              <w:left w:val="nil"/>
              <w:bottom w:val="nil"/>
              <w:right w:val="nil"/>
            </w:tcBorders>
          </w:tcPr>
          <w:p w14:paraId="7060A40C"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682607D"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-0.0487</w:t>
            </w:r>
          </w:p>
        </w:tc>
      </w:tr>
      <w:tr w:rsidR="00625753" w14:paraId="359BDD14" w14:textId="77777777" w:rsidTr="00F16287">
        <w:tc>
          <w:tcPr>
            <w:tcW w:w="2136" w:type="dxa"/>
            <w:tcBorders>
              <w:top w:val="nil"/>
              <w:left w:val="nil"/>
              <w:bottom w:val="nil"/>
              <w:right w:val="nil"/>
            </w:tcBorders>
          </w:tcPr>
          <w:p w14:paraId="60AC03C9"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21A21FE"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656" w:type="dxa"/>
            <w:tcBorders>
              <w:top w:val="nil"/>
              <w:left w:val="nil"/>
              <w:bottom w:val="nil"/>
              <w:right w:val="nil"/>
            </w:tcBorders>
          </w:tcPr>
          <w:p w14:paraId="7F96DD4B"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656" w:type="dxa"/>
            <w:tcBorders>
              <w:top w:val="nil"/>
              <w:left w:val="nil"/>
              <w:bottom w:val="nil"/>
              <w:right w:val="nil"/>
            </w:tcBorders>
          </w:tcPr>
          <w:p w14:paraId="59B48626"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656" w:type="dxa"/>
            <w:tcBorders>
              <w:top w:val="nil"/>
              <w:left w:val="nil"/>
              <w:bottom w:val="nil"/>
              <w:right w:val="nil"/>
            </w:tcBorders>
          </w:tcPr>
          <w:p w14:paraId="7D8B3C0A"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w:t>
            </w:r>
          </w:p>
        </w:tc>
        <w:tc>
          <w:tcPr>
            <w:tcW w:w="1656" w:type="dxa"/>
            <w:tcBorders>
              <w:top w:val="nil"/>
              <w:left w:val="nil"/>
              <w:bottom w:val="nil"/>
              <w:right w:val="nil"/>
            </w:tcBorders>
          </w:tcPr>
          <w:p w14:paraId="618B3C79"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(-0.89)</w:t>
            </w:r>
          </w:p>
        </w:tc>
      </w:tr>
      <w:tr w:rsidR="00625753" w14:paraId="180CA511" w14:textId="77777777" w:rsidTr="00F16287">
        <w:tc>
          <w:tcPr>
            <w:tcW w:w="2136" w:type="dxa"/>
            <w:tcBorders>
              <w:top w:val="nil"/>
              <w:left w:val="nil"/>
              <w:bottom w:val="nil"/>
              <w:right w:val="nil"/>
            </w:tcBorders>
          </w:tcPr>
          <w:p w14:paraId="377D0A0E"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2F780FE"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C1C7C2B"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BD46D0A"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F67F65E"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26356FA"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r>
      <w:tr w:rsidR="00625753" w14:paraId="2059D410" w14:textId="77777777" w:rsidTr="00F16287">
        <w:tc>
          <w:tcPr>
            <w:tcW w:w="2136" w:type="dxa"/>
            <w:tcBorders>
              <w:top w:val="nil"/>
              <w:left w:val="nil"/>
              <w:bottom w:val="nil"/>
              <w:right w:val="nil"/>
            </w:tcBorders>
          </w:tcPr>
          <w:p w14:paraId="38253466"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065801E1"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-0.165</w:t>
            </w:r>
          </w:p>
        </w:tc>
        <w:tc>
          <w:tcPr>
            <w:tcW w:w="1656" w:type="dxa"/>
            <w:tcBorders>
              <w:top w:val="nil"/>
              <w:left w:val="nil"/>
              <w:bottom w:val="nil"/>
              <w:right w:val="nil"/>
            </w:tcBorders>
          </w:tcPr>
          <w:p w14:paraId="794CB986"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-0.191</w:t>
            </w:r>
          </w:p>
        </w:tc>
        <w:tc>
          <w:tcPr>
            <w:tcW w:w="1656" w:type="dxa"/>
            <w:tcBorders>
              <w:top w:val="nil"/>
              <w:left w:val="nil"/>
              <w:bottom w:val="nil"/>
              <w:right w:val="nil"/>
            </w:tcBorders>
          </w:tcPr>
          <w:p w14:paraId="0F765101"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-0.144</w:t>
            </w:r>
          </w:p>
        </w:tc>
        <w:tc>
          <w:tcPr>
            <w:tcW w:w="1656" w:type="dxa"/>
            <w:tcBorders>
              <w:top w:val="nil"/>
              <w:left w:val="nil"/>
              <w:bottom w:val="nil"/>
              <w:right w:val="nil"/>
            </w:tcBorders>
          </w:tcPr>
          <w:p w14:paraId="490E48A3"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40574AC"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-0.451</w:t>
            </w:r>
          </w:p>
        </w:tc>
      </w:tr>
      <w:tr w:rsidR="00625753" w14:paraId="3FB1375D" w14:textId="77777777" w:rsidTr="00F16287">
        <w:tc>
          <w:tcPr>
            <w:tcW w:w="2136" w:type="dxa"/>
            <w:tcBorders>
              <w:top w:val="nil"/>
              <w:left w:val="nil"/>
              <w:bottom w:val="single" w:sz="4" w:space="0" w:color="auto"/>
              <w:right w:val="nil"/>
            </w:tcBorders>
          </w:tcPr>
          <w:p w14:paraId="31291AAB"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10F0D616"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656" w:type="dxa"/>
            <w:tcBorders>
              <w:top w:val="nil"/>
              <w:left w:val="nil"/>
              <w:bottom w:val="single" w:sz="4" w:space="0" w:color="auto"/>
              <w:right w:val="nil"/>
            </w:tcBorders>
          </w:tcPr>
          <w:p w14:paraId="0251B3CE"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w:t>
            </w:r>
          </w:p>
        </w:tc>
        <w:tc>
          <w:tcPr>
            <w:tcW w:w="1656" w:type="dxa"/>
            <w:tcBorders>
              <w:top w:val="nil"/>
              <w:left w:val="nil"/>
              <w:bottom w:val="single" w:sz="4" w:space="0" w:color="auto"/>
              <w:right w:val="nil"/>
            </w:tcBorders>
          </w:tcPr>
          <w:p w14:paraId="136BA6F4"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656" w:type="dxa"/>
            <w:tcBorders>
              <w:top w:val="nil"/>
              <w:left w:val="nil"/>
              <w:bottom w:val="single" w:sz="4" w:space="0" w:color="auto"/>
              <w:right w:val="nil"/>
            </w:tcBorders>
          </w:tcPr>
          <w:p w14:paraId="23F08C34"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(2.55)</w:t>
            </w:r>
          </w:p>
        </w:tc>
        <w:tc>
          <w:tcPr>
            <w:tcW w:w="1656" w:type="dxa"/>
            <w:tcBorders>
              <w:top w:val="nil"/>
              <w:left w:val="nil"/>
              <w:bottom w:val="single" w:sz="4" w:space="0" w:color="auto"/>
              <w:right w:val="nil"/>
            </w:tcBorders>
          </w:tcPr>
          <w:p w14:paraId="5E3F5BCA"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(-1.49)</w:t>
            </w:r>
          </w:p>
        </w:tc>
      </w:tr>
      <w:tr w:rsidR="00625753" w14:paraId="43B4F7B3" w14:textId="77777777" w:rsidTr="00F16287">
        <w:tc>
          <w:tcPr>
            <w:tcW w:w="2136" w:type="dxa"/>
            <w:tcBorders>
              <w:top w:val="nil"/>
              <w:left w:val="nil"/>
              <w:bottom w:val="single" w:sz="4" w:space="0" w:color="auto"/>
              <w:right w:val="nil"/>
            </w:tcBorders>
          </w:tcPr>
          <w:p w14:paraId="0CA5C29B" w14:textId="77777777" w:rsidR="00625753" w:rsidRDefault="0062575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4E27634A"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221</w:t>
            </w:r>
          </w:p>
        </w:tc>
        <w:tc>
          <w:tcPr>
            <w:tcW w:w="1656" w:type="dxa"/>
            <w:tcBorders>
              <w:top w:val="nil"/>
              <w:left w:val="nil"/>
              <w:bottom w:val="single" w:sz="4" w:space="0" w:color="auto"/>
              <w:right w:val="nil"/>
            </w:tcBorders>
          </w:tcPr>
          <w:p w14:paraId="5818E373"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221</w:t>
            </w:r>
          </w:p>
        </w:tc>
        <w:tc>
          <w:tcPr>
            <w:tcW w:w="1656" w:type="dxa"/>
            <w:tcBorders>
              <w:top w:val="nil"/>
              <w:left w:val="nil"/>
              <w:bottom w:val="single" w:sz="4" w:space="0" w:color="auto"/>
              <w:right w:val="nil"/>
            </w:tcBorders>
          </w:tcPr>
          <w:p w14:paraId="4DDA9D40"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1656" w:type="dxa"/>
            <w:tcBorders>
              <w:top w:val="nil"/>
              <w:left w:val="nil"/>
              <w:bottom w:val="single" w:sz="4" w:space="0" w:color="auto"/>
              <w:right w:val="nil"/>
            </w:tcBorders>
          </w:tcPr>
          <w:p w14:paraId="56CF7E5C"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365</w:t>
            </w:r>
          </w:p>
        </w:tc>
        <w:tc>
          <w:tcPr>
            <w:tcW w:w="1656" w:type="dxa"/>
            <w:tcBorders>
              <w:top w:val="nil"/>
              <w:left w:val="nil"/>
              <w:bottom w:val="single" w:sz="4" w:space="0" w:color="auto"/>
              <w:right w:val="nil"/>
            </w:tcBorders>
          </w:tcPr>
          <w:p w14:paraId="712F6EA7" w14:textId="77777777" w:rsidR="00625753" w:rsidRDefault="0062575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488</w:t>
            </w:r>
          </w:p>
        </w:tc>
      </w:tr>
    </w:tbl>
    <w:p w14:paraId="108F71C3" w14:textId="77777777" w:rsidR="002338C3" w:rsidRDefault="002338C3" w:rsidP="002338C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 xml:space="preserve"> statistics in parentheses</w:t>
      </w:r>
    </w:p>
    <w:p w14:paraId="6A0BF03F" w14:textId="77777777" w:rsidR="002338C3" w:rsidRDefault="002338C3" w:rsidP="002338C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0.001</w:t>
      </w:r>
    </w:p>
    <w:p w14:paraId="670C99BE" w14:textId="77777777" w:rsidR="002338C3" w:rsidRDefault="002338C3" w:rsidP="002338C3">
      <w:pPr>
        <w:widowControl w:val="0"/>
        <w:autoSpaceDE w:val="0"/>
        <w:autoSpaceDN w:val="0"/>
        <w:adjustRightInd w:val="0"/>
        <w:spacing w:after="0" w:line="240" w:lineRule="auto"/>
        <w:rPr>
          <w:rFonts w:ascii="Times New Roman" w:hAnsi="Times New Roman" w:cs="Times New Roman"/>
          <w:sz w:val="24"/>
          <w:szCs w:val="24"/>
        </w:rPr>
      </w:pPr>
    </w:p>
    <w:p w14:paraId="2B2C8046" w14:textId="77777777" w:rsidR="00FF2C5F" w:rsidRDefault="00FF2C5F" w:rsidP="00FF2C5F">
      <w:pPr>
        <w:widowControl w:val="0"/>
        <w:autoSpaceDE w:val="0"/>
        <w:autoSpaceDN w:val="0"/>
        <w:adjustRightInd w:val="0"/>
        <w:spacing w:after="0" w:line="240" w:lineRule="auto"/>
        <w:rPr>
          <w:rFonts w:ascii="Times New Roman" w:hAnsi="Times New Roman" w:cs="Times New Roman"/>
          <w:sz w:val="24"/>
          <w:szCs w:val="24"/>
        </w:rPr>
      </w:pPr>
    </w:p>
    <w:p w14:paraId="228BBB5F" w14:textId="3942902C" w:rsidR="00442124" w:rsidRPr="00625753" w:rsidRDefault="00FF6C76" w:rsidP="002338C3">
      <w:pPr>
        <w:widowControl w:val="0"/>
        <w:autoSpaceDE w:val="0"/>
        <w:autoSpaceDN w:val="0"/>
        <w:adjustRightInd w:val="0"/>
        <w:spacing w:after="0" w:line="240" w:lineRule="auto"/>
      </w:pPr>
      <w:r w:rsidRPr="00625753">
        <w:t>Table A</w:t>
      </w:r>
      <w:r w:rsidR="00D12663" w:rsidRPr="00625753">
        <w:t>10</w:t>
      </w:r>
      <w:r w:rsidRPr="00625753">
        <w:t>: All Controls Excluding Corporatism, Fixed Effects and Clustered Standard Errors</w:t>
      </w:r>
    </w:p>
    <w:p w14:paraId="2A6EEC8E" w14:textId="77777777" w:rsidR="00FF6C76" w:rsidRPr="00194F07" w:rsidRDefault="00FF6C76" w:rsidP="002338C3">
      <w:pPr>
        <w:widowControl w:val="0"/>
        <w:autoSpaceDE w:val="0"/>
        <w:autoSpaceDN w:val="0"/>
        <w:adjustRightInd w:val="0"/>
        <w:spacing w:after="0" w:line="240" w:lineRule="auto"/>
        <w:rPr>
          <w:highlight w:val="yellow"/>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8E6B65" w14:paraId="0A81A9F4" w14:textId="77777777" w:rsidTr="00F16287">
        <w:tc>
          <w:tcPr>
            <w:tcW w:w="2136" w:type="dxa"/>
            <w:tcBorders>
              <w:top w:val="single" w:sz="4" w:space="0" w:color="auto"/>
              <w:left w:val="nil"/>
              <w:bottom w:val="nil"/>
              <w:right w:val="nil"/>
            </w:tcBorders>
          </w:tcPr>
          <w:p w14:paraId="413E33EB"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0A5A991D"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50B09FBD"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22ECE3F6"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74F22716"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08D26537"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8E6B65" w14:paraId="6F9D7213" w14:textId="77777777" w:rsidTr="00F16287">
        <w:tc>
          <w:tcPr>
            <w:tcW w:w="2136" w:type="dxa"/>
            <w:tcBorders>
              <w:top w:val="nil"/>
              <w:left w:val="nil"/>
              <w:bottom w:val="nil"/>
              <w:right w:val="nil"/>
            </w:tcBorders>
          </w:tcPr>
          <w:p w14:paraId="2B61A73F"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C59D8CD"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7DDF2429"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747B241D"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33256A0B"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3D61E510"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8E6B65" w14:paraId="72F47670" w14:textId="77777777" w:rsidTr="00F16287">
        <w:tc>
          <w:tcPr>
            <w:tcW w:w="2136" w:type="dxa"/>
            <w:tcBorders>
              <w:top w:val="single" w:sz="4" w:space="0" w:color="auto"/>
              <w:left w:val="nil"/>
              <w:bottom w:val="nil"/>
              <w:right w:val="nil"/>
            </w:tcBorders>
          </w:tcPr>
          <w:p w14:paraId="062E25E3" w14:textId="77777777" w:rsidR="008E6B65" w:rsidRPr="008E6B65" w:rsidRDefault="008E6B65" w:rsidP="00F16287">
            <w:pPr>
              <w:widowControl w:val="0"/>
              <w:autoSpaceDE w:val="0"/>
              <w:autoSpaceDN w:val="0"/>
              <w:adjustRightInd w:val="0"/>
              <w:spacing w:after="0" w:line="240" w:lineRule="auto"/>
              <w:rPr>
                <w:rFonts w:ascii="Times New Roman" w:hAnsi="Times New Roman" w:cs="Times New Roman"/>
                <w:sz w:val="24"/>
                <w:szCs w:val="24"/>
                <w:lang w:val="fr-BE"/>
              </w:rPr>
            </w:pPr>
            <w:r w:rsidRPr="008E6B65">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337026FE"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0.181</w:t>
            </w:r>
          </w:p>
        </w:tc>
        <w:tc>
          <w:tcPr>
            <w:tcW w:w="1656" w:type="dxa"/>
            <w:tcBorders>
              <w:top w:val="single" w:sz="4" w:space="0" w:color="auto"/>
              <w:left w:val="nil"/>
              <w:bottom w:val="nil"/>
              <w:right w:val="nil"/>
            </w:tcBorders>
          </w:tcPr>
          <w:p w14:paraId="7094BA95"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0.151</w:t>
            </w:r>
          </w:p>
        </w:tc>
        <w:tc>
          <w:tcPr>
            <w:tcW w:w="1656" w:type="dxa"/>
            <w:tcBorders>
              <w:top w:val="single" w:sz="4" w:space="0" w:color="auto"/>
              <w:left w:val="nil"/>
              <w:bottom w:val="nil"/>
              <w:right w:val="nil"/>
            </w:tcBorders>
          </w:tcPr>
          <w:p w14:paraId="14C6DDF1"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0.481</w:t>
            </w:r>
          </w:p>
        </w:tc>
        <w:tc>
          <w:tcPr>
            <w:tcW w:w="1656" w:type="dxa"/>
            <w:tcBorders>
              <w:top w:val="single" w:sz="4" w:space="0" w:color="auto"/>
              <w:left w:val="nil"/>
              <w:bottom w:val="nil"/>
              <w:right w:val="nil"/>
            </w:tcBorders>
          </w:tcPr>
          <w:p w14:paraId="2C3D2B1D"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-0.531</w:t>
            </w:r>
          </w:p>
        </w:tc>
        <w:tc>
          <w:tcPr>
            <w:tcW w:w="1656" w:type="dxa"/>
            <w:tcBorders>
              <w:top w:val="single" w:sz="4" w:space="0" w:color="auto"/>
              <w:left w:val="nil"/>
              <w:bottom w:val="nil"/>
              <w:right w:val="nil"/>
            </w:tcBorders>
          </w:tcPr>
          <w:p w14:paraId="41ABB2BB"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0.961</w:t>
            </w:r>
            <w:r>
              <w:rPr>
                <w:rFonts w:ascii="Times New Roman" w:hAnsi="Times New Roman" w:cs="Times New Roman"/>
                <w:sz w:val="24"/>
                <w:szCs w:val="24"/>
                <w:vertAlign w:val="superscript"/>
              </w:rPr>
              <w:t>***</w:t>
            </w:r>
          </w:p>
        </w:tc>
      </w:tr>
      <w:tr w:rsidR="008E6B65" w14:paraId="31B74E7D" w14:textId="77777777" w:rsidTr="00F16287">
        <w:tc>
          <w:tcPr>
            <w:tcW w:w="2136" w:type="dxa"/>
            <w:tcBorders>
              <w:top w:val="nil"/>
              <w:left w:val="nil"/>
              <w:bottom w:val="nil"/>
              <w:right w:val="nil"/>
            </w:tcBorders>
          </w:tcPr>
          <w:p w14:paraId="2770A3F8"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74F2F8C"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656" w:type="dxa"/>
            <w:tcBorders>
              <w:top w:val="nil"/>
              <w:left w:val="nil"/>
              <w:bottom w:val="nil"/>
              <w:right w:val="nil"/>
            </w:tcBorders>
          </w:tcPr>
          <w:p w14:paraId="23DFC828"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w:t>
            </w:r>
          </w:p>
        </w:tc>
        <w:tc>
          <w:tcPr>
            <w:tcW w:w="1656" w:type="dxa"/>
            <w:tcBorders>
              <w:top w:val="nil"/>
              <w:left w:val="nil"/>
              <w:bottom w:val="nil"/>
              <w:right w:val="nil"/>
            </w:tcBorders>
          </w:tcPr>
          <w:p w14:paraId="5B0E6625"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w:t>
            </w:r>
          </w:p>
        </w:tc>
        <w:tc>
          <w:tcPr>
            <w:tcW w:w="1656" w:type="dxa"/>
            <w:tcBorders>
              <w:top w:val="nil"/>
              <w:left w:val="nil"/>
              <w:bottom w:val="nil"/>
              <w:right w:val="nil"/>
            </w:tcBorders>
          </w:tcPr>
          <w:p w14:paraId="52717B72"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(-1.98)</w:t>
            </w:r>
          </w:p>
        </w:tc>
        <w:tc>
          <w:tcPr>
            <w:tcW w:w="1656" w:type="dxa"/>
            <w:tcBorders>
              <w:top w:val="nil"/>
              <w:left w:val="nil"/>
              <w:bottom w:val="nil"/>
              <w:right w:val="nil"/>
            </w:tcBorders>
          </w:tcPr>
          <w:p w14:paraId="6699B4BB"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(5.33)</w:t>
            </w:r>
          </w:p>
        </w:tc>
      </w:tr>
      <w:tr w:rsidR="008E6B65" w14:paraId="5F31426E" w14:textId="77777777" w:rsidTr="00F16287">
        <w:tc>
          <w:tcPr>
            <w:tcW w:w="2136" w:type="dxa"/>
            <w:tcBorders>
              <w:top w:val="nil"/>
              <w:left w:val="nil"/>
              <w:bottom w:val="nil"/>
              <w:right w:val="nil"/>
            </w:tcBorders>
          </w:tcPr>
          <w:p w14:paraId="604AE21B"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3D117B3"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7870B76"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2CF9B1E"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17E7B15"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C449C69"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r>
      <w:tr w:rsidR="008E6B65" w14:paraId="5BE313C4" w14:textId="77777777" w:rsidTr="00F16287">
        <w:tc>
          <w:tcPr>
            <w:tcW w:w="2136" w:type="dxa"/>
            <w:tcBorders>
              <w:top w:val="nil"/>
              <w:left w:val="nil"/>
              <w:bottom w:val="nil"/>
              <w:right w:val="nil"/>
            </w:tcBorders>
          </w:tcPr>
          <w:p w14:paraId="7FCE7170"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2DE2E314"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-0.00641</w:t>
            </w:r>
          </w:p>
        </w:tc>
        <w:tc>
          <w:tcPr>
            <w:tcW w:w="1656" w:type="dxa"/>
            <w:tcBorders>
              <w:top w:val="nil"/>
              <w:left w:val="nil"/>
              <w:bottom w:val="nil"/>
              <w:right w:val="nil"/>
            </w:tcBorders>
          </w:tcPr>
          <w:p w14:paraId="742E46D0"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E5F7D85"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0.00257</w:t>
            </w:r>
          </w:p>
        </w:tc>
        <w:tc>
          <w:tcPr>
            <w:tcW w:w="1656" w:type="dxa"/>
            <w:tcBorders>
              <w:top w:val="nil"/>
              <w:left w:val="nil"/>
              <w:bottom w:val="nil"/>
              <w:right w:val="nil"/>
            </w:tcBorders>
          </w:tcPr>
          <w:p w14:paraId="205F16C8"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-0.000489</w:t>
            </w:r>
          </w:p>
        </w:tc>
        <w:tc>
          <w:tcPr>
            <w:tcW w:w="1656" w:type="dxa"/>
            <w:tcBorders>
              <w:top w:val="nil"/>
              <w:left w:val="nil"/>
              <w:bottom w:val="nil"/>
              <w:right w:val="nil"/>
            </w:tcBorders>
          </w:tcPr>
          <w:p w14:paraId="7AF9CAB9"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0.0232</w:t>
            </w:r>
            <w:r>
              <w:rPr>
                <w:rFonts w:ascii="Times New Roman" w:hAnsi="Times New Roman" w:cs="Times New Roman"/>
                <w:sz w:val="24"/>
                <w:szCs w:val="24"/>
                <w:vertAlign w:val="superscript"/>
              </w:rPr>
              <w:t>*</w:t>
            </w:r>
          </w:p>
        </w:tc>
      </w:tr>
      <w:tr w:rsidR="008E6B65" w14:paraId="115CAE05" w14:textId="77777777" w:rsidTr="00F16287">
        <w:tc>
          <w:tcPr>
            <w:tcW w:w="2136" w:type="dxa"/>
            <w:tcBorders>
              <w:top w:val="nil"/>
              <w:left w:val="nil"/>
              <w:bottom w:val="nil"/>
              <w:right w:val="nil"/>
            </w:tcBorders>
          </w:tcPr>
          <w:p w14:paraId="317A2A15"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6AD4657"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w:t>
            </w:r>
          </w:p>
        </w:tc>
        <w:tc>
          <w:tcPr>
            <w:tcW w:w="1656" w:type="dxa"/>
            <w:tcBorders>
              <w:top w:val="nil"/>
              <w:left w:val="nil"/>
              <w:bottom w:val="nil"/>
              <w:right w:val="nil"/>
            </w:tcBorders>
          </w:tcPr>
          <w:p w14:paraId="307041DC"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(-3.93)</w:t>
            </w:r>
          </w:p>
        </w:tc>
        <w:tc>
          <w:tcPr>
            <w:tcW w:w="1656" w:type="dxa"/>
            <w:tcBorders>
              <w:top w:val="nil"/>
              <w:left w:val="nil"/>
              <w:bottom w:val="nil"/>
              <w:right w:val="nil"/>
            </w:tcBorders>
          </w:tcPr>
          <w:p w14:paraId="5D9B6EFC"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656" w:type="dxa"/>
            <w:tcBorders>
              <w:top w:val="nil"/>
              <w:left w:val="nil"/>
              <w:bottom w:val="nil"/>
              <w:right w:val="nil"/>
            </w:tcBorders>
          </w:tcPr>
          <w:p w14:paraId="2EFDA020"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656" w:type="dxa"/>
            <w:tcBorders>
              <w:top w:val="nil"/>
              <w:left w:val="nil"/>
              <w:bottom w:val="nil"/>
              <w:right w:val="nil"/>
            </w:tcBorders>
          </w:tcPr>
          <w:p w14:paraId="52F4B8A7"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(2.49)</w:t>
            </w:r>
          </w:p>
        </w:tc>
      </w:tr>
      <w:tr w:rsidR="008E6B65" w14:paraId="58322698" w14:textId="77777777" w:rsidTr="00F16287">
        <w:tc>
          <w:tcPr>
            <w:tcW w:w="2136" w:type="dxa"/>
            <w:tcBorders>
              <w:top w:val="nil"/>
              <w:left w:val="nil"/>
              <w:bottom w:val="nil"/>
              <w:right w:val="nil"/>
            </w:tcBorders>
          </w:tcPr>
          <w:p w14:paraId="2B8CB701"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0557C40"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A8C89C0"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C8D772B"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A21A687"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7FE7743"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r>
      <w:tr w:rsidR="008E6B65" w14:paraId="09BBCD92" w14:textId="77777777" w:rsidTr="00F16287">
        <w:tc>
          <w:tcPr>
            <w:tcW w:w="2136" w:type="dxa"/>
            <w:tcBorders>
              <w:top w:val="nil"/>
              <w:left w:val="nil"/>
              <w:bottom w:val="nil"/>
              <w:right w:val="nil"/>
            </w:tcBorders>
          </w:tcPr>
          <w:p w14:paraId="16FF8C95"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Regional government exists   </w:t>
            </w:r>
          </w:p>
        </w:tc>
        <w:tc>
          <w:tcPr>
            <w:tcW w:w="1656" w:type="dxa"/>
            <w:tcBorders>
              <w:top w:val="nil"/>
              <w:left w:val="nil"/>
              <w:bottom w:val="nil"/>
              <w:right w:val="nil"/>
            </w:tcBorders>
          </w:tcPr>
          <w:p w14:paraId="64C0F12A"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8F0CB92"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0.0000816</w:t>
            </w:r>
          </w:p>
        </w:tc>
        <w:tc>
          <w:tcPr>
            <w:tcW w:w="1656" w:type="dxa"/>
            <w:tcBorders>
              <w:top w:val="nil"/>
              <w:left w:val="nil"/>
              <w:bottom w:val="nil"/>
              <w:right w:val="nil"/>
            </w:tcBorders>
          </w:tcPr>
          <w:p w14:paraId="28BE8EC9"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1787A54"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0.107</w:t>
            </w:r>
          </w:p>
        </w:tc>
        <w:tc>
          <w:tcPr>
            <w:tcW w:w="1656" w:type="dxa"/>
            <w:tcBorders>
              <w:top w:val="nil"/>
              <w:left w:val="nil"/>
              <w:bottom w:val="nil"/>
              <w:right w:val="nil"/>
            </w:tcBorders>
          </w:tcPr>
          <w:p w14:paraId="75F9C307"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-0.221</w:t>
            </w:r>
            <w:r>
              <w:rPr>
                <w:rFonts w:ascii="Times New Roman" w:hAnsi="Times New Roman" w:cs="Times New Roman"/>
                <w:sz w:val="24"/>
                <w:szCs w:val="24"/>
                <w:vertAlign w:val="superscript"/>
              </w:rPr>
              <w:t>*</w:t>
            </w:r>
          </w:p>
        </w:tc>
      </w:tr>
      <w:tr w:rsidR="008E6B65" w14:paraId="49169C24" w14:textId="77777777" w:rsidTr="00F16287">
        <w:tc>
          <w:tcPr>
            <w:tcW w:w="2136" w:type="dxa"/>
            <w:tcBorders>
              <w:top w:val="nil"/>
              <w:left w:val="nil"/>
              <w:bottom w:val="nil"/>
              <w:right w:val="nil"/>
            </w:tcBorders>
          </w:tcPr>
          <w:p w14:paraId="04CA0E6B"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697D112"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(3.65)</w:t>
            </w:r>
          </w:p>
        </w:tc>
        <w:tc>
          <w:tcPr>
            <w:tcW w:w="1656" w:type="dxa"/>
            <w:tcBorders>
              <w:top w:val="nil"/>
              <w:left w:val="nil"/>
              <w:bottom w:val="nil"/>
              <w:right w:val="nil"/>
            </w:tcBorders>
          </w:tcPr>
          <w:p w14:paraId="193C9435"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w:t>
            </w:r>
          </w:p>
        </w:tc>
        <w:tc>
          <w:tcPr>
            <w:tcW w:w="1656" w:type="dxa"/>
            <w:tcBorders>
              <w:top w:val="nil"/>
              <w:left w:val="nil"/>
              <w:bottom w:val="nil"/>
              <w:right w:val="nil"/>
            </w:tcBorders>
          </w:tcPr>
          <w:p w14:paraId="440E619D"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(3.50)</w:t>
            </w:r>
          </w:p>
        </w:tc>
        <w:tc>
          <w:tcPr>
            <w:tcW w:w="1656" w:type="dxa"/>
            <w:tcBorders>
              <w:top w:val="nil"/>
              <w:left w:val="nil"/>
              <w:bottom w:val="nil"/>
              <w:right w:val="nil"/>
            </w:tcBorders>
          </w:tcPr>
          <w:p w14:paraId="76C38BE3"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(1.98)</w:t>
            </w:r>
          </w:p>
        </w:tc>
        <w:tc>
          <w:tcPr>
            <w:tcW w:w="1656" w:type="dxa"/>
            <w:tcBorders>
              <w:top w:val="nil"/>
              <w:left w:val="nil"/>
              <w:bottom w:val="nil"/>
              <w:right w:val="nil"/>
            </w:tcBorders>
          </w:tcPr>
          <w:p w14:paraId="46DA8B16"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(-2.22)</w:t>
            </w:r>
          </w:p>
        </w:tc>
      </w:tr>
      <w:tr w:rsidR="008E6B65" w14:paraId="5A0F12DF" w14:textId="77777777" w:rsidTr="00F16287">
        <w:tc>
          <w:tcPr>
            <w:tcW w:w="2136" w:type="dxa"/>
            <w:tcBorders>
              <w:top w:val="nil"/>
              <w:left w:val="nil"/>
              <w:bottom w:val="nil"/>
              <w:right w:val="nil"/>
            </w:tcBorders>
          </w:tcPr>
          <w:p w14:paraId="0370E00E"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C503DCC"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D5F843D"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460FCC9"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7CEA90C"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E381F21"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r>
      <w:tr w:rsidR="008E6B65" w14:paraId="160E4AB9" w14:textId="77777777" w:rsidTr="00F16287">
        <w:tc>
          <w:tcPr>
            <w:tcW w:w="2136" w:type="dxa"/>
            <w:tcBorders>
              <w:top w:val="nil"/>
              <w:left w:val="nil"/>
              <w:bottom w:val="nil"/>
              <w:right w:val="nil"/>
            </w:tcBorders>
          </w:tcPr>
          <w:p w14:paraId="0F53E5B5"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Horizontal accountability index</w:t>
            </w:r>
          </w:p>
        </w:tc>
        <w:tc>
          <w:tcPr>
            <w:tcW w:w="1656" w:type="dxa"/>
            <w:tcBorders>
              <w:top w:val="nil"/>
              <w:left w:val="nil"/>
              <w:bottom w:val="nil"/>
              <w:right w:val="nil"/>
            </w:tcBorders>
          </w:tcPr>
          <w:p w14:paraId="20A00B6D"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6E310B1"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00423B4"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0.220</w:t>
            </w:r>
          </w:p>
        </w:tc>
        <w:tc>
          <w:tcPr>
            <w:tcW w:w="1656" w:type="dxa"/>
            <w:tcBorders>
              <w:top w:val="nil"/>
              <w:left w:val="nil"/>
              <w:bottom w:val="nil"/>
              <w:right w:val="nil"/>
            </w:tcBorders>
          </w:tcPr>
          <w:p w14:paraId="79DA7C37"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0.0639</w:t>
            </w:r>
          </w:p>
        </w:tc>
        <w:tc>
          <w:tcPr>
            <w:tcW w:w="1656" w:type="dxa"/>
            <w:tcBorders>
              <w:top w:val="nil"/>
              <w:left w:val="nil"/>
              <w:bottom w:val="nil"/>
              <w:right w:val="nil"/>
            </w:tcBorders>
          </w:tcPr>
          <w:p w14:paraId="4DDC434A"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0.100</w:t>
            </w:r>
            <w:r>
              <w:rPr>
                <w:rFonts w:ascii="Times New Roman" w:hAnsi="Times New Roman" w:cs="Times New Roman"/>
                <w:sz w:val="24"/>
                <w:szCs w:val="24"/>
                <w:vertAlign w:val="superscript"/>
              </w:rPr>
              <w:t>*</w:t>
            </w:r>
          </w:p>
        </w:tc>
      </w:tr>
      <w:tr w:rsidR="008E6B65" w14:paraId="49312B81" w14:textId="77777777" w:rsidTr="00F16287">
        <w:tc>
          <w:tcPr>
            <w:tcW w:w="2136" w:type="dxa"/>
            <w:tcBorders>
              <w:top w:val="nil"/>
              <w:left w:val="nil"/>
              <w:bottom w:val="nil"/>
              <w:right w:val="nil"/>
            </w:tcBorders>
          </w:tcPr>
          <w:p w14:paraId="3D5550B5"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D05FDC2"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(3.30)</w:t>
            </w:r>
          </w:p>
        </w:tc>
        <w:tc>
          <w:tcPr>
            <w:tcW w:w="1656" w:type="dxa"/>
            <w:tcBorders>
              <w:top w:val="nil"/>
              <w:left w:val="nil"/>
              <w:bottom w:val="nil"/>
              <w:right w:val="nil"/>
            </w:tcBorders>
          </w:tcPr>
          <w:p w14:paraId="39E4B253"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(3.38)</w:t>
            </w:r>
          </w:p>
        </w:tc>
        <w:tc>
          <w:tcPr>
            <w:tcW w:w="1656" w:type="dxa"/>
            <w:tcBorders>
              <w:top w:val="nil"/>
              <w:left w:val="nil"/>
              <w:bottom w:val="nil"/>
              <w:right w:val="nil"/>
            </w:tcBorders>
          </w:tcPr>
          <w:p w14:paraId="1599F27F"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(1.85)</w:t>
            </w:r>
          </w:p>
        </w:tc>
        <w:tc>
          <w:tcPr>
            <w:tcW w:w="1656" w:type="dxa"/>
            <w:tcBorders>
              <w:top w:val="nil"/>
              <w:left w:val="nil"/>
              <w:bottom w:val="nil"/>
              <w:right w:val="nil"/>
            </w:tcBorders>
          </w:tcPr>
          <w:p w14:paraId="4DF8AB88"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656" w:type="dxa"/>
            <w:tcBorders>
              <w:top w:val="nil"/>
              <w:left w:val="nil"/>
              <w:bottom w:val="nil"/>
              <w:right w:val="nil"/>
            </w:tcBorders>
          </w:tcPr>
          <w:p w14:paraId="57D95F7D"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(2.20)</w:t>
            </w:r>
          </w:p>
        </w:tc>
      </w:tr>
      <w:tr w:rsidR="008E6B65" w14:paraId="2600E65C" w14:textId="77777777" w:rsidTr="00F16287">
        <w:tc>
          <w:tcPr>
            <w:tcW w:w="2136" w:type="dxa"/>
            <w:tcBorders>
              <w:top w:val="nil"/>
              <w:left w:val="nil"/>
              <w:bottom w:val="nil"/>
              <w:right w:val="nil"/>
            </w:tcBorders>
          </w:tcPr>
          <w:p w14:paraId="7E5EDFAE"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8B82507"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B71391C"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1A8D085"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4546723"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505AE69"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r>
      <w:tr w:rsidR="008E6B65" w14:paraId="65B9F043" w14:textId="77777777" w:rsidTr="00F16287">
        <w:tc>
          <w:tcPr>
            <w:tcW w:w="2136" w:type="dxa"/>
            <w:tcBorders>
              <w:top w:val="nil"/>
              <w:left w:val="nil"/>
              <w:bottom w:val="nil"/>
              <w:right w:val="nil"/>
            </w:tcBorders>
          </w:tcPr>
          <w:p w14:paraId="0B9226B3"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Checks and Balances</w:t>
            </w:r>
          </w:p>
        </w:tc>
        <w:tc>
          <w:tcPr>
            <w:tcW w:w="1656" w:type="dxa"/>
            <w:tcBorders>
              <w:top w:val="nil"/>
              <w:left w:val="nil"/>
              <w:bottom w:val="nil"/>
              <w:right w:val="nil"/>
            </w:tcBorders>
          </w:tcPr>
          <w:p w14:paraId="00E35B40"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-0.0126</w:t>
            </w:r>
          </w:p>
        </w:tc>
        <w:tc>
          <w:tcPr>
            <w:tcW w:w="1656" w:type="dxa"/>
            <w:tcBorders>
              <w:top w:val="nil"/>
              <w:left w:val="nil"/>
              <w:bottom w:val="nil"/>
              <w:right w:val="nil"/>
            </w:tcBorders>
          </w:tcPr>
          <w:p w14:paraId="2D305EE6"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-0.0392</w:t>
            </w:r>
          </w:p>
        </w:tc>
        <w:tc>
          <w:tcPr>
            <w:tcW w:w="1656" w:type="dxa"/>
            <w:tcBorders>
              <w:top w:val="nil"/>
              <w:left w:val="nil"/>
              <w:bottom w:val="nil"/>
              <w:right w:val="nil"/>
            </w:tcBorders>
          </w:tcPr>
          <w:p w14:paraId="33B55D52"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0.00165</w:t>
            </w:r>
          </w:p>
        </w:tc>
        <w:tc>
          <w:tcPr>
            <w:tcW w:w="1656" w:type="dxa"/>
            <w:tcBorders>
              <w:top w:val="nil"/>
              <w:left w:val="nil"/>
              <w:bottom w:val="nil"/>
              <w:right w:val="nil"/>
            </w:tcBorders>
          </w:tcPr>
          <w:p w14:paraId="4FC9E7DF"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0.00951</w:t>
            </w:r>
          </w:p>
        </w:tc>
        <w:tc>
          <w:tcPr>
            <w:tcW w:w="1656" w:type="dxa"/>
            <w:tcBorders>
              <w:top w:val="nil"/>
              <w:left w:val="nil"/>
              <w:bottom w:val="nil"/>
              <w:right w:val="nil"/>
            </w:tcBorders>
          </w:tcPr>
          <w:p w14:paraId="0FD12660"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0.00762</w:t>
            </w:r>
          </w:p>
        </w:tc>
      </w:tr>
      <w:tr w:rsidR="008E6B65" w14:paraId="45641590" w14:textId="77777777" w:rsidTr="00F16287">
        <w:tc>
          <w:tcPr>
            <w:tcW w:w="2136" w:type="dxa"/>
            <w:tcBorders>
              <w:top w:val="nil"/>
              <w:left w:val="nil"/>
              <w:bottom w:val="nil"/>
              <w:right w:val="nil"/>
            </w:tcBorders>
          </w:tcPr>
          <w:p w14:paraId="29432DCE"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1410E28"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656" w:type="dxa"/>
            <w:tcBorders>
              <w:top w:val="nil"/>
              <w:left w:val="nil"/>
              <w:bottom w:val="nil"/>
              <w:right w:val="nil"/>
            </w:tcBorders>
          </w:tcPr>
          <w:p w14:paraId="07C8D19A"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(-1.40)</w:t>
            </w:r>
          </w:p>
        </w:tc>
        <w:tc>
          <w:tcPr>
            <w:tcW w:w="1656" w:type="dxa"/>
            <w:tcBorders>
              <w:top w:val="nil"/>
              <w:left w:val="nil"/>
              <w:bottom w:val="nil"/>
              <w:right w:val="nil"/>
            </w:tcBorders>
          </w:tcPr>
          <w:p w14:paraId="3E1DB5D8"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656" w:type="dxa"/>
            <w:tcBorders>
              <w:top w:val="nil"/>
              <w:left w:val="nil"/>
              <w:bottom w:val="nil"/>
              <w:right w:val="nil"/>
            </w:tcBorders>
          </w:tcPr>
          <w:p w14:paraId="14D60274"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656" w:type="dxa"/>
            <w:tcBorders>
              <w:top w:val="nil"/>
              <w:left w:val="nil"/>
              <w:bottom w:val="nil"/>
              <w:right w:val="nil"/>
            </w:tcBorders>
          </w:tcPr>
          <w:p w14:paraId="7128CD97"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8E6B65" w14:paraId="41192A68" w14:textId="77777777" w:rsidTr="00F16287">
        <w:tc>
          <w:tcPr>
            <w:tcW w:w="2136" w:type="dxa"/>
            <w:tcBorders>
              <w:top w:val="nil"/>
              <w:left w:val="nil"/>
              <w:bottom w:val="nil"/>
              <w:right w:val="nil"/>
            </w:tcBorders>
          </w:tcPr>
          <w:p w14:paraId="2B9C0AF5"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C5D2416"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C3E139E"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4837402"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20641E0"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519FD5A"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r>
      <w:tr w:rsidR="008E6B65" w14:paraId="6506D97A" w14:textId="77777777" w:rsidTr="00F16287">
        <w:tc>
          <w:tcPr>
            <w:tcW w:w="2136" w:type="dxa"/>
            <w:tcBorders>
              <w:top w:val="nil"/>
              <w:left w:val="nil"/>
              <w:bottom w:val="nil"/>
              <w:right w:val="nil"/>
            </w:tcBorders>
          </w:tcPr>
          <w:p w14:paraId="7D7CA0E8"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Autonomous Regions</w:t>
            </w:r>
          </w:p>
        </w:tc>
        <w:tc>
          <w:tcPr>
            <w:tcW w:w="1656" w:type="dxa"/>
            <w:tcBorders>
              <w:top w:val="nil"/>
              <w:left w:val="nil"/>
              <w:bottom w:val="nil"/>
              <w:right w:val="nil"/>
            </w:tcBorders>
          </w:tcPr>
          <w:p w14:paraId="3135EF46"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-0.714</w:t>
            </w:r>
          </w:p>
        </w:tc>
        <w:tc>
          <w:tcPr>
            <w:tcW w:w="1656" w:type="dxa"/>
            <w:tcBorders>
              <w:top w:val="nil"/>
              <w:left w:val="nil"/>
              <w:bottom w:val="nil"/>
              <w:right w:val="nil"/>
            </w:tcBorders>
          </w:tcPr>
          <w:p w14:paraId="7D29282B"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-0.0764</w:t>
            </w:r>
          </w:p>
        </w:tc>
        <w:tc>
          <w:tcPr>
            <w:tcW w:w="1656" w:type="dxa"/>
            <w:tcBorders>
              <w:top w:val="nil"/>
              <w:left w:val="nil"/>
              <w:bottom w:val="nil"/>
              <w:right w:val="nil"/>
            </w:tcBorders>
          </w:tcPr>
          <w:p w14:paraId="2EF6EE5C"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2231943"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78CF103"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-0.0416</w:t>
            </w:r>
          </w:p>
        </w:tc>
      </w:tr>
      <w:tr w:rsidR="008E6B65" w14:paraId="13627265" w14:textId="77777777" w:rsidTr="00F16287">
        <w:tc>
          <w:tcPr>
            <w:tcW w:w="2136" w:type="dxa"/>
            <w:tcBorders>
              <w:top w:val="nil"/>
              <w:left w:val="nil"/>
              <w:bottom w:val="nil"/>
              <w:right w:val="nil"/>
            </w:tcBorders>
          </w:tcPr>
          <w:p w14:paraId="52D211E8"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005E365"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(-1.37)</w:t>
            </w:r>
          </w:p>
        </w:tc>
        <w:tc>
          <w:tcPr>
            <w:tcW w:w="1656" w:type="dxa"/>
            <w:tcBorders>
              <w:top w:val="nil"/>
              <w:left w:val="nil"/>
              <w:bottom w:val="nil"/>
              <w:right w:val="nil"/>
            </w:tcBorders>
          </w:tcPr>
          <w:p w14:paraId="5CF18C08"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656" w:type="dxa"/>
            <w:tcBorders>
              <w:top w:val="nil"/>
              <w:left w:val="nil"/>
              <w:bottom w:val="nil"/>
              <w:right w:val="nil"/>
            </w:tcBorders>
          </w:tcPr>
          <w:p w14:paraId="3995EFCA"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(-4.10)</w:t>
            </w:r>
          </w:p>
        </w:tc>
        <w:tc>
          <w:tcPr>
            <w:tcW w:w="1656" w:type="dxa"/>
            <w:tcBorders>
              <w:top w:val="nil"/>
              <w:left w:val="nil"/>
              <w:bottom w:val="nil"/>
              <w:right w:val="nil"/>
            </w:tcBorders>
          </w:tcPr>
          <w:p w14:paraId="481CECE7"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(-7.85)</w:t>
            </w:r>
          </w:p>
        </w:tc>
        <w:tc>
          <w:tcPr>
            <w:tcW w:w="1656" w:type="dxa"/>
            <w:tcBorders>
              <w:top w:val="nil"/>
              <w:left w:val="nil"/>
              <w:bottom w:val="nil"/>
              <w:right w:val="nil"/>
            </w:tcBorders>
          </w:tcPr>
          <w:p w14:paraId="18B92F90"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w:t>
            </w:r>
          </w:p>
        </w:tc>
      </w:tr>
      <w:tr w:rsidR="008E6B65" w14:paraId="664FBCC0" w14:textId="77777777" w:rsidTr="00F16287">
        <w:tc>
          <w:tcPr>
            <w:tcW w:w="2136" w:type="dxa"/>
            <w:tcBorders>
              <w:top w:val="nil"/>
              <w:left w:val="nil"/>
              <w:bottom w:val="nil"/>
              <w:right w:val="nil"/>
            </w:tcBorders>
          </w:tcPr>
          <w:p w14:paraId="42CB4051"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A6F430A"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96B816A"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C50B4D8"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F36AD8B"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FAC76A1"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r>
      <w:tr w:rsidR="008E6B65" w14:paraId="19B64499" w14:textId="77777777" w:rsidTr="00F16287">
        <w:tc>
          <w:tcPr>
            <w:tcW w:w="2136" w:type="dxa"/>
            <w:tcBorders>
              <w:top w:val="nil"/>
              <w:left w:val="nil"/>
              <w:bottom w:val="nil"/>
              <w:right w:val="nil"/>
            </w:tcBorders>
          </w:tcPr>
          <w:p w14:paraId="1C090FC8"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 Government Authority over Taxing, Spending, or Legislating</w:t>
            </w:r>
          </w:p>
        </w:tc>
        <w:tc>
          <w:tcPr>
            <w:tcW w:w="1656" w:type="dxa"/>
            <w:tcBorders>
              <w:top w:val="nil"/>
              <w:left w:val="nil"/>
              <w:bottom w:val="nil"/>
              <w:right w:val="nil"/>
            </w:tcBorders>
          </w:tcPr>
          <w:p w14:paraId="22AF3311"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656" w:type="dxa"/>
            <w:tcBorders>
              <w:top w:val="nil"/>
              <w:left w:val="nil"/>
              <w:bottom w:val="nil"/>
              <w:right w:val="nil"/>
            </w:tcBorders>
          </w:tcPr>
          <w:p w14:paraId="3646CAA0"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0.0825</w:t>
            </w:r>
          </w:p>
        </w:tc>
        <w:tc>
          <w:tcPr>
            <w:tcW w:w="1656" w:type="dxa"/>
            <w:tcBorders>
              <w:top w:val="nil"/>
              <w:left w:val="nil"/>
              <w:bottom w:val="nil"/>
              <w:right w:val="nil"/>
            </w:tcBorders>
          </w:tcPr>
          <w:p w14:paraId="54D81F7C"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0.465</w:t>
            </w:r>
          </w:p>
        </w:tc>
        <w:tc>
          <w:tcPr>
            <w:tcW w:w="1656" w:type="dxa"/>
            <w:tcBorders>
              <w:top w:val="nil"/>
              <w:left w:val="nil"/>
              <w:bottom w:val="nil"/>
              <w:right w:val="nil"/>
            </w:tcBorders>
          </w:tcPr>
          <w:p w14:paraId="023CBD34"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6F332F9B"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-0.0651</w:t>
            </w:r>
          </w:p>
        </w:tc>
      </w:tr>
      <w:tr w:rsidR="008E6B65" w14:paraId="0BE01CCB" w14:textId="77777777" w:rsidTr="00F16287">
        <w:tc>
          <w:tcPr>
            <w:tcW w:w="2136" w:type="dxa"/>
            <w:tcBorders>
              <w:top w:val="nil"/>
              <w:left w:val="nil"/>
              <w:bottom w:val="nil"/>
              <w:right w:val="nil"/>
            </w:tcBorders>
          </w:tcPr>
          <w:p w14:paraId="007272BC"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1A83EE9"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w:t>
            </w:r>
          </w:p>
        </w:tc>
        <w:tc>
          <w:tcPr>
            <w:tcW w:w="1656" w:type="dxa"/>
            <w:tcBorders>
              <w:top w:val="nil"/>
              <w:left w:val="nil"/>
              <w:bottom w:val="nil"/>
              <w:right w:val="nil"/>
            </w:tcBorders>
          </w:tcPr>
          <w:p w14:paraId="6E82355A"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w:t>
            </w:r>
          </w:p>
        </w:tc>
        <w:tc>
          <w:tcPr>
            <w:tcW w:w="1656" w:type="dxa"/>
            <w:tcBorders>
              <w:top w:val="nil"/>
              <w:left w:val="nil"/>
              <w:bottom w:val="nil"/>
              <w:right w:val="nil"/>
            </w:tcBorders>
          </w:tcPr>
          <w:p w14:paraId="1445B8A8"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656" w:type="dxa"/>
            <w:tcBorders>
              <w:top w:val="nil"/>
              <w:left w:val="nil"/>
              <w:bottom w:val="nil"/>
              <w:right w:val="nil"/>
            </w:tcBorders>
          </w:tcPr>
          <w:p w14:paraId="51C9BB5A"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43255FFC"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8E6B65" w14:paraId="76E0F637" w14:textId="77777777" w:rsidTr="00F16287">
        <w:tc>
          <w:tcPr>
            <w:tcW w:w="2136" w:type="dxa"/>
            <w:tcBorders>
              <w:top w:val="nil"/>
              <w:left w:val="nil"/>
              <w:bottom w:val="nil"/>
              <w:right w:val="nil"/>
            </w:tcBorders>
          </w:tcPr>
          <w:p w14:paraId="2FBD4DD8"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C6036DB"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2252BCD"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70E32CF"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6C01927"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2919A81"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r>
      <w:tr w:rsidR="008E6B65" w14:paraId="4A2DABAE" w14:textId="77777777" w:rsidTr="00F16287">
        <w:tc>
          <w:tcPr>
            <w:tcW w:w="2136" w:type="dxa"/>
            <w:tcBorders>
              <w:top w:val="nil"/>
              <w:left w:val="nil"/>
              <w:bottom w:val="nil"/>
              <w:right w:val="nil"/>
            </w:tcBorders>
          </w:tcPr>
          <w:p w14:paraId="2F529464"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0E139646"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-0.317</w:t>
            </w:r>
          </w:p>
        </w:tc>
        <w:tc>
          <w:tcPr>
            <w:tcW w:w="1656" w:type="dxa"/>
            <w:tcBorders>
              <w:top w:val="nil"/>
              <w:left w:val="nil"/>
              <w:bottom w:val="nil"/>
              <w:right w:val="nil"/>
            </w:tcBorders>
          </w:tcPr>
          <w:p w14:paraId="2078BC05"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2D1D552"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-0.676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6F18BE5"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0.168</w:t>
            </w:r>
          </w:p>
        </w:tc>
        <w:tc>
          <w:tcPr>
            <w:tcW w:w="1656" w:type="dxa"/>
            <w:tcBorders>
              <w:top w:val="nil"/>
              <w:left w:val="nil"/>
              <w:bottom w:val="nil"/>
              <w:right w:val="nil"/>
            </w:tcBorders>
          </w:tcPr>
          <w:p w14:paraId="0B90B99E"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-0.164</w:t>
            </w:r>
          </w:p>
        </w:tc>
      </w:tr>
      <w:tr w:rsidR="008E6B65" w14:paraId="23BF2968" w14:textId="77777777" w:rsidTr="00F16287">
        <w:tc>
          <w:tcPr>
            <w:tcW w:w="2136" w:type="dxa"/>
            <w:tcBorders>
              <w:top w:val="nil"/>
              <w:left w:val="nil"/>
              <w:bottom w:val="single" w:sz="4" w:space="0" w:color="auto"/>
              <w:right w:val="nil"/>
            </w:tcBorders>
          </w:tcPr>
          <w:p w14:paraId="551FFE69"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476FF7EF"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(-0.73)</w:t>
            </w:r>
          </w:p>
        </w:tc>
        <w:tc>
          <w:tcPr>
            <w:tcW w:w="1656" w:type="dxa"/>
            <w:tcBorders>
              <w:top w:val="nil"/>
              <w:left w:val="nil"/>
              <w:bottom w:val="single" w:sz="4" w:space="0" w:color="auto"/>
              <w:right w:val="nil"/>
            </w:tcBorders>
          </w:tcPr>
          <w:p w14:paraId="2D8753FB"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(2.67)</w:t>
            </w:r>
          </w:p>
        </w:tc>
        <w:tc>
          <w:tcPr>
            <w:tcW w:w="1656" w:type="dxa"/>
            <w:tcBorders>
              <w:top w:val="nil"/>
              <w:left w:val="nil"/>
              <w:bottom w:val="single" w:sz="4" w:space="0" w:color="auto"/>
              <w:right w:val="nil"/>
            </w:tcBorders>
          </w:tcPr>
          <w:p w14:paraId="3BAD9AF3"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(-2.35)</w:t>
            </w:r>
          </w:p>
        </w:tc>
        <w:tc>
          <w:tcPr>
            <w:tcW w:w="1656" w:type="dxa"/>
            <w:tcBorders>
              <w:top w:val="nil"/>
              <w:left w:val="nil"/>
              <w:bottom w:val="single" w:sz="4" w:space="0" w:color="auto"/>
              <w:right w:val="nil"/>
            </w:tcBorders>
          </w:tcPr>
          <w:p w14:paraId="0E1E4328"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w:t>
            </w:r>
          </w:p>
        </w:tc>
        <w:tc>
          <w:tcPr>
            <w:tcW w:w="1656" w:type="dxa"/>
            <w:tcBorders>
              <w:top w:val="nil"/>
              <w:left w:val="nil"/>
              <w:bottom w:val="single" w:sz="4" w:space="0" w:color="auto"/>
              <w:right w:val="nil"/>
            </w:tcBorders>
          </w:tcPr>
          <w:p w14:paraId="3A031811"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8E6B65" w14:paraId="041CB39F" w14:textId="77777777" w:rsidTr="00F16287">
        <w:tc>
          <w:tcPr>
            <w:tcW w:w="2136" w:type="dxa"/>
            <w:tcBorders>
              <w:top w:val="nil"/>
              <w:left w:val="nil"/>
              <w:bottom w:val="single" w:sz="4" w:space="0" w:color="auto"/>
              <w:right w:val="nil"/>
            </w:tcBorders>
          </w:tcPr>
          <w:p w14:paraId="77A43D77" w14:textId="77777777" w:rsidR="008E6B65" w:rsidRDefault="008E6B6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72D6F164"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483</w:t>
            </w:r>
          </w:p>
        </w:tc>
        <w:tc>
          <w:tcPr>
            <w:tcW w:w="1656" w:type="dxa"/>
            <w:tcBorders>
              <w:top w:val="nil"/>
              <w:left w:val="nil"/>
              <w:bottom w:val="single" w:sz="4" w:space="0" w:color="auto"/>
              <w:right w:val="nil"/>
            </w:tcBorders>
          </w:tcPr>
          <w:p w14:paraId="3AF79093"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483</w:t>
            </w:r>
          </w:p>
        </w:tc>
        <w:tc>
          <w:tcPr>
            <w:tcW w:w="1656" w:type="dxa"/>
            <w:tcBorders>
              <w:top w:val="nil"/>
              <w:left w:val="nil"/>
              <w:bottom w:val="single" w:sz="4" w:space="0" w:color="auto"/>
              <w:right w:val="nil"/>
            </w:tcBorders>
          </w:tcPr>
          <w:p w14:paraId="46722BFF"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415</w:t>
            </w:r>
          </w:p>
        </w:tc>
        <w:tc>
          <w:tcPr>
            <w:tcW w:w="1656" w:type="dxa"/>
            <w:tcBorders>
              <w:top w:val="nil"/>
              <w:left w:val="nil"/>
              <w:bottom w:val="single" w:sz="4" w:space="0" w:color="auto"/>
              <w:right w:val="nil"/>
            </w:tcBorders>
          </w:tcPr>
          <w:p w14:paraId="250EB240"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780</w:t>
            </w:r>
          </w:p>
        </w:tc>
        <w:tc>
          <w:tcPr>
            <w:tcW w:w="1656" w:type="dxa"/>
            <w:tcBorders>
              <w:top w:val="nil"/>
              <w:left w:val="nil"/>
              <w:bottom w:val="single" w:sz="4" w:space="0" w:color="auto"/>
              <w:right w:val="nil"/>
            </w:tcBorders>
          </w:tcPr>
          <w:p w14:paraId="3FD90835" w14:textId="77777777" w:rsidR="008E6B65" w:rsidRDefault="008E6B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1389</w:t>
            </w:r>
          </w:p>
        </w:tc>
      </w:tr>
    </w:tbl>
    <w:p w14:paraId="5C23907C" w14:textId="77777777" w:rsidR="008E6B65" w:rsidRDefault="008E6B65" w:rsidP="008E6B6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B6AC7F3" w14:textId="1140A6F7" w:rsidR="008E6B65" w:rsidRDefault="008E6B65" w:rsidP="008E6B6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851FAA3" w14:textId="77777777" w:rsidR="008A07B7" w:rsidRDefault="008A07B7" w:rsidP="008E6B65">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8A07B7" w14:paraId="08EE5322" w14:textId="77777777" w:rsidTr="00F16287">
        <w:tc>
          <w:tcPr>
            <w:tcW w:w="2136" w:type="dxa"/>
            <w:tcBorders>
              <w:top w:val="single" w:sz="4" w:space="0" w:color="auto"/>
              <w:left w:val="nil"/>
              <w:bottom w:val="nil"/>
              <w:right w:val="nil"/>
            </w:tcBorders>
          </w:tcPr>
          <w:p w14:paraId="3775C915"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3CAFEC6B"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440D8AC7"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5691E030"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355280DB"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39262F38"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8A07B7" w14:paraId="653A87AA" w14:textId="77777777" w:rsidTr="00F16287">
        <w:tc>
          <w:tcPr>
            <w:tcW w:w="2136" w:type="dxa"/>
            <w:tcBorders>
              <w:top w:val="nil"/>
              <w:left w:val="nil"/>
              <w:bottom w:val="nil"/>
              <w:right w:val="nil"/>
            </w:tcBorders>
          </w:tcPr>
          <w:p w14:paraId="39F80662"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19BEEE"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25BEAECB"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1F445ED1"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1CF62CD4"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2B227DA2"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8A07B7" w14:paraId="7F13DB26" w14:textId="77777777" w:rsidTr="00F16287">
        <w:tc>
          <w:tcPr>
            <w:tcW w:w="2136" w:type="dxa"/>
            <w:tcBorders>
              <w:top w:val="single" w:sz="4" w:space="0" w:color="auto"/>
              <w:left w:val="nil"/>
              <w:bottom w:val="nil"/>
              <w:right w:val="nil"/>
            </w:tcBorders>
          </w:tcPr>
          <w:p w14:paraId="11738078"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17142ACD"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-0.332</w:t>
            </w:r>
          </w:p>
        </w:tc>
        <w:tc>
          <w:tcPr>
            <w:tcW w:w="1656" w:type="dxa"/>
            <w:tcBorders>
              <w:top w:val="single" w:sz="4" w:space="0" w:color="auto"/>
              <w:left w:val="nil"/>
              <w:bottom w:val="nil"/>
              <w:right w:val="nil"/>
            </w:tcBorders>
          </w:tcPr>
          <w:p w14:paraId="7BBABE94"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-0.0672</w:t>
            </w:r>
          </w:p>
        </w:tc>
        <w:tc>
          <w:tcPr>
            <w:tcW w:w="1656" w:type="dxa"/>
            <w:tcBorders>
              <w:top w:val="single" w:sz="4" w:space="0" w:color="auto"/>
              <w:left w:val="nil"/>
              <w:bottom w:val="nil"/>
              <w:right w:val="nil"/>
            </w:tcBorders>
          </w:tcPr>
          <w:p w14:paraId="462E383D"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-0.528</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76305B64"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0.0745</w:t>
            </w:r>
          </w:p>
        </w:tc>
        <w:tc>
          <w:tcPr>
            <w:tcW w:w="1656" w:type="dxa"/>
            <w:tcBorders>
              <w:top w:val="single" w:sz="4" w:space="0" w:color="auto"/>
              <w:left w:val="nil"/>
              <w:bottom w:val="nil"/>
              <w:right w:val="nil"/>
            </w:tcBorders>
          </w:tcPr>
          <w:p w14:paraId="382F065C"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-0.0254</w:t>
            </w:r>
          </w:p>
        </w:tc>
      </w:tr>
      <w:tr w:rsidR="008A07B7" w14:paraId="0585B491" w14:textId="77777777" w:rsidTr="00F16287">
        <w:tc>
          <w:tcPr>
            <w:tcW w:w="2136" w:type="dxa"/>
            <w:tcBorders>
              <w:top w:val="nil"/>
              <w:left w:val="nil"/>
              <w:bottom w:val="nil"/>
              <w:right w:val="nil"/>
            </w:tcBorders>
          </w:tcPr>
          <w:p w14:paraId="37CB37F1"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A2DEB33"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w:t>
            </w:r>
          </w:p>
        </w:tc>
        <w:tc>
          <w:tcPr>
            <w:tcW w:w="1656" w:type="dxa"/>
            <w:tcBorders>
              <w:top w:val="nil"/>
              <w:left w:val="nil"/>
              <w:bottom w:val="nil"/>
              <w:right w:val="nil"/>
            </w:tcBorders>
          </w:tcPr>
          <w:p w14:paraId="1EA4C46B"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656" w:type="dxa"/>
            <w:tcBorders>
              <w:top w:val="nil"/>
              <w:left w:val="nil"/>
              <w:bottom w:val="nil"/>
              <w:right w:val="nil"/>
            </w:tcBorders>
          </w:tcPr>
          <w:p w14:paraId="320FFBE3"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656" w:type="dxa"/>
            <w:tcBorders>
              <w:top w:val="nil"/>
              <w:left w:val="nil"/>
              <w:bottom w:val="nil"/>
              <w:right w:val="nil"/>
            </w:tcBorders>
          </w:tcPr>
          <w:p w14:paraId="2A3F0417"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(1.94)</w:t>
            </w:r>
          </w:p>
        </w:tc>
        <w:tc>
          <w:tcPr>
            <w:tcW w:w="1656" w:type="dxa"/>
            <w:tcBorders>
              <w:top w:val="nil"/>
              <w:left w:val="nil"/>
              <w:bottom w:val="nil"/>
              <w:right w:val="nil"/>
            </w:tcBorders>
          </w:tcPr>
          <w:p w14:paraId="4E8CAAEA"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8A07B7" w14:paraId="725EF53A" w14:textId="77777777" w:rsidTr="00F16287">
        <w:tc>
          <w:tcPr>
            <w:tcW w:w="2136" w:type="dxa"/>
            <w:tcBorders>
              <w:top w:val="nil"/>
              <w:left w:val="nil"/>
              <w:bottom w:val="nil"/>
              <w:right w:val="nil"/>
            </w:tcBorders>
          </w:tcPr>
          <w:p w14:paraId="756CE52E"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DA112FD"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76268B9"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55861F0"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AB22122"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EADF362"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r>
      <w:tr w:rsidR="008A07B7" w14:paraId="7370FC06" w14:textId="77777777" w:rsidTr="00F16287">
        <w:tc>
          <w:tcPr>
            <w:tcW w:w="2136" w:type="dxa"/>
            <w:tcBorders>
              <w:top w:val="nil"/>
              <w:left w:val="nil"/>
              <w:bottom w:val="nil"/>
              <w:right w:val="nil"/>
            </w:tcBorders>
          </w:tcPr>
          <w:p w14:paraId="3FF2B160"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5C8B7ABA"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0.0338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DF01D04"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0.00437</w:t>
            </w:r>
          </w:p>
        </w:tc>
        <w:tc>
          <w:tcPr>
            <w:tcW w:w="1656" w:type="dxa"/>
            <w:tcBorders>
              <w:top w:val="nil"/>
              <w:left w:val="nil"/>
              <w:bottom w:val="nil"/>
              <w:right w:val="nil"/>
            </w:tcBorders>
          </w:tcPr>
          <w:p w14:paraId="2F960E6D"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0.0411</w:t>
            </w:r>
          </w:p>
        </w:tc>
        <w:tc>
          <w:tcPr>
            <w:tcW w:w="1656" w:type="dxa"/>
            <w:tcBorders>
              <w:top w:val="nil"/>
              <w:left w:val="nil"/>
              <w:bottom w:val="nil"/>
              <w:right w:val="nil"/>
            </w:tcBorders>
          </w:tcPr>
          <w:p w14:paraId="2AB43BB3"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-0.0198</w:t>
            </w:r>
          </w:p>
        </w:tc>
        <w:tc>
          <w:tcPr>
            <w:tcW w:w="1656" w:type="dxa"/>
            <w:tcBorders>
              <w:top w:val="nil"/>
              <w:left w:val="nil"/>
              <w:bottom w:val="nil"/>
              <w:right w:val="nil"/>
            </w:tcBorders>
          </w:tcPr>
          <w:p w14:paraId="5F62FC2C"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0.0427</w:t>
            </w:r>
            <w:r>
              <w:rPr>
                <w:rFonts w:ascii="Times New Roman" w:hAnsi="Times New Roman" w:cs="Times New Roman"/>
                <w:sz w:val="24"/>
                <w:szCs w:val="24"/>
                <w:vertAlign w:val="superscript"/>
              </w:rPr>
              <w:t>**</w:t>
            </w:r>
          </w:p>
        </w:tc>
      </w:tr>
      <w:tr w:rsidR="008A07B7" w14:paraId="6C5D6C5F" w14:textId="77777777" w:rsidTr="00F16287">
        <w:tc>
          <w:tcPr>
            <w:tcW w:w="2136" w:type="dxa"/>
            <w:tcBorders>
              <w:top w:val="nil"/>
              <w:left w:val="nil"/>
              <w:bottom w:val="nil"/>
              <w:right w:val="nil"/>
            </w:tcBorders>
          </w:tcPr>
          <w:p w14:paraId="50815C6D"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DC3B152"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(2.40)</w:t>
            </w:r>
          </w:p>
        </w:tc>
        <w:tc>
          <w:tcPr>
            <w:tcW w:w="1656" w:type="dxa"/>
            <w:tcBorders>
              <w:top w:val="nil"/>
              <w:left w:val="nil"/>
              <w:bottom w:val="nil"/>
              <w:right w:val="nil"/>
            </w:tcBorders>
          </w:tcPr>
          <w:p w14:paraId="27764399"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656" w:type="dxa"/>
            <w:tcBorders>
              <w:top w:val="nil"/>
              <w:left w:val="nil"/>
              <w:bottom w:val="nil"/>
              <w:right w:val="nil"/>
            </w:tcBorders>
          </w:tcPr>
          <w:p w14:paraId="7F0C0FE2"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w:t>
            </w:r>
          </w:p>
        </w:tc>
        <w:tc>
          <w:tcPr>
            <w:tcW w:w="1656" w:type="dxa"/>
            <w:tcBorders>
              <w:top w:val="nil"/>
              <w:left w:val="nil"/>
              <w:bottom w:val="nil"/>
              <w:right w:val="nil"/>
            </w:tcBorders>
          </w:tcPr>
          <w:p w14:paraId="0CCA4000"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w:t>
            </w:r>
          </w:p>
        </w:tc>
        <w:tc>
          <w:tcPr>
            <w:tcW w:w="1656" w:type="dxa"/>
            <w:tcBorders>
              <w:top w:val="nil"/>
              <w:left w:val="nil"/>
              <w:bottom w:val="nil"/>
              <w:right w:val="nil"/>
            </w:tcBorders>
          </w:tcPr>
          <w:p w14:paraId="4605ECE2"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(3.29)</w:t>
            </w:r>
          </w:p>
        </w:tc>
      </w:tr>
      <w:tr w:rsidR="008A07B7" w14:paraId="511918D9" w14:textId="77777777" w:rsidTr="00F16287">
        <w:tc>
          <w:tcPr>
            <w:tcW w:w="2136" w:type="dxa"/>
            <w:tcBorders>
              <w:top w:val="nil"/>
              <w:left w:val="nil"/>
              <w:bottom w:val="nil"/>
              <w:right w:val="nil"/>
            </w:tcBorders>
          </w:tcPr>
          <w:p w14:paraId="57136349"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DD4BB38"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51F02B4"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1B75F14"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2C731C5"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ECD328C"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r>
      <w:tr w:rsidR="008A07B7" w14:paraId="10750D41" w14:textId="77777777" w:rsidTr="00F16287">
        <w:tc>
          <w:tcPr>
            <w:tcW w:w="2136" w:type="dxa"/>
            <w:tcBorders>
              <w:top w:val="nil"/>
              <w:left w:val="nil"/>
              <w:bottom w:val="nil"/>
              <w:right w:val="nil"/>
            </w:tcBorders>
          </w:tcPr>
          <w:p w14:paraId="4ADB1D90"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Regional government exists   </w:t>
            </w:r>
          </w:p>
        </w:tc>
        <w:tc>
          <w:tcPr>
            <w:tcW w:w="1656" w:type="dxa"/>
            <w:tcBorders>
              <w:top w:val="nil"/>
              <w:left w:val="nil"/>
              <w:bottom w:val="nil"/>
              <w:right w:val="nil"/>
            </w:tcBorders>
          </w:tcPr>
          <w:p w14:paraId="530A0A42"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-0.462</w:t>
            </w:r>
          </w:p>
        </w:tc>
        <w:tc>
          <w:tcPr>
            <w:tcW w:w="1656" w:type="dxa"/>
            <w:tcBorders>
              <w:top w:val="nil"/>
              <w:left w:val="nil"/>
              <w:bottom w:val="nil"/>
              <w:right w:val="nil"/>
            </w:tcBorders>
          </w:tcPr>
          <w:p w14:paraId="433863DD"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0.388</w:t>
            </w:r>
          </w:p>
        </w:tc>
        <w:tc>
          <w:tcPr>
            <w:tcW w:w="1656" w:type="dxa"/>
            <w:tcBorders>
              <w:top w:val="nil"/>
              <w:left w:val="nil"/>
              <w:bottom w:val="nil"/>
              <w:right w:val="nil"/>
            </w:tcBorders>
          </w:tcPr>
          <w:p w14:paraId="655BDF9D"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-0.177</w:t>
            </w:r>
          </w:p>
        </w:tc>
        <w:tc>
          <w:tcPr>
            <w:tcW w:w="1656" w:type="dxa"/>
            <w:tcBorders>
              <w:top w:val="nil"/>
              <w:left w:val="nil"/>
              <w:bottom w:val="nil"/>
              <w:right w:val="nil"/>
            </w:tcBorders>
          </w:tcPr>
          <w:p w14:paraId="109E6B12"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287E4DA2"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0.0444</w:t>
            </w:r>
          </w:p>
        </w:tc>
      </w:tr>
      <w:tr w:rsidR="008A07B7" w14:paraId="3EFC71FE" w14:textId="77777777" w:rsidTr="00F16287">
        <w:tc>
          <w:tcPr>
            <w:tcW w:w="2136" w:type="dxa"/>
            <w:tcBorders>
              <w:top w:val="nil"/>
              <w:left w:val="nil"/>
              <w:bottom w:val="nil"/>
              <w:right w:val="nil"/>
            </w:tcBorders>
          </w:tcPr>
          <w:p w14:paraId="758A4270"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423BBFF"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(-1.45)</w:t>
            </w:r>
          </w:p>
        </w:tc>
        <w:tc>
          <w:tcPr>
            <w:tcW w:w="1656" w:type="dxa"/>
            <w:tcBorders>
              <w:top w:val="nil"/>
              <w:left w:val="nil"/>
              <w:bottom w:val="nil"/>
              <w:right w:val="nil"/>
            </w:tcBorders>
          </w:tcPr>
          <w:p w14:paraId="79F00278"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w:t>
            </w:r>
          </w:p>
        </w:tc>
        <w:tc>
          <w:tcPr>
            <w:tcW w:w="1656" w:type="dxa"/>
            <w:tcBorders>
              <w:top w:val="nil"/>
              <w:left w:val="nil"/>
              <w:bottom w:val="nil"/>
              <w:right w:val="nil"/>
            </w:tcBorders>
          </w:tcPr>
          <w:p w14:paraId="079BB7D3"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656" w:type="dxa"/>
            <w:tcBorders>
              <w:top w:val="nil"/>
              <w:left w:val="nil"/>
              <w:bottom w:val="nil"/>
              <w:right w:val="nil"/>
            </w:tcBorders>
          </w:tcPr>
          <w:p w14:paraId="7BE7C170"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04F4D0D7"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r>
      <w:tr w:rsidR="008A07B7" w14:paraId="1885C92A" w14:textId="77777777" w:rsidTr="00F16287">
        <w:tc>
          <w:tcPr>
            <w:tcW w:w="2136" w:type="dxa"/>
            <w:tcBorders>
              <w:top w:val="nil"/>
              <w:left w:val="nil"/>
              <w:bottom w:val="nil"/>
              <w:right w:val="nil"/>
            </w:tcBorders>
          </w:tcPr>
          <w:p w14:paraId="75ADE55A"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B44A3DC"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34EF3A3"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6E556FC"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746BFD1"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0397D38"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r>
      <w:tr w:rsidR="008A07B7" w14:paraId="2FCD99F8" w14:textId="77777777" w:rsidTr="00F16287">
        <w:tc>
          <w:tcPr>
            <w:tcW w:w="2136" w:type="dxa"/>
            <w:tcBorders>
              <w:top w:val="nil"/>
              <w:left w:val="nil"/>
              <w:bottom w:val="nil"/>
              <w:right w:val="nil"/>
            </w:tcBorders>
          </w:tcPr>
          <w:p w14:paraId="5F831D22"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Horizontal accountability index</w:t>
            </w:r>
          </w:p>
        </w:tc>
        <w:tc>
          <w:tcPr>
            <w:tcW w:w="1656" w:type="dxa"/>
            <w:tcBorders>
              <w:top w:val="nil"/>
              <w:left w:val="nil"/>
              <w:bottom w:val="nil"/>
              <w:right w:val="nil"/>
            </w:tcBorders>
          </w:tcPr>
          <w:p w14:paraId="44018921"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0.0987</w:t>
            </w:r>
          </w:p>
        </w:tc>
        <w:tc>
          <w:tcPr>
            <w:tcW w:w="1656" w:type="dxa"/>
            <w:tcBorders>
              <w:top w:val="nil"/>
              <w:left w:val="nil"/>
              <w:bottom w:val="nil"/>
              <w:right w:val="nil"/>
            </w:tcBorders>
          </w:tcPr>
          <w:p w14:paraId="09F6806C"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0A96302"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D483146"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0.0655</w:t>
            </w:r>
          </w:p>
        </w:tc>
        <w:tc>
          <w:tcPr>
            <w:tcW w:w="1656" w:type="dxa"/>
            <w:tcBorders>
              <w:top w:val="nil"/>
              <w:left w:val="nil"/>
              <w:bottom w:val="nil"/>
              <w:right w:val="nil"/>
            </w:tcBorders>
          </w:tcPr>
          <w:p w14:paraId="25971356"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0.472</w:t>
            </w:r>
            <w:r>
              <w:rPr>
                <w:rFonts w:ascii="Times New Roman" w:hAnsi="Times New Roman" w:cs="Times New Roman"/>
                <w:sz w:val="24"/>
                <w:szCs w:val="24"/>
                <w:vertAlign w:val="superscript"/>
              </w:rPr>
              <w:t>***</w:t>
            </w:r>
          </w:p>
        </w:tc>
      </w:tr>
      <w:tr w:rsidR="008A07B7" w14:paraId="1AEE9C40" w14:textId="77777777" w:rsidTr="00F16287">
        <w:tc>
          <w:tcPr>
            <w:tcW w:w="2136" w:type="dxa"/>
            <w:tcBorders>
              <w:top w:val="nil"/>
              <w:left w:val="nil"/>
              <w:bottom w:val="nil"/>
              <w:right w:val="nil"/>
            </w:tcBorders>
          </w:tcPr>
          <w:p w14:paraId="7D987CC2"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DF70B1F"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656" w:type="dxa"/>
            <w:tcBorders>
              <w:top w:val="nil"/>
              <w:left w:val="nil"/>
              <w:bottom w:val="nil"/>
              <w:right w:val="nil"/>
            </w:tcBorders>
          </w:tcPr>
          <w:p w14:paraId="69728CC9"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(2.77)</w:t>
            </w:r>
          </w:p>
        </w:tc>
        <w:tc>
          <w:tcPr>
            <w:tcW w:w="1656" w:type="dxa"/>
            <w:tcBorders>
              <w:top w:val="nil"/>
              <w:left w:val="nil"/>
              <w:bottom w:val="nil"/>
              <w:right w:val="nil"/>
            </w:tcBorders>
          </w:tcPr>
          <w:p w14:paraId="6A8FE3C4"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(2.84)</w:t>
            </w:r>
          </w:p>
        </w:tc>
        <w:tc>
          <w:tcPr>
            <w:tcW w:w="1656" w:type="dxa"/>
            <w:tcBorders>
              <w:top w:val="nil"/>
              <w:left w:val="nil"/>
              <w:bottom w:val="nil"/>
              <w:right w:val="nil"/>
            </w:tcBorders>
          </w:tcPr>
          <w:p w14:paraId="2D21D3DC"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w:t>
            </w:r>
          </w:p>
        </w:tc>
        <w:tc>
          <w:tcPr>
            <w:tcW w:w="1656" w:type="dxa"/>
            <w:tcBorders>
              <w:top w:val="nil"/>
              <w:left w:val="nil"/>
              <w:bottom w:val="nil"/>
              <w:right w:val="nil"/>
            </w:tcBorders>
          </w:tcPr>
          <w:p w14:paraId="05C969DB"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(4.13)</w:t>
            </w:r>
          </w:p>
        </w:tc>
      </w:tr>
      <w:tr w:rsidR="008A07B7" w14:paraId="383E5D09" w14:textId="77777777" w:rsidTr="00F16287">
        <w:tc>
          <w:tcPr>
            <w:tcW w:w="2136" w:type="dxa"/>
            <w:tcBorders>
              <w:top w:val="nil"/>
              <w:left w:val="nil"/>
              <w:bottom w:val="nil"/>
              <w:right w:val="nil"/>
            </w:tcBorders>
          </w:tcPr>
          <w:p w14:paraId="4EED04BD"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5DB970E"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43EF079"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D9BF326"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2CBE48D"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30BD6DB"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r>
      <w:tr w:rsidR="008A07B7" w14:paraId="617AD876" w14:textId="77777777" w:rsidTr="00F16287">
        <w:tc>
          <w:tcPr>
            <w:tcW w:w="2136" w:type="dxa"/>
            <w:tcBorders>
              <w:top w:val="nil"/>
              <w:left w:val="nil"/>
              <w:bottom w:val="nil"/>
              <w:right w:val="nil"/>
            </w:tcBorders>
          </w:tcPr>
          <w:p w14:paraId="4B83F511"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Checks and Balances</w:t>
            </w:r>
          </w:p>
        </w:tc>
        <w:tc>
          <w:tcPr>
            <w:tcW w:w="1656" w:type="dxa"/>
            <w:tcBorders>
              <w:top w:val="nil"/>
              <w:left w:val="nil"/>
              <w:bottom w:val="nil"/>
              <w:right w:val="nil"/>
            </w:tcBorders>
          </w:tcPr>
          <w:p w14:paraId="205D5C01"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0.0591</w:t>
            </w:r>
          </w:p>
        </w:tc>
        <w:tc>
          <w:tcPr>
            <w:tcW w:w="1656" w:type="dxa"/>
            <w:tcBorders>
              <w:top w:val="nil"/>
              <w:left w:val="nil"/>
              <w:bottom w:val="nil"/>
              <w:right w:val="nil"/>
            </w:tcBorders>
          </w:tcPr>
          <w:p w14:paraId="389F4923"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-0.0772</w:t>
            </w:r>
          </w:p>
        </w:tc>
        <w:tc>
          <w:tcPr>
            <w:tcW w:w="1656" w:type="dxa"/>
            <w:tcBorders>
              <w:top w:val="nil"/>
              <w:left w:val="nil"/>
              <w:bottom w:val="nil"/>
              <w:right w:val="nil"/>
            </w:tcBorders>
          </w:tcPr>
          <w:p w14:paraId="51C59516"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0.0476</w:t>
            </w:r>
          </w:p>
        </w:tc>
        <w:tc>
          <w:tcPr>
            <w:tcW w:w="1656" w:type="dxa"/>
            <w:tcBorders>
              <w:top w:val="nil"/>
              <w:left w:val="nil"/>
              <w:bottom w:val="nil"/>
              <w:right w:val="nil"/>
            </w:tcBorders>
          </w:tcPr>
          <w:p w14:paraId="23F550E0"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-0.0151</w:t>
            </w:r>
          </w:p>
        </w:tc>
        <w:tc>
          <w:tcPr>
            <w:tcW w:w="1656" w:type="dxa"/>
            <w:tcBorders>
              <w:top w:val="nil"/>
              <w:left w:val="nil"/>
              <w:bottom w:val="nil"/>
              <w:right w:val="nil"/>
            </w:tcBorders>
          </w:tcPr>
          <w:p w14:paraId="152C59B9"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-0.0567</w:t>
            </w:r>
            <w:r>
              <w:rPr>
                <w:rFonts w:ascii="Times New Roman" w:hAnsi="Times New Roman" w:cs="Times New Roman"/>
                <w:sz w:val="24"/>
                <w:szCs w:val="24"/>
                <w:vertAlign w:val="superscript"/>
              </w:rPr>
              <w:t>*</w:t>
            </w:r>
          </w:p>
        </w:tc>
      </w:tr>
      <w:tr w:rsidR="008A07B7" w14:paraId="3BEA2A20" w14:textId="77777777" w:rsidTr="00F16287">
        <w:tc>
          <w:tcPr>
            <w:tcW w:w="2136" w:type="dxa"/>
            <w:tcBorders>
              <w:top w:val="nil"/>
              <w:left w:val="nil"/>
              <w:bottom w:val="nil"/>
              <w:right w:val="nil"/>
            </w:tcBorders>
          </w:tcPr>
          <w:p w14:paraId="40CF00EE"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0639109"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w:t>
            </w:r>
          </w:p>
        </w:tc>
        <w:tc>
          <w:tcPr>
            <w:tcW w:w="1656" w:type="dxa"/>
            <w:tcBorders>
              <w:top w:val="nil"/>
              <w:left w:val="nil"/>
              <w:bottom w:val="nil"/>
              <w:right w:val="nil"/>
            </w:tcBorders>
          </w:tcPr>
          <w:p w14:paraId="66BFF9A8"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w:t>
            </w:r>
          </w:p>
        </w:tc>
        <w:tc>
          <w:tcPr>
            <w:tcW w:w="1656" w:type="dxa"/>
            <w:tcBorders>
              <w:top w:val="nil"/>
              <w:left w:val="nil"/>
              <w:bottom w:val="nil"/>
              <w:right w:val="nil"/>
            </w:tcBorders>
          </w:tcPr>
          <w:p w14:paraId="6DD997BE"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w:t>
            </w:r>
          </w:p>
        </w:tc>
        <w:tc>
          <w:tcPr>
            <w:tcW w:w="1656" w:type="dxa"/>
            <w:tcBorders>
              <w:top w:val="nil"/>
              <w:left w:val="nil"/>
              <w:bottom w:val="nil"/>
              <w:right w:val="nil"/>
            </w:tcBorders>
          </w:tcPr>
          <w:p w14:paraId="4F9F3B93"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c>
          <w:tcPr>
            <w:tcW w:w="1656" w:type="dxa"/>
            <w:tcBorders>
              <w:top w:val="nil"/>
              <w:left w:val="nil"/>
              <w:bottom w:val="nil"/>
              <w:right w:val="nil"/>
            </w:tcBorders>
          </w:tcPr>
          <w:p w14:paraId="2ABD5171"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(-2.26)</w:t>
            </w:r>
          </w:p>
        </w:tc>
      </w:tr>
      <w:tr w:rsidR="008A07B7" w14:paraId="782AE82E" w14:textId="77777777" w:rsidTr="00F16287">
        <w:tc>
          <w:tcPr>
            <w:tcW w:w="2136" w:type="dxa"/>
            <w:tcBorders>
              <w:top w:val="nil"/>
              <w:left w:val="nil"/>
              <w:bottom w:val="nil"/>
              <w:right w:val="nil"/>
            </w:tcBorders>
          </w:tcPr>
          <w:p w14:paraId="215EF1CE"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26F400E"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0F93939"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414F4E8"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30440C5"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535B344"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r>
      <w:tr w:rsidR="008A07B7" w14:paraId="5E9AA952" w14:textId="77777777" w:rsidTr="00F16287">
        <w:tc>
          <w:tcPr>
            <w:tcW w:w="2136" w:type="dxa"/>
            <w:tcBorders>
              <w:top w:val="nil"/>
              <w:left w:val="nil"/>
              <w:bottom w:val="nil"/>
              <w:right w:val="nil"/>
            </w:tcBorders>
          </w:tcPr>
          <w:p w14:paraId="211A1A8F"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Autonomous Regions</w:t>
            </w:r>
          </w:p>
        </w:tc>
        <w:tc>
          <w:tcPr>
            <w:tcW w:w="1656" w:type="dxa"/>
            <w:tcBorders>
              <w:top w:val="nil"/>
              <w:left w:val="nil"/>
              <w:bottom w:val="nil"/>
              <w:right w:val="nil"/>
            </w:tcBorders>
          </w:tcPr>
          <w:p w14:paraId="01799E85"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1.098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1C2FB21"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656" w:type="dxa"/>
            <w:tcBorders>
              <w:top w:val="nil"/>
              <w:left w:val="nil"/>
              <w:bottom w:val="nil"/>
              <w:right w:val="nil"/>
            </w:tcBorders>
          </w:tcPr>
          <w:p w14:paraId="2028FE47"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0.251</w:t>
            </w:r>
          </w:p>
        </w:tc>
        <w:tc>
          <w:tcPr>
            <w:tcW w:w="1656" w:type="dxa"/>
            <w:tcBorders>
              <w:top w:val="nil"/>
              <w:left w:val="nil"/>
              <w:bottom w:val="nil"/>
              <w:right w:val="nil"/>
            </w:tcBorders>
          </w:tcPr>
          <w:p w14:paraId="5FAFAE3D"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71BC4471"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-0.118</w:t>
            </w:r>
          </w:p>
        </w:tc>
      </w:tr>
      <w:tr w:rsidR="008A07B7" w14:paraId="2BB80640" w14:textId="77777777" w:rsidTr="00F16287">
        <w:tc>
          <w:tcPr>
            <w:tcW w:w="2136" w:type="dxa"/>
            <w:tcBorders>
              <w:top w:val="nil"/>
              <w:left w:val="nil"/>
              <w:bottom w:val="nil"/>
              <w:right w:val="nil"/>
            </w:tcBorders>
          </w:tcPr>
          <w:p w14:paraId="6E5E9BCF"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E8C390E"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656" w:type="dxa"/>
            <w:tcBorders>
              <w:top w:val="nil"/>
              <w:left w:val="nil"/>
              <w:bottom w:val="nil"/>
              <w:right w:val="nil"/>
            </w:tcBorders>
          </w:tcPr>
          <w:p w14:paraId="24759472"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w:t>
            </w:r>
          </w:p>
        </w:tc>
        <w:tc>
          <w:tcPr>
            <w:tcW w:w="1656" w:type="dxa"/>
            <w:tcBorders>
              <w:top w:val="nil"/>
              <w:left w:val="nil"/>
              <w:bottom w:val="nil"/>
              <w:right w:val="nil"/>
            </w:tcBorders>
          </w:tcPr>
          <w:p w14:paraId="4DCCA265"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w:t>
            </w:r>
          </w:p>
        </w:tc>
        <w:tc>
          <w:tcPr>
            <w:tcW w:w="1656" w:type="dxa"/>
            <w:tcBorders>
              <w:top w:val="nil"/>
              <w:left w:val="nil"/>
              <w:bottom w:val="nil"/>
              <w:right w:val="nil"/>
            </w:tcBorders>
          </w:tcPr>
          <w:p w14:paraId="3E7ED362"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22803683"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w:t>
            </w:r>
          </w:p>
        </w:tc>
      </w:tr>
      <w:tr w:rsidR="008A07B7" w14:paraId="053C08DC" w14:textId="77777777" w:rsidTr="00F16287">
        <w:tc>
          <w:tcPr>
            <w:tcW w:w="2136" w:type="dxa"/>
            <w:tcBorders>
              <w:top w:val="nil"/>
              <w:left w:val="nil"/>
              <w:bottom w:val="nil"/>
              <w:right w:val="nil"/>
            </w:tcBorders>
          </w:tcPr>
          <w:p w14:paraId="4DD483BD"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CCED63B"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5FD76D7"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7C4F509"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9F95FCA"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EDCBC99"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r>
      <w:tr w:rsidR="008A07B7" w14:paraId="7C39DB1B" w14:textId="77777777" w:rsidTr="00F16287">
        <w:tc>
          <w:tcPr>
            <w:tcW w:w="2136" w:type="dxa"/>
            <w:tcBorders>
              <w:top w:val="nil"/>
              <w:left w:val="nil"/>
              <w:bottom w:val="nil"/>
              <w:right w:val="nil"/>
            </w:tcBorders>
          </w:tcPr>
          <w:p w14:paraId="6B2C9A24"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 Government Authority over Taxing, Spending, or Legislating</w:t>
            </w:r>
          </w:p>
        </w:tc>
        <w:tc>
          <w:tcPr>
            <w:tcW w:w="1656" w:type="dxa"/>
            <w:tcBorders>
              <w:top w:val="nil"/>
              <w:left w:val="nil"/>
              <w:bottom w:val="nil"/>
              <w:right w:val="nil"/>
            </w:tcBorders>
          </w:tcPr>
          <w:p w14:paraId="29223617"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081D01F"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0.0281</w:t>
            </w:r>
          </w:p>
        </w:tc>
        <w:tc>
          <w:tcPr>
            <w:tcW w:w="1656" w:type="dxa"/>
            <w:tcBorders>
              <w:top w:val="nil"/>
              <w:left w:val="nil"/>
              <w:bottom w:val="nil"/>
              <w:right w:val="nil"/>
            </w:tcBorders>
          </w:tcPr>
          <w:p w14:paraId="2F19FED8"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0.130</w:t>
            </w:r>
          </w:p>
        </w:tc>
        <w:tc>
          <w:tcPr>
            <w:tcW w:w="1656" w:type="dxa"/>
            <w:tcBorders>
              <w:top w:val="nil"/>
              <w:left w:val="nil"/>
              <w:bottom w:val="nil"/>
              <w:right w:val="nil"/>
            </w:tcBorders>
          </w:tcPr>
          <w:p w14:paraId="1352662F"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5B26D803"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0.239</w:t>
            </w:r>
            <w:r>
              <w:rPr>
                <w:rFonts w:ascii="Times New Roman" w:hAnsi="Times New Roman" w:cs="Times New Roman"/>
                <w:sz w:val="24"/>
                <w:szCs w:val="24"/>
                <w:vertAlign w:val="superscript"/>
              </w:rPr>
              <w:t>**</w:t>
            </w:r>
          </w:p>
        </w:tc>
      </w:tr>
      <w:tr w:rsidR="008A07B7" w14:paraId="4E5F3DFB" w14:textId="77777777" w:rsidTr="00F16287">
        <w:tc>
          <w:tcPr>
            <w:tcW w:w="2136" w:type="dxa"/>
            <w:tcBorders>
              <w:top w:val="nil"/>
              <w:left w:val="nil"/>
              <w:bottom w:val="nil"/>
              <w:right w:val="nil"/>
            </w:tcBorders>
          </w:tcPr>
          <w:p w14:paraId="529789DA"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A905188"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(11.06)</w:t>
            </w:r>
          </w:p>
        </w:tc>
        <w:tc>
          <w:tcPr>
            <w:tcW w:w="1656" w:type="dxa"/>
            <w:tcBorders>
              <w:top w:val="nil"/>
              <w:left w:val="nil"/>
              <w:bottom w:val="nil"/>
              <w:right w:val="nil"/>
            </w:tcBorders>
          </w:tcPr>
          <w:p w14:paraId="2D948003"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656" w:type="dxa"/>
            <w:tcBorders>
              <w:top w:val="nil"/>
              <w:left w:val="nil"/>
              <w:bottom w:val="nil"/>
              <w:right w:val="nil"/>
            </w:tcBorders>
          </w:tcPr>
          <w:p w14:paraId="34FFB002"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(0.79)</w:t>
            </w:r>
          </w:p>
        </w:tc>
        <w:tc>
          <w:tcPr>
            <w:tcW w:w="1656" w:type="dxa"/>
            <w:tcBorders>
              <w:top w:val="nil"/>
              <w:left w:val="nil"/>
              <w:bottom w:val="nil"/>
              <w:right w:val="nil"/>
            </w:tcBorders>
          </w:tcPr>
          <w:p w14:paraId="50100A0D"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125E7FF3"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8A07B7" w14:paraId="1CF80E16" w14:textId="77777777" w:rsidTr="00F16287">
        <w:tc>
          <w:tcPr>
            <w:tcW w:w="2136" w:type="dxa"/>
            <w:tcBorders>
              <w:top w:val="nil"/>
              <w:left w:val="nil"/>
              <w:bottom w:val="nil"/>
              <w:right w:val="nil"/>
            </w:tcBorders>
          </w:tcPr>
          <w:p w14:paraId="36D9A292"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63E9374"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9ABAFDE"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A86B29D"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C7EF824"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E026560"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r>
      <w:tr w:rsidR="008A07B7" w14:paraId="1839AC71" w14:textId="77777777" w:rsidTr="00F16287">
        <w:tc>
          <w:tcPr>
            <w:tcW w:w="2136" w:type="dxa"/>
            <w:tcBorders>
              <w:top w:val="nil"/>
              <w:left w:val="nil"/>
              <w:bottom w:val="nil"/>
              <w:right w:val="nil"/>
            </w:tcBorders>
          </w:tcPr>
          <w:p w14:paraId="73411F48"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Coord</w:t>
            </w:r>
          </w:p>
        </w:tc>
        <w:tc>
          <w:tcPr>
            <w:tcW w:w="1656" w:type="dxa"/>
            <w:tcBorders>
              <w:top w:val="nil"/>
              <w:left w:val="nil"/>
              <w:bottom w:val="nil"/>
              <w:right w:val="nil"/>
            </w:tcBorders>
          </w:tcPr>
          <w:p w14:paraId="2459FD53"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0.0680</w:t>
            </w:r>
          </w:p>
        </w:tc>
        <w:tc>
          <w:tcPr>
            <w:tcW w:w="1656" w:type="dxa"/>
            <w:tcBorders>
              <w:top w:val="nil"/>
              <w:left w:val="nil"/>
              <w:bottom w:val="nil"/>
              <w:right w:val="nil"/>
            </w:tcBorders>
          </w:tcPr>
          <w:p w14:paraId="2B582FD9"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0.156</w:t>
            </w:r>
          </w:p>
        </w:tc>
        <w:tc>
          <w:tcPr>
            <w:tcW w:w="1656" w:type="dxa"/>
            <w:tcBorders>
              <w:top w:val="nil"/>
              <w:left w:val="nil"/>
              <w:bottom w:val="nil"/>
              <w:right w:val="nil"/>
            </w:tcBorders>
          </w:tcPr>
          <w:p w14:paraId="71305160"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1656" w:type="dxa"/>
            <w:tcBorders>
              <w:top w:val="nil"/>
              <w:left w:val="nil"/>
              <w:bottom w:val="nil"/>
              <w:right w:val="nil"/>
            </w:tcBorders>
          </w:tcPr>
          <w:p w14:paraId="65AEBCE5"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-0.0753</w:t>
            </w:r>
          </w:p>
        </w:tc>
        <w:tc>
          <w:tcPr>
            <w:tcW w:w="1656" w:type="dxa"/>
            <w:tcBorders>
              <w:top w:val="nil"/>
              <w:left w:val="nil"/>
              <w:bottom w:val="nil"/>
              <w:right w:val="nil"/>
            </w:tcBorders>
          </w:tcPr>
          <w:p w14:paraId="7B91821E"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-0.0141</w:t>
            </w:r>
          </w:p>
        </w:tc>
      </w:tr>
      <w:tr w:rsidR="008A07B7" w14:paraId="53DD6995" w14:textId="77777777" w:rsidTr="00F16287">
        <w:tc>
          <w:tcPr>
            <w:tcW w:w="2136" w:type="dxa"/>
            <w:tcBorders>
              <w:top w:val="nil"/>
              <w:left w:val="nil"/>
              <w:bottom w:val="nil"/>
              <w:right w:val="nil"/>
            </w:tcBorders>
          </w:tcPr>
          <w:p w14:paraId="7799221F"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8BEEC82"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c>
          <w:tcPr>
            <w:tcW w:w="1656" w:type="dxa"/>
            <w:tcBorders>
              <w:top w:val="nil"/>
              <w:left w:val="nil"/>
              <w:bottom w:val="nil"/>
              <w:right w:val="nil"/>
            </w:tcBorders>
          </w:tcPr>
          <w:p w14:paraId="5F840AC5"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656" w:type="dxa"/>
            <w:tcBorders>
              <w:top w:val="nil"/>
              <w:left w:val="nil"/>
              <w:bottom w:val="nil"/>
              <w:right w:val="nil"/>
            </w:tcBorders>
          </w:tcPr>
          <w:p w14:paraId="679E15B5"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656" w:type="dxa"/>
            <w:tcBorders>
              <w:top w:val="nil"/>
              <w:left w:val="nil"/>
              <w:bottom w:val="nil"/>
              <w:right w:val="nil"/>
            </w:tcBorders>
          </w:tcPr>
          <w:p w14:paraId="36B3C168"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656" w:type="dxa"/>
            <w:tcBorders>
              <w:top w:val="nil"/>
              <w:left w:val="nil"/>
              <w:bottom w:val="nil"/>
              <w:right w:val="nil"/>
            </w:tcBorders>
          </w:tcPr>
          <w:p w14:paraId="290F87E7"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w:t>
            </w:r>
          </w:p>
        </w:tc>
      </w:tr>
      <w:tr w:rsidR="008A07B7" w14:paraId="0B868666" w14:textId="77777777" w:rsidTr="00F16287">
        <w:tc>
          <w:tcPr>
            <w:tcW w:w="2136" w:type="dxa"/>
            <w:tcBorders>
              <w:top w:val="nil"/>
              <w:left w:val="nil"/>
              <w:bottom w:val="nil"/>
              <w:right w:val="nil"/>
            </w:tcBorders>
          </w:tcPr>
          <w:p w14:paraId="70284999"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49C75EE"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1651556"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DF050F7"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75F13EF"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58C8992"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r>
      <w:tr w:rsidR="008A07B7" w14:paraId="4C94EE31" w14:textId="77777777" w:rsidTr="00F16287">
        <w:tc>
          <w:tcPr>
            <w:tcW w:w="2136" w:type="dxa"/>
            <w:tcBorders>
              <w:top w:val="nil"/>
              <w:left w:val="nil"/>
              <w:bottom w:val="nil"/>
              <w:right w:val="nil"/>
            </w:tcBorders>
          </w:tcPr>
          <w:p w14:paraId="42DEC129"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Type</w:t>
            </w:r>
          </w:p>
        </w:tc>
        <w:tc>
          <w:tcPr>
            <w:tcW w:w="1656" w:type="dxa"/>
            <w:tcBorders>
              <w:top w:val="nil"/>
              <w:left w:val="nil"/>
              <w:bottom w:val="nil"/>
              <w:right w:val="nil"/>
            </w:tcBorders>
          </w:tcPr>
          <w:p w14:paraId="76A50E05"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0.00993</w:t>
            </w:r>
          </w:p>
        </w:tc>
        <w:tc>
          <w:tcPr>
            <w:tcW w:w="1656" w:type="dxa"/>
            <w:tcBorders>
              <w:top w:val="nil"/>
              <w:left w:val="nil"/>
              <w:bottom w:val="nil"/>
              <w:right w:val="nil"/>
            </w:tcBorders>
          </w:tcPr>
          <w:p w14:paraId="3517C4A3"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-0.0685</w:t>
            </w:r>
          </w:p>
        </w:tc>
        <w:tc>
          <w:tcPr>
            <w:tcW w:w="1656" w:type="dxa"/>
            <w:tcBorders>
              <w:top w:val="nil"/>
              <w:left w:val="nil"/>
              <w:bottom w:val="nil"/>
              <w:right w:val="nil"/>
            </w:tcBorders>
          </w:tcPr>
          <w:p w14:paraId="6BDF6D90"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0.0270</w:t>
            </w:r>
          </w:p>
        </w:tc>
        <w:tc>
          <w:tcPr>
            <w:tcW w:w="1656" w:type="dxa"/>
            <w:tcBorders>
              <w:top w:val="nil"/>
              <w:left w:val="nil"/>
              <w:bottom w:val="nil"/>
              <w:right w:val="nil"/>
            </w:tcBorders>
          </w:tcPr>
          <w:p w14:paraId="757B3109"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2150CB3"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-0.0487</w:t>
            </w:r>
          </w:p>
        </w:tc>
      </w:tr>
      <w:tr w:rsidR="008A07B7" w14:paraId="3B19F111" w14:textId="77777777" w:rsidTr="00F16287">
        <w:tc>
          <w:tcPr>
            <w:tcW w:w="2136" w:type="dxa"/>
            <w:tcBorders>
              <w:top w:val="nil"/>
              <w:left w:val="nil"/>
              <w:bottom w:val="nil"/>
              <w:right w:val="nil"/>
            </w:tcBorders>
          </w:tcPr>
          <w:p w14:paraId="0882AC5D"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81B281B"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656" w:type="dxa"/>
            <w:tcBorders>
              <w:top w:val="nil"/>
              <w:left w:val="nil"/>
              <w:bottom w:val="nil"/>
              <w:right w:val="nil"/>
            </w:tcBorders>
          </w:tcPr>
          <w:p w14:paraId="64DE4FC0"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656" w:type="dxa"/>
            <w:tcBorders>
              <w:top w:val="nil"/>
              <w:left w:val="nil"/>
              <w:bottom w:val="nil"/>
              <w:right w:val="nil"/>
            </w:tcBorders>
          </w:tcPr>
          <w:p w14:paraId="3FA65E94"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656" w:type="dxa"/>
            <w:tcBorders>
              <w:top w:val="nil"/>
              <w:left w:val="nil"/>
              <w:bottom w:val="nil"/>
              <w:right w:val="nil"/>
            </w:tcBorders>
          </w:tcPr>
          <w:p w14:paraId="6C8727D5"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w:t>
            </w:r>
          </w:p>
        </w:tc>
        <w:tc>
          <w:tcPr>
            <w:tcW w:w="1656" w:type="dxa"/>
            <w:tcBorders>
              <w:top w:val="nil"/>
              <w:left w:val="nil"/>
              <w:bottom w:val="nil"/>
              <w:right w:val="nil"/>
            </w:tcBorders>
          </w:tcPr>
          <w:p w14:paraId="18100EF1"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(-0.89)</w:t>
            </w:r>
          </w:p>
        </w:tc>
      </w:tr>
      <w:tr w:rsidR="008A07B7" w14:paraId="24B0A50C" w14:textId="77777777" w:rsidTr="00F16287">
        <w:tc>
          <w:tcPr>
            <w:tcW w:w="2136" w:type="dxa"/>
            <w:tcBorders>
              <w:top w:val="nil"/>
              <w:left w:val="nil"/>
              <w:bottom w:val="nil"/>
              <w:right w:val="nil"/>
            </w:tcBorders>
          </w:tcPr>
          <w:p w14:paraId="6D41F7E2"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CF89B9"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2E331FC"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10157BA"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B8F69D7"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7DC2CD5"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r>
      <w:tr w:rsidR="008A07B7" w14:paraId="3D1013A8" w14:textId="77777777" w:rsidTr="00F16287">
        <w:tc>
          <w:tcPr>
            <w:tcW w:w="2136" w:type="dxa"/>
            <w:tcBorders>
              <w:top w:val="nil"/>
              <w:left w:val="nil"/>
              <w:bottom w:val="nil"/>
              <w:right w:val="nil"/>
            </w:tcBorders>
          </w:tcPr>
          <w:p w14:paraId="27B883A5"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6C9F12F3"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-0.165</w:t>
            </w:r>
          </w:p>
        </w:tc>
        <w:tc>
          <w:tcPr>
            <w:tcW w:w="1656" w:type="dxa"/>
            <w:tcBorders>
              <w:top w:val="nil"/>
              <w:left w:val="nil"/>
              <w:bottom w:val="nil"/>
              <w:right w:val="nil"/>
            </w:tcBorders>
          </w:tcPr>
          <w:p w14:paraId="2DA6F575"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-0.191</w:t>
            </w:r>
          </w:p>
        </w:tc>
        <w:tc>
          <w:tcPr>
            <w:tcW w:w="1656" w:type="dxa"/>
            <w:tcBorders>
              <w:top w:val="nil"/>
              <w:left w:val="nil"/>
              <w:bottom w:val="nil"/>
              <w:right w:val="nil"/>
            </w:tcBorders>
          </w:tcPr>
          <w:p w14:paraId="792342AC"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-0.144</w:t>
            </w:r>
          </w:p>
        </w:tc>
        <w:tc>
          <w:tcPr>
            <w:tcW w:w="1656" w:type="dxa"/>
            <w:tcBorders>
              <w:top w:val="nil"/>
              <w:left w:val="nil"/>
              <w:bottom w:val="nil"/>
              <w:right w:val="nil"/>
            </w:tcBorders>
          </w:tcPr>
          <w:p w14:paraId="58C1B107"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9B12CCA"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-0.451</w:t>
            </w:r>
          </w:p>
        </w:tc>
      </w:tr>
      <w:tr w:rsidR="008A07B7" w14:paraId="51869AA1" w14:textId="77777777" w:rsidTr="00F16287">
        <w:tc>
          <w:tcPr>
            <w:tcW w:w="2136" w:type="dxa"/>
            <w:tcBorders>
              <w:top w:val="nil"/>
              <w:left w:val="nil"/>
              <w:bottom w:val="single" w:sz="4" w:space="0" w:color="auto"/>
              <w:right w:val="nil"/>
            </w:tcBorders>
          </w:tcPr>
          <w:p w14:paraId="2CCED871"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16523AAC"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656" w:type="dxa"/>
            <w:tcBorders>
              <w:top w:val="nil"/>
              <w:left w:val="nil"/>
              <w:bottom w:val="single" w:sz="4" w:space="0" w:color="auto"/>
              <w:right w:val="nil"/>
            </w:tcBorders>
          </w:tcPr>
          <w:p w14:paraId="6BA1A73B"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w:t>
            </w:r>
          </w:p>
        </w:tc>
        <w:tc>
          <w:tcPr>
            <w:tcW w:w="1656" w:type="dxa"/>
            <w:tcBorders>
              <w:top w:val="nil"/>
              <w:left w:val="nil"/>
              <w:bottom w:val="single" w:sz="4" w:space="0" w:color="auto"/>
              <w:right w:val="nil"/>
            </w:tcBorders>
          </w:tcPr>
          <w:p w14:paraId="33997EF7"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656" w:type="dxa"/>
            <w:tcBorders>
              <w:top w:val="nil"/>
              <w:left w:val="nil"/>
              <w:bottom w:val="single" w:sz="4" w:space="0" w:color="auto"/>
              <w:right w:val="nil"/>
            </w:tcBorders>
          </w:tcPr>
          <w:p w14:paraId="22A89F60"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(2.55)</w:t>
            </w:r>
          </w:p>
        </w:tc>
        <w:tc>
          <w:tcPr>
            <w:tcW w:w="1656" w:type="dxa"/>
            <w:tcBorders>
              <w:top w:val="nil"/>
              <w:left w:val="nil"/>
              <w:bottom w:val="single" w:sz="4" w:space="0" w:color="auto"/>
              <w:right w:val="nil"/>
            </w:tcBorders>
          </w:tcPr>
          <w:p w14:paraId="39F6F0F4"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(-1.49)</w:t>
            </w:r>
          </w:p>
        </w:tc>
      </w:tr>
      <w:tr w:rsidR="008A07B7" w14:paraId="1A46286B" w14:textId="77777777" w:rsidTr="00F16287">
        <w:tc>
          <w:tcPr>
            <w:tcW w:w="2136" w:type="dxa"/>
            <w:tcBorders>
              <w:top w:val="nil"/>
              <w:left w:val="nil"/>
              <w:bottom w:val="single" w:sz="4" w:space="0" w:color="auto"/>
              <w:right w:val="nil"/>
            </w:tcBorders>
          </w:tcPr>
          <w:p w14:paraId="33E6F219" w14:textId="77777777" w:rsidR="008A07B7" w:rsidRDefault="008A07B7"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3DE27A3B"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221</w:t>
            </w:r>
          </w:p>
        </w:tc>
        <w:tc>
          <w:tcPr>
            <w:tcW w:w="1656" w:type="dxa"/>
            <w:tcBorders>
              <w:top w:val="nil"/>
              <w:left w:val="nil"/>
              <w:bottom w:val="single" w:sz="4" w:space="0" w:color="auto"/>
              <w:right w:val="nil"/>
            </w:tcBorders>
          </w:tcPr>
          <w:p w14:paraId="3477F869"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221</w:t>
            </w:r>
          </w:p>
        </w:tc>
        <w:tc>
          <w:tcPr>
            <w:tcW w:w="1656" w:type="dxa"/>
            <w:tcBorders>
              <w:top w:val="nil"/>
              <w:left w:val="nil"/>
              <w:bottom w:val="single" w:sz="4" w:space="0" w:color="auto"/>
              <w:right w:val="nil"/>
            </w:tcBorders>
          </w:tcPr>
          <w:p w14:paraId="798198DA"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1656" w:type="dxa"/>
            <w:tcBorders>
              <w:top w:val="nil"/>
              <w:left w:val="nil"/>
              <w:bottom w:val="single" w:sz="4" w:space="0" w:color="auto"/>
              <w:right w:val="nil"/>
            </w:tcBorders>
          </w:tcPr>
          <w:p w14:paraId="7BD1D2AF"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365</w:t>
            </w:r>
          </w:p>
        </w:tc>
        <w:tc>
          <w:tcPr>
            <w:tcW w:w="1656" w:type="dxa"/>
            <w:tcBorders>
              <w:top w:val="nil"/>
              <w:left w:val="nil"/>
              <w:bottom w:val="single" w:sz="4" w:space="0" w:color="auto"/>
              <w:right w:val="nil"/>
            </w:tcBorders>
          </w:tcPr>
          <w:p w14:paraId="3B8C8E91" w14:textId="77777777" w:rsidR="008A07B7" w:rsidRDefault="008A07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488</w:t>
            </w:r>
          </w:p>
        </w:tc>
      </w:tr>
    </w:tbl>
    <w:p w14:paraId="10895F40" w14:textId="77777777" w:rsidR="002338C3" w:rsidRDefault="002338C3" w:rsidP="002338C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 xml:space="preserve"> statistics in parentheses</w:t>
      </w:r>
    </w:p>
    <w:p w14:paraId="0117CD94" w14:textId="77777777" w:rsidR="002338C3" w:rsidRDefault="002338C3" w:rsidP="002338C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0.001</w:t>
      </w:r>
    </w:p>
    <w:p w14:paraId="7CFD00D5" w14:textId="77777777" w:rsidR="00FF6C76" w:rsidRDefault="00FF6C76" w:rsidP="002338C3">
      <w:pPr>
        <w:widowControl w:val="0"/>
        <w:autoSpaceDE w:val="0"/>
        <w:autoSpaceDN w:val="0"/>
        <w:adjustRightInd w:val="0"/>
        <w:spacing w:after="0" w:line="240" w:lineRule="auto"/>
        <w:rPr>
          <w:rFonts w:ascii="Times New Roman" w:hAnsi="Times New Roman" w:cs="Times New Roman"/>
          <w:sz w:val="24"/>
          <w:szCs w:val="24"/>
        </w:rPr>
      </w:pPr>
    </w:p>
    <w:p w14:paraId="23D65BCF" w14:textId="0F8C4F9E" w:rsidR="007323BE" w:rsidRPr="00B51E4E" w:rsidRDefault="00977D6C" w:rsidP="007323BE">
      <w:r w:rsidRPr="00B51E4E">
        <w:t>Table A1</w:t>
      </w:r>
      <w:r w:rsidR="004E2B3D" w:rsidRPr="00B51E4E">
        <w:t>1</w:t>
      </w:r>
      <w:r w:rsidRPr="00B51E4E">
        <w:t xml:space="preserve">: </w:t>
      </w:r>
      <w:r w:rsidR="007323BE" w:rsidRPr="00B51E4E">
        <w:t>Panel Logit Regression, Binary Dependent Variables Coding 1, Fixed Effects, Coefficients</w:t>
      </w:r>
    </w:p>
    <w:p w14:paraId="718CDB01" w14:textId="77777777" w:rsidR="007323BE" w:rsidRPr="00B51E4E" w:rsidRDefault="007323BE" w:rsidP="007323BE">
      <w:r w:rsidRPr="00B51E4E">
        <w:t>Any change in party or individual (any turnover), WBGI &gt;= 0</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525F5B" w14:paraId="4AF119DB" w14:textId="77777777" w:rsidTr="00F16287">
        <w:tc>
          <w:tcPr>
            <w:tcW w:w="2136" w:type="dxa"/>
            <w:tcBorders>
              <w:top w:val="single" w:sz="4" w:space="0" w:color="auto"/>
              <w:left w:val="nil"/>
              <w:bottom w:val="nil"/>
              <w:right w:val="nil"/>
            </w:tcBorders>
          </w:tcPr>
          <w:p w14:paraId="1DEE7852" w14:textId="77777777" w:rsidR="00525F5B" w:rsidRDefault="00525F5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608AABAB"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42E89CB5"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70D0A092"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0EACF28F"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1BE2129F"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525F5B" w14:paraId="7F931890" w14:textId="77777777" w:rsidTr="00F16287">
        <w:tc>
          <w:tcPr>
            <w:tcW w:w="2136" w:type="dxa"/>
            <w:tcBorders>
              <w:top w:val="nil"/>
              <w:left w:val="nil"/>
              <w:bottom w:val="nil"/>
              <w:right w:val="nil"/>
            </w:tcBorders>
          </w:tcPr>
          <w:p w14:paraId="1E79B3F6" w14:textId="77777777" w:rsidR="00525F5B" w:rsidRDefault="00525F5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DF9B032"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bv2elturnhog</w:t>
            </w:r>
          </w:p>
        </w:tc>
        <w:tc>
          <w:tcPr>
            <w:tcW w:w="1656" w:type="dxa"/>
            <w:tcBorders>
              <w:top w:val="nil"/>
              <w:left w:val="nil"/>
              <w:bottom w:val="nil"/>
              <w:right w:val="nil"/>
            </w:tcBorders>
          </w:tcPr>
          <w:p w14:paraId="2EE9411C"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bv2elturnhos</w:t>
            </w:r>
          </w:p>
        </w:tc>
        <w:tc>
          <w:tcPr>
            <w:tcW w:w="1656" w:type="dxa"/>
            <w:tcBorders>
              <w:top w:val="nil"/>
              <w:left w:val="nil"/>
              <w:bottom w:val="nil"/>
              <w:right w:val="nil"/>
            </w:tcBorders>
          </w:tcPr>
          <w:p w14:paraId="4573ABEF"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bv2eltvrig</w:t>
            </w:r>
          </w:p>
        </w:tc>
        <w:tc>
          <w:tcPr>
            <w:tcW w:w="1656" w:type="dxa"/>
            <w:tcBorders>
              <w:top w:val="nil"/>
              <w:left w:val="nil"/>
              <w:bottom w:val="nil"/>
              <w:right w:val="nil"/>
            </w:tcBorders>
          </w:tcPr>
          <w:p w14:paraId="0197C4B9"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be_wbgi_pve</w:t>
            </w:r>
            <w:proofErr w:type="spellEnd"/>
          </w:p>
        </w:tc>
        <w:tc>
          <w:tcPr>
            <w:tcW w:w="1656" w:type="dxa"/>
            <w:tcBorders>
              <w:top w:val="nil"/>
              <w:left w:val="nil"/>
              <w:bottom w:val="nil"/>
              <w:right w:val="nil"/>
            </w:tcBorders>
          </w:tcPr>
          <w:p w14:paraId="366298F7"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525F5B" w14:paraId="71E91FD8" w14:textId="77777777" w:rsidTr="00F16287">
        <w:tc>
          <w:tcPr>
            <w:tcW w:w="2136" w:type="dxa"/>
            <w:tcBorders>
              <w:top w:val="single" w:sz="4" w:space="0" w:color="auto"/>
              <w:left w:val="nil"/>
              <w:bottom w:val="nil"/>
              <w:right w:val="nil"/>
            </w:tcBorders>
          </w:tcPr>
          <w:p w14:paraId="49225A00" w14:textId="77777777" w:rsidR="00525F5B" w:rsidRDefault="00525F5B"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main</w:t>
            </w:r>
          </w:p>
        </w:tc>
        <w:tc>
          <w:tcPr>
            <w:tcW w:w="1656" w:type="dxa"/>
            <w:tcBorders>
              <w:top w:val="single" w:sz="4" w:space="0" w:color="auto"/>
              <w:left w:val="nil"/>
              <w:bottom w:val="nil"/>
              <w:right w:val="nil"/>
            </w:tcBorders>
          </w:tcPr>
          <w:p w14:paraId="45E39E6C"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484168B4"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105AA892"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0101A117"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368D9DBD"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p>
        </w:tc>
      </w:tr>
      <w:tr w:rsidR="00525F5B" w14:paraId="4D153793" w14:textId="77777777" w:rsidTr="00F16287">
        <w:tc>
          <w:tcPr>
            <w:tcW w:w="2136" w:type="dxa"/>
            <w:tcBorders>
              <w:top w:val="nil"/>
              <w:left w:val="nil"/>
              <w:bottom w:val="nil"/>
              <w:right w:val="nil"/>
            </w:tcBorders>
          </w:tcPr>
          <w:p w14:paraId="17779204" w14:textId="77777777" w:rsidR="00525F5B" w:rsidRPr="00CF2F65" w:rsidRDefault="00525F5B" w:rsidP="00F16287">
            <w:pPr>
              <w:widowControl w:val="0"/>
              <w:autoSpaceDE w:val="0"/>
              <w:autoSpaceDN w:val="0"/>
              <w:adjustRightInd w:val="0"/>
              <w:spacing w:after="0" w:line="240" w:lineRule="auto"/>
              <w:rPr>
                <w:rFonts w:ascii="Times New Roman" w:hAnsi="Times New Roman" w:cs="Times New Roman"/>
                <w:sz w:val="24"/>
                <w:szCs w:val="24"/>
                <w:lang w:val="fr-BE"/>
              </w:rPr>
            </w:pPr>
            <w:r w:rsidRPr="00CF2F65">
              <w:rPr>
                <w:rFonts w:ascii="Times New Roman" w:hAnsi="Times New Roman" w:cs="Times New Roman"/>
                <w:sz w:val="24"/>
                <w:szCs w:val="24"/>
                <w:lang w:val="fr-BE"/>
              </w:rPr>
              <w:t>De Jure CBI (CNW Index)</w:t>
            </w:r>
          </w:p>
        </w:tc>
        <w:tc>
          <w:tcPr>
            <w:tcW w:w="1656" w:type="dxa"/>
            <w:tcBorders>
              <w:top w:val="nil"/>
              <w:left w:val="nil"/>
              <w:bottom w:val="nil"/>
              <w:right w:val="nil"/>
            </w:tcBorders>
          </w:tcPr>
          <w:p w14:paraId="61295055"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0.702</w:t>
            </w:r>
          </w:p>
        </w:tc>
        <w:tc>
          <w:tcPr>
            <w:tcW w:w="1656" w:type="dxa"/>
            <w:tcBorders>
              <w:top w:val="nil"/>
              <w:left w:val="nil"/>
              <w:bottom w:val="nil"/>
              <w:right w:val="nil"/>
            </w:tcBorders>
          </w:tcPr>
          <w:p w14:paraId="08FBC584"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DD51D5D"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1.451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3D44C68"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-3.569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2840087"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6.085</w:t>
            </w:r>
            <w:r>
              <w:rPr>
                <w:rFonts w:ascii="Times New Roman" w:hAnsi="Times New Roman" w:cs="Times New Roman"/>
                <w:sz w:val="24"/>
                <w:szCs w:val="24"/>
                <w:vertAlign w:val="superscript"/>
              </w:rPr>
              <w:t>***</w:t>
            </w:r>
          </w:p>
        </w:tc>
      </w:tr>
      <w:tr w:rsidR="00525F5B" w14:paraId="089FE1A8" w14:textId="77777777" w:rsidTr="00F16287">
        <w:tc>
          <w:tcPr>
            <w:tcW w:w="2136" w:type="dxa"/>
            <w:tcBorders>
              <w:top w:val="nil"/>
              <w:left w:val="nil"/>
              <w:bottom w:val="nil"/>
              <w:right w:val="nil"/>
            </w:tcBorders>
          </w:tcPr>
          <w:p w14:paraId="4201D80C" w14:textId="77777777" w:rsidR="00525F5B" w:rsidRDefault="00525F5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BCA0F70"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1656" w:type="dxa"/>
            <w:tcBorders>
              <w:top w:val="nil"/>
              <w:left w:val="nil"/>
              <w:bottom w:val="nil"/>
              <w:right w:val="nil"/>
            </w:tcBorders>
          </w:tcPr>
          <w:p w14:paraId="71BF15AC"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(2.50)</w:t>
            </w:r>
          </w:p>
        </w:tc>
        <w:tc>
          <w:tcPr>
            <w:tcW w:w="1656" w:type="dxa"/>
            <w:tcBorders>
              <w:top w:val="nil"/>
              <w:left w:val="nil"/>
              <w:bottom w:val="nil"/>
              <w:right w:val="nil"/>
            </w:tcBorders>
          </w:tcPr>
          <w:p w14:paraId="4AAF6D75"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1656" w:type="dxa"/>
            <w:tcBorders>
              <w:top w:val="nil"/>
              <w:left w:val="nil"/>
              <w:bottom w:val="nil"/>
              <w:right w:val="nil"/>
            </w:tcBorders>
          </w:tcPr>
          <w:p w14:paraId="4706F2A7"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(-2.91)</w:t>
            </w:r>
          </w:p>
        </w:tc>
        <w:tc>
          <w:tcPr>
            <w:tcW w:w="1656" w:type="dxa"/>
            <w:tcBorders>
              <w:top w:val="nil"/>
              <w:left w:val="nil"/>
              <w:bottom w:val="nil"/>
              <w:right w:val="nil"/>
            </w:tcBorders>
          </w:tcPr>
          <w:p w14:paraId="7097BFA4"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(15.42)</w:t>
            </w:r>
          </w:p>
        </w:tc>
      </w:tr>
      <w:tr w:rsidR="00525F5B" w14:paraId="240767A7" w14:textId="77777777" w:rsidTr="00F16287">
        <w:tc>
          <w:tcPr>
            <w:tcW w:w="2136" w:type="dxa"/>
            <w:tcBorders>
              <w:top w:val="nil"/>
              <w:left w:val="nil"/>
              <w:bottom w:val="nil"/>
              <w:right w:val="nil"/>
            </w:tcBorders>
          </w:tcPr>
          <w:p w14:paraId="78A08CDF" w14:textId="77777777" w:rsidR="00525F5B" w:rsidRDefault="00525F5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249329C" w14:textId="77777777" w:rsidR="00525F5B" w:rsidRDefault="00525F5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D275E38" w14:textId="77777777" w:rsidR="00525F5B" w:rsidRDefault="00525F5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A565220" w14:textId="77777777" w:rsidR="00525F5B" w:rsidRDefault="00525F5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C996FEB" w14:textId="77777777" w:rsidR="00525F5B" w:rsidRDefault="00525F5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5673920" w14:textId="77777777" w:rsidR="00525F5B" w:rsidRDefault="00525F5B" w:rsidP="00F16287">
            <w:pPr>
              <w:widowControl w:val="0"/>
              <w:autoSpaceDE w:val="0"/>
              <w:autoSpaceDN w:val="0"/>
              <w:adjustRightInd w:val="0"/>
              <w:spacing w:after="0" w:line="240" w:lineRule="auto"/>
              <w:rPr>
                <w:rFonts w:ascii="Times New Roman" w:hAnsi="Times New Roman" w:cs="Times New Roman"/>
                <w:sz w:val="24"/>
                <w:szCs w:val="24"/>
              </w:rPr>
            </w:pPr>
          </w:p>
        </w:tc>
      </w:tr>
      <w:tr w:rsidR="00525F5B" w14:paraId="78BC34A1" w14:textId="77777777" w:rsidTr="00F16287">
        <w:tc>
          <w:tcPr>
            <w:tcW w:w="2136" w:type="dxa"/>
            <w:tcBorders>
              <w:top w:val="nil"/>
              <w:left w:val="nil"/>
              <w:bottom w:val="nil"/>
              <w:right w:val="nil"/>
            </w:tcBorders>
          </w:tcPr>
          <w:p w14:paraId="4B204224" w14:textId="77777777" w:rsidR="00525F5B" w:rsidRDefault="00525F5B"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2F963C11"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-0.0404</w:t>
            </w:r>
          </w:p>
        </w:tc>
        <w:tc>
          <w:tcPr>
            <w:tcW w:w="1656" w:type="dxa"/>
            <w:tcBorders>
              <w:top w:val="nil"/>
              <w:left w:val="nil"/>
              <w:bottom w:val="nil"/>
              <w:right w:val="nil"/>
            </w:tcBorders>
          </w:tcPr>
          <w:p w14:paraId="318B1B9D"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-0.0857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0AF1BCB"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-0.0225</w:t>
            </w:r>
          </w:p>
        </w:tc>
        <w:tc>
          <w:tcPr>
            <w:tcW w:w="1656" w:type="dxa"/>
            <w:tcBorders>
              <w:top w:val="nil"/>
              <w:left w:val="nil"/>
              <w:bottom w:val="nil"/>
              <w:right w:val="nil"/>
            </w:tcBorders>
          </w:tcPr>
          <w:p w14:paraId="18CA18B5"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C22A90E"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0.0366</w:t>
            </w:r>
            <w:r>
              <w:rPr>
                <w:rFonts w:ascii="Times New Roman" w:hAnsi="Times New Roman" w:cs="Times New Roman"/>
                <w:sz w:val="24"/>
                <w:szCs w:val="24"/>
                <w:vertAlign w:val="superscript"/>
              </w:rPr>
              <w:t>**</w:t>
            </w:r>
          </w:p>
        </w:tc>
      </w:tr>
      <w:tr w:rsidR="00525F5B" w14:paraId="7A94A2F8" w14:textId="77777777" w:rsidTr="00F16287">
        <w:tc>
          <w:tcPr>
            <w:tcW w:w="2136" w:type="dxa"/>
            <w:tcBorders>
              <w:top w:val="nil"/>
              <w:left w:val="nil"/>
              <w:bottom w:val="single" w:sz="4" w:space="0" w:color="auto"/>
              <w:right w:val="nil"/>
            </w:tcBorders>
          </w:tcPr>
          <w:p w14:paraId="673C0DAE" w14:textId="77777777" w:rsidR="00525F5B" w:rsidRDefault="00525F5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05E5BC88"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(-1.74)</w:t>
            </w:r>
          </w:p>
        </w:tc>
        <w:tc>
          <w:tcPr>
            <w:tcW w:w="1656" w:type="dxa"/>
            <w:tcBorders>
              <w:top w:val="nil"/>
              <w:left w:val="nil"/>
              <w:bottom w:val="single" w:sz="4" w:space="0" w:color="auto"/>
              <w:right w:val="nil"/>
            </w:tcBorders>
          </w:tcPr>
          <w:p w14:paraId="597E6B98"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(-2.91)</w:t>
            </w:r>
          </w:p>
        </w:tc>
        <w:tc>
          <w:tcPr>
            <w:tcW w:w="1656" w:type="dxa"/>
            <w:tcBorders>
              <w:top w:val="nil"/>
              <w:left w:val="nil"/>
              <w:bottom w:val="single" w:sz="4" w:space="0" w:color="auto"/>
              <w:right w:val="nil"/>
            </w:tcBorders>
          </w:tcPr>
          <w:p w14:paraId="61F29D47"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(-0.94)</w:t>
            </w:r>
          </w:p>
        </w:tc>
        <w:tc>
          <w:tcPr>
            <w:tcW w:w="1656" w:type="dxa"/>
            <w:tcBorders>
              <w:top w:val="nil"/>
              <w:left w:val="nil"/>
              <w:bottom w:val="single" w:sz="4" w:space="0" w:color="auto"/>
              <w:right w:val="nil"/>
            </w:tcBorders>
          </w:tcPr>
          <w:p w14:paraId="33889EAF"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(2.52)</w:t>
            </w:r>
          </w:p>
        </w:tc>
        <w:tc>
          <w:tcPr>
            <w:tcW w:w="1656" w:type="dxa"/>
            <w:tcBorders>
              <w:top w:val="nil"/>
              <w:left w:val="nil"/>
              <w:bottom w:val="single" w:sz="4" w:space="0" w:color="auto"/>
              <w:right w:val="nil"/>
            </w:tcBorders>
          </w:tcPr>
          <w:p w14:paraId="1B3C7D03"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(2.67)</w:t>
            </w:r>
          </w:p>
        </w:tc>
      </w:tr>
      <w:tr w:rsidR="00525F5B" w14:paraId="7B35A907" w14:textId="77777777" w:rsidTr="00F16287">
        <w:tc>
          <w:tcPr>
            <w:tcW w:w="2136" w:type="dxa"/>
            <w:tcBorders>
              <w:top w:val="nil"/>
              <w:left w:val="nil"/>
              <w:bottom w:val="single" w:sz="4" w:space="0" w:color="auto"/>
              <w:right w:val="nil"/>
            </w:tcBorders>
          </w:tcPr>
          <w:p w14:paraId="333CFDDA" w14:textId="77777777" w:rsidR="00525F5B" w:rsidRDefault="00525F5B"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45E3747A"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1208</w:t>
            </w:r>
          </w:p>
        </w:tc>
        <w:tc>
          <w:tcPr>
            <w:tcW w:w="1656" w:type="dxa"/>
            <w:tcBorders>
              <w:top w:val="nil"/>
              <w:left w:val="nil"/>
              <w:bottom w:val="single" w:sz="4" w:space="0" w:color="auto"/>
              <w:right w:val="nil"/>
            </w:tcBorders>
          </w:tcPr>
          <w:p w14:paraId="41F855D2"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842</w:t>
            </w:r>
          </w:p>
        </w:tc>
        <w:tc>
          <w:tcPr>
            <w:tcW w:w="1656" w:type="dxa"/>
            <w:tcBorders>
              <w:top w:val="nil"/>
              <w:left w:val="nil"/>
              <w:bottom w:val="single" w:sz="4" w:space="0" w:color="auto"/>
              <w:right w:val="nil"/>
            </w:tcBorders>
          </w:tcPr>
          <w:p w14:paraId="6F012989"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991</w:t>
            </w:r>
          </w:p>
        </w:tc>
        <w:tc>
          <w:tcPr>
            <w:tcW w:w="1656" w:type="dxa"/>
            <w:tcBorders>
              <w:top w:val="nil"/>
              <w:left w:val="nil"/>
              <w:bottom w:val="single" w:sz="4" w:space="0" w:color="auto"/>
              <w:right w:val="nil"/>
            </w:tcBorders>
          </w:tcPr>
          <w:p w14:paraId="1AA35B37"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760</w:t>
            </w:r>
          </w:p>
        </w:tc>
        <w:tc>
          <w:tcPr>
            <w:tcW w:w="1656" w:type="dxa"/>
            <w:tcBorders>
              <w:top w:val="nil"/>
              <w:left w:val="nil"/>
              <w:bottom w:val="single" w:sz="4" w:space="0" w:color="auto"/>
              <w:right w:val="nil"/>
            </w:tcBorders>
          </w:tcPr>
          <w:p w14:paraId="07EF1CEF" w14:textId="77777777" w:rsidR="00525F5B" w:rsidRDefault="00525F5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3912</w:t>
            </w:r>
          </w:p>
        </w:tc>
      </w:tr>
    </w:tbl>
    <w:p w14:paraId="54A27830" w14:textId="77777777" w:rsidR="007323BE" w:rsidRDefault="007323BE" w:rsidP="007323B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 xml:space="preserve"> statistics in parentheses</w:t>
      </w:r>
    </w:p>
    <w:p w14:paraId="77E9B302" w14:textId="77777777" w:rsidR="007323BE" w:rsidRDefault="007323BE" w:rsidP="007323B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0.001</w:t>
      </w:r>
    </w:p>
    <w:p w14:paraId="2E9E8373" w14:textId="52A1DD9F" w:rsidR="007323BE" w:rsidRDefault="007323BE" w:rsidP="007323BE">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55363A" w14:paraId="4FBEDB9B" w14:textId="77777777" w:rsidTr="00F16287">
        <w:tc>
          <w:tcPr>
            <w:tcW w:w="2136" w:type="dxa"/>
            <w:tcBorders>
              <w:top w:val="single" w:sz="4" w:space="0" w:color="auto"/>
              <w:left w:val="nil"/>
              <w:bottom w:val="nil"/>
              <w:right w:val="nil"/>
            </w:tcBorders>
          </w:tcPr>
          <w:p w14:paraId="7FD37EA3" w14:textId="77777777" w:rsidR="0055363A" w:rsidRDefault="005536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6FAE410D"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0B028A16"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7B7812EE"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487B235B"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37082D4E"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55363A" w14:paraId="7B0479DC" w14:textId="77777777" w:rsidTr="00F16287">
        <w:tc>
          <w:tcPr>
            <w:tcW w:w="2136" w:type="dxa"/>
            <w:tcBorders>
              <w:top w:val="nil"/>
              <w:left w:val="nil"/>
              <w:bottom w:val="nil"/>
              <w:right w:val="nil"/>
            </w:tcBorders>
          </w:tcPr>
          <w:p w14:paraId="67FBB414" w14:textId="77777777" w:rsidR="0055363A" w:rsidRDefault="005536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E385D40"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bv2elturnhog</w:t>
            </w:r>
          </w:p>
        </w:tc>
        <w:tc>
          <w:tcPr>
            <w:tcW w:w="1656" w:type="dxa"/>
            <w:tcBorders>
              <w:top w:val="nil"/>
              <w:left w:val="nil"/>
              <w:bottom w:val="nil"/>
              <w:right w:val="nil"/>
            </w:tcBorders>
          </w:tcPr>
          <w:p w14:paraId="135E2F01"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bv2elturnhos</w:t>
            </w:r>
          </w:p>
        </w:tc>
        <w:tc>
          <w:tcPr>
            <w:tcW w:w="1656" w:type="dxa"/>
            <w:tcBorders>
              <w:top w:val="nil"/>
              <w:left w:val="nil"/>
              <w:bottom w:val="nil"/>
              <w:right w:val="nil"/>
            </w:tcBorders>
          </w:tcPr>
          <w:p w14:paraId="1F3DE92B"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bv2eltvrig</w:t>
            </w:r>
          </w:p>
        </w:tc>
        <w:tc>
          <w:tcPr>
            <w:tcW w:w="1656" w:type="dxa"/>
            <w:tcBorders>
              <w:top w:val="nil"/>
              <w:left w:val="nil"/>
              <w:bottom w:val="nil"/>
              <w:right w:val="nil"/>
            </w:tcBorders>
          </w:tcPr>
          <w:p w14:paraId="2526EC1E"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be_wbgi_pve</w:t>
            </w:r>
            <w:proofErr w:type="spellEnd"/>
          </w:p>
        </w:tc>
        <w:tc>
          <w:tcPr>
            <w:tcW w:w="1656" w:type="dxa"/>
            <w:tcBorders>
              <w:top w:val="nil"/>
              <w:left w:val="nil"/>
              <w:bottom w:val="nil"/>
              <w:right w:val="nil"/>
            </w:tcBorders>
          </w:tcPr>
          <w:p w14:paraId="613CF80A"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55363A" w14:paraId="5F67282D" w14:textId="77777777" w:rsidTr="00F16287">
        <w:tc>
          <w:tcPr>
            <w:tcW w:w="2136" w:type="dxa"/>
            <w:tcBorders>
              <w:top w:val="single" w:sz="4" w:space="0" w:color="auto"/>
              <w:left w:val="nil"/>
              <w:bottom w:val="nil"/>
              <w:right w:val="nil"/>
            </w:tcBorders>
          </w:tcPr>
          <w:p w14:paraId="75C3F224" w14:textId="77777777" w:rsidR="0055363A" w:rsidRDefault="0055363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main</w:t>
            </w:r>
          </w:p>
        </w:tc>
        <w:tc>
          <w:tcPr>
            <w:tcW w:w="1656" w:type="dxa"/>
            <w:tcBorders>
              <w:top w:val="single" w:sz="4" w:space="0" w:color="auto"/>
              <w:left w:val="nil"/>
              <w:bottom w:val="nil"/>
              <w:right w:val="nil"/>
            </w:tcBorders>
          </w:tcPr>
          <w:p w14:paraId="792D4DC7"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5A0DD17D"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5F2A8E89"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7EAB0DB5"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0339E732"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p>
        </w:tc>
      </w:tr>
      <w:tr w:rsidR="0055363A" w14:paraId="0F4C7C4B" w14:textId="77777777" w:rsidTr="00F16287">
        <w:tc>
          <w:tcPr>
            <w:tcW w:w="2136" w:type="dxa"/>
            <w:tcBorders>
              <w:top w:val="nil"/>
              <w:left w:val="nil"/>
              <w:bottom w:val="nil"/>
              <w:right w:val="nil"/>
            </w:tcBorders>
          </w:tcPr>
          <w:p w14:paraId="137D3D57" w14:textId="77777777" w:rsidR="0055363A" w:rsidRDefault="0055363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46A6E7CE"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-0.308</w:t>
            </w:r>
          </w:p>
        </w:tc>
        <w:tc>
          <w:tcPr>
            <w:tcW w:w="1656" w:type="dxa"/>
            <w:tcBorders>
              <w:top w:val="nil"/>
              <w:left w:val="nil"/>
              <w:bottom w:val="nil"/>
              <w:right w:val="nil"/>
            </w:tcBorders>
          </w:tcPr>
          <w:p w14:paraId="0C17A254"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-0.185</w:t>
            </w:r>
          </w:p>
        </w:tc>
        <w:tc>
          <w:tcPr>
            <w:tcW w:w="1656" w:type="dxa"/>
            <w:tcBorders>
              <w:top w:val="nil"/>
              <w:left w:val="nil"/>
              <w:bottom w:val="nil"/>
              <w:right w:val="nil"/>
            </w:tcBorders>
          </w:tcPr>
          <w:p w14:paraId="01BB37DA"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65A56AE"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0.0728</w:t>
            </w:r>
          </w:p>
        </w:tc>
        <w:tc>
          <w:tcPr>
            <w:tcW w:w="1656" w:type="dxa"/>
            <w:tcBorders>
              <w:top w:val="nil"/>
              <w:left w:val="nil"/>
              <w:bottom w:val="nil"/>
              <w:right w:val="nil"/>
            </w:tcBorders>
          </w:tcPr>
          <w:p w14:paraId="52BBF255"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0.127</w:t>
            </w:r>
          </w:p>
        </w:tc>
      </w:tr>
      <w:tr w:rsidR="0055363A" w14:paraId="5A153CA4" w14:textId="77777777" w:rsidTr="00F16287">
        <w:tc>
          <w:tcPr>
            <w:tcW w:w="2136" w:type="dxa"/>
            <w:tcBorders>
              <w:top w:val="nil"/>
              <w:left w:val="nil"/>
              <w:bottom w:val="nil"/>
              <w:right w:val="nil"/>
            </w:tcBorders>
          </w:tcPr>
          <w:p w14:paraId="0448F023" w14:textId="77777777" w:rsidR="0055363A" w:rsidRDefault="005536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D312C9A"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(-1.82)</w:t>
            </w:r>
          </w:p>
        </w:tc>
        <w:tc>
          <w:tcPr>
            <w:tcW w:w="1656" w:type="dxa"/>
            <w:tcBorders>
              <w:top w:val="nil"/>
              <w:left w:val="nil"/>
              <w:bottom w:val="nil"/>
              <w:right w:val="nil"/>
            </w:tcBorders>
          </w:tcPr>
          <w:p w14:paraId="6289117F"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w:t>
            </w:r>
          </w:p>
        </w:tc>
        <w:tc>
          <w:tcPr>
            <w:tcW w:w="1656" w:type="dxa"/>
            <w:tcBorders>
              <w:top w:val="nil"/>
              <w:left w:val="nil"/>
              <w:bottom w:val="nil"/>
              <w:right w:val="nil"/>
            </w:tcBorders>
          </w:tcPr>
          <w:p w14:paraId="3F711139"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656" w:type="dxa"/>
            <w:tcBorders>
              <w:top w:val="nil"/>
              <w:left w:val="nil"/>
              <w:bottom w:val="nil"/>
              <w:right w:val="nil"/>
            </w:tcBorders>
          </w:tcPr>
          <w:p w14:paraId="6FAE9A9C"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56" w:type="dxa"/>
            <w:tcBorders>
              <w:top w:val="nil"/>
              <w:left w:val="nil"/>
              <w:bottom w:val="nil"/>
              <w:right w:val="nil"/>
            </w:tcBorders>
          </w:tcPr>
          <w:p w14:paraId="186E49E3"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w:t>
            </w:r>
          </w:p>
        </w:tc>
      </w:tr>
      <w:tr w:rsidR="0055363A" w14:paraId="375EAFDA" w14:textId="77777777" w:rsidTr="00F16287">
        <w:tc>
          <w:tcPr>
            <w:tcW w:w="2136" w:type="dxa"/>
            <w:tcBorders>
              <w:top w:val="nil"/>
              <w:left w:val="nil"/>
              <w:bottom w:val="nil"/>
              <w:right w:val="nil"/>
            </w:tcBorders>
          </w:tcPr>
          <w:p w14:paraId="7BC43BBD" w14:textId="77777777" w:rsidR="0055363A" w:rsidRDefault="005536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234AB89" w14:textId="77777777" w:rsidR="0055363A" w:rsidRDefault="005536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9A57393" w14:textId="77777777" w:rsidR="0055363A" w:rsidRDefault="005536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B4F88D9" w14:textId="77777777" w:rsidR="0055363A" w:rsidRDefault="005536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541BA62" w14:textId="77777777" w:rsidR="0055363A" w:rsidRDefault="005536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5981B5F" w14:textId="77777777" w:rsidR="0055363A" w:rsidRDefault="0055363A" w:rsidP="00F16287">
            <w:pPr>
              <w:widowControl w:val="0"/>
              <w:autoSpaceDE w:val="0"/>
              <w:autoSpaceDN w:val="0"/>
              <w:adjustRightInd w:val="0"/>
              <w:spacing w:after="0" w:line="240" w:lineRule="auto"/>
              <w:rPr>
                <w:rFonts w:ascii="Times New Roman" w:hAnsi="Times New Roman" w:cs="Times New Roman"/>
                <w:sz w:val="24"/>
                <w:szCs w:val="24"/>
              </w:rPr>
            </w:pPr>
          </w:p>
        </w:tc>
      </w:tr>
      <w:tr w:rsidR="0055363A" w14:paraId="6AC778B1" w14:textId="77777777" w:rsidTr="00F16287">
        <w:tc>
          <w:tcPr>
            <w:tcW w:w="2136" w:type="dxa"/>
            <w:tcBorders>
              <w:top w:val="nil"/>
              <w:left w:val="nil"/>
              <w:bottom w:val="nil"/>
              <w:right w:val="nil"/>
            </w:tcBorders>
          </w:tcPr>
          <w:p w14:paraId="468D1BB5" w14:textId="77777777" w:rsidR="0055363A" w:rsidRDefault="0055363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2E6CBC9B"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-0.0159</w:t>
            </w:r>
          </w:p>
        </w:tc>
        <w:tc>
          <w:tcPr>
            <w:tcW w:w="1656" w:type="dxa"/>
            <w:tcBorders>
              <w:top w:val="nil"/>
              <w:left w:val="nil"/>
              <w:bottom w:val="nil"/>
              <w:right w:val="nil"/>
            </w:tcBorders>
          </w:tcPr>
          <w:p w14:paraId="1C8C5596"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-0.0351</w:t>
            </w:r>
          </w:p>
        </w:tc>
        <w:tc>
          <w:tcPr>
            <w:tcW w:w="1656" w:type="dxa"/>
            <w:tcBorders>
              <w:top w:val="nil"/>
              <w:left w:val="nil"/>
              <w:bottom w:val="nil"/>
              <w:right w:val="nil"/>
            </w:tcBorders>
          </w:tcPr>
          <w:p w14:paraId="4EBC15B6"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0.0115</w:t>
            </w:r>
          </w:p>
        </w:tc>
        <w:tc>
          <w:tcPr>
            <w:tcW w:w="1656" w:type="dxa"/>
            <w:tcBorders>
              <w:top w:val="nil"/>
              <w:left w:val="nil"/>
              <w:bottom w:val="nil"/>
              <w:right w:val="nil"/>
            </w:tcBorders>
          </w:tcPr>
          <w:p w14:paraId="2099C621"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6529FC1"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0.0685</w:t>
            </w:r>
            <w:r>
              <w:rPr>
                <w:rFonts w:ascii="Times New Roman" w:hAnsi="Times New Roman" w:cs="Times New Roman"/>
                <w:sz w:val="24"/>
                <w:szCs w:val="24"/>
                <w:vertAlign w:val="superscript"/>
              </w:rPr>
              <w:t>***</w:t>
            </w:r>
          </w:p>
        </w:tc>
      </w:tr>
      <w:tr w:rsidR="0055363A" w14:paraId="6196A350" w14:textId="77777777" w:rsidTr="00F16287">
        <w:tc>
          <w:tcPr>
            <w:tcW w:w="2136" w:type="dxa"/>
            <w:tcBorders>
              <w:top w:val="nil"/>
              <w:left w:val="nil"/>
              <w:bottom w:val="single" w:sz="4" w:space="0" w:color="auto"/>
              <w:right w:val="nil"/>
            </w:tcBorders>
          </w:tcPr>
          <w:p w14:paraId="016E0661" w14:textId="77777777" w:rsidR="0055363A" w:rsidRDefault="0055363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74F77640"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w:t>
            </w:r>
          </w:p>
        </w:tc>
        <w:tc>
          <w:tcPr>
            <w:tcW w:w="1656" w:type="dxa"/>
            <w:tcBorders>
              <w:top w:val="nil"/>
              <w:left w:val="nil"/>
              <w:bottom w:val="single" w:sz="4" w:space="0" w:color="auto"/>
              <w:right w:val="nil"/>
            </w:tcBorders>
          </w:tcPr>
          <w:p w14:paraId="54806C3D"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656" w:type="dxa"/>
            <w:tcBorders>
              <w:top w:val="nil"/>
              <w:left w:val="nil"/>
              <w:bottom w:val="single" w:sz="4" w:space="0" w:color="auto"/>
              <w:right w:val="nil"/>
            </w:tcBorders>
          </w:tcPr>
          <w:p w14:paraId="5DC53042"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w:t>
            </w:r>
          </w:p>
        </w:tc>
        <w:tc>
          <w:tcPr>
            <w:tcW w:w="1656" w:type="dxa"/>
            <w:tcBorders>
              <w:top w:val="nil"/>
              <w:left w:val="nil"/>
              <w:bottom w:val="single" w:sz="4" w:space="0" w:color="auto"/>
              <w:right w:val="nil"/>
            </w:tcBorders>
          </w:tcPr>
          <w:p w14:paraId="70D9347B"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(3.06)</w:t>
            </w:r>
          </w:p>
        </w:tc>
        <w:tc>
          <w:tcPr>
            <w:tcW w:w="1656" w:type="dxa"/>
            <w:tcBorders>
              <w:top w:val="nil"/>
              <w:left w:val="nil"/>
              <w:bottom w:val="single" w:sz="4" w:space="0" w:color="auto"/>
              <w:right w:val="nil"/>
            </w:tcBorders>
          </w:tcPr>
          <w:p w14:paraId="57BF5116"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(5.64)</w:t>
            </w:r>
          </w:p>
        </w:tc>
      </w:tr>
      <w:tr w:rsidR="0055363A" w14:paraId="62336654" w14:textId="77777777" w:rsidTr="00F16287">
        <w:tc>
          <w:tcPr>
            <w:tcW w:w="2136" w:type="dxa"/>
            <w:tcBorders>
              <w:top w:val="nil"/>
              <w:left w:val="nil"/>
              <w:bottom w:val="single" w:sz="4" w:space="0" w:color="auto"/>
              <w:right w:val="nil"/>
            </w:tcBorders>
          </w:tcPr>
          <w:p w14:paraId="6B042A99" w14:textId="77777777" w:rsidR="0055363A" w:rsidRDefault="0055363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19E31710"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1477</w:t>
            </w:r>
          </w:p>
        </w:tc>
        <w:tc>
          <w:tcPr>
            <w:tcW w:w="1656" w:type="dxa"/>
            <w:tcBorders>
              <w:top w:val="nil"/>
              <w:left w:val="nil"/>
              <w:bottom w:val="single" w:sz="4" w:space="0" w:color="auto"/>
              <w:right w:val="nil"/>
            </w:tcBorders>
          </w:tcPr>
          <w:p w14:paraId="37F86E72"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1058</w:t>
            </w:r>
          </w:p>
        </w:tc>
        <w:tc>
          <w:tcPr>
            <w:tcW w:w="1656" w:type="dxa"/>
            <w:tcBorders>
              <w:top w:val="nil"/>
              <w:left w:val="nil"/>
              <w:bottom w:val="single" w:sz="4" w:space="0" w:color="auto"/>
              <w:right w:val="nil"/>
            </w:tcBorders>
          </w:tcPr>
          <w:p w14:paraId="50B1D6A4"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1229</w:t>
            </w:r>
          </w:p>
        </w:tc>
        <w:tc>
          <w:tcPr>
            <w:tcW w:w="1656" w:type="dxa"/>
            <w:tcBorders>
              <w:top w:val="nil"/>
              <w:left w:val="nil"/>
              <w:bottom w:val="single" w:sz="4" w:space="0" w:color="auto"/>
              <w:right w:val="nil"/>
            </w:tcBorders>
          </w:tcPr>
          <w:p w14:paraId="51843981"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1119</w:t>
            </w:r>
          </w:p>
        </w:tc>
        <w:tc>
          <w:tcPr>
            <w:tcW w:w="1656" w:type="dxa"/>
            <w:tcBorders>
              <w:top w:val="nil"/>
              <w:left w:val="nil"/>
              <w:bottom w:val="single" w:sz="4" w:space="0" w:color="auto"/>
              <w:right w:val="nil"/>
            </w:tcBorders>
          </w:tcPr>
          <w:p w14:paraId="589EE13A" w14:textId="77777777" w:rsidR="0055363A" w:rsidRDefault="0055363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4163</w:t>
            </w:r>
          </w:p>
        </w:tc>
      </w:tr>
    </w:tbl>
    <w:p w14:paraId="68E992CF" w14:textId="77777777" w:rsidR="0055363A" w:rsidRDefault="0055363A" w:rsidP="0055363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26BFF22F" w14:textId="75439E88" w:rsidR="00525F5B" w:rsidRPr="00BF68B7" w:rsidRDefault="0055363A" w:rsidP="007323B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ED95515" w14:textId="77777777" w:rsidR="00525F5B" w:rsidRPr="00102C68" w:rsidRDefault="00525F5B" w:rsidP="007323BE">
      <w:pPr>
        <w:widowControl w:val="0"/>
        <w:autoSpaceDE w:val="0"/>
        <w:autoSpaceDN w:val="0"/>
        <w:adjustRightInd w:val="0"/>
        <w:spacing w:after="0" w:line="240" w:lineRule="auto"/>
        <w:rPr>
          <w:rFonts w:ascii="Times New Roman" w:hAnsi="Times New Roman" w:cs="Times New Roman"/>
          <w:sz w:val="24"/>
          <w:szCs w:val="24"/>
          <w:highlight w:val="yellow"/>
        </w:rPr>
      </w:pPr>
    </w:p>
    <w:p w14:paraId="12259EC2" w14:textId="1A2ADB9E" w:rsidR="007323BE" w:rsidRPr="0055363A" w:rsidRDefault="00977D6C" w:rsidP="007323BE">
      <w:r w:rsidRPr="0055363A">
        <w:t>Table A1</w:t>
      </w:r>
      <w:r w:rsidR="004E2B3D" w:rsidRPr="0055363A">
        <w:t>2</w:t>
      </w:r>
      <w:r w:rsidRPr="0055363A">
        <w:t xml:space="preserve">: </w:t>
      </w:r>
      <w:r w:rsidR="007323BE" w:rsidRPr="0055363A">
        <w:t>Panel Logit Regression, Binary Dependent Variables Coding 2, Fixed Effects, Coefficients</w:t>
      </w:r>
    </w:p>
    <w:p w14:paraId="484832FF" w14:textId="77777777" w:rsidR="007323BE" w:rsidRPr="0055363A" w:rsidRDefault="007323BE" w:rsidP="007323BE">
      <w:r w:rsidRPr="0055363A">
        <w:t>Full change in party and individual (full turnover), WBGI &gt;= Median</w:t>
      </w:r>
    </w:p>
    <w:tbl>
      <w:tblPr>
        <w:tblW w:w="0" w:type="auto"/>
        <w:tblLayout w:type="fixed"/>
        <w:tblLook w:val="0000" w:firstRow="0" w:lastRow="0" w:firstColumn="0" w:lastColumn="0" w:noHBand="0" w:noVBand="0"/>
      </w:tblPr>
      <w:tblGrid>
        <w:gridCol w:w="2136"/>
        <w:gridCol w:w="1656"/>
        <w:gridCol w:w="1656"/>
        <w:gridCol w:w="1656"/>
        <w:gridCol w:w="1656"/>
      </w:tblGrid>
      <w:tr w:rsidR="00BF68B7" w14:paraId="7AD94A88" w14:textId="77777777" w:rsidTr="00F16287">
        <w:tc>
          <w:tcPr>
            <w:tcW w:w="2136" w:type="dxa"/>
            <w:tcBorders>
              <w:top w:val="single" w:sz="4" w:space="0" w:color="auto"/>
              <w:left w:val="nil"/>
              <w:bottom w:val="nil"/>
              <w:right w:val="nil"/>
            </w:tcBorders>
          </w:tcPr>
          <w:p w14:paraId="67B55930" w14:textId="77777777" w:rsidR="00BF68B7" w:rsidRDefault="00BF68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332B7F86"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26C7FF8A"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61A30C06"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4711398A"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BF68B7" w14:paraId="43D0B9FB" w14:textId="77777777" w:rsidTr="00F16287">
        <w:tc>
          <w:tcPr>
            <w:tcW w:w="2136" w:type="dxa"/>
            <w:tcBorders>
              <w:top w:val="nil"/>
              <w:left w:val="nil"/>
              <w:bottom w:val="nil"/>
              <w:right w:val="nil"/>
            </w:tcBorders>
          </w:tcPr>
          <w:p w14:paraId="7D0D36B8" w14:textId="77777777" w:rsidR="00BF68B7" w:rsidRDefault="00BF68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EF91FA9"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b2v2elturnhog</w:t>
            </w:r>
          </w:p>
        </w:tc>
        <w:tc>
          <w:tcPr>
            <w:tcW w:w="1656" w:type="dxa"/>
            <w:tcBorders>
              <w:top w:val="nil"/>
              <w:left w:val="nil"/>
              <w:bottom w:val="nil"/>
              <w:right w:val="nil"/>
            </w:tcBorders>
          </w:tcPr>
          <w:p w14:paraId="3640891C"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b2v2elturnhos</w:t>
            </w:r>
          </w:p>
        </w:tc>
        <w:tc>
          <w:tcPr>
            <w:tcW w:w="1656" w:type="dxa"/>
            <w:tcBorders>
              <w:top w:val="nil"/>
              <w:left w:val="nil"/>
              <w:bottom w:val="nil"/>
              <w:right w:val="nil"/>
            </w:tcBorders>
          </w:tcPr>
          <w:p w14:paraId="64D8D49B"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b2v2eltvrig</w:t>
            </w:r>
          </w:p>
        </w:tc>
        <w:tc>
          <w:tcPr>
            <w:tcW w:w="1656" w:type="dxa"/>
            <w:tcBorders>
              <w:top w:val="nil"/>
              <w:left w:val="nil"/>
              <w:bottom w:val="nil"/>
              <w:right w:val="nil"/>
            </w:tcBorders>
          </w:tcPr>
          <w:p w14:paraId="6D612B8D"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b2e_wbgi_pve</w:t>
            </w:r>
          </w:p>
        </w:tc>
      </w:tr>
      <w:tr w:rsidR="00BF68B7" w14:paraId="2B9D1884" w14:textId="77777777" w:rsidTr="00F16287">
        <w:tc>
          <w:tcPr>
            <w:tcW w:w="2136" w:type="dxa"/>
            <w:tcBorders>
              <w:top w:val="single" w:sz="4" w:space="0" w:color="auto"/>
              <w:left w:val="nil"/>
              <w:bottom w:val="nil"/>
              <w:right w:val="nil"/>
            </w:tcBorders>
          </w:tcPr>
          <w:p w14:paraId="397BB278" w14:textId="77777777" w:rsidR="00BF68B7" w:rsidRDefault="00BF68B7"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main</w:t>
            </w:r>
          </w:p>
        </w:tc>
        <w:tc>
          <w:tcPr>
            <w:tcW w:w="1656" w:type="dxa"/>
            <w:tcBorders>
              <w:top w:val="single" w:sz="4" w:space="0" w:color="auto"/>
              <w:left w:val="nil"/>
              <w:bottom w:val="nil"/>
              <w:right w:val="nil"/>
            </w:tcBorders>
          </w:tcPr>
          <w:p w14:paraId="597A68BA"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48109E2E"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40913928"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1E4A8355"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p>
        </w:tc>
      </w:tr>
      <w:tr w:rsidR="00BF68B7" w14:paraId="623FFD64" w14:textId="77777777" w:rsidTr="00F16287">
        <w:tc>
          <w:tcPr>
            <w:tcW w:w="2136" w:type="dxa"/>
            <w:tcBorders>
              <w:top w:val="nil"/>
              <w:left w:val="nil"/>
              <w:bottom w:val="nil"/>
              <w:right w:val="nil"/>
            </w:tcBorders>
          </w:tcPr>
          <w:p w14:paraId="44C2421D" w14:textId="77777777" w:rsidR="00BF68B7" w:rsidRPr="00BF68B7" w:rsidRDefault="00BF68B7" w:rsidP="00F16287">
            <w:pPr>
              <w:widowControl w:val="0"/>
              <w:autoSpaceDE w:val="0"/>
              <w:autoSpaceDN w:val="0"/>
              <w:adjustRightInd w:val="0"/>
              <w:spacing w:after="0" w:line="240" w:lineRule="auto"/>
              <w:rPr>
                <w:rFonts w:ascii="Times New Roman" w:hAnsi="Times New Roman" w:cs="Times New Roman"/>
                <w:sz w:val="24"/>
                <w:szCs w:val="24"/>
                <w:lang w:val="fr-BE"/>
              </w:rPr>
            </w:pPr>
            <w:r w:rsidRPr="00BF68B7">
              <w:rPr>
                <w:rFonts w:ascii="Times New Roman" w:hAnsi="Times New Roman" w:cs="Times New Roman"/>
                <w:sz w:val="24"/>
                <w:szCs w:val="24"/>
                <w:lang w:val="fr-BE"/>
              </w:rPr>
              <w:t>De Jure CBI (CNW Index)</w:t>
            </w:r>
          </w:p>
        </w:tc>
        <w:tc>
          <w:tcPr>
            <w:tcW w:w="1656" w:type="dxa"/>
            <w:tcBorders>
              <w:top w:val="nil"/>
              <w:left w:val="nil"/>
              <w:bottom w:val="nil"/>
              <w:right w:val="nil"/>
            </w:tcBorders>
          </w:tcPr>
          <w:p w14:paraId="6B6F3B48"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0.752</w:t>
            </w:r>
          </w:p>
        </w:tc>
        <w:tc>
          <w:tcPr>
            <w:tcW w:w="1656" w:type="dxa"/>
            <w:tcBorders>
              <w:top w:val="nil"/>
              <w:left w:val="nil"/>
              <w:bottom w:val="nil"/>
              <w:right w:val="nil"/>
            </w:tcBorders>
          </w:tcPr>
          <w:p w14:paraId="254236D0"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83D9490"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0.514</w:t>
            </w:r>
          </w:p>
        </w:tc>
        <w:tc>
          <w:tcPr>
            <w:tcW w:w="1656" w:type="dxa"/>
            <w:tcBorders>
              <w:top w:val="nil"/>
              <w:left w:val="nil"/>
              <w:bottom w:val="nil"/>
              <w:right w:val="nil"/>
            </w:tcBorders>
          </w:tcPr>
          <w:p w14:paraId="6D7951B2"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-3.986</w:t>
            </w:r>
            <w:r>
              <w:rPr>
                <w:rFonts w:ascii="Times New Roman" w:hAnsi="Times New Roman" w:cs="Times New Roman"/>
                <w:sz w:val="24"/>
                <w:szCs w:val="24"/>
                <w:vertAlign w:val="superscript"/>
              </w:rPr>
              <w:t>**</w:t>
            </w:r>
          </w:p>
        </w:tc>
      </w:tr>
      <w:tr w:rsidR="00BF68B7" w14:paraId="4708F723" w14:textId="77777777" w:rsidTr="00F16287">
        <w:tc>
          <w:tcPr>
            <w:tcW w:w="2136" w:type="dxa"/>
            <w:tcBorders>
              <w:top w:val="nil"/>
              <w:left w:val="nil"/>
              <w:bottom w:val="nil"/>
              <w:right w:val="nil"/>
            </w:tcBorders>
          </w:tcPr>
          <w:p w14:paraId="4BE8DC8A" w14:textId="77777777" w:rsidR="00BF68B7" w:rsidRDefault="00BF68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F617399"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(1.67)</w:t>
            </w:r>
          </w:p>
        </w:tc>
        <w:tc>
          <w:tcPr>
            <w:tcW w:w="1656" w:type="dxa"/>
            <w:tcBorders>
              <w:top w:val="nil"/>
              <w:left w:val="nil"/>
              <w:bottom w:val="nil"/>
              <w:right w:val="nil"/>
            </w:tcBorders>
          </w:tcPr>
          <w:p w14:paraId="189C89C7"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(2.41)</w:t>
            </w:r>
          </w:p>
        </w:tc>
        <w:tc>
          <w:tcPr>
            <w:tcW w:w="1656" w:type="dxa"/>
            <w:tcBorders>
              <w:top w:val="nil"/>
              <w:left w:val="nil"/>
              <w:bottom w:val="nil"/>
              <w:right w:val="nil"/>
            </w:tcBorders>
          </w:tcPr>
          <w:p w14:paraId="485E5EED"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56" w:type="dxa"/>
            <w:tcBorders>
              <w:top w:val="nil"/>
              <w:left w:val="nil"/>
              <w:bottom w:val="nil"/>
              <w:right w:val="nil"/>
            </w:tcBorders>
          </w:tcPr>
          <w:p w14:paraId="676C7673"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(-3.23)</w:t>
            </w:r>
          </w:p>
        </w:tc>
      </w:tr>
      <w:tr w:rsidR="00BF68B7" w14:paraId="738879EF" w14:textId="77777777" w:rsidTr="00F16287">
        <w:tc>
          <w:tcPr>
            <w:tcW w:w="2136" w:type="dxa"/>
            <w:tcBorders>
              <w:top w:val="nil"/>
              <w:left w:val="nil"/>
              <w:bottom w:val="nil"/>
              <w:right w:val="nil"/>
            </w:tcBorders>
          </w:tcPr>
          <w:p w14:paraId="3DFDDFFE" w14:textId="77777777" w:rsidR="00BF68B7" w:rsidRDefault="00BF68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F86EACA" w14:textId="77777777" w:rsidR="00BF68B7" w:rsidRDefault="00BF68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5EA2738" w14:textId="77777777" w:rsidR="00BF68B7" w:rsidRDefault="00BF68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2EF4F09" w14:textId="77777777" w:rsidR="00BF68B7" w:rsidRDefault="00BF68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1B7CEE2" w14:textId="77777777" w:rsidR="00BF68B7" w:rsidRDefault="00BF68B7" w:rsidP="00F16287">
            <w:pPr>
              <w:widowControl w:val="0"/>
              <w:autoSpaceDE w:val="0"/>
              <w:autoSpaceDN w:val="0"/>
              <w:adjustRightInd w:val="0"/>
              <w:spacing w:after="0" w:line="240" w:lineRule="auto"/>
              <w:rPr>
                <w:rFonts w:ascii="Times New Roman" w:hAnsi="Times New Roman" w:cs="Times New Roman"/>
                <w:sz w:val="24"/>
                <w:szCs w:val="24"/>
              </w:rPr>
            </w:pPr>
          </w:p>
        </w:tc>
      </w:tr>
      <w:tr w:rsidR="00BF68B7" w14:paraId="0F7E0A57" w14:textId="77777777" w:rsidTr="00F16287">
        <w:tc>
          <w:tcPr>
            <w:tcW w:w="2136" w:type="dxa"/>
            <w:tcBorders>
              <w:top w:val="nil"/>
              <w:left w:val="nil"/>
              <w:bottom w:val="nil"/>
              <w:right w:val="nil"/>
            </w:tcBorders>
          </w:tcPr>
          <w:p w14:paraId="55BAC1C1" w14:textId="77777777" w:rsidR="00BF68B7" w:rsidRDefault="00BF68B7"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Exchange Rate Classification (RR inverted, higher = more fixed)</w:t>
            </w:r>
          </w:p>
        </w:tc>
        <w:tc>
          <w:tcPr>
            <w:tcW w:w="1656" w:type="dxa"/>
            <w:tcBorders>
              <w:top w:val="nil"/>
              <w:left w:val="nil"/>
              <w:bottom w:val="nil"/>
              <w:right w:val="nil"/>
            </w:tcBorders>
          </w:tcPr>
          <w:p w14:paraId="78A7F3BC"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-0.0302</w:t>
            </w:r>
          </w:p>
        </w:tc>
        <w:tc>
          <w:tcPr>
            <w:tcW w:w="1656" w:type="dxa"/>
            <w:tcBorders>
              <w:top w:val="nil"/>
              <w:left w:val="nil"/>
              <w:bottom w:val="nil"/>
              <w:right w:val="nil"/>
            </w:tcBorders>
          </w:tcPr>
          <w:p w14:paraId="5E3E5F58"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9DC8A1D"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-0.0106</w:t>
            </w:r>
          </w:p>
        </w:tc>
        <w:tc>
          <w:tcPr>
            <w:tcW w:w="1656" w:type="dxa"/>
            <w:tcBorders>
              <w:top w:val="nil"/>
              <w:left w:val="nil"/>
              <w:bottom w:val="nil"/>
              <w:right w:val="nil"/>
            </w:tcBorders>
          </w:tcPr>
          <w:p w14:paraId="3CAB3787"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0.176</w:t>
            </w:r>
            <w:r>
              <w:rPr>
                <w:rFonts w:ascii="Times New Roman" w:hAnsi="Times New Roman" w:cs="Times New Roman"/>
                <w:sz w:val="24"/>
                <w:szCs w:val="24"/>
                <w:vertAlign w:val="superscript"/>
              </w:rPr>
              <w:t>**</w:t>
            </w:r>
          </w:p>
        </w:tc>
      </w:tr>
      <w:tr w:rsidR="00BF68B7" w14:paraId="520763FB" w14:textId="77777777" w:rsidTr="00F16287">
        <w:tc>
          <w:tcPr>
            <w:tcW w:w="2136" w:type="dxa"/>
            <w:tcBorders>
              <w:top w:val="nil"/>
              <w:left w:val="nil"/>
              <w:bottom w:val="single" w:sz="4" w:space="0" w:color="auto"/>
              <w:right w:val="nil"/>
            </w:tcBorders>
          </w:tcPr>
          <w:p w14:paraId="715F6C57" w14:textId="77777777" w:rsidR="00BF68B7" w:rsidRDefault="00BF68B7"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74CC4368"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w:t>
            </w:r>
          </w:p>
        </w:tc>
        <w:tc>
          <w:tcPr>
            <w:tcW w:w="1656" w:type="dxa"/>
            <w:tcBorders>
              <w:top w:val="nil"/>
              <w:left w:val="nil"/>
              <w:bottom w:val="single" w:sz="4" w:space="0" w:color="auto"/>
              <w:right w:val="nil"/>
            </w:tcBorders>
          </w:tcPr>
          <w:p w14:paraId="5B42EC15"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(-3.45)</w:t>
            </w:r>
          </w:p>
        </w:tc>
        <w:tc>
          <w:tcPr>
            <w:tcW w:w="1656" w:type="dxa"/>
            <w:tcBorders>
              <w:top w:val="nil"/>
              <w:left w:val="nil"/>
              <w:bottom w:val="single" w:sz="4" w:space="0" w:color="auto"/>
              <w:right w:val="nil"/>
            </w:tcBorders>
          </w:tcPr>
          <w:p w14:paraId="3167D2D9"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656" w:type="dxa"/>
            <w:tcBorders>
              <w:top w:val="nil"/>
              <w:left w:val="nil"/>
              <w:bottom w:val="single" w:sz="4" w:space="0" w:color="auto"/>
              <w:right w:val="nil"/>
            </w:tcBorders>
          </w:tcPr>
          <w:p w14:paraId="771093EA"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(2.77)</w:t>
            </w:r>
          </w:p>
        </w:tc>
      </w:tr>
      <w:tr w:rsidR="00BF68B7" w14:paraId="54024D01" w14:textId="77777777" w:rsidTr="00F16287">
        <w:tc>
          <w:tcPr>
            <w:tcW w:w="2136" w:type="dxa"/>
            <w:tcBorders>
              <w:top w:val="nil"/>
              <w:left w:val="nil"/>
              <w:bottom w:val="single" w:sz="4" w:space="0" w:color="auto"/>
              <w:right w:val="nil"/>
            </w:tcBorders>
          </w:tcPr>
          <w:p w14:paraId="00936449" w14:textId="77777777" w:rsidR="00BF68B7" w:rsidRDefault="00BF68B7"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317AFEAA"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1087</w:t>
            </w:r>
          </w:p>
        </w:tc>
        <w:tc>
          <w:tcPr>
            <w:tcW w:w="1656" w:type="dxa"/>
            <w:tcBorders>
              <w:top w:val="nil"/>
              <w:left w:val="nil"/>
              <w:bottom w:val="single" w:sz="4" w:space="0" w:color="auto"/>
              <w:right w:val="nil"/>
            </w:tcBorders>
          </w:tcPr>
          <w:p w14:paraId="568897CC"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736</w:t>
            </w:r>
          </w:p>
        </w:tc>
        <w:tc>
          <w:tcPr>
            <w:tcW w:w="1656" w:type="dxa"/>
            <w:tcBorders>
              <w:top w:val="nil"/>
              <w:left w:val="nil"/>
              <w:bottom w:val="single" w:sz="4" w:space="0" w:color="auto"/>
              <w:right w:val="nil"/>
            </w:tcBorders>
          </w:tcPr>
          <w:p w14:paraId="513462DC"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802</w:t>
            </w:r>
          </w:p>
        </w:tc>
        <w:tc>
          <w:tcPr>
            <w:tcW w:w="1656" w:type="dxa"/>
            <w:tcBorders>
              <w:top w:val="nil"/>
              <w:left w:val="nil"/>
              <w:bottom w:val="single" w:sz="4" w:space="0" w:color="auto"/>
              <w:right w:val="nil"/>
            </w:tcBorders>
          </w:tcPr>
          <w:p w14:paraId="61C169BC" w14:textId="77777777" w:rsidR="00BF68B7" w:rsidRDefault="00BF68B7"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786</w:t>
            </w:r>
          </w:p>
        </w:tc>
      </w:tr>
    </w:tbl>
    <w:p w14:paraId="7750F4EE" w14:textId="77777777" w:rsidR="007323BE" w:rsidRDefault="007323BE" w:rsidP="007323B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 xml:space="preserve"> statistics in parentheses</w:t>
      </w:r>
    </w:p>
    <w:p w14:paraId="77D138EE" w14:textId="77777777" w:rsidR="007323BE" w:rsidRDefault="007323BE" w:rsidP="007323B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0.001</w:t>
      </w:r>
    </w:p>
    <w:p w14:paraId="0CFE1925" w14:textId="32AD03E1" w:rsidR="007323BE" w:rsidRPr="00102C68" w:rsidRDefault="007323BE" w:rsidP="007323BE">
      <w:pPr>
        <w:widowControl w:val="0"/>
        <w:autoSpaceDE w:val="0"/>
        <w:autoSpaceDN w:val="0"/>
        <w:adjustRightInd w:val="0"/>
        <w:spacing w:after="0" w:line="240" w:lineRule="auto"/>
        <w:rPr>
          <w:rFonts w:ascii="Times New Roman" w:hAnsi="Times New Roman" w:cs="Times New Roman"/>
          <w:sz w:val="20"/>
          <w:szCs w:val="20"/>
          <w:highlight w:val="yellow"/>
        </w:rPr>
      </w:pPr>
    </w:p>
    <w:tbl>
      <w:tblPr>
        <w:tblW w:w="0" w:type="auto"/>
        <w:tblLayout w:type="fixed"/>
        <w:tblLook w:val="0000" w:firstRow="0" w:lastRow="0" w:firstColumn="0" w:lastColumn="0" w:noHBand="0" w:noVBand="0"/>
      </w:tblPr>
      <w:tblGrid>
        <w:gridCol w:w="2136"/>
        <w:gridCol w:w="1656"/>
        <w:gridCol w:w="1656"/>
        <w:gridCol w:w="1656"/>
        <w:gridCol w:w="1656"/>
      </w:tblGrid>
      <w:tr w:rsidR="00FB76DE" w14:paraId="5B43BBF6" w14:textId="77777777" w:rsidTr="00F16287">
        <w:tc>
          <w:tcPr>
            <w:tcW w:w="2136" w:type="dxa"/>
            <w:tcBorders>
              <w:top w:val="single" w:sz="4" w:space="0" w:color="auto"/>
              <w:left w:val="nil"/>
              <w:bottom w:val="nil"/>
              <w:right w:val="nil"/>
            </w:tcBorders>
          </w:tcPr>
          <w:p w14:paraId="00A3B220" w14:textId="77777777" w:rsidR="00FB76DE" w:rsidRDefault="00FB76D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22F5189E"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2FBE3892"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2F8D0FD8"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51A5A8A6"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FB76DE" w14:paraId="766B4291" w14:textId="77777777" w:rsidTr="00F16287">
        <w:tc>
          <w:tcPr>
            <w:tcW w:w="2136" w:type="dxa"/>
            <w:tcBorders>
              <w:top w:val="nil"/>
              <w:left w:val="nil"/>
              <w:bottom w:val="nil"/>
              <w:right w:val="nil"/>
            </w:tcBorders>
          </w:tcPr>
          <w:p w14:paraId="508EB1D2" w14:textId="77777777" w:rsidR="00FB76DE" w:rsidRDefault="00FB76D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D489CE2"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b2v2elturnhog</w:t>
            </w:r>
          </w:p>
        </w:tc>
        <w:tc>
          <w:tcPr>
            <w:tcW w:w="1656" w:type="dxa"/>
            <w:tcBorders>
              <w:top w:val="nil"/>
              <w:left w:val="nil"/>
              <w:bottom w:val="nil"/>
              <w:right w:val="nil"/>
            </w:tcBorders>
          </w:tcPr>
          <w:p w14:paraId="35B74A8A"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b2v2elturnhos</w:t>
            </w:r>
          </w:p>
        </w:tc>
        <w:tc>
          <w:tcPr>
            <w:tcW w:w="1656" w:type="dxa"/>
            <w:tcBorders>
              <w:top w:val="nil"/>
              <w:left w:val="nil"/>
              <w:bottom w:val="nil"/>
              <w:right w:val="nil"/>
            </w:tcBorders>
          </w:tcPr>
          <w:p w14:paraId="53B37210"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b2v2eltvrig</w:t>
            </w:r>
          </w:p>
        </w:tc>
        <w:tc>
          <w:tcPr>
            <w:tcW w:w="1656" w:type="dxa"/>
            <w:tcBorders>
              <w:top w:val="nil"/>
              <w:left w:val="nil"/>
              <w:bottom w:val="nil"/>
              <w:right w:val="nil"/>
            </w:tcBorders>
          </w:tcPr>
          <w:p w14:paraId="262BB92A"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b2e_wbgi_pve</w:t>
            </w:r>
          </w:p>
        </w:tc>
      </w:tr>
      <w:tr w:rsidR="00FB76DE" w14:paraId="390C7430" w14:textId="77777777" w:rsidTr="00F16287">
        <w:tc>
          <w:tcPr>
            <w:tcW w:w="2136" w:type="dxa"/>
            <w:tcBorders>
              <w:top w:val="single" w:sz="4" w:space="0" w:color="auto"/>
              <w:left w:val="nil"/>
              <w:bottom w:val="nil"/>
              <w:right w:val="nil"/>
            </w:tcBorders>
          </w:tcPr>
          <w:p w14:paraId="0BE5AB5E" w14:textId="77777777" w:rsidR="00FB76DE" w:rsidRDefault="00FB76DE"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main</w:t>
            </w:r>
          </w:p>
        </w:tc>
        <w:tc>
          <w:tcPr>
            <w:tcW w:w="1656" w:type="dxa"/>
            <w:tcBorders>
              <w:top w:val="single" w:sz="4" w:space="0" w:color="auto"/>
              <w:left w:val="nil"/>
              <w:bottom w:val="nil"/>
              <w:right w:val="nil"/>
            </w:tcBorders>
          </w:tcPr>
          <w:p w14:paraId="04EBDDD7"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67AA266B"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0590C23F"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p>
        </w:tc>
        <w:tc>
          <w:tcPr>
            <w:tcW w:w="1656" w:type="dxa"/>
            <w:tcBorders>
              <w:top w:val="single" w:sz="4" w:space="0" w:color="auto"/>
              <w:left w:val="nil"/>
              <w:bottom w:val="nil"/>
              <w:right w:val="nil"/>
            </w:tcBorders>
          </w:tcPr>
          <w:p w14:paraId="1D78A987"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p>
        </w:tc>
      </w:tr>
      <w:tr w:rsidR="00FB76DE" w14:paraId="41538394" w14:textId="77777777" w:rsidTr="00F16287">
        <w:tc>
          <w:tcPr>
            <w:tcW w:w="2136" w:type="dxa"/>
            <w:tcBorders>
              <w:top w:val="nil"/>
              <w:left w:val="nil"/>
              <w:bottom w:val="nil"/>
              <w:right w:val="nil"/>
            </w:tcBorders>
          </w:tcPr>
          <w:p w14:paraId="2DD22E9B" w14:textId="77777777" w:rsidR="00FB76DE" w:rsidRDefault="00FB76DE"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7352A9A0"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-0.267</w:t>
            </w:r>
          </w:p>
        </w:tc>
        <w:tc>
          <w:tcPr>
            <w:tcW w:w="1656" w:type="dxa"/>
            <w:tcBorders>
              <w:top w:val="nil"/>
              <w:left w:val="nil"/>
              <w:bottom w:val="nil"/>
              <w:right w:val="nil"/>
            </w:tcBorders>
          </w:tcPr>
          <w:p w14:paraId="45425D9B"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-0.151</w:t>
            </w:r>
          </w:p>
        </w:tc>
        <w:tc>
          <w:tcPr>
            <w:tcW w:w="1656" w:type="dxa"/>
            <w:tcBorders>
              <w:top w:val="nil"/>
              <w:left w:val="nil"/>
              <w:bottom w:val="nil"/>
              <w:right w:val="nil"/>
            </w:tcBorders>
          </w:tcPr>
          <w:p w14:paraId="1E0DCE2A"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2AAE658"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0.0268</w:t>
            </w:r>
          </w:p>
        </w:tc>
      </w:tr>
      <w:tr w:rsidR="00FB76DE" w14:paraId="7AFD61C1" w14:textId="77777777" w:rsidTr="00F16287">
        <w:tc>
          <w:tcPr>
            <w:tcW w:w="2136" w:type="dxa"/>
            <w:tcBorders>
              <w:top w:val="nil"/>
              <w:left w:val="nil"/>
              <w:bottom w:val="nil"/>
              <w:right w:val="nil"/>
            </w:tcBorders>
          </w:tcPr>
          <w:p w14:paraId="3BEB94CA" w14:textId="77777777" w:rsidR="00FB76DE" w:rsidRDefault="00FB76D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7B7E2EC"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656" w:type="dxa"/>
            <w:tcBorders>
              <w:top w:val="nil"/>
              <w:left w:val="nil"/>
              <w:bottom w:val="nil"/>
              <w:right w:val="nil"/>
            </w:tcBorders>
          </w:tcPr>
          <w:p w14:paraId="448953E5"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w:t>
            </w:r>
          </w:p>
        </w:tc>
        <w:tc>
          <w:tcPr>
            <w:tcW w:w="1656" w:type="dxa"/>
            <w:tcBorders>
              <w:top w:val="nil"/>
              <w:left w:val="nil"/>
              <w:bottom w:val="nil"/>
              <w:right w:val="nil"/>
            </w:tcBorders>
          </w:tcPr>
          <w:p w14:paraId="63646210"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1656" w:type="dxa"/>
            <w:tcBorders>
              <w:top w:val="nil"/>
              <w:left w:val="nil"/>
              <w:bottom w:val="nil"/>
              <w:right w:val="nil"/>
            </w:tcBorders>
          </w:tcPr>
          <w:p w14:paraId="1D12F2E8"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r>
      <w:tr w:rsidR="00FB76DE" w14:paraId="7D0AE2ED" w14:textId="77777777" w:rsidTr="00F16287">
        <w:tc>
          <w:tcPr>
            <w:tcW w:w="2136" w:type="dxa"/>
            <w:tcBorders>
              <w:top w:val="nil"/>
              <w:left w:val="nil"/>
              <w:bottom w:val="nil"/>
              <w:right w:val="nil"/>
            </w:tcBorders>
          </w:tcPr>
          <w:p w14:paraId="659C2125" w14:textId="77777777" w:rsidR="00FB76DE" w:rsidRDefault="00FB76D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1B08858" w14:textId="77777777" w:rsidR="00FB76DE" w:rsidRDefault="00FB76D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C6B7421" w14:textId="77777777" w:rsidR="00FB76DE" w:rsidRDefault="00FB76D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152FFDD" w14:textId="77777777" w:rsidR="00FB76DE" w:rsidRDefault="00FB76D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82E8E04" w14:textId="77777777" w:rsidR="00FB76DE" w:rsidRDefault="00FB76DE" w:rsidP="00F16287">
            <w:pPr>
              <w:widowControl w:val="0"/>
              <w:autoSpaceDE w:val="0"/>
              <w:autoSpaceDN w:val="0"/>
              <w:adjustRightInd w:val="0"/>
              <w:spacing w:after="0" w:line="240" w:lineRule="auto"/>
              <w:rPr>
                <w:rFonts w:ascii="Times New Roman" w:hAnsi="Times New Roman" w:cs="Times New Roman"/>
                <w:sz w:val="24"/>
                <w:szCs w:val="24"/>
              </w:rPr>
            </w:pPr>
          </w:p>
        </w:tc>
      </w:tr>
      <w:tr w:rsidR="00FB76DE" w14:paraId="589EB886" w14:textId="77777777" w:rsidTr="00F16287">
        <w:tc>
          <w:tcPr>
            <w:tcW w:w="2136" w:type="dxa"/>
            <w:tcBorders>
              <w:top w:val="nil"/>
              <w:left w:val="nil"/>
              <w:bottom w:val="nil"/>
              <w:right w:val="nil"/>
            </w:tcBorders>
          </w:tcPr>
          <w:p w14:paraId="25B09622" w14:textId="77777777" w:rsidR="00FB76DE" w:rsidRDefault="00FB76DE"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027C6FE5"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-0.0102</w:t>
            </w:r>
          </w:p>
        </w:tc>
        <w:tc>
          <w:tcPr>
            <w:tcW w:w="1656" w:type="dxa"/>
            <w:tcBorders>
              <w:top w:val="nil"/>
              <w:left w:val="nil"/>
              <w:bottom w:val="nil"/>
              <w:right w:val="nil"/>
            </w:tcBorders>
          </w:tcPr>
          <w:p w14:paraId="7ADD59FD"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-0.0560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8D228CA"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0.0143</w:t>
            </w:r>
          </w:p>
        </w:tc>
        <w:tc>
          <w:tcPr>
            <w:tcW w:w="1656" w:type="dxa"/>
            <w:tcBorders>
              <w:top w:val="nil"/>
              <w:left w:val="nil"/>
              <w:bottom w:val="nil"/>
              <w:right w:val="nil"/>
            </w:tcBorders>
          </w:tcPr>
          <w:p w14:paraId="51738AC0"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0.169</w:t>
            </w:r>
            <w:r>
              <w:rPr>
                <w:rFonts w:ascii="Times New Roman" w:hAnsi="Times New Roman" w:cs="Times New Roman"/>
                <w:sz w:val="24"/>
                <w:szCs w:val="24"/>
                <w:vertAlign w:val="superscript"/>
              </w:rPr>
              <w:t>***</w:t>
            </w:r>
          </w:p>
        </w:tc>
      </w:tr>
      <w:tr w:rsidR="00FB76DE" w14:paraId="0B42CD4E" w14:textId="77777777" w:rsidTr="00F16287">
        <w:tc>
          <w:tcPr>
            <w:tcW w:w="2136" w:type="dxa"/>
            <w:tcBorders>
              <w:top w:val="nil"/>
              <w:left w:val="nil"/>
              <w:bottom w:val="single" w:sz="4" w:space="0" w:color="auto"/>
              <w:right w:val="nil"/>
            </w:tcBorders>
          </w:tcPr>
          <w:p w14:paraId="5C19BF2D" w14:textId="77777777" w:rsidR="00FB76DE" w:rsidRDefault="00FB76D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62C7FAA9"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656" w:type="dxa"/>
            <w:tcBorders>
              <w:top w:val="nil"/>
              <w:left w:val="nil"/>
              <w:bottom w:val="single" w:sz="4" w:space="0" w:color="auto"/>
              <w:right w:val="nil"/>
            </w:tcBorders>
          </w:tcPr>
          <w:p w14:paraId="2CE81304"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(-2.15)</w:t>
            </w:r>
          </w:p>
        </w:tc>
        <w:tc>
          <w:tcPr>
            <w:tcW w:w="1656" w:type="dxa"/>
            <w:tcBorders>
              <w:top w:val="nil"/>
              <w:left w:val="nil"/>
              <w:bottom w:val="single" w:sz="4" w:space="0" w:color="auto"/>
              <w:right w:val="nil"/>
            </w:tcBorders>
          </w:tcPr>
          <w:p w14:paraId="5E2E5053"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w:t>
            </w:r>
          </w:p>
        </w:tc>
        <w:tc>
          <w:tcPr>
            <w:tcW w:w="1656" w:type="dxa"/>
            <w:tcBorders>
              <w:top w:val="nil"/>
              <w:left w:val="nil"/>
              <w:bottom w:val="single" w:sz="4" w:space="0" w:color="auto"/>
              <w:right w:val="nil"/>
            </w:tcBorders>
          </w:tcPr>
          <w:p w14:paraId="31CC721F"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(3.42)</w:t>
            </w:r>
          </w:p>
        </w:tc>
      </w:tr>
      <w:tr w:rsidR="00FB76DE" w14:paraId="1630727C" w14:textId="77777777" w:rsidTr="00F16287">
        <w:tc>
          <w:tcPr>
            <w:tcW w:w="2136" w:type="dxa"/>
            <w:tcBorders>
              <w:top w:val="nil"/>
              <w:left w:val="nil"/>
              <w:bottom w:val="single" w:sz="4" w:space="0" w:color="auto"/>
              <w:right w:val="nil"/>
            </w:tcBorders>
          </w:tcPr>
          <w:p w14:paraId="1CCAEC19" w14:textId="77777777" w:rsidR="00FB76DE" w:rsidRDefault="00FB76DE"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2FD04EDA"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1359</w:t>
            </w:r>
          </w:p>
        </w:tc>
        <w:tc>
          <w:tcPr>
            <w:tcW w:w="1656" w:type="dxa"/>
            <w:tcBorders>
              <w:top w:val="nil"/>
              <w:left w:val="nil"/>
              <w:bottom w:val="single" w:sz="4" w:space="0" w:color="auto"/>
              <w:right w:val="nil"/>
            </w:tcBorders>
          </w:tcPr>
          <w:p w14:paraId="656DDDE1"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932</w:t>
            </w:r>
          </w:p>
        </w:tc>
        <w:tc>
          <w:tcPr>
            <w:tcW w:w="1656" w:type="dxa"/>
            <w:tcBorders>
              <w:top w:val="nil"/>
              <w:left w:val="nil"/>
              <w:bottom w:val="single" w:sz="4" w:space="0" w:color="auto"/>
              <w:right w:val="nil"/>
            </w:tcBorders>
          </w:tcPr>
          <w:p w14:paraId="42E5F507"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1081</w:t>
            </w:r>
          </w:p>
        </w:tc>
        <w:tc>
          <w:tcPr>
            <w:tcW w:w="1656" w:type="dxa"/>
            <w:tcBorders>
              <w:top w:val="nil"/>
              <w:left w:val="nil"/>
              <w:bottom w:val="single" w:sz="4" w:space="0" w:color="auto"/>
              <w:right w:val="nil"/>
            </w:tcBorders>
          </w:tcPr>
          <w:p w14:paraId="0AF5E3CA" w14:textId="77777777" w:rsidR="00FB76DE" w:rsidRDefault="00FB76D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1115</w:t>
            </w:r>
          </w:p>
        </w:tc>
      </w:tr>
    </w:tbl>
    <w:p w14:paraId="5BA4B811" w14:textId="77777777" w:rsidR="00FB76DE" w:rsidRDefault="00FB76DE" w:rsidP="00FB76D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327AAE93" w14:textId="699A952D" w:rsidR="00BF68B7" w:rsidRPr="00FB76DE" w:rsidRDefault="00FB76DE" w:rsidP="007323B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27054455" w14:textId="77777777" w:rsidR="00BF68B7" w:rsidRPr="00102C68" w:rsidRDefault="00BF68B7" w:rsidP="007323BE">
      <w:pPr>
        <w:widowControl w:val="0"/>
        <w:autoSpaceDE w:val="0"/>
        <w:autoSpaceDN w:val="0"/>
        <w:adjustRightInd w:val="0"/>
        <w:spacing w:after="0" w:line="240" w:lineRule="auto"/>
        <w:rPr>
          <w:rFonts w:ascii="Times New Roman" w:hAnsi="Times New Roman" w:cs="Times New Roman"/>
          <w:sz w:val="20"/>
          <w:szCs w:val="20"/>
          <w:highlight w:val="yellow"/>
        </w:rPr>
      </w:pPr>
    </w:p>
    <w:p w14:paraId="0B17466F" w14:textId="6DB34E75" w:rsidR="007323BE" w:rsidRPr="00FB76DE" w:rsidRDefault="00977D6C" w:rsidP="007323BE">
      <w:r w:rsidRPr="00FB76DE">
        <w:t>Table A1</w:t>
      </w:r>
      <w:r w:rsidR="00CA0BFB" w:rsidRPr="00FB76DE">
        <w:t>3</w:t>
      </w:r>
      <w:r w:rsidRPr="00FB76DE">
        <w:t xml:space="preserve">: </w:t>
      </w:r>
      <w:r w:rsidR="007323BE" w:rsidRPr="00FB76DE">
        <w:t>Regime as a binary independent variable</w:t>
      </w:r>
    </w:p>
    <w:p w14:paraId="16F5C753" w14:textId="77777777" w:rsidR="007323BE" w:rsidRPr="00FB76DE" w:rsidRDefault="007323BE" w:rsidP="007323BE">
      <w:r w:rsidRPr="00FB76DE">
        <w:t>0.5 as the De Jure CBI cutoff, and 1-8 as fixed, 8-16 as floating on the RR scale</w:t>
      </w:r>
    </w:p>
    <w:p w14:paraId="6DEC7B10" w14:textId="77777777" w:rsidR="007323BE" w:rsidRPr="00FB76DE" w:rsidRDefault="007323BE" w:rsidP="007323BE">
      <w:pPr>
        <w:tabs>
          <w:tab w:val="center" w:pos="4680"/>
        </w:tabs>
      </w:pPr>
      <w:r w:rsidRPr="00FB76DE">
        <w:t>Does not adequately capture variability</w:t>
      </w:r>
      <w:r w:rsidRPr="00FB76DE">
        <w:tab/>
      </w:r>
    </w:p>
    <w:p w14:paraId="243A12B2" w14:textId="77777777" w:rsidR="007323BE" w:rsidRPr="00FB76DE" w:rsidRDefault="007323BE" w:rsidP="007323BE">
      <w:pPr>
        <w:rPr>
          <w:lang w:val="en-GB"/>
        </w:rPr>
      </w:pPr>
      <w:r w:rsidRPr="00FB76DE">
        <w:rPr>
          <w:lang w:val="en-GB"/>
        </w:rPr>
        <w:t>Fes,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CF2F65" w14:paraId="2C8406D6" w14:textId="77777777" w:rsidTr="00F16287">
        <w:tc>
          <w:tcPr>
            <w:tcW w:w="2136" w:type="dxa"/>
            <w:tcBorders>
              <w:top w:val="single" w:sz="4" w:space="0" w:color="auto"/>
              <w:left w:val="nil"/>
              <w:bottom w:val="nil"/>
              <w:right w:val="nil"/>
            </w:tcBorders>
          </w:tcPr>
          <w:p w14:paraId="1BD03C1D"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1E9ED3F8"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4E3683BF"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1C690823"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0469E0B7"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6CDE7038"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CF2F65" w14:paraId="4CE873F6" w14:textId="77777777" w:rsidTr="00F16287">
        <w:tc>
          <w:tcPr>
            <w:tcW w:w="2136" w:type="dxa"/>
            <w:tcBorders>
              <w:top w:val="nil"/>
              <w:left w:val="nil"/>
              <w:bottom w:val="nil"/>
              <w:right w:val="nil"/>
            </w:tcBorders>
          </w:tcPr>
          <w:p w14:paraId="60070832"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8D258CF"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08A5AD3B"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56F37478"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54C7F6BC"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16516DA8"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CF2F65" w14:paraId="46F946D6" w14:textId="77777777" w:rsidTr="00F16287">
        <w:tc>
          <w:tcPr>
            <w:tcW w:w="2136" w:type="dxa"/>
            <w:tcBorders>
              <w:top w:val="single" w:sz="4" w:space="0" w:color="auto"/>
              <w:left w:val="nil"/>
              <w:bottom w:val="nil"/>
              <w:right w:val="nil"/>
            </w:tcBorders>
          </w:tcPr>
          <w:p w14:paraId="0CB58B79"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High De Jure CBI (CNW Index)</w:t>
            </w:r>
          </w:p>
        </w:tc>
        <w:tc>
          <w:tcPr>
            <w:tcW w:w="1656" w:type="dxa"/>
            <w:tcBorders>
              <w:top w:val="single" w:sz="4" w:space="0" w:color="auto"/>
              <w:left w:val="nil"/>
              <w:bottom w:val="nil"/>
              <w:right w:val="nil"/>
            </w:tcBorders>
          </w:tcPr>
          <w:p w14:paraId="2BB45209"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0.0326</w:t>
            </w:r>
          </w:p>
        </w:tc>
        <w:tc>
          <w:tcPr>
            <w:tcW w:w="1656" w:type="dxa"/>
            <w:tcBorders>
              <w:top w:val="single" w:sz="4" w:space="0" w:color="auto"/>
              <w:left w:val="nil"/>
              <w:bottom w:val="nil"/>
              <w:right w:val="nil"/>
            </w:tcBorders>
          </w:tcPr>
          <w:p w14:paraId="3FBBFC23"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656" w:type="dxa"/>
            <w:tcBorders>
              <w:top w:val="single" w:sz="4" w:space="0" w:color="auto"/>
              <w:left w:val="nil"/>
              <w:bottom w:val="nil"/>
              <w:right w:val="nil"/>
            </w:tcBorders>
          </w:tcPr>
          <w:p w14:paraId="29C48E87"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0.104</w:t>
            </w:r>
          </w:p>
        </w:tc>
        <w:tc>
          <w:tcPr>
            <w:tcW w:w="1656" w:type="dxa"/>
            <w:tcBorders>
              <w:top w:val="single" w:sz="4" w:space="0" w:color="auto"/>
              <w:left w:val="nil"/>
              <w:bottom w:val="nil"/>
              <w:right w:val="nil"/>
            </w:tcBorders>
          </w:tcPr>
          <w:p w14:paraId="749C9347"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-0.113</w:t>
            </w:r>
          </w:p>
        </w:tc>
        <w:tc>
          <w:tcPr>
            <w:tcW w:w="1656" w:type="dxa"/>
            <w:tcBorders>
              <w:top w:val="single" w:sz="4" w:space="0" w:color="auto"/>
              <w:left w:val="nil"/>
              <w:bottom w:val="nil"/>
              <w:right w:val="nil"/>
            </w:tcBorders>
          </w:tcPr>
          <w:p w14:paraId="35CAFA83"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0.356</w:t>
            </w:r>
            <w:r>
              <w:rPr>
                <w:rFonts w:ascii="Times New Roman" w:hAnsi="Times New Roman" w:cs="Times New Roman"/>
                <w:sz w:val="24"/>
                <w:szCs w:val="24"/>
                <w:vertAlign w:val="superscript"/>
              </w:rPr>
              <w:t>***</w:t>
            </w:r>
          </w:p>
        </w:tc>
      </w:tr>
      <w:tr w:rsidR="00CF2F65" w14:paraId="22E50833" w14:textId="77777777" w:rsidTr="00F16287">
        <w:tc>
          <w:tcPr>
            <w:tcW w:w="2136" w:type="dxa"/>
            <w:tcBorders>
              <w:top w:val="nil"/>
              <w:left w:val="nil"/>
              <w:bottom w:val="nil"/>
              <w:right w:val="nil"/>
            </w:tcBorders>
          </w:tcPr>
          <w:p w14:paraId="641F5203"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09A27DD"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656" w:type="dxa"/>
            <w:tcBorders>
              <w:top w:val="nil"/>
              <w:left w:val="nil"/>
              <w:bottom w:val="nil"/>
              <w:right w:val="nil"/>
            </w:tcBorders>
          </w:tcPr>
          <w:p w14:paraId="54F81CE7"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656" w:type="dxa"/>
            <w:tcBorders>
              <w:top w:val="nil"/>
              <w:left w:val="nil"/>
              <w:bottom w:val="nil"/>
              <w:right w:val="nil"/>
            </w:tcBorders>
          </w:tcPr>
          <w:p w14:paraId="4D79BF08"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(1.20)</w:t>
            </w:r>
          </w:p>
        </w:tc>
        <w:tc>
          <w:tcPr>
            <w:tcW w:w="1656" w:type="dxa"/>
            <w:tcBorders>
              <w:top w:val="nil"/>
              <w:left w:val="nil"/>
              <w:bottom w:val="nil"/>
              <w:right w:val="nil"/>
            </w:tcBorders>
          </w:tcPr>
          <w:p w14:paraId="52A26C13"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(-1.92)</w:t>
            </w:r>
          </w:p>
        </w:tc>
        <w:tc>
          <w:tcPr>
            <w:tcW w:w="1656" w:type="dxa"/>
            <w:tcBorders>
              <w:top w:val="nil"/>
              <w:left w:val="nil"/>
              <w:bottom w:val="nil"/>
              <w:right w:val="nil"/>
            </w:tcBorders>
          </w:tcPr>
          <w:p w14:paraId="3C18EA65"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(8.56)</w:t>
            </w:r>
          </w:p>
        </w:tc>
      </w:tr>
      <w:tr w:rsidR="00CF2F65" w14:paraId="437779D8" w14:textId="77777777" w:rsidTr="00F16287">
        <w:tc>
          <w:tcPr>
            <w:tcW w:w="2136" w:type="dxa"/>
            <w:tcBorders>
              <w:top w:val="nil"/>
              <w:left w:val="nil"/>
              <w:bottom w:val="nil"/>
              <w:right w:val="nil"/>
            </w:tcBorders>
          </w:tcPr>
          <w:p w14:paraId="47784865"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C7E298C"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F0CDE6A"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BBD5A67"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A420FB6"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361A158"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p>
        </w:tc>
      </w:tr>
      <w:tr w:rsidR="00CF2F65" w14:paraId="1A432190" w14:textId="77777777" w:rsidTr="00F16287">
        <w:tc>
          <w:tcPr>
            <w:tcW w:w="2136" w:type="dxa"/>
            <w:tcBorders>
              <w:top w:val="nil"/>
              <w:left w:val="nil"/>
              <w:bottom w:val="nil"/>
              <w:right w:val="nil"/>
            </w:tcBorders>
          </w:tcPr>
          <w:p w14:paraId="598A3B3E"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Fixed Exchange Rate Classification (RR 1-8)</w:t>
            </w:r>
          </w:p>
        </w:tc>
        <w:tc>
          <w:tcPr>
            <w:tcW w:w="1656" w:type="dxa"/>
            <w:tcBorders>
              <w:top w:val="nil"/>
              <w:left w:val="nil"/>
              <w:bottom w:val="nil"/>
              <w:right w:val="nil"/>
            </w:tcBorders>
          </w:tcPr>
          <w:p w14:paraId="270FA951"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-0.0566</w:t>
            </w:r>
          </w:p>
        </w:tc>
        <w:tc>
          <w:tcPr>
            <w:tcW w:w="1656" w:type="dxa"/>
            <w:tcBorders>
              <w:top w:val="nil"/>
              <w:left w:val="nil"/>
              <w:bottom w:val="nil"/>
              <w:right w:val="nil"/>
            </w:tcBorders>
          </w:tcPr>
          <w:p w14:paraId="1EDF6291"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AD51BDB"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-0.0489</w:t>
            </w:r>
          </w:p>
        </w:tc>
        <w:tc>
          <w:tcPr>
            <w:tcW w:w="1656" w:type="dxa"/>
            <w:tcBorders>
              <w:top w:val="nil"/>
              <w:left w:val="nil"/>
              <w:bottom w:val="nil"/>
              <w:right w:val="nil"/>
            </w:tcBorders>
          </w:tcPr>
          <w:p w14:paraId="5C9A8FD3"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08C87D1"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0.0273</w:t>
            </w:r>
          </w:p>
        </w:tc>
      </w:tr>
      <w:tr w:rsidR="00CF2F65" w14:paraId="0B05FE66" w14:textId="77777777" w:rsidTr="00F16287">
        <w:tc>
          <w:tcPr>
            <w:tcW w:w="2136" w:type="dxa"/>
            <w:tcBorders>
              <w:top w:val="nil"/>
              <w:left w:val="nil"/>
              <w:bottom w:val="nil"/>
              <w:right w:val="nil"/>
            </w:tcBorders>
          </w:tcPr>
          <w:p w14:paraId="1C6B537A"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C6E31B5"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1656" w:type="dxa"/>
            <w:tcBorders>
              <w:top w:val="nil"/>
              <w:left w:val="nil"/>
              <w:bottom w:val="nil"/>
              <w:right w:val="nil"/>
            </w:tcBorders>
          </w:tcPr>
          <w:p w14:paraId="0A75C40D"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6" w:type="dxa"/>
            <w:tcBorders>
              <w:top w:val="nil"/>
              <w:left w:val="nil"/>
              <w:bottom w:val="nil"/>
              <w:right w:val="nil"/>
            </w:tcBorders>
          </w:tcPr>
          <w:p w14:paraId="62EECB49"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w:t>
            </w:r>
          </w:p>
        </w:tc>
        <w:tc>
          <w:tcPr>
            <w:tcW w:w="1656" w:type="dxa"/>
            <w:tcBorders>
              <w:top w:val="nil"/>
              <w:left w:val="nil"/>
              <w:bottom w:val="nil"/>
              <w:right w:val="nil"/>
            </w:tcBorders>
          </w:tcPr>
          <w:p w14:paraId="7DF9A1EE"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(2.04)</w:t>
            </w:r>
          </w:p>
        </w:tc>
        <w:tc>
          <w:tcPr>
            <w:tcW w:w="1656" w:type="dxa"/>
            <w:tcBorders>
              <w:top w:val="nil"/>
              <w:left w:val="nil"/>
              <w:bottom w:val="nil"/>
              <w:right w:val="nil"/>
            </w:tcBorders>
          </w:tcPr>
          <w:p w14:paraId="6CC635AC"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F2F65" w14:paraId="528CCB45" w14:textId="77777777" w:rsidTr="00F16287">
        <w:tc>
          <w:tcPr>
            <w:tcW w:w="2136" w:type="dxa"/>
            <w:tcBorders>
              <w:top w:val="nil"/>
              <w:left w:val="nil"/>
              <w:bottom w:val="nil"/>
              <w:right w:val="nil"/>
            </w:tcBorders>
          </w:tcPr>
          <w:p w14:paraId="7FFD4CB8"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3751B7E"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EAC72F0"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8C22393"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ADB95B2"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50A9898"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p>
        </w:tc>
      </w:tr>
      <w:tr w:rsidR="00CF2F65" w14:paraId="18590A1A" w14:textId="77777777" w:rsidTr="00F16287">
        <w:tc>
          <w:tcPr>
            <w:tcW w:w="2136" w:type="dxa"/>
            <w:tcBorders>
              <w:top w:val="nil"/>
              <w:left w:val="nil"/>
              <w:bottom w:val="nil"/>
              <w:right w:val="nil"/>
            </w:tcBorders>
          </w:tcPr>
          <w:p w14:paraId="7E5EFDEA"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Constant</w:t>
            </w:r>
          </w:p>
        </w:tc>
        <w:tc>
          <w:tcPr>
            <w:tcW w:w="1656" w:type="dxa"/>
            <w:tcBorders>
              <w:top w:val="nil"/>
              <w:left w:val="nil"/>
              <w:bottom w:val="nil"/>
              <w:right w:val="nil"/>
            </w:tcBorders>
          </w:tcPr>
          <w:p w14:paraId="1D3FF0C6"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0.683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9048BA9"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E6EA0EA"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5203EFE"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11D9E91"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0.257</w:t>
            </w:r>
            <w:r>
              <w:rPr>
                <w:rFonts w:ascii="Times New Roman" w:hAnsi="Times New Roman" w:cs="Times New Roman"/>
                <w:sz w:val="24"/>
                <w:szCs w:val="24"/>
                <w:vertAlign w:val="superscript"/>
              </w:rPr>
              <w:t>***</w:t>
            </w:r>
          </w:p>
        </w:tc>
      </w:tr>
      <w:tr w:rsidR="00CF2F65" w14:paraId="2C5CB665" w14:textId="77777777" w:rsidTr="00F16287">
        <w:tc>
          <w:tcPr>
            <w:tcW w:w="2136" w:type="dxa"/>
            <w:tcBorders>
              <w:top w:val="nil"/>
              <w:left w:val="nil"/>
              <w:bottom w:val="single" w:sz="4" w:space="0" w:color="auto"/>
              <w:right w:val="nil"/>
            </w:tcBorders>
          </w:tcPr>
          <w:p w14:paraId="2AE550CD"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3A599BA5"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(12.92)</w:t>
            </w:r>
          </w:p>
        </w:tc>
        <w:tc>
          <w:tcPr>
            <w:tcW w:w="1656" w:type="dxa"/>
            <w:tcBorders>
              <w:top w:val="nil"/>
              <w:left w:val="nil"/>
              <w:bottom w:val="single" w:sz="4" w:space="0" w:color="auto"/>
              <w:right w:val="nil"/>
            </w:tcBorders>
          </w:tcPr>
          <w:p w14:paraId="1AB4D43F"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(11.31)</w:t>
            </w:r>
          </w:p>
        </w:tc>
        <w:tc>
          <w:tcPr>
            <w:tcW w:w="1656" w:type="dxa"/>
            <w:tcBorders>
              <w:top w:val="nil"/>
              <w:left w:val="nil"/>
              <w:bottom w:val="single" w:sz="4" w:space="0" w:color="auto"/>
              <w:right w:val="nil"/>
            </w:tcBorders>
          </w:tcPr>
          <w:p w14:paraId="263F3D6B"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(11.57)</w:t>
            </w:r>
          </w:p>
        </w:tc>
        <w:tc>
          <w:tcPr>
            <w:tcW w:w="1656" w:type="dxa"/>
            <w:tcBorders>
              <w:top w:val="nil"/>
              <w:left w:val="nil"/>
              <w:bottom w:val="single" w:sz="4" w:space="0" w:color="auto"/>
              <w:right w:val="nil"/>
            </w:tcBorders>
          </w:tcPr>
          <w:p w14:paraId="6324051D"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(-2.35)</w:t>
            </w:r>
          </w:p>
        </w:tc>
        <w:tc>
          <w:tcPr>
            <w:tcW w:w="1656" w:type="dxa"/>
            <w:tcBorders>
              <w:top w:val="nil"/>
              <w:left w:val="nil"/>
              <w:bottom w:val="single" w:sz="4" w:space="0" w:color="auto"/>
              <w:right w:val="nil"/>
            </w:tcBorders>
          </w:tcPr>
          <w:p w14:paraId="77E5222B"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(8.99)</w:t>
            </w:r>
          </w:p>
        </w:tc>
      </w:tr>
      <w:tr w:rsidR="00CF2F65" w14:paraId="748772BB" w14:textId="77777777" w:rsidTr="00F16287">
        <w:tc>
          <w:tcPr>
            <w:tcW w:w="2136" w:type="dxa"/>
            <w:tcBorders>
              <w:top w:val="nil"/>
              <w:left w:val="nil"/>
              <w:bottom w:val="single" w:sz="4" w:space="0" w:color="auto"/>
              <w:right w:val="nil"/>
            </w:tcBorders>
          </w:tcPr>
          <w:p w14:paraId="7BCE1462" w14:textId="77777777" w:rsidR="00CF2F65" w:rsidRDefault="00CF2F6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2BF0EFAF"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1399</w:t>
            </w:r>
          </w:p>
        </w:tc>
        <w:tc>
          <w:tcPr>
            <w:tcW w:w="1656" w:type="dxa"/>
            <w:tcBorders>
              <w:top w:val="nil"/>
              <w:left w:val="nil"/>
              <w:bottom w:val="single" w:sz="4" w:space="0" w:color="auto"/>
              <w:right w:val="nil"/>
            </w:tcBorders>
          </w:tcPr>
          <w:p w14:paraId="5527DE9F"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1399</w:t>
            </w:r>
          </w:p>
        </w:tc>
        <w:tc>
          <w:tcPr>
            <w:tcW w:w="1656" w:type="dxa"/>
            <w:tcBorders>
              <w:top w:val="nil"/>
              <w:left w:val="nil"/>
              <w:bottom w:val="single" w:sz="4" w:space="0" w:color="auto"/>
              <w:right w:val="nil"/>
            </w:tcBorders>
          </w:tcPr>
          <w:p w14:paraId="75944FA0"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1141</w:t>
            </w:r>
          </w:p>
        </w:tc>
        <w:tc>
          <w:tcPr>
            <w:tcW w:w="1656" w:type="dxa"/>
            <w:tcBorders>
              <w:top w:val="nil"/>
              <w:left w:val="nil"/>
              <w:bottom w:val="single" w:sz="4" w:space="0" w:color="auto"/>
              <w:right w:val="nil"/>
            </w:tcBorders>
          </w:tcPr>
          <w:p w14:paraId="55BFB378"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2141</w:t>
            </w:r>
          </w:p>
        </w:tc>
        <w:tc>
          <w:tcPr>
            <w:tcW w:w="1656" w:type="dxa"/>
            <w:tcBorders>
              <w:top w:val="nil"/>
              <w:left w:val="nil"/>
              <w:bottom w:val="single" w:sz="4" w:space="0" w:color="auto"/>
              <w:right w:val="nil"/>
            </w:tcBorders>
          </w:tcPr>
          <w:p w14:paraId="3654F6A9" w14:textId="77777777" w:rsidR="00CF2F65" w:rsidRDefault="00CF2F6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4207</w:t>
            </w:r>
          </w:p>
        </w:tc>
      </w:tr>
    </w:tbl>
    <w:p w14:paraId="0B4958C3" w14:textId="77777777" w:rsidR="00CF2F65" w:rsidRDefault="00CF2F65" w:rsidP="00CF2F6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7DEE8D0" w14:textId="308CC559" w:rsidR="00CF2F65" w:rsidRDefault="00CF2F65" w:rsidP="00CF2F6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237BC5F8" w14:textId="485D4FA8" w:rsidR="00CF2F65" w:rsidRDefault="00CF2F65" w:rsidP="00CF2F65">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6655D6" w14:paraId="46C3AC0F" w14:textId="77777777" w:rsidTr="00F16287">
        <w:tc>
          <w:tcPr>
            <w:tcW w:w="2136" w:type="dxa"/>
            <w:tcBorders>
              <w:top w:val="single" w:sz="4" w:space="0" w:color="auto"/>
              <w:left w:val="nil"/>
              <w:bottom w:val="nil"/>
              <w:right w:val="nil"/>
            </w:tcBorders>
          </w:tcPr>
          <w:p w14:paraId="4378462C"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7828F03B"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5594F700"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4ED4A6AC"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4F0AEEFF"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717F96A8"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6655D6" w14:paraId="73AAABCA" w14:textId="77777777" w:rsidTr="00F16287">
        <w:tc>
          <w:tcPr>
            <w:tcW w:w="2136" w:type="dxa"/>
            <w:tcBorders>
              <w:top w:val="nil"/>
              <w:left w:val="nil"/>
              <w:bottom w:val="nil"/>
              <w:right w:val="nil"/>
            </w:tcBorders>
          </w:tcPr>
          <w:p w14:paraId="5BAC8D32"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5B19787"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090EB9CA"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14FA2026"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5AB01A42"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30EC489E"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6655D6" w14:paraId="70542550" w14:textId="77777777" w:rsidTr="00F16287">
        <w:tc>
          <w:tcPr>
            <w:tcW w:w="2136" w:type="dxa"/>
            <w:tcBorders>
              <w:top w:val="single" w:sz="4" w:space="0" w:color="auto"/>
              <w:left w:val="nil"/>
              <w:bottom w:val="nil"/>
              <w:right w:val="nil"/>
            </w:tcBorders>
          </w:tcPr>
          <w:p w14:paraId="758D4EC7"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491425CC"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-0.121</w:t>
            </w:r>
          </w:p>
        </w:tc>
        <w:tc>
          <w:tcPr>
            <w:tcW w:w="1656" w:type="dxa"/>
            <w:tcBorders>
              <w:top w:val="single" w:sz="4" w:space="0" w:color="auto"/>
              <w:left w:val="nil"/>
              <w:bottom w:val="nil"/>
              <w:right w:val="nil"/>
            </w:tcBorders>
          </w:tcPr>
          <w:p w14:paraId="24FAE68B"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-0.0544</w:t>
            </w:r>
          </w:p>
        </w:tc>
        <w:tc>
          <w:tcPr>
            <w:tcW w:w="1656" w:type="dxa"/>
            <w:tcBorders>
              <w:top w:val="single" w:sz="4" w:space="0" w:color="auto"/>
              <w:left w:val="nil"/>
              <w:bottom w:val="nil"/>
              <w:right w:val="nil"/>
            </w:tcBorders>
          </w:tcPr>
          <w:p w14:paraId="486B1765"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-0.208</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4F6D60AC"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0.0119</w:t>
            </w:r>
          </w:p>
        </w:tc>
        <w:tc>
          <w:tcPr>
            <w:tcW w:w="1656" w:type="dxa"/>
            <w:tcBorders>
              <w:top w:val="single" w:sz="4" w:space="0" w:color="auto"/>
              <w:left w:val="nil"/>
              <w:bottom w:val="nil"/>
              <w:right w:val="nil"/>
            </w:tcBorders>
          </w:tcPr>
          <w:p w14:paraId="32227E4D"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0.0276</w:t>
            </w:r>
          </w:p>
        </w:tc>
      </w:tr>
      <w:tr w:rsidR="006655D6" w14:paraId="3ADEC9F8" w14:textId="77777777" w:rsidTr="00F16287">
        <w:tc>
          <w:tcPr>
            <w:tcW w:w="2136" w:type="dxa"/>
            <w:tcBorders>
              <w:top w:val="nil"/>
              <w:left w:val="nil"/>
              <w:bottom w:val="nil"/>
              <w:right w:val="nil"/>
            </w:tcBorders>
          </w:tcPr>
          <w:p w14:paraId="672869FE"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4771FE6"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(-1.72)</w:t>
            </w:r>
          </w:p>
        </w:tc>
        <w:tc>
          <w:tcPr>
            <w:tcW w:w="1656" w:type="dxa"/>
            <w:tcBorders>
              <w:top w:val="nil"/>
              <w:left w:val="nil"/>
              <w:bottom w:val="nil"/>
              <w:right w:val="nil"/>
            </w:tcBorders>
          </w:tcPr>
          <w:p w14:paraId="390F803D"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656" w:type="dxa"/>
            <w:tcBorders>
              <w:top w:val="nil"/>
              <w:left w:val="nil"/>
              <w:bottom w:val="nil"/>
              <w:right w:val="nil"/>
            </w:tcBorders>
          </w:tcPr>
          <w:p w14:paraId="22B77B27"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(-2.75)</w:t>
            </w:r>
          </w:p>
        </w:tc>
        <w:tc>
          <w:tcPr>
            <w:tcW w:w="1656" w:type="dxa"/>
            <w:tcBorders>
              <w:top w:val="nil"/>
              <w:left w:val="nil"/>
              <w:bottom w:val="nil"/>
              <w:right w:val="nil"/>
            </w:tcBorders>
          </w:tcPr>
          <w:p w14:paraId="73FC5C95"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w:t>
            </w:r>
          </w:p>
        </w:tc>
        <w:tc>
          <w:tcPr>
            <w:tcW w:w="1656" w:type="dxa"/>
            <w:tcBorders>
              <w:top w:val="nil"/>
              <w:left w:val="nil"/>
              <w:bottom w:val="nil"/>
              <w:right w:val="nil"/>
            </w:tcBorders>
          </w:tcPr>
          <w:p w14:paraId="3378C308"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6655D6" w14:paraId="0FF06F88" w14:textId="77777777" w:rsidTr="00F16287">
        <w:tc>
          <w:tcPr>
            <w:tcW w:w="2136" w:type="dxa"/>
            <w:tcBorders>
              <w:top w:val="nil"/>
              <w:left w:val="nil"/>
              <w:bottom w:val="nil"/>
              <w:right w:val="nil"/>
            </w:tcBorders>
          </w:tcPr>
          <w:p w14:paraId="0FF7148D"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4DC1674"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A562094"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52CAFB3"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E5D2904"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6FB40C4"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p>
        </w:tc>
      </w:tr>
      <w:tr w:rsidR="006655D6" w14:paraId="69BDB712" w14:textId="77777777" w:rsidTr="00F16287">
        <w:tc>
          <w:tcPr>
            <w:tcW w:w="2136" w:type="dxa"/>
            <w:tcBorders>
              <w:top w:val="nil"/>
              <w:left w:val="nil"/>
              <w:bottom w:val="nil"/>
              <w:right w:val="nil"/>
            </w:tcBorders>
          </w:tcPr>
          <w:p w14:paraId="15F35D18"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Fixed Exchange Rate Classification (RR 1-8)</w:t>
            </w:r>
          </w:p>
        </w:tc>
        <w:tc>
          <w:tcPr>
            <w:tcW w:w="1656" w:type="dxa"/>
            <w:tcBorders>
              <w:top w:val="nil"/>
              <w:left w:val="nil"/>
              <w:bottom w:val="nil"/>
              <w:right w:val="nil"/>
            </w:tcBorders>
          </w:tcPr>
          <w:p w14:paraId="34472D66"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-0.0150</w:t>
            </w:r>
          </w:p>
        </w:tc>
        <w:tc>
          <w:tcPr>
            <w:tcW w:w="1656" w:type="dxa"/>
            <w:tcBorders>
              <w:top w:val="nil"/>
              <w:left w:val="nil"/>
              <w:bottom w:val="nil"/>
              <w:right w:val="nil"/>
            </w:tcBorders>
          </w:tcPr>
          <w:p w14:paraId="29A56711"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-0.0886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96FB5D1"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0.00967</w:t>
            </w:r>
          </w:p>
        </w:tc>
        <w:tc>
          <w:tcPr>
            <w:tcW w:w="1656" w:type="dxa"/>
            <w:tcBorders>
              <w:top w:val="nil"/>
              <w:left w:val="nil"/>
              <w:bottom w:val="nil"/>
              <w:right w:val="nil"/>
            </w:tcBorders>
          </w:tcPr>
          <w:p w14:paraId="5D9EE712"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41376B4"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0.0720</w:t>
            </w:r>
          </w:p>
        </w:tc>
      </w:tr>
      <w:tr w:rsidR="006655D6" w14:paraId="6DBE0623" w14:textId="77777777" w:rsidTr="00F16287">
        <w:tc>
          <w:tcPr>
            <w:tcW w:w="2136" w:type="dxa"/>
            <w:tcBorders>
              <w:top w:val="nil"/>
              <w:left w:val="nil"/>
              <w:bottom w:val="nil"/>
              <w:right w:val="nil"/>
            </w:tcBorders>
          </w:tcPr>
          <w:p w14:paraId="2E252C05"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31686AB"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w:t>
            </w:r>
          </w:p>
        </w:tc>
        <w:tc>
          <w:tcPr>
            <w:tcW w:w="1656" w:type="dxa"/>
            <w:tcBorders>
              <w:top w:val="nil"/>
              <w:left w:val="nil"/>
              <w:bottom w:val="nil"/>
              <w:right w:val="nil"/>
            </w:tcBorders>
          </w:tcPr>
          <w:p w14:paraId="72393991"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(-2.12)</w:t>
            </w:r>
          </w:p>
        </w:tc>
        <w:tc>
          <w:tcPr>
            <w:tcW w:w="1656" w:type="dxa"/>
            <w:tcBorders>
              <w:top w:val="nil"/>
              <w:left w:val="nil"/>
              <w:bottom w:val="nil"/>
              <w:right w:val="nil"/>
            </w:tcBorders>
          </w:tcPr>
          <w:p w14:paraId="18625BA6"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656" w:type="dxa"/>
            <w:tcBorders>
              <w:top w:val="nil"/>
              <w:left w:val="nil"/>
              <w:bottom w:val="nil"/>
              <w:right w:val="nil"/>
            </w:tcBorders>
          </w:tcPr>
          <w:p w14:paraId="1062BF68"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(2.39)</w:t>
            </w:r>
          </w:p>
        </w:tc>
        <w:tc>
          <w:tcPr>
            <w:tcW w:w="1656" w:type="dxa"/>
            <w:tcBorders>
              <w:top w:val="nil"/>
              <w:left w:val="nil"/>
              <w:bottom w:val="nil"/>
              <w:right w:val="nil"/>
            </w:tcBorders>
          </w:tcPr>
          <w:p w14:paraId="3755B2ED"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6655D6" w14:paraId="5C949DA4" w14:textId="77777777" w:rsidTr="00F16287">
        <w:tc>
          <w:tcPr>
            <w:tcW w:w="2136" w:type="dxa"/>
            <w:tcBorders>
              <w:top w:val="nil"/>
              <w:left w:val="nil"/>
              <w:bottom w:val="nil"/>
              <w:right w:val="nil"/>
            </w:tcBorders>
          </w:tcPr>
          <w:p w14:paraId="2DFE56F7"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15B0B17"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CC51E29"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122FC8F"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3FE8EC"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CD75996"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p>
        </w:tc>
      </w:tr>
      <w:tr w:rsidR="006655D6" w14:paraId="5C55EC5F" w14:textId="77777777" w:rsidTr="00F16287">
        <w:tc>
          <w:tcPr>
            <w:tcW w:w="2136" w:type="dxa"/>
            <w:tcBorders>
              <w:top w:val="nil"/>
              <w:left w:val="nil"/>
              <w:bottom w:val="nil"/>
              <w:right w:val="nil"/>
            </w:tcBorders>
          </w:tcPr>
          <w:p w14:paraId="4C7087BA"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1413BAAC"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0.773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3ED12A1"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8F08287"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0.891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DCC5F4A"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4708974"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0.312</w:t>
            </w:r>
            <w:r>
              <w:rPr>
                <w:rFonts w:ascii="Times New Roman" w:hAnsi="Times New Roman" w:cs="Times New Roman"/>
                <w:sz w:val="24"/>
                <w:szCs w:val="24"/>
                <w:vertAlign w:val="superscript"/>
              </w:rPr>
              <w:t>***</w:t>
            </w:r>
          </w:p>
        </w:tc>
      </w:tr>
      <w:tr w:rsidR="006655D6" w14:paraId="6E0A3E69" w14:textId="77777777" w:rsidTr="00F16287">
        <w:tc>
          <w:tcPr>
            <w:tcW w:w="2136" w:type="dxa"/>
            <w:tcBorders>
              <w:top w:val="nil"/>
              <w:left w:val="nil"/>
              <w:bottom w:val="single" w:sz="4" w:space="0" w:color="auto"/>
              <w:right w:val="nil"/>
            </w:tcBorders>
          </w:tcPr>
          <w:p w14:paraId="6759F26B"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00B5E105"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(10.89)</w:t>
            </w:r>
          </w:p>
        </w:tc>
        <w:tc>
          <w:tcPr>
            <w:tcW w:w="1656" w:type="dxa"/>
            <w:tcBorders>
              <w:top w:val="nil"/>
              <w:left w:val="nil"/>
              <w:bottom w:val="single" w:sz="4" w:space="0" w:color="auto"/>
              <w:right w:val="nil"/>
            </w:tcBorders>
          </w:tcPr>
          <w:p w14:paraId="5C8630BE"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(7.94)</w:t>
            </w:r>
          </w:p>
        </w:tc>
        <w:tc>
          <w:tcPr>
            <w:tcW w:w="1656" w:type="dxa"/>
            <w:tcBorders>
              <w:top w:val="nil"/>
              <w:left w:val="nil"/>
              <w:bottom w:val="single" w:sz="4" w:space="0" w:color="auto"/>
              <w:right w:val="nil"/>
            </w:tcBorders>
          </w:tcPr>
          <w:p w14:paraId="2308BE25"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(12.05)</w:t>
            </w:r>
          </w:p>
        </w:tc>
        <w:tc>
          <w:tcPr>
            <w:tcW w:w="1656" w:type="dxa"/>
            <w:tcBorders>
              <w:top w:val="nil"/>
              <w:left w:val="nil"/>
              <w:bottom w:val="single" w:sz="4" w:space="0" w:color="auto"/>
              <w:right w:val="nil"/>
            </w:tcBorders>
          </w:tcPr>
          <w:p w14:paraId="21735D92"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(-4.44)</w:t>
            </w:r>
          </w:p>
        </w:tc>
        <w:tc>
          <w:tcPr>
            <w:tcW w:w="1656" w:type="dxa"/>
            <w:tcBorders>
              <w:top w:val="nil"/>
              <w:left w:val="nil"/>
              <w:bottom w:val="single" w:sz="4" w:space="0" w:color="auto"/>
              <w:right w:val="nil"/>
            </w:tcBorders>
          </w:tcPr>
          <w:p w14:paraId="61D9727E"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(10.51)</w:t>
            </w:r>
          </w:p>
        </w:tc>
      </w:tr>
      <w:tr w:rsidR="006655D6" w14:paraId="4B8B8EBD" w14:textId="77777777" w:rsidTr="00F16287">
        <w:tc>
          <w:tcPr>
            <w:tcW w:w="2136" w:type="dxa"/>
            <w:tcBorders>
              <w:top w:val="nil"/>
              <w:left w:val="nil"/>
              <w:bottom w:val="single" w:sz="4" w:space="0" w:color="auto"/>
              <w:right w:val="nil"/>
            </w:tcBorders>
          </w:tcPr>
          <w:p w14:paraId="1A093EE7" w14:textId="77777777" w:rsidR="006655D6" w:rsidRDefault="006655D6"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6FBEE806"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1651</w:t>
            </w:r>
          </w:p>
        </w:tc>
        <w:tc>
          <w:tcPr>
            <w:tcW w:w="1656" w:type="dxa"/>
            <w:tcBorders>
              <w:top w:val="nil"/>
              <w:left w:val="nil"/>
              <w:bottom w:val="single" w:sz="4" w:space="0" w:color="auto"/>
              <w:right w:val="nil"/>
            </w:tcBorders>
          </w:tcPr>
          <w:p w14:paraId="09D832A8"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1651</w:t>
            </w:r>
          </w:p>
        </w:tc>
        <w:tc>
          <w:tcPr>
            <w:tcW w:w="1656" w:type="dxa"/>
            <w:tcBorders>
              <w:top w:val="nil"/>
              <w:left w:val="nil"/>
              <w:bottom w:val="single" w:sz="4" w:space="0" w:color="auto"/>
              <w:right w:val="nil"/>
            </w:tcBorders>
          </w:tcPr>
          <w:p w14:paraId="461C0FE7"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1334</w:t>
            </w:r>
          </w:p>
        </w:tc>
        <w:tc>
          <w:tcPr>
            <w:tcW w:w="1656" w:type="dxa"/>
            <w:tcBorders>
              <w:top w:val="nil"/>
              <w:left w:val="nil"/>
              <w:bottom w:val="single" w:sz="4" w:space="0" w:color="auto"/>
              <w:right w:val="nil"/>
            </w:tcBorders>
          </w:tcPr>
          <w:p w14:paraId="3D9AE596"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2669</w:t>
            </w:r>
          </w:p>
        </w:tc>
        <w:tc>
          <w:tcPr>
            <w:tcW w:w="1656" w:type="dxa"/>
            <w:tcBorders>
              <w:top w:val="nil"/>
              <w:left w:val="nil"/>
              <w:bottom w:val="single" w:sz="4" w:space="0" w:color="auto"/>
              <w:right w:val="nil"/>
            </w:tcBorders>
          </w:tcPr>
          <w:p w14:paraId="7A668F12" w14:textId="77777777" w:rsidR="006655D6" w:rsidRDefault="006655D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4491</w:t>
            </w:r>
          </w:p>
        </w:tc>
      </w:tr>
    </w:tbl>
    <w:p w14:paraId="43EFC366" w14:textId="77777777" w:rsidR="007323BE" w:rsidRDefault="007323BE" w:rsidP="007323B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 xml:space="preserve"> statistics in parentheses</w:t>
      </w:r>
    </w:p>
    <w:p w14:paraId="3EC5C08A" w14:textId="17B05437" w:rsidR="007323BE" w:rsidRDefault="007323BE" w:rsidP="007323B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0.001</w:t>
      </w:r>
    </w:p>
    <w:p w14:paraId="5FE41238" w14:textId="77777777" w:rsidR="007323BE" w:rsidRPr="00102C68" w:rsidRDefault="007323BE" w:rsidP="007323BE">
      <w:pPr>
        <w:widowControl w:val="0"/>
        <w:autoSpaceDE w:val="0"/>
        <w:autoSpaceDN w:val="0"/>
        <w:adjustRightInd w:val="0"/>
        <w:spacing w:after="0" w:line="240" w:lineRule="auto"/>
        <w:rPr>
          <w:rFonts w:ascii="Times New Roman" w:hAnsi="Times New Roman" w:cs="Times New Roman"/>
          <w:strike/>
          <w:sz w:val="24"/>
          <w:szCs w:val="24"/>
          <w:highlight w:val="yellow"/>
        </w:rPr>
      </w:pPr>
    </w:p>
    <w:p w14:paraId="1D387546" w14:textId="77777777" w:rsidR="003E06E6" w:rsidRPr="006655D6" w:rsidRDefault="003E06E6" w:rsidP="003E06E6">
      <w:r w:rsidRPr="006655D6">
        <w:t>Sample split based on capital mobility/controls</w:t>
      </w:r>
    </w:p>
    <w:p w14:paraId="19F7C3F7" w14:textId="77777777" w:rsidR="003E06E6" w:rsidRPr="006655D6" w:rsidRDefault="003E06E6" w:rsidP="003E06E6">
      <w:r w:rsidRPr="006655D6">
        <w:t>Some changes in significance, probably driven by sample size but no sign flips</w:t>
      </w:r>
    </w:p>
    <w:p w14:paraId="5125A3C9" w14:textId="516A28BC" w:rsidR="003E06E6" w:rsidRPr="006655D6" w:rsidRDefault="00A51EF0" w:rsidP="003E06E6">
      <w:r w:rsidRPr="006655D6">
        <w:t>Table A1</w:t>
      </w:r>
      <w:r w:rsidR="00A002D9" w:rsidRPr="006655D6">
        <w:t>4</w:t>
      </w:r>
      <w:r w:rsidRPr="006655D6">
        <w:t xml:space="preserve">: </w:t>
      </w:r>
      <w:r w:rsidR="003E06E6" w:rsidRPr="006655D6">
        <w:t xml:space="preserve">Low </w:t>
      </w:r>
      <w:proofErr w:type="spellStart"/>
      <w:r w:rsidR="003E06E6" w:rsidRPr="006655D6">
        <w:t>kaopen</w:t>
      </w:r>
      <w:proofErr w:type="spellEnd"/>
    </w:p>
    <w:tbl>
      <w:tblPr>
        <w:tblW w:w="0" w:type="auto"/>
        <w:tblLayout w:type="fixed"/>
        <w:tblLook w:val="0000" w:firstRow="0" w:lastRow="0" w:firstColumn="0" w:lastColumn="0" w:noHBand="0" w:noVBand="0"/>
      </w:tblPr>
      <w:tblGrid>
        <w:gridCol w:w="2136"/>
        <w:gridCol w:w="1656"/>
        <w:gridCol w:w="1656"/>
        <w:gridCol w:w="1656"/>
        <w:gridCol w:w="1656"/>
        <w:gridCol w:w="1656"/>
      </w:tblGrid>
      <w:tr w:rsidR="00E44C4E" w14:paraId="19FAC9C4" w14:textId="77777777" w:rsidTr="00F16287">
        <w:tc>
          <w:tcPr>
            <w:tcW w:w="2136" w:type="dxa"/>
            <w:tcBorders>
              <w:top w:val="single" w:sz="4" w:space="0" w:color="auto"/>
              <w:left w:val="nil"/>
              <w:bottom w:val="nil"/>
              <w:right w:val="nil"/>
            </w:tcBorders>
          </w:tcPr>
          <w:p w14:paraId="5845FD75" w14:textId="77777777" w:rsidR="00E44C4E" w:rsidRDefault="00E44C4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1019461A"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34A309B2"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6DB7B89E"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3C328620"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795055DC"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E44C4E" w14:paraId="6F20E41A" w14:textId="77777777" w:rsidTr="00F16287">
        <w:tc>
          <w:tcPr>
            <w:tcW w:w="2136" w:type="dxa"/>
            <w:tcBorders>
              <w:top w:val="nil"/>
              <w:left w:val="nil"/>
              <w:bottom w:val="nil"/>
              <w:right w:val="nil"/>
            </w:tcBorders>
          </w:tcPr>
          <w:p w14:paraId="451B2CF5" w14:textId="77777777" w:rsidR="00E44C4E" w:rsidRDefault="00E44C4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E989B28"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7F851370"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2F479B96"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6928928C"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548AE285"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E44C4E" w14:paraId="3904A2B0" w14:textId="77777777" w:rsidTr="00F16287">
        <w:tc>
          <w:tcPr>
            <w:tcW w:w="2136" w:type="dxa"/>
            <w:tcBorders>
              <w:top w:val="single" w:sz="4" w:space="0" w:color="auto"/>
              <w:left w:val="nil"/>
              <w:bottom w:val="nil"/>
              <w:right w:val="nil"/>
            </w:tcBorders>
          </w:tcPr>
          <w:p w14:paraId="5BDBA6D7" w14:textId="77777777" w:rsidR="00E44C4E" w:rsidRPr="00E44C4E" w:rsidRDefault="00E44C4E" w:rsidP="00F16287">
            <w:pPr>
              <w:widowControl w:val="0"/>
              <w:autoSpaceDE w:val="0"/>
              <w:autoSpaceDN w:val="0"/>
              <w:adjustRightInd w:val="0"/>
              <w:spacing w:after="0" w:line="240" w:lineRule="auto"/>
              <w:rPr>
                <w:rFonts w:ascii="Times New Roman" w:hAnsi="Times New Roman" w:cs="Times New Roman"/>
                <w:sz w:val="24"/>
                <w:szCs w:val="24"/>
                <w:lang w:val="fr-BE"/>
              </w:rPr>
            </w:pPr>
            <w:r w:rsidRPr="00E44C4E">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149C6771"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0.417</w:t>
            </w:r>
          </w:p>
        </w:tc>
        <w:tc>
          <w:tcPr>
            <w:tcW w:w="1656" w:type="dxa"/>
            <w:tcBorders>
              <w:top w:val="single" w:sz="4" w:space="0" w:color="auto"/>
              <w:left w:val="nil"/>
              <w:bottom w:val="nil"/>
              <w:right w:val="nil"/>
            </w:tcBorders>
          </w:tcPr>
          <w:p w14:paraId="4F390BA7"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0.404</w:t>
            </w:r>
          </w:p>
        </w:tc>
        <w:tc>
          <w:tcPr>
            <w:tcW w:w="1656" w:type="dxa"/>
            <w:tcBorders>
              <w:top w:val="single" w:sz="4" w:space="0" w:color="auto"/>
              <w:left w:val="nil"/>
              <w:bottom w:val="nil"/>
              <w:right w:val="nil"/>
            </w:tcBorders>
          </w:tcPr>
          <w:p w14:paraId="5A80E8F2"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0.413</w:t>
            </w:r>
          </w:p>
        </w:tc>
        <w:tc>
          <w:tcPr>
            <w:tcW w:w="1656" w:type="dxa"/>
            <w:tcBorders>
              <w:top w:val="single" w:sz="4" w:space="0" w:color="auto"/>
              <w:left w:val="nil"/>
              <w:bottom w:val="nil"/>
              <w:right w:val="nil"/>
            </w:tcBorders>
          </w:tcPr>
          <w:p w14:paraId="1E757F9B"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-0.769</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1CAD222C"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0.974</w:t>
            </w:r>
            <w:r>
              <w:rPr>
                <w:rFonts w:ascii="Times New Roman" w:hAnsi="Times New Roman" w:cs="Times New Roman"/>
                <w:sz w:val="24"/>
                <w:szCs w:val="24"/>
                <w:vertAlign w:val="superscript"/>
              </w:rPr>
              <w:t>***</w:t>
            </w:r>
          </w:p>
        </w:tc>
      </w:tr>
      <w:tr w:rsidR="00E44C4E" w14:paraId="3613D27A" w14:textId="77777777" w:rsidTr="00F16287">
        <w:tc>
          <w:tcPr>
            <w:tcW w:w="2136" w:type="dxa"/>
            <w:tcBorders>
              <w:top w:val="nil"/>
              <w:left w:val="nil"/>
              <w:bottom w:val="nil"/>
              <w:right w:val="nil"/>
            </w:tcBorders>
          </w:tcPr>
          <w:p w14:paraId="01E21654" w14:textId="77777777" w:rsidR="00E44C4E" w:rsidRDefault="00E44C4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97F4691"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656" w:type="dxa"/>
            <w:tcBorders>
              <w:top w:val="nil"/>
              <w:left w:val="nil"/>
              <w:bottom w:val="nil"/>
              <w:right w:val="nil"/>
            </w:tcBorders>
          </w:tcPr>
          <w:p w14:paraId="02C30F69"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w:t>
            </w:r>
          </w:p>
        </w:tc>
        <w:tc>
          <w:tcPr>
            <w:tcW w:w="1656" w:type="dxa"/>
            <w:tcBorders>
              <w:top w:val="nil"/>
              <w:left w:val="nil"/>
              <w:bottom w:val="nil"/>
              <w:right w:val="nil"/>
            </w:tcBorders>
          </w:tcPr>
          <w:p w14:paraId="1032D463"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w:t>
            </w:r>
          </w:p>
        </w:tc>
        <w:tc>
          <w:tcPr>
            <w:tcW w:w="1656" w:type="dxa"/>
            <w:tcBorders>
              <w:top w:val="nil"/>
              <w:left w:val="nil"/>
              <w:bottom w:val="nil"/>
              <w:right w:val="nil"/>
            </w:tcBorders>
          </w:tcPr>
          <w:p w14:paraId="090A9803"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(-3.06)</w:t>
            </w:r>
          </w:p>
        </w:tc>
        <w:tc>
          <w:tcPr>
            <w:tcW w:w="1656" w:type="dxa"/>
            <w:tcBorders>
              <w:top w:val="nil"/>
              <w:left w:val="nil"/>
              <w:bottom w:val="nil"/>
              <w:right w:val="nil"/>
            </w:tcBorders>
          </w:tcPr>
          <w:p w14:paraId="76765E7D"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(4.51)</w:t>
            </w:r>
          </w:p>
        </w:tc>
      </w:tr>
      <w:tr w:rsidR="00E44C4E" w14:paraId="20676FF9" w14:textId="77777777" w:rsidTr="00F16287">
        <w:tc>
          <w:tcPr>
            <w:tcW w:w="2136" w:type="dxa"/>
            <w:tcBorders>
              <w:top w:val="nil"/>
              <w:left w:val="nil"/>
              <w:bottom w:val="nil"/>
              <w:right w:val="nil"/>
            </w:tcBorders>
          </w:tcPr>
          <w:p w14:paraId="317E6FE8" w14:textId="77777777" w:rsidR="00E44C4E" w:rsidRDefault="00E44C4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A97EC19" w14:textId="77777777" w:rsidR="00E44C4E" w:rsidRDefault="00E44C4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1496C9A" w14:textId="77777777" w:rsidR="00E44C4E" w:rsidRDefault="00E44C4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8D80A8A" w14:textId="77777777" w:rsidR="00E44C4E" w:rsidRDefault="00E44C4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3192B9F" w14:textId="77777777" w:rsidR="00E44C4E" w:rsidRDefault="00E44C4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7AB4449" w14:textId="77777777" w:rsidR="00E44C4E" w:rsidRDefault="00E44C4E" w:rsidP="00F16287">
            <w:pPr>
              <w:widowControl w:val="0"/>
              <w:autoSpaceDE w:val="0"/>
              <w:autoSpaceDN w:val="0"/>
              <w:adjustRightInd w:val="0"/>
              <w:spacing w:after="0" w:line="240" w:lineRule="auto"/>
              <w:rPr>
                <w:rFonts w:ascii="Times New Roman" w:hAnsi="Times New Roman" w:cs="Times New Roman"/>
                <w:sz w:val="24"/>
                <w:szCs w:val="24"/>
              </w:rPr>
            </w:pPr>
          </w:p>
        </w:tc>
      </w:tr>
      <w:tr w:rsidR="00E44C4E" w14:paraId="10AA3DB8" w14:textId="77777777" w:rsidTr="00F16287">
        <w:tc>
          <w:tcPr>
            <w:tcW w:w="2136" w:type="dxa"/>
            <w:tcBorders>
              <w:top w:val="nil"/>
              <w:left w:val="nil"/>
              <w:bottom w:val="nil"/>
              <w:right w:val="nil"/>
            </w:tcBorders>
          </w:tcPr>
          <w:p w14:paraId="3B3F79ED" w14:textId="77777777" w:rsidR="00E44C4E" w:rsidRDefault="00E44C4E"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0D35441B"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-0.0126</w:t>
            </w:r>
          </w:p>
        </w:tc>
        <w:tc>
          <w:tcPr>
            <w:tcW w:w="1656" w:type="dxa"/>
            <w:tcBorders>
              <w:top w:val="nil"/>
              <w:left w:val="nil"/>
              <w:bottom w:val="nil"/>
              <w:right w:val="nil"/>
            </w:tcBorders>
          </w:tcPr>
          <w:p w14:paraId="4F826C77"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-0.0225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987F4F5"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-0.00964</w:t>
            </w:r>
          </w:p>
        </w:tc>
        <w:tc>
          <w:tcPr>
            <w:tcW w:w="1656" w:type="dxa"/>
            <w:tcBorders>
              <w:top w:val="nil"/>
              <w:left w:val="nil"/>
              <w:bottom w:val="nil"/>
              <w:right w:val="nil"/>
            </w:tcBorders>
          </w:tcPr>
          <w:p w14:paraId="4FCD5224"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0.0135</w:t>
            </w:r>
          </w:p>
        </w:tc>
        <w:tc>
          <w:tcPr>
            <w:tcW w:w="1656" w:type="dxa"/>
            <w:tcBorders>
              <w:top w:val="nil"/>
              <w:left w:val="nil"/>
              <w:bottom w:val="nil"/>
              <w:right w:val="nil"/>
            </w:tcBorders>
          </w:tcPr>
          <w:p w14:paraId="12D50194"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0.00823</w:t>
            </w:r>
          </w:p>
        </w:tc>
      </w:tr>
      <w:tr w:rsidR="00E44C4E" w14:paraId="4DF05EC4" w14:textId="77777777" w:rsidTr="00F16287">
        <w:tc>
          <w:tcPr>
            <w:tcW w:w="2136" w:type="dxa"/>
            <w:tcBorders>
              <w:top w:val="nil"/>
              <w:left w:val="nil"/>
              <w:bottom w:val="nil"/>
              <w:right w:val="nil"/>
            </w:tcBorders>
          </w:tcPr>
          <w:p w14:paraId="6E0E8319" w14:textId="77777777" w:rsidR="00E44C4E" w:rsidRDefault="00E44C4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DC84C52"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(-0.98)</w:t>
            </w:r>
          </w:p>
        </w:tc>
        <w:tc>
          <w:tcPr>
            <w:tcW w:w="1656" w:type="dxa"/>
            <w:tcBorders>
              <w:top w:val="nil"/>
              <w:left w:val="nil"/>
              <w:bottom w:val="nil"/>
              <w:right w:val="nil"/>
            </w:tcBorders>
          </w:tcPr>
          <w:p w14:paraId="4824B18B"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w:t>
            </w:r>
          </w:p>
        </w:tc>
        <w:tc>
          <w:tcPr>
            <w:tcW w:w="1656" w:type="dxa"/>
            <w:tcBorders>
              <w:top w:val="nil"/>
              <w:left w:val="nil"/>
              <w:bottom w:val="nil"/>
              <w:right w:val="nil"/>
            </w:tcBorders>
          </w:tcPr>
          <w:p w14:paraId="42BBED79"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(-0.76)</w:t>
            </w:r>
          </w:p>
        </w:tc>
        <w:tc>
          <w:tcPr>
            <w:tcW w:w="1656" w:type="dxa"/>
            <w:tcBorders>
              <w:top w:val="nil"/>
              <w:left w:val="nil"/>
              <w:bottom w:val="nil"/>
              <w:right w:val="nil"/>
            </w:tcBorders>
          </w:tcPr>
          <w:p w14:paraId="3E921BD7"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1656" w:type="dxa"/>
            <w:tcBorders>
              <w:top w:val="nil"/>
              <w:left w:val="nil"/>
              <w:bottom w:val="nil"/>
              <w:right w:val="nil"/>
            </w:tcBorders>
          </w:tcPr>
          <w:p w14:paraId="0642DBA1"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(1.31)</w:t>
            </w:r>
          </w:p>
        </w:tc>
      </w:tr>
      <w:tr w:rsidR="00E44C4E" w14:paraId="0C44B0FA" w14:textId="77777777" w:rsidTr="00F16287">
        <w:tc>
          <w:tcPr>
            <w:tcW w:w="2136" w:type="dxa"/>
            <w:tcBorders>
              <w:top w:val="nil"/>
              <w:left w:val="nil"/>
              <w:bottom w:val="nil"/>
              <w:right w:val="nil"/>
            </w:tcBorders>
          </w:tcPr>
          <w:p w14:paraId="197076A6" w14:textId="77777777" w:rsidR="00E44C4E" w:rsidRDefault="00E44C4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A8471EF" w14:textId="77777777" w:rsidR="00E44C4E" w:rsidRDefault="00E44C4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139713" w14:textId="77777777" w:rsidR="00E44C4E" w:rsidRDefault="00E44C4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8975EB1" w14:textId="77777777" w:rsidR="00E44C4E" w:rsidRDefault="00E44C4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21854EA" w14:textId="77777777" w:rsidR="00E44C4E" w:rsidRDefault="00E44C4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A7E59B7" w14:textId="77777777" w:rsidR="00E44C4E" w:rsidRDefault="00E44C4E" w:rsidP="00F16287">
            <w:pPr>
              <w:widowControl w:val="0"/>
              <w:autoSpaceDE w:val="0"/>
              <w:autoSpaceDN w:val="0"/>
              <w:adjustRightInd w:val="0"/>
              <w:spacing w:after="0" w:line="240" w:lineRule="auto"/>
              <w:rPr>
                <w:rFonts w:ascii="Times New Roman" w:hAnsi="Times New Roman" w:cs="Times New Roman"/>
                <w:sz w:val="24"/>
                <w:szCs w:val="24"/>
              </w:rPr>
            </w:pPr>
          </w:p>
        </w:tc>
      </w:tr>
      <w:tr w:rsidR="00E44C4E" w14:paraId="0F344FC9" w14:textId="77777777" w:rsidTr="00F16287">
        <w:tc>
          <w:tcPr>
            <w:tcW w:w="2136" w:type="dxa"/>
            <w:tcBorders>
              <w:top w:val="nil"/>
              <w:left w:val="nil"/>
              <w:bottom w:val="nil"/>
              <w:right w:val="nil"/>
            </w:tcBorders>
          </w:tcPr>
          <w:p w14:paraId="42462516" w14:textId="77777777" w:rsidR="00E44C4E" w:rsidRDefault="00E44C4E"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180994A9"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298DECD"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DA83C48"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A1D7FE1"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-0.185</w:t>
            </w:r>
          </w:p>
        </w:tc>
        <w:tc>
          <w:tcPr>
            <w:tcW w:w="1656" w:type="dxa"/>
            <w:tcBorders>
              <w:top w:val="nil"/>
              <w:left w:val="nil"/>
              <w:bottom w:val="nil"/>
              <w:right w:val="nil"/>
            </w:tcBorders>
          </w:tcPr>
          <w:p w14:paraId="18BFBFF8"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-0.105</w:t>
            </w:r>
          </w:p>
        </w:tc>
      </w:tr>
      <w:tr w:rsidR="00E44C4E" w14:paraId="6994A6C5" w14:textId="77777777" w:rsidTr="00F16287">
        <w:tc>
          <w:tcPr>
            <w:tcW w:w="2136" w:type="dxa"/>
            <w:tcBorders>
              <w:top w:val="nil"/>
              <w:left w:val="nil"/>
              <w:bottom w:val="single" w:sz="4" w:space="0" w:color="auto"/>
              <w:right w:val="nil"/>
            </w:tcBorders>
          </w:tcPr>
          <w:p w14:paraId="64E57875" w14:textId="77777777" w:rsidR="00E44C4E" w:rsidRDefault="00E44C4E"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524B014F"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(2.75)</w:t>
            </w:r>
          </w:p>
        </w:tc>
        <w:tc>
          <w:tcPr>
            <w:tcW w:w="1656" w:type="dxa"/>
            <w:tcBorders>
              <w:top w:val="nil"/>
              <w:left w:val="nil"/>
              <w:bottom w:val="single" w:sz="4" w:space="0" w:color="auto"/>
              <w:right w:val="nil"/>
            </w:tcBorders>
          </w:tcPr>
          <w:p w14:paraId="227E279E"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1656" w:type="dxa"/>
            <w:tcBorders>
              <w:top w:val="nil"/>
              <w:left w:val="nil"/>
              <w:bottom w:val="single" w:sz="4" w:space="0" w:color="auto"/>
              <w:right w:val="nil"/>
            </w:tcBorders>
          </w:tcPr>
          <w:p w14:paraId="5CC28BCC"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(3.28)</w:t>
            </w:r>
          </w:p>
        </w:tc>
        <w:tc>
          <w:tcPr>
            <w:tcW w:w="1656" w:type="dxa"/>
            <w:tcBorders>
              <w:top w:val="nil"/>
              <w:left w:val="nil"/>
              <w:bottom w:val="single" w:sz="4" w:space="0" w:color="auto"/>
              <w:right w:val="nil"/>
            </w:tcBorders>
          </w:tcPr>
          <w:p w14:paraId="2E7A022D"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(-1.37)</w:t>
            </w:r>
          </w:p>
        </w:tc>
        <w:tc>
          <w:tcPr>
            <w:tcW w:w="1656" w:type="dxa"/>
            <w:tcBorders>
              <w:top w:val="nil"/>
              <w:left w:val="nil"/>
              <w:bottom w:val="single" w:sz="4" w:space="0" w:color="auto"/>
              <w:right w:val="nil"/>
            </w:tcBorders>
          </w:tcPr>
          <w:p w14:paraId="19B255DC"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r>
      <w:tr w:rsidR="00E44C4E" w14:paraId="07475A9A" w14:textId="77777777" w:rsidTr="00F16287">
        <w:tc>
          <w:tcPr>
            <w:tcW w:w="2136" w:type="dxa"/>
            <w:tcBorders>
              <w:top w:val="nil"/>
              <w:left w:val="nil"/>
              <w:bottom w:val="single" w:sz="4" w:space="0" w:color="auto"/>
              <w:right w:val="nil"/>
            </w:tcBorders>
          </w:tcPr>
          <w:p w14:paraId="06CEC935" w14:textId="77777777" w:rsidR="00E44C4E" w:rsidRDefault="00E44C4E"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4609B079"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733</w:t>
            </w:r>
          </w:p>
        </w:tc>
        <w:tc>
          <w:tcPr>
            <w:tcW w:w="1656" w:type="dxa"/>
            <w:tcBorders>
              <w:top w:val="nil"/>
              <w:left w:val="nil"/>
              <w:bottom w:val="single" w:sz="4" w:space="0" w:color="auto"/>
              <w:right w:val="nil"/>
            </w:tcBorders>
          </w:tcPr>
          <w:p w14:paraId="7CC3F0F6"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733</w:t>
            </w:r>
          </w:p>
        </w:tc>
        <w:tc>
          <w:tcPr>
            <w:tcW w:w="1656" w:type="dxa"/>
            <w:tcBorders>
              <w:top w:val="nil"/>
              <w:left w:val="nil"/>
              <w:bottom w:val="single" w:sz="4" w:space="0" w:color="auto"/>
              <w:right w:val="nil"/>
            </w:tcBorders>
          </w:tcPr>
          <w:p w14:paraId="040019DD"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579</w:t>
            </w:r>
          </w:p>
        </w:tc>
        <w:tc>
          <w:tcPr>
            <w:tcW w:w="1656" w:type="dxa"/>
            <w:tcBorders>
              <w:top w:val="nil"/>
              <w:left w:val="nil"/>
              <w:bottom w:val="single" w:sz="4" w:space="0" w:color="auto"/>
              <w:right w:val="nil"/>
            </w:tcBorders>
          </w:tcPr>
          <w:p w14:paraId="12ECD694"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975</w:t>
            </w:r>
          </w:p>
        </w:tc>
        <w:tc>
          <w:tcPr>
            <w:tcW w:w="1656" w:type="dxa"/>
            <w:tcBorders>
              <w:top w:val="nil"/>
              <w:left w:val="nil"/>
              <w:bottom w:val="single" w:sz="4" w:space="0" w:color="auto"/>
              <w:right w:val="nil"/>
            </w:tcBorders>
          </w:tcPr>
          <w:p w14:paraId="22F0B473" w14:textId="77777777" w:rsidR="00E44C4E" w:rsidRDefault="00E44C4E"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2459</w:t>
            </w:r>
          </w:p>
        </w:tc>
      </w:tr>
    </w:tbl>
    <w:p w14:paraId="576B699C" w14:textId="77777777" w:rsidR="00E44C4E" w:rsidRDefault="00E44C4E" w:rsidP="00E44C4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4EBF7132" w14:textId="77777777" w:rsidR="00E44C4E" w:rsidRDefault="00E44C4E" w:rsidP="00E44C4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216657BE" w14:textId="77777777" w:rsidR="00E44C4E" w:rsidRDefault="00E44C4E" w:rsidP="00E44C4E">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7E790D" w14:paraId="0F1566C4" w14:textId="77777777" w:rsidTr="00F16287">
        <w:tc>
          <w:tcPr>
            <w:tcW w:w="2136" w:type="dxa"/>
            <w:tcBorders>
              <w:top w:val="single" w:sz="4" w:space="0" w:color="auto"/>
              <w:left w:val="nil"/>
              <w:bottom w:val="nil"/>
              <w:right w:val="nil"/>
            </w:tcBorders>
          </w:tcPr>
          <w:p w14:paraId="47DC7EDA"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70FB4E07"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73ED64C4"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753FA7B7"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261202B4"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1BFE8A89"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7E790D" w14:paraId="250A7504" w14:textId="77777777" w:rsidTr="00F16287">
        <w:tc>
          <w:tcPr>
            <w:tcW w:w="2136" w:type="dxa"/>
            <w:tcBorders>
              <w:top w:val="nil"/>
              <w:left w:val="nil"/>
              <w:bottom w:val="nil"/>
              <w:right w:val="nil"/>
            </w:tcBorders>
          </w:tcPr>
          <w:p w14:paraId="43141B22"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561CE73"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443A0F95"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0274A013"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4F2D9D51"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23F910E9"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7E790D" w14:paraId="1BE8EBE0" w14:textId="77777777" w:rsidTr="00F16287">
        <w:tc>
          <w:tcPr>
            <w:tcW w:w="2136" w:type="dxa"/>
            <w:tcBorders>
              <w:top w:val="single" w:sz="4" w:space="0" w:color="auto"/>
              <w:left w:val="nil"/>
              <w:bottom w:val="nil"/>
              <w:right w:val="nil"/>
            </w:tcBorders>
          </w:tcPr>
          <w:p w14:paraId="1D37E10A"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03C0F429"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-0.102</w:t>
            </w:r>
          </w:p>
        </w:tc>
        <w:tc>
          <w:tcPr>
            <w:tcW w:w="1656" w:type="dxa"/>
            <w:tcBorders>
              <w:top w:val="single" w:sz="4" w:space="0" w:color="auto"/>
              <w:left w:val="nil"/>
              <w:bottom w:val="nil"/>
              <w:right w:val="nil"/>
            </w:tcBorders>
          </w:tcPr>
          <w:p w14:paraId="1C636CDD"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-0.0450</w:t>
            </w:r>
          </w:p>
        </w:tc>
        <w:tc>
          <w:tcPr>
            <w:tcW w:w="1656" w:type="dxa"/>
            <w:tcBorders>
              <w:top w:val="single" w:sz="4" w:space="0" w:color="auto"/>
              <w:left w:val="nil"/>
              <w:bottom w:val="nil"/>
              <w:right w:val="nil"/>
            </w:tcBorders>
          </w:tcPr>
          <w:p w14:paraId="2D5414F5"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-0.103</w:t>
            </w:r>
          </w:p>
        </w:tc>
        <w:tc>
          <w:tcPr>
            <w:tcW w:w="1656" w:type="dxa"/>
            <w:tcBorders>
              <w:top w:val="single" w:sz="4" w:space="0" w:color="auto"/>
              <w:left w:val="nil"/>
              <w:bottom w:val="nil"/>
              <w:right w:val="nil"/>
            </w:tcBorders>
          </w:tcPr>
          <w:p w14:paraId="0DB4B71A"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-0.00125</w:t>
            </w:r>
          </w:p>
        </w:tc>
        <w:tc>
          <w:tcPr>
            <w:tcW w:w="1656" w:type="dxa"/>
            <w:tcBorders>
              <w:top w:val="single" w:sz="4" w:space="0" w:color="auto"/>
              <w:left w:val="nil"/>
              <w:bottom w:val="nil"/>
              <w:right w:val="nil"/>
            </w:tcBorders>
          </w:tcPr>
          <w:p w14:paraId="68E1077B"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0.0193</w:t>
            </w:r>
          </w:p>
        </w:tc>
      </w:tr>
      <w:tr w:rsidR="007E790D" w14:paraId="01366969" w14:textId="77777777" w:rsidTr="00F16287">
        <w:tc>
          <w:tcPr>
            <w:tcW w:w="2136" w:type="dxa"/>
            <w:tcBorders>
              <w:top w:val="nil"/>
              <w:left w:val="nil"/>
              <w:bottom w:val="nil"/>
              <w:right w:val="nil"/>
            </w:tcBorders>
          </w:tcPr>
          <w:p w14:paraId="51ADC352"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22AFD8E"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(-1.21)</w:t>
            </w:r>
          </w:p>
        </w:tc>
        <w:tc>
          <w:tcPr>
            <w:tcW w:w="1656" w:type="dxa"/>
            <w:tcBorders>
              <w:top w:val="nil"/>
              <w:left w:val="nil"/>
              <w:bottom w:val="nil"/>
              <w:right w:val="nil"/>
            </w:tcBorders>
          </w:tcPr>
          <w:p w14:paraId="164DDF1F"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656" w:type="dxa"/>
            <w:tcBorders>
              <w:top w:val="nil"/>
              <w:left w:val="nil"/>
              <w:bottom w:val="nil"/>
              <w:right w:val="nil"/>
            </w:tcBorders>
          </w:tcPr>
          <w:p w14:paraId="44755405"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w:t>
            </w:r>
          </w:p>
        </w:tc>
        <w:tc>
          <w:tcPr>
            <w:tcW w:w="1656" w:type="dxa"/>
            <w:tcBorders>
              <w:top w:val="nil"/>
              <w:left w:val="nil"/>
              <w:bottom w:val="nil"/>
              <w:right w:val="nil"/>
            </w:tcBorders>
          </w:tcPr>
          <w:p w14:paraId="642520A7"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656" w:type="dxa"/>
            <w:tcBorders>
              <w:top w:val="nil"/>
              <w:left w:val="nil"/>
              <w:bottom w:val="nil"/>
              <w:right w:val="nil"/>
            </w:tcBorders>
          </w:tcPr>
          <w:p w14:paraId="7F628287"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7E790D" w14:paraId="61CC3112" w14:textId="77777777" w:rsidTr="00F16287">
        <w:tc>
          <w:tcPr>
            <w:tcW w:w="2136" w:type="dxa"/>
            <w:tcBorders>
              <w:top w:val="nil"/>
              <w:left w:val="nil"/>
              <w:bottom w:val="nil"/>
              <w:right w:val="nil"/>
            </w:tcBorders>
          </w:tcPr>
          <w:p w14:paraId="1F769812"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3B4A37D"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3F0B32F"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417002F"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16ECEA9"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2FAFD17"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p>
        </w:tc>
      </w:tr>
      <w:tr w:rsidR="007E790D" w14:paraId="6BFE8079" w14:textId="77777777" w:rsidTr="00F16287">
        <w:tc>
          <w:tcPr>
            <w:tcW w:w="2136" w:type="dxa"/>
            <w:tcBorders>
              <w:top w:val="nil"/>
              <w:left w:val="nil"/>
              <w:bottom w:val="nil"/>
              <w:right w:val="nil"/>
            </w:tcBorders>
          </w:tcPr>
          <w:p w14:paraId="718377F2"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5B9D7B25"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-0.000613</w:t>
            </w:r>
          </w:p>
        </w:tc>
        <w:tc>
          <w:tcPr>
            <w:tcW w:w="1656" w:type="dxa"/>
            <w:tcBorders>
              <w:top w:val="nil"/>
              <w:left w:val="nil"/>
              <w:bottom w:val="nil"/>
              <w:right w:val="nil"/>
            </w:tcBorders>
          </w:tcPr>
          <w:p w14:paraId="438A1A93"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42A54F7"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-0.000295</w:t>
            </w:r>
          </w:p>
        </w:tc>
        <w:tc>
          <w:tcPr>
            <w:tcW w:w="1656" w:type="dxa"/>
            <w:tcBorders>
              <w:top w:val="nil"/>
              <w:left w:val="nil"/>
              <w:bottom w:val="nil"/>
              <w:right w:val="nil"/>
            </w:tcBorders>
          </w:tcPr>
          <w:p w14:paraId="070A6039"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41A320A"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0.00934</w:t>
            </w:r>
          </w:p>
        </w:tc>
      </w:tr>
      <w:tr w:rsidR="007E790D" w14:paraId="343CCE39" w14:textId="77777777" w:rsidTr="00F16287">
        <w:tc>
          <w:tcPr>
            <w:tcW w:w="2136" w:type="dxa"/>
            <w:tcBorders>
              <w:top w:val="nil"/>
              <w:left w:val="nil"/>
              <w:bottom w:val="nil"/>
              <w:right w:val="nil"/>
            </w:tcBorders>
          </w:tcPr>
          <w:p w14:paraId="1D938FCE"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1009067"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656" w:type="dxa"/>
            <w:tcBorders>
              <w:top w:val="nil"/>
              <w:left w:val="nil"/>
              <w:bottom w:val="nil"/>
              <w:right w:val="nil"/>
            </w:tcBorders>
          </w:tcPr>
          <w:p w14:paraId="4DB08C98"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(-2.18)</w:t>
            </w:r>
          </w:p>
        </w:tc>
        <w:tc>
          <w:tcPr>
            <w:tcW w:w="1656" w:type="dxa"/>
            <w:tcBorders>
              <w:top w:val="nil"/>
              <w:left w:val="nil"/>
              <w:bottom w:val="nil"/>
              <w:right w:val="nil"/>
            </w:tcBorders>
          </w:tcPr>
          <w:p w14:paraId="090E8082"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656" w:type="dxa"/>
            <w:tcBorders>
              <w:top w:val="nil"/>
              <w:left w:val="nil"/>
              <w:bottom w:val="nil"/>
              <w:right w:val="nil"/>
            </w:tcBorders>
          </w:tcPr>
          <w:p w14:paraId="0C64B42D"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(2.16)</w:t>
            </w:r>
          </w:p>
        </w:tc>
        <w:tc>
          <w:tcPr>
            <w:tcW w:w="1656" w:type="dxa"/>
            <w:tcBorders>
              <w:top w:val="nil"/>
              <w:left w:val="nil"/>
              <w:bottom w:val="nil"/>
              <w:right w:val="nil"/>
            </w:tcBorders>
          </w:tcPr>
          <w:p w14:paraId="0E60D7A0"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(1.63)</w:t>
            </w:r>
          </w:p>
        </w:tc>
      </w:tr>
      <w:tr w:rsidR="007E790D" w14:paraId="596EB124" w14:textId="77777777" w:rsidTr="00F16287">
        <w:tc>
          <w:tcPr>
            <w:tcW w:w="2136" w:type="dxa"/>
            <w:tcBorders>
              <w:top w:val="nil"/>
              <w:left w:val="nil"/>
              <w:bottom w:val="nil"/>
              <w:right w:val="nil"/>
            </w:tcBorders>
          </w:tcPr>
          <w:p w14:paraId="1BC023EC"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52EC597"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E5EF5D0"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C092319"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5945D90"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7D60AF2"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p>
        </w:tc>
      </w:tr>
      <w:tr w:rsidR="007E790D" w14:paraId="79C1BF3B" w14:textId="77777777" w:rsidTr="00F16287">
        <w:tc>
          <w:tcPr>
            <w:tcW w:w="2136" w:type="dxa"/>
            <w:tcBorders>
              <w:top w:val="nil"/>
              <w:left w:val="nil"/>
              <w:bottom w:val="nil"/>
              <w:right w:val="nil"/>
            </w:tcBorders>
          </w:tcPr>
          <w:p w14:paraId="068E9A02"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27B6EFBB"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017AAD5"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7017550"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DFE3FED"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DE733FA"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0.264</w:t>
            </w:r>
            <w:r>
              <w:rPr>
                <w:rFonts w:ascii="Times New Roman" w:hAnsi="Times New Roman" w:cs="Times New Roman"/>
                <w:sz w:val="24"/>
                <w:szCs w:val="24"/>
                <w:vertAlign w:val="superscript"/>
              </w:rPr>
              <w:t>***</w:t>
            </w:r>
          </w:p>
        </w:tc>
      </w:tr>
      <w:tr w:rsidR="007E790D" w14:paraId="77EDD056" w14:textId="77777777" w:rsidTr="00F16287">
        <w:tc>
          <w:tcPr>
            <w:tcW w:w="2136" w:type="dxa"/>
            <w:tcBorders>
              <w:top w:val="nil"/>
              <w:left w:val="nil"/>
              <w:bottom w:val="single" w:sz="4" w:space="0" w:color="auto"/>
              <w:right w:val="nil"/>
            </w:tcBorders>
          </w:tcPr>
          <w:p w14:paraId="18D22A3B"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51AACD35"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(6.44)</w:t>
            </w:r>
          </w:p>
        </w:tc>
        <w:tc>
          <w:tcPr>
            <w:tcW w:w="1656" w:type="dxa"/>
            <w:tcBorders>
              <w:top w:val="nil"/>
              <w:left w:val="nil"/>
              <w:bottom w:val="single" w:sz="4" w:space="0" w:color="auto"/>
              <w:right w:val="nil"/>
            </w:tcBorders>
          </w:tcPr>
          <w:p w14:paraId="208F57CD"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(5.43)</w:t>
            </w:r>
          </w:p>
        </w:tc>
        <w:tc>
          <w:tcPr>
            <w:tcW w:w="1656" w:type="dxa"/>
            <w:tcBorders>
              <w:top w:val="nil"/>
              <w:left w:val="nil"/>
              <w:bottom w:val="single" w:sz="4" w:space="0" w:color="auto"/>
              <w:right w:val="nil"/>
            </w:tcBorders>
          </w:tcPr>
          <w:p w14:paraId="36281C61"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656" w:type="dxa"/>
            <w:tcBorders>
              <w:top w:val="nil"/>
              <w:left w:val="nil"/>
              <w:bottom w:val="single" w:sz="4" w:space="0" w:color="auto"/>
              <w:right w:val="nil"/>
            </w:tcBorders>
          </w:tcPr>
          <w:p w14:paraId="3BD584F6"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(-6.51)</w:t>
            </w:r>
          </w:p>
        </w:tc>
        <w:tc>
          <w:tcPr>
            <w:tcW w:w="1656" w:type="dxa"/>
            <w:tcBorders>
              <w:top w:val="nil"/>
              <w:left w:val="nil"/>
              <w:bottom w:val="single" w:sz="4" w:space="0" w:color="auto"/>
              <w:right w:val="nil"/>
            </w:tcBorders>
          </w:tcPr>
          <w:p w14:paraId="095AB566"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(5.40)</w:t>
            </w:r>
          </w:p>
        </w:tc>
      </w:tr>
      <w:tr w:rsidR="007E790D" w14:paraId="0153578A" w14:textId="77777777" w:rsidTr="00F16287">
        <w:tc>
          <w:tcPr>
            <w:tcW w:w="2136" w:type="dxa"/>
            <w:tcBorders>
              <w:top w:val="nil"/>
              <w:left w:val="nil"/>
              <w:bottom w:val="single" w:sz="4" w:space="0" w:color="auto"/>
              <w:right w:val="nil"/>
            </w:tcBorders>
          </w:tcPr>
          <w:p w14:paraId="795E5B9D" w14:textId="77777777" w:rsidR="007E790D" w:rsidRDefault="007E790D"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33ED974A"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827</w:t>
            </w:r>
          </w:p>
        </w:tc>
        <w:tc>
          <w:tcPr>
            <w:tcW w:w="1656" w:type="dxa"/>
            <w:tcBorders>
              <w:top w:val="nil"/>
              <w:left w:val="nil"/>
              <w:bottom w:val="single" w:sz="4" w:space="0" w:color="auto"/>
              <w:right w:val="nil"/>
            </w:tcBorders>
          </w:tcPr>
          <w:p w14:paraId="3CD1B219"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56" w:type="dxa"/>
            <w:tcBorders>
              <w:top w:val="nil"/>
              <w:left w:val="nil"/>
              <w:bottom w:val="single" w:sz="4" w:space="0" w:color="auto"/>
              <w:right w:val="nil"/>
            </w:tcBorders>
          </w:tcPr>
          <w:p w14:paraId="53AA361C"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654</w:t>
            </w:r>
          </w:p>
        </w:tc>
        <w:tc>
          <w:tcPr>
            <w:tcW w:w="1656" w:type="dxa"/>
            <w:tcBorders>
              <w:top w:val="nil"/>
              <w:left w:val="nil"/>
              <w:bottom w:val="single" w:sz="4" w:space="0" w:color="auto"/>
              <w:right w:val="nil"/>
            </w:tcBorders>
          </w:tcPr>
          <w:p w14:paraId="43EA9F85"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1146</w:t>
            </w:r>
          </w:p>
        </w:tc>
        <w:tc>
          <w:tcPr>
            <w:tcW w:w="1656" w:type="dxa"/>
            <w:tcBorders>
              <w:top w:val="nil"/>
              <w:left w:val="nil"/>
              <w:bottom w:val="single" w:sz="4" w:space="0" w:color="auto"/>
              <w:right w:val="nil"/>
            </w:tcBorders>
          </w:tcPr>
          <w:p w14:paraId="1AF698DF" w14:textId="77777777" w:rsidR="007E790D" w:rsidRDefault="007E790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2604</w:t>
            </w:r>
          </w:p>
        </w:tc>
      </w:tr>
    </w:tbl>
    <w:p w14:paraId="75520945" w14:textId="77777777" w:rsidR="003E06E6" w:rsidRDefault="003E06E6" w:rsidP="003E06E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 xml:space="preserve"> statistics in parentheses</w:t>
      </w:r>
    </w:p>
    <w:p w14:paraId="673A887D" w14:textId="77777777" w:rsidR="003E06E6" w:rsidRDefault="003E06E6" w:rsidP="003E06E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0.001</w:t>
      </w:r>
    </w:p>
    <w:p w14:paraId="3BEEE4F1" w14:textId="77777777" w:rsidR="003E06E6" w:rsidRPr="00102C68" w:rsidRDefault="003E06E6" w:rsidP="003E06E6">
      <w:pPr>
        <w:widowControl w:val="0"/>
        <w:autoSpaceDE w:val="0"/>
        <w:autoSpaceDN w:val="0"/>
        <w:adjustRightInd w:val="0"/>
        <w:spacing w:after="0" w:line="240" w:lineRule="auto"/>
        <w:rPr>
          <w:rFonts w:ascii="Times New Roman" w:hAnsi="Times New Roman" w:cs="Times New Roman"/>
          <w:sz w:val="24"/>
          <w:szCs w:val="24"/>
          <w:highlight w:val="yellow"/>
        </w:rPr>
      </w:pPr>
    </w:p>
    <w:p w14:paraId="56D1C159" w14:textId="3522DCE2" w:rsidR="003E06E6" w:rsidRPr="007E790D" w:rsidRDefault="00A51EF0" w:rsidP="00D10826">
      <w:r w:rsidRPr="007E790D">
        <w:t>Table A1</w:t>
      </w:r>
      <w:r w:rsidR="00A002D9" w:rsidRPr="007E790D">
        <w:t>5</w:t>
      </w:r>
      <w:r w:rsidRPr="007E790D">
        <w:t xml:space="preserve">: </w:t>
      </w:r>
      <w:r w:rsidR="003E06E6" w:rsidRPr="007E790D">
        <w:t xml:space="preserve">High </w:t>
      </w:r>
      <w:proofErr w:type="spellStart"/>
      <w:r w:rsidR="003E06E6" w:rsidRPr="007E790D">
        <w:t>kaopen</w:t>
      </w:r>
      <w:proofErr w:type="spellEnd"/>
    </w:p>
    <w:tbl>
      <w:tblPr>
        <w:tblW w:w="0" w:type="auto"/>
        <w:tblLayout w:type="fixed"/>
        <w:tblLook w:val="0000" w:firstRow="0" w:lastRow="0" w:firstColumn="0" w:lastColumn="0" w:noHBand="0" w:noVBand="0"/>
      </w:tblPr>
      <w:tblGrid>
        <w:gridCol w:w="2136"/>
        <w:gridCol w:w="1656"/>
        <w:gridCol w:w="1656"/>
        <w:gridCol w:w="1656"/>
        <w:gridCol w:w="1656"/>
        <w:gridCol w:w="1656"/>
      </w:tblGrid>
      <w:tr w:rsidR="004311DF" w14:paraId="1671CD82" w14:textId="77777777" w:rsidTr="00F16287">
        <w:tc>
          <w:tcPr>
            <w:tcW w:w="2136" w:type="dxa"/>
            <w:tcBorders>
              <w:top w:val="single" w:sz="4" w:space="0" w:color="auto"/>
              <w:left w:val="nil"/>
              <w:bottom w:val="nil"/>
              <w:right w:val="nil"/>
            </w:tcBorders>
          </w:tcPr>
          <w:p w14:paraId="1F1C460F" w14:textId="77777777" w:rsidR="004311DF" w:rsidRDefault="004311D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1AB86B45"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2FF7E3ED"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53EFB4DE"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2DFA8436"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7EAEE41B"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4311DF" w14:paraId="65C8A2CB" w14:textId="77777777" w:rsidTr="00F16287">
        <w:tc>
          <w:tcPr>
            <w:tcW w:w="2136" w:type="dxa"/>
            <w:tcBorders>
              <w:top w:val="nil"/>
              <w:left w:val="nil"/>
              <w:bottom w:val="nil"/>
              <w:right w:val="nil"/>
            </w:tcBorders>
          </w:tcPr>
          <w:p w14:paraId="26E5A4B5" w14:textId="77777777" w:rsidR="004311DF" w:rsidRDefault="004311D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2EC7B3C"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55409193"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291D9A02"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6FA9FDE3"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677DF263"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4311DF" w14:paraId="2F3A2BD2" w14:textId="77777777" w:rsidTr="00F16287">
        <w:tc>
          <w:tcPr>
            <w:tcW w:w="2136" w:type="dxa"/>
            <w:tcBorders>
              <w:top w:val="single" w:sz="4" w:space="0" w:color="auto"/>
              <w:left w:val="nil"/>
              <w:bottom w:val="nil"/>
              <w:right w:val="nil"/>
            </w:tcBorders>
          </w:tcPr>
          <w:p w14:paraId="5D1A35FD" w14:textId="77777777" w:rsidR="004311DF" w:rsidRPr="004311DF" w:rsidRDefault="004311DF" w:rsidP="00F16287">
            <w:pPr>
              <w:widowControl w:val="0"/>
              <w:autoSpaceDE w:val="0"/>
              <w:autoSpaceDN w:val="0"/>
              <w:adjustRightInd w:val="0"/>
              <w:spacing w:after="0" w:line="240" w:lineRule="auto"/>
              <w:rPr>
                <w:rFonts w:ascii="Times New Roman" w:hAnsi="Times New Roman" w:cs="Times New Roman"/>
                <w:sz w:val="24"/>
                <w:szCs w:val="24"/>
                <w:lang w:val="fr-BE"/>
              </w:rPr>
            </w:pPr>
            <w:r w:rsidRPr="004311DF">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5196087F"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0.364</w:t>
            </w:r>
          </w:p>
        </w:tc>
        <w:tc>
          <w:tcPr>
            <w:tcW w:w="1656" w:type="dxa"/>
            <w:tcBorders>
              <w:top w:val="single" w:sz="4" w:space="0" w:color="auto"/>
              <w:left w:val="nil"/>
              <w:bottom w:val="nil"/>
              <w:right w:val="nil"/>
            </w:tcBorders>
          </w:tcPr>
          <w:p w14:paraId="03D0C4F6"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0.223</w:t>
            </w:r>
          </w:p>
        </w:tc>
        <w:tc>
          <w:tcPr>
            <w:tcW w:w="1656" w:type="dxa"/>
            <w:tcBorders>
              <w:top w:val="single" w:sz="4" w:space="0" w:color="auto"/>
              <w:left w:val="nil"/>
              <w:bottom w:val="nil"/>
              <w:right w:val="nil"/>
            </w:tcBorders>
          </w:tcPr>
          <w:p w14:paraId="7B20B627"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0.463</w:t>
            </w:r>
          </w:p>
        </w:tc>
        <w:tc>
          <w:tcPr>
            <w:tcW w:w="1656" w:type="dxa"/>
            <w:tcBorders>
              <w:top w:val="single" w:sz="4" w:space="0" w:color="auto"/>
              <w:left w:val="nil"/>
              <w:bottom w:val="nil"/>
              <w:right w:val="nil"/>
            </w:tcBorders>
          </w:tcPr>
          <w:p w14:paraId="30F8FD7D"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-0.0578</w:t>
            </w:r>
          </w:p>
        </w:tc>
        <w:tc>
          <w:tcPr>
            <w:tcW w:w="1656" w:type="dxa"/>
            <w:tcBorders>
              <w:top w:val="single" w:sz="4" w:space="0" w:color="auto"/>
              <w:left w:val="nil"/>
              <w:bottom w:val="nil"/>
              <w:right w:val="nil"/>
            </w:tcBorders>
          </w:tcPr>
          <w:p w14:paraId="5B21800C"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1.036</w:t>
            </w:r>
            <w:r>
              <w:rPr>
                <w:rFonts w:ascii="Times New Roman" w:hAnsi="Times New Roman" w:cs="Times New Roman"/>
                <w:sz w:val="24"/>
                <w:szCs w:val="24"/>
                <w:vertAlign w:val="superscript"/>
              </w:rPr>
              <w:t>***</w:t>
            </w:r>
          </w:p>
        </w:tc>
      </w:tr>
      <w:tr w:rsidR="004311DF" w14:paraId="6D96B5D2" w14:textId="77777777" w:rsidTr="00F16287">
        <w:tc>
          <w:tcPr>
            <w:tcW w:w="2136" w:type="dxa"/>
            <w:tcBorders>
              <w:top w:val="nil"/>
              <w:left w:val="nil"/>
              <w:bottom w:val="nil"/>
              <w:right w:val="nil"/>
            </w:tcBorders>
          </w:tcPr>
          <w:p w14:paraId="65AFDA7F" w14:textId="77777777" w:rsidR="004311DF" w:rsidRDefault="004311D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65E37B8"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(1.59)</w:t>
            </w:r>
          </w:p>
        </w:tc>
        <w:tc>
          <w:tcPr>
            <w:tcW w:w="1656" w:type="dxa"/>
            <w:tcBorders>
              <w:top w:val="nil"/>
              <w:left w:val="nil"/>
              <w:bottom w:val="nil"/>
              <w:right w:val="nil"/>
            </w:tcBorders>
          </w:tcPr>
          <w:p w14:paraId="078C51CF"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(1.41)</w:t>
            </w:r>
          </w:p>
        </w:tc>
        <w:tc>
          <w:tcPr>
            <w:tcW w:w="1656" w:type="dxa"/>
            <w:tcBorders>
              <w:top w:val="nil"/>
              <w:left w:val="nil"/>
              <w:bottom w:val="nil"/>
              <w:right w:val="nil"/>
            </w:tcBorders>
          </w:tcPr>
          <w:p w14:paraId="2D2B1C03"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(1.94)</w:t>
            </w:r>
          </w:p>
        </w:tc>
        <w:tc>
          <w:tcPr>
            <w:tcW w:w="1656" w:type="dxa"/>
            <w:tcBorders>
              <w:top w:val="nil"/>
              <w:left w:val="nil"/>
              <w:bottom w:val="nil"/>
              <w:right w:val="nil"/>
            </w:tcBorders>
          </w:tcPr>
          <w:p w14:paraId="69DE6033"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656" w:type="dxa"/>
            <w:tcBorders>
              <w:top w:val="nil"/>
              <w:left w:val="nil"/>
              <w:bottom w:val="nil"/>
              <w:right w:val="nil"/>
            </w:tcBorders>
          </w:tcPr>
          <w:p w14:paraId="131D7ED0"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(7.91)</w:t>
            </w:r>
          </w:p>
        </w:tc>
      </w:tr>
      <w:tr w:rsidR="004311DF" w14:paraId="385C01F6" w14:textId="77777777" w:rsidTr="00F16287">
        <w:tc>
          <w:tcPr>
            <w:tcW w:w="2136" w:type="dxa"/>
            <w:tcBorders>
              <w:top w:val="nil"/>
              <w:left w:val="nil"/>
              <w:bottom w:val="nil"/>
              <w:right w:val="nil"/>
            </w:tcBorders>
          </w:tcPr>
          <w:p w14:paraId="49CA2556" w14:textId="77777777" w:rsidR="004311DF" w:rsidRDefault="004311D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B072B62" w14:textId="77777777" w:rsidR="004311DF" w:rsidRDefault="004311D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D1831F6" w14:textId="77777777" w:rsidR="004311DF" w:rsidRDefault="004311D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4415872" w14:textId="77777777" w:rsidR="004311DF" w:rsidRDefault="004311D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9EB0275" w14:textId="77777777" w:rsidR="004311DF" w:rsidRDefault="004311D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7C9EB7E" w14:textId="77777777" w:rsidR="004311DF" w:rsidRDefault="004311DF" w:rsidP="00F16287">
            <w:pPr>
              <w:widowControl w:val="0"/>
              <w:autoSpaceDE w:val="0"/>
              <w:autoSpaceDN w:val="0"/>
              <w:adjustRightInd w:val="0"/>
              <w:spacing w:after="0" w:line="240" w:lineRule="auto"/>
              <w:rPr>
                <w:rFonts w:ascii="Times New Roman" w:hAnsi="Times New Roman" w:cs="Times New Roman"/>
                <w:sz w:val="24"/>
                <w:szCs w:val="24"/>
              </w:rPr>
            </w:pPr>
          </w:p>
        </w:tc>
      </w:tr>
      <w:tr w:rsidR="004311DF" w14:paraId="3E9C675E" w14:textId="77777777" w:rsidTr="00F16287">
        <w:tc>
          <w:tcPr>
            <w:tcW w:w="2136" w:type="dxa"/>
            <w:tcBorders>
              <w:top w:val="nil"/>
              <w:left w:val="nil"/>
              <w:bottom w:val="nil"/>
              <w:right w:val="nil"/>
            </w:tcBorders>
          </w:tcPr>
          <w:p w14:paraId="3CC41541" w14:textId="77777777" w:rsidR="004311DF" w:rsidRDefault="004311D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4970451D"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-0.0136</w:t>
            </w:r>
          </w:p>
        </w:tc>
        <w:tc>
          <w:tcPr>
            <w:tcW w:w="1656" w:type="dxa"/>
            <w:tcBorders>
              <w:top w:val="nil"/>
              <w:left w:val="nil"/>
              <w:bottom w:val="nil"/>
              <w:right w:val="nil"/>
            </w:tcBorders>
          </w:tcPr>
          <w:p w14:paraId="731855F4"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-0.0138</w:t>
            </w:r>
          </w:p>
        </w:tc>
        <w:tc>
          <w:tcPr>
            <w:tcW w:w="1656" w:type="dxa"/>
            <w:tcBorders>
              <w:top w:val="nil"/>
              <w:left w:val="nil"/>
              <w:bottom w:val="nil"/>
              <w:right w:val="nil"/>
            </w:tcBorders>
          </w:tcPr>
          <w:p w14:paraId="07A66B7A"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-0.00335</w:t>
            </w:r>
          </w:p>
        </w:tc>
        <w:tc>
          <w:tcPr>
            <w:tcW w:w="1656" w:type="dxa"/>
            <w:tcBorders>
              <w:top w:val="nil"/>
              <w:left w:val="nil"/>
              <w:bottom w:val="nil"/>
              <w:right w:val="nil"/>
            </w:tcBorders>
          </w:tcPr>
          <w:p w14:paraId="1675E849"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0.00972</w:t>
            </w:r>
          </w:p>
        </w:tc>
        <w:tc>
          <w:tcPr>
            <w:tcW w:w="1656" w:type="dxa"/>
            <w:tcBorders>
              <w:top w:val="nil"/>
              <w:left w:val="nil"/>
              <w:bottom w:val="nil"/>
              <w:right w:val="nil"/>
            </w:tcBorders>
          </w:tcPr>
          <w:p w14:paraId="445CFE81"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0.0140</w:t>
            </w:r>
          </w:p>
        </w:tc>
      </w:tr>
      <w:tr w:rsidR="004311DF" w14:paraId="41E30FDC" w14:textId="77777777" w:rsidTr="00F16287">
        <w:tc>
          <w:tcPr>
            <w:tcW w:w="2136" w:type="dxa"/>
            <w:tcBorders>
              <w:top w:val="nil"/>
              <w:left w:val="nil"/>
              <w:bottom w:val="nil"/>
              <w:right w:val="nil"/>
            </w:tcBorders>
          </w:tcPr>
          <w:p w14:paraId="11364616" w14:textId="77777777" w:rsidR="004311DF" w:rsidRDefault="004311D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A2B71A9"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(-1.32)</w:t>
            </w:r>
          </w:p>
        </w:tc>
        <w:tc>
          <w:tcPr>
            <w:tcW w:w="1656" w:type="dxa"/>
            <w:tcBorders>
              <w:top w:val="nil"/>
              <w:left w:val="nil"/>
              <w:bottom w:val="nil"/>
              <w:right w:val="nil"/>
            </w:tcBorders>
          </w:tcPr>
          <w:p w14:paraId="1FB45F07"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(-1.37)</w:t>
            </w:r>
          </w:p>
        </w:tc>
        <w:tc>
          <w:tcPr>
            <w:tcW w:w="1656" w:type="dxa"/>
            <w:tcBorders>
              <w:top w:val="nil"/>
              <w:left w:val="nil"/>
              <w:bottom w:val="nil"/>
              <w:right w:val="nil"/>
            </w:tcBorders>
          </w:tcPr>
          <w:p w14:paraId="65AE41F8"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656" w:type="dxa"/>
            <w:tcBorders>
              <w:top w:val="nil"/>
              <w:left w:val="nil"/>
              <w:bottom w:val="nil"/>
              <w:right w:val="nil"/>
            </w:tcBorders>
          </w:tcPr>
          <w:p w14:paraId="6925AA4C"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w:t>
            </w:r>
          </w:p>
        </w:tc>
        <w:tc>
          <w:tcPr>
            <w:tcW w:w="1656" w:type="dxa"/>
            <w:tcBorders>
              <w:top w:val="nil"/>
              <w:left w:val="nil"/>
              <w:bottom w:val="nil"/>
              <w:right w:val="nil"/>
            </w:tcBorders>
          </w:tcPr>
          <w:p w14:paraId="65031254"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4311DF" w14:paraId="33E3A8CD" w14:textId="77777777" w:rsidTr="00F16287">
        <w:tc>
          <w:tcPr>
            <w:tcW w:w="2136" w:type="dxa"/>
            <w:tcBorders>
              <w:top w:val="nil"/>
              <w:left w:val="nil"/>
              <w:bottom w:val="nil"/>
              <w:right w:val="nil"/>
            </w:tcBorders>
          </w:tcPr>
          <w:p w14:paraId="3EE4419D" w14:textId="77777777" w:rsidR="004311DF" w:rsidRDefault="004311D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5B603F1" w14:textId="77777777" w:rsidR="004311DF" w:rsidRDefault="004311D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2C22192" w14:textId="77777777" w:rsidR="004311DF" w:rsidRDefault="004311D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C8EC2E5" w14:textId="77777777" w:rsidR="004311DF" w:rsidRDefault="004311D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D79165" w14:textId="77777777" w:rsidR="004311DF" w:rsidRDefault="004311D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7F1D777" w14:textId="77777777" w:rsidR="004311DF" w:rsidRDefault="004311DF" w:rsidP="00F16287">
            <w:pPr>
              <w:widowControl w:val="0"/>
              <w:autoSpaceDE w:val="0"/>
              <w:autoSpaceDN w:val="0"/>
              <w:adjustRightInd w:val="0"/>
              <w:spacing w:after="0" w:line="240" w:lineRule="auto"/>
              <w:rPr>
                <w:rFonts w:ascii="Times New Roman" w:hAnsi="Times New Roman" w:cs="Times New Roman"/>
                <w:sz w:val="24"/>
                <w:szCs w:val="24"/>
              </w:rPr>
            </w:pPr>
          </w:p>
        </w:tc>
      </w:tr>
      <w:tr w:rsidR="004311DF" w14:paraId="1111CEEB" w14:textId="77777777" w:rsidTr="00F16287">
        <w:tc>
          <w:tcPr>
            <w:tcW w:w="2136" w:type="dxa"/>
            <w:tcBorders>
              <w:top w:val="nil"/>
              <w:left w:val="nil"/>
              <w:bottom w:val="nil"/>
              <w:right w:val="nil"/>
            </w:tcBorders>
          </w:tcPr>
          <w:p w14:paraId="3FCF9FA2" w14:textId="77777777" w:rsidR="004311DF" w:rsidRDefault="004311D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Constant</w:t>
            </w:r>
          </w:p>
        </w:tc>
        <w:tc>
          <w:tcPr>
            <w:tcW w:w="1656" w:type="dxa"/>
            <w:tcBorders>
              <w:top w:val="nil"/>
              <w:left w:val="nil"/>
              <w:bottom w:val="nil"/>
              <w:right w:val="nil"/>
            </w:tcBorders>
          </w:tcPr>
          <w:p w14:paraId="1B2BD78E"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BF923EC"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FE3FD90"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883354A"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0.120</w:t>
            </w:r>
          </w:p>
        </w:tc>
        <w:tc>
          <w:tcPr>
            <w:tcW w:w="1656" w:type="dxa"/>
            <w:tcBorders>
              <w:top w:val="nil"/>
              <w:left w:val="nil"/>
              <w:bottom w:val="nil"/>
              <w:right w:val="nil"/>
            </w:tcBorders>
          </w:tcPr>
          <w:p w14:paraId="2C9FFF4C"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-0.199</w:t>
            </w:r>
            <w:r>
              <w:rPr>
                <w:rFonts w:ascii="Times New Roman" w:hAnsi="Times New Roman" w:cs="Times New Roman"/>
                <w:sz w:val="24"/>
                <w:szCs w:val="24"/>
                <w:vertAlign w:val="superscript"/>
              </w:rPr>
              <w:t>*</w:t>
            </w:r>
          </w:p>
        </w:tc>
      </w:tr>
      <w:tr w:rsidR="004311DF" w14:paraId="56EA5380" w14:textId="77777777" w:rsidTr="00F16287">
        <w:tc>
          <w:tcPr>
            <w:tcW w:w="2136" w:type="dxa"/>
            <w:tcBorders>
              <w:top w:val="nil"/>
              <w:left w:val="nil"/>
              <w:bottom w:val="single" w:sz="4" w:space="0" w:color="auto"/>
              <w:right w:val="nil"/>
            </w:tcBorders>
          </w:tcPr>
          <w:p w14:paraId="733BCBB5" w14:textId="77777777" w:rsidR="004311DF" w:rsidRDefault="004311DF"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5802E3C0"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(4.13)</w:t>
            </w:r>
          </w:p>
        </w:tc>
        <w:tc>
          <w:tcPr>
            <w:tcW w:w="1656" w:type="dxa"/>
            <w:tcBorders>
              <w:top w:val="nil"/>
              <w:left w:val="nil"/>
              <w:bottom w:val="single" w:sz="4" w:space="0" w:color="auto"/>
              <w:right w:val="nil"/>
            </w:tcBorders>
          </w:tcPr>
          <w:p w14:paraId="01E8267A"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(5.09)</w:t>
            </w:r>
          </w:p>
        </w:tc>
        <w:tc>
          <w:tcPr>
            <w:tcW w:w="1656" w:type="dxa"/>
            <w:tcBorders>
              <w:top w:val="nil"/>
              <w:left w:val="nil"/>
              <w:bottom w:val="single" w:sz="4" w:space="0" w:color="auto"/>
              <w:right w:val="nil"/>
            </w:tcBorders>
          </w:tcPr>
          <w:p w14:paraId="4218D51C"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(3.30)</w:t>
            </w:r>
          </w:p>
        </w:tc>
        <w:tc>
          <w:tcPr>
            <w:tcW w:w="1656" w:type="dxa"/>
            <w:tcBorders>
              <w:top w:val="nil"/>
              <w:left w:val="nil"/>
              <w:bottom w:val="single" w:sz="4" w:space="0" w:color="auto"/>
              <w:right w:val="nil"/>
            </w:tcBorders>
          </w:tcPr>
          <w:p w14:paraId="4DB47541"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656" w:type="dxa"/>
            <w:tcBorders>
              <w:top w:val="nil"/>
              <w:left w:val="nil"/>
              <w:bottom w:val="single" w:sz="4" w:space="0" w:color="auto"/>
              <w:right w:val="nil"/>
            </w:tcBorders>
          </w:tcPr>
          <w:p w14:paraId="1F03268B"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(-2.38)</w:t>
            </w:r>
          </w:p>
        </w:tc>
      </w:tr>
      <w:tr w:rsidR="004311DF" w14:paraId="7C2BC75E" w14:textId="77777777" w:rsidTr="00F16287">
        <w:tc>
          <w:tcPr>
            <w:tcW w:w="2136" w:type="dxa"/>
            <w:tcBorders>
              <w:top w:val="nil"/>
              <w:left w:val="nil"/>
              <w:bottom w:val="single" w:sz="4" w:space="0" w:color="auto"/>
              <w:right w:val="nil"/>
            </w:tcBorders>
          </w:tcPr>
          <w:p w14:paraId="76922765" w14:textId="77777777" w:rsidR="004311DF" w:rsidRDefault="004311DF"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5FFE3BFC"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656" w:type="dxa"/>
            <w:tcBorders>
              <w:top w:val="nil"/>
              <w:left w:val="nil"/>
              <w:bottom w:val="single" w:sz="4" w:space="0" w:color="auto"/>
              <w:right w:val="nil"/>
            </w:tcBorders>
          </w:tcPr>
          <w:p w14:paraId="37501AC6"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656" w:type="dxa"/>
            <w:tcBorders>
              <w:top w:val="nil"/>
              <w:left w:val="nil"/>
              <w:bottom w:val="single" w:sz="4" w:space="0" w:color="auto"/>
              <w:right w:val="nil"/>
            </w:tcBorders>
          </w:tcPr>
          <w:p w14:paraId="171FEACF"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562</w:t>
            </w:r>
          </w:p>
        </w:tc>
        <w:tc>
          <w:tcPr>
            <w:tcW w:w="1656" w:type="dxa"/>
            <w:tcBorders>
              <w:top w:val="nil"/>
              <w:left w:val="nil"/>
              <w:bottom w:val="single" w:sz="4" w:space="0" w:color="auto"/>
              <w:right w:val="nil"/>
            </w:tcBorders>
          </w:tcPr>
          <w:p w14:paraId="3E7FC89D"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1166</w:t>
            </w:r>
          </w:p>
        </w:tc>
        <w:tc>
          <w:tcPr>
            <w:tcW w:w="1656" w:type="dxa"/>
            <w:tcBorders>
              <w:top w:val="nil"/>
              <w:left w:val="nil"/>
              <w:bottom w:val="single" w:sz="4" w:space="0" w:color="auto"/>
              <w:right w:val="nil"/>
            </w:tcBorders>
          </w:tcPr>
          <w:p w14:paraId="473FF877" w14:textId="77777777" w:rsidR="004311DF" w:rsidRDefault="004311DF"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1748</w:t>
            </w:r>
          </w:p>
        </w:tc>
      </w:tr>
    </w:tbl>
    <w:p w14:paraId="368C4EB2" w14:textId="77777777" w:rsidR="003E06E6" w:rsidRDefault="003E06E6" w:rsidP="003E06E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 xml:space="preserve"> statistics in parentheses</w:t>
      </w:r>
    </w:p>
    <w:p w14:paraId="3FB3CBB8" w14:textId="77777777" w:rsidR="003E06E6" w:rsidRDefault="003E06E6" w:rsidP="003E06E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0.001</w:t>
      </w:r>
    </w:p>
    <w:p w14:paraId="7E71FBF2" w14:textId="65242661" w:rsidR="003E06E6" w:rsidRPr="00102C68" w:rsidRDefault="003E06E6" w:rsidP="003E06E6">
      <w:pPr>
        <w:widowControl w:val="0"/>
        <w:autoSpaceDE w:val="0"/>
        <w:autoSpaceDN w:val="0"/>
        <w:adjustRightInd w:val="0"/>
        <w:spacing w:after="0" w:line="240" w:lineRule="auto"/>
        <w:rPr>
          <w:rFonts w:ascii="Times New Roman" w:hAnsi="Times New Roman" w:cs="Times New Roman"/>
          <w:sz w:val="20"/>
          <w:szCs w:val="20"/>
          <w:highlight w:val="yellow"/>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651AA5" w14:paraId="45839C13" w14:textId="77777777" w:rsidTr="00F16287">
        <w:tc>
          <w:tcPr>
            <w:tcW w:w="2136" w:type="dxa"/>
            <w:tcBorders>
              <w:top w:val="single" w:sz="4" w:space="0" w:color="auto"/>
              <w:left w:val="nil"/>
              <w:bottom w:val="nil"/>
              <w:right w:val="nil"/>
            </w:tcBorders>
          </w:tcPr>
          <w:p w14:paraId="2D0A5798"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00CF2403"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25A526A3"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4BC800C0"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52D19A4E"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4E198EAF"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651AA5" w14:paraId="2D1E8CCA" w14:textId="77777777" w:rsidTr="00F16287">
        <w:tc>
          <w:tcPr>
            <w:tcW w:w="2136" w:type="dxa"/>
            <w:tcBorders>
              <w:top w:val="nil"/>
              <w:left w:val="nil"/>
              <w:bottom w:val="nil"/>
              <w:right w:val="nil"/>
            </w:tcBorders>
          </w:tcPr>
          <w:p w14:paraId="65077033"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968328F"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5D689694"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1065848F"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219B1ECB"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56F9181A"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651AA5" w14:paraId="4CDF2E1B" w14:textId="77777777" w:rsidTr="00F16287">
        <w:tc>
          <w:tcPr>
            <w:tcW w:w="2136" w:type="dxa"/>
            <w:tcBorders>
              <w:top w:val="single" w:sz="4" w:space="0" w:color="auto"/>
              <w:left w:val="nil"/>
              <w:bottom w:val="nil"/>
              <w:right w:val="nil"/>
            </w:tcBorders>
          </w:tcPr>
          <w:p w14:paraId="080BF814"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4E38D0CF"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-0.103</w:t>
            </w:r>
          </w:p>
        </w:tc>
        <w:tc>
          <w:tcPr>
            <w:tcW w:w="1656" w:type="dxa"/>
            <w:tcBorders>
              <w:top w:val="single" w:sz="4" w:space="0" w:color="auto"/>
              <w:left w:val="nil"/>
              <w:bottom w:val="nil"/>
              <w:right w:val="nil"/>
            </w:tcBorders>
          </w:tcPr>
          <w:p w14:paraId="74AF8238"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1656" w:type="dxa"/>
            <w:tcBorders>
              <w:top w:val="single" w:sz="4" w:space="0" w:color="auto"/>
              <w:left w:val="nil"/>
              <w:bottom w:val="nil"/>
              <w:right w:val="nil"/>
            </w:tcBorders>
          </w:tcPr>
          <w:p w14:paraId="0C238333"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-0.367</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496D01E2"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0.00233</w:t>
            </w:r>
          </w:p>
        </w:tc>
        <w:tc>
          <w:tcPr>
            <w:tcW w:w="1656" w:type="dxa"/>
            <w:tcBorders>
              <w:top w:val="single" w:sz="4" w:space="0" w:color="auto"/>
              <w:left w:val="nil"/>
              <w:bottom w:val="nil"/>
              <w:right w:val="nil"/>
            </w:tcBorders>
          </w:tcPr>
          <w:p w14:paraId="75EE2A71"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0.0180</w:t>
            </w:r>
          </w:p>
        </w:tc>
      </w:tr>
      <w:tr w:rsidR="00651AA5" w14:paraId="3C7787FE" w14:textId="77777777" w:rsidTr="00F16287">
        <w:tc>
          <w:tcPr>
            <w:tcW w:w="2136" w:type="dxa"/>
            <w:tcBorders>
              <w:top w:val="nil"/>
              <w:left w:val="nil"/>
              <w:bottom w:val="nil"/>
              <w:right w:val="nil"/>
            </w:tcBorders>
          </w:tcPr>
          <w:p w14:paraId="28F8A1CB"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563B65F"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(-0.84)</w:t>
            </w:r>
          </w:p>
        </w:tc>
        <w:tc>
          <w:tcPr>
            <w:tcW w:w="1656" w:type="dxa"/>
            <w:tcBorders>
              <w:top w:val="nil"/>
              <w:left w:val="nil"/>
              <w:bottom w:val="nil"/>
              <w:right w:val="nil"/>
            </w:tcBorders>
          </w:tcPr>
          <w:p w14:paraId="3D583B3F"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w:t>
            </w:r>
          </w:p>
        </w:tc>
        <w:tc>
          <w:tcPr>
            <w:tcW w:w="1656" w:type="dxa"/>
            <w:tcBorders>
              <w:top w:val="nil"/>
              <w:left w:val="nil"/>
              <w:bottom w:val="nil"/>
              <w:right w:val="nil"/>
            </w:tcBorders>
          </w:tcPr>
          <w:p w14:paraId="7CE5A677"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656" w:type="dxa"/>
            <w:tcBorders>
              <w:top w:val="nil"/>
              <w:left w:val="nil"/>
              <w:bottom w:val="nil"/>
              <w:right w:val="nil"/>
            </w:tcBorders>
          </w:tcPr>
          <w:p w14:paraId="1130277B"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656" w:type="dxa"/>
            <w:tcBorders>
              <w:top w:val="nil"/>
              <w:left w:val="nil"/>
              <w:bottom w:val="nil"/>
              <w:right w:val="nil"/>
            </w:tcBorders>
          </w:tcPr>
          <w:p w14:paraId="7F676415"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w:t>
            </w:r>
          </w:p>
        </w:tc>
      </w:tr>
      <w:tr w:rsidR="00651AA5" w14:paraId="23B4E1A0" w14:textId="77777777" w:rsidTr="00F16287">
        <w:tc>
          <w:tcPr>
            <w:tcW w:w="2136" w:type="dxa"/>
            <w:tcBorders>
              <w:top w:val="nil"/>
              <w:left w:val="nil"/>
              <w:bottom w:val="nil"/>
              <w:right w:val="nil"/>
            </w:tcBorders>
          </w:tcPr>
          <w:p w14:paraId="50A8F99C"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D7CA372"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1973B16"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1C27969"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CB87062"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ABC4520"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p>
        </w:tc>
      </w:tr>
      <w:tr w:rsidR="00651AA5" w14:paraId="422D60C5" w14:textId="77777777" w:rsidTr="00F16287">
        <w:tc>
          <w:tcPr>
            <w:tcW w:w="2136" w:type="dxa"/>
            <w:tcBorders>
              <w:top w:val="nil"/>
              <w:left w:val="nil"/>
              <w:bottom w:val="nil"/>
              <w:right w:val="nil"/>
            </w:tcBorders>
          </w:tcPr>
          <w:p w14:paraId="6D407A7C"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5DA7CC33"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-0.0110</w:t>
            </w:r>
          </w:p>
        </w:tc>
        <w:tc>
          <w:tcPr>
            <w:tcW w:w="1656" w:type="dxa"/>
            <w:tcBorders>
              <w:top w:val="nil"/>
              <w:left w:val="nil"/>
              <w:bottom w:val="nil"/>
              <w:right w:val="nil"/>
            </w:tcBorders>
          </w:tcPr>
          <w:p w14:paraId="0951A2C3"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-0.00666</w:t>
            </w:r>
          </w:p>
        </w:tc>
        <w:tc>
          <w:tcPr>
            <w:tcW w:w="1656" w:type="dxa"/>
            <w:tcBorders>
              <w:top w:val="nil"/>
              <w:left w:val="nil"/>
              <w:bottom w:val="nil"/>
              <w:right w:val="nil"/>
            </w:tcBorders>
          </w:tcPr>
          <w:p w14:paraId="1BDDCB57"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0.000617</w:t>
            </w:r>
          </w:p>
        </w:tc>
        <w:tc>
          <w:tcPr>
            <w:tcW w:w="1656" w:type="dxa"/>
            <w:tcBorders>
              <w:top w:val="nil"/>
              <w:left w:val="nil"/>
              <w:bottom w:val="nil"/>
              <w:right w:val="nil"/>
            </w:tcBorders>
          </w:tcPr>
          <w:p w14:paraId="26CE7A6F"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0.00750</w:t>
            </w:r>
          </w:p>
        </w:tc>
        <w:tc>
          <w:tcPr>
            <w:tcW w:w="1656" w:type="dxa"/>
            <w:tcBorders>
              <w:top w:val="nil"/>
              <w:left w:val="nil"/>
              <w:bottom w:val="nil"/>
              <w:right w:val="nil"/>
            </w:tcBorders>
          </w:tcPr>
          <w:p w14:paraId="5A3BC625"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0.0151</w:t>
            </w:r>
          </w:p>
        </w:tc>
      </w:tr>
      <w:tr w:rsidR="00651AA5" w14:paraId="3760D079" w14:textId="77777777" w:rsidTr="00F16287">
        <w:tc>
          <w:tcPr>
            <w:tcW w:w="2136" w:type="dxa"/>
            <w:tcBorders>
              <w:top w:val="nil"/>
              <w:left w:val="nil"/>
              <w:bottom w:val="nil"/>
              <w:right w:val="nil"/>
            </w:tcBorders>
          </w:tcPr>
          <w:p w14:paraId="61E62B8C"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6218CB9"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656" w:type="dxa"/>
            <w:tcBorders>
              <w:top w:val="nil"/>
              <w:left w:val="nil"/>
              <w:bottom w:val="nil"/>
              <w:right w:val="nil"/>
            </w:tcBorders>
          </w:tcPr>
          <w:p w14:paraId="60208081"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w:t>
            </w:r>
          </w:p>
        </w:tc>
        <w:tc>
          <w:tcPr>
            <w:tcW w:w="1656" w:type="dxa"/>
            <w:tcBorders>
              <w:top w:val="nil"/>
              <w:left w:val="nil"/>
              <w:bottom w:val="nil"/>
              <w:right w:val="nil"/>
            </w:tcBorders>
          </w:tcPr>
          <w:p w14:paraId="59EEB2E6"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656" w:type="dxa"/>
            <w:tcBorders>
              <w:top w:val="nil"/>
              <w:left w:val="nil"/>
              <w:bottom w:val="nil"/>
              <w:right w:val="nil"/>
            </w:tcBorders>
          </w:tcPr>
          <w:p w14:paraId="3551F9D2"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656" w:type="dxa"/>
            <w:tcBorders>
              <w:top w:val="nil"/>
              <w:left w:val="nil"/>
              <w:bottom w:val="nil"/>
              <w:right w:val="nil"/>
            </w:tcBorders>
          </w:tcPr>
          <w:p w14:paraId="24E9C615"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651AA5" w14:paraId="4CEBBF4E" w14:textId="77777777" w:rsidTr="00F16287">
        <w:tc>
          <w:tcPr>
            <w:tcW w:w="2136" w:type="dxa"/>
            <w:tcBorders>
              <w:top w:val="nil"/>
              <w:left w:val="nil"/>
              <w:bottom w:val="nil"/>
              <w:right w:val="nil"/>
            </w:tcBorders>
          </w:tcPr>
          <w:p w14:paraId="182A7851"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0568468"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222607A"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DBE1DD"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D74C84F"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4355431"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p>
        </w:tc>
      </w:tr>
      <w:tr w:rsidR="00651AA5" w14:paraId="4F39E153" w14:textId="77777777" w:rsidTr="00F16287">
        <w:tc>
          <w:tcPr>
            <w:tcW w:w="2136" w:type="dxa"/>
            <w:tcBorders>
              <w:top w:val="nil"/>
              <w:left w:val="nil"/>
              <w:bottom w:val="nil"/>
              <w:right w:val="nil"/>
            </w:tcBorders>
          </w:tcPr>
          <w:p w14:paraId="0B16F592"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0AD79A8A"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0.846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C5051F7"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0651C31"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1F744C4"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0.116</w:t>
            </w:r>
          </w:p>
        </w:tc>
        <w:tc>
          <w:tcPr>
            <w:tcW w:w="1656" w:type="dxa"/>
            <w:tcBorders>
              <w:top w:val="nil"/>
              <w:left w:val="nil"/>
              <w:bottom w:val="nil"/>
              <w:right w:val="nil"/>
            </w:tcBorders>
          </w:tcPr>
          <w:p w14:paraId="4615D930"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0.284</w:t>
            </w:r>
            <w:r>
              <w:rPr>
                <w:rFonts w:ascii="Times New Roman" w:hAnsi="Times New Roman" w:cs="Times New Roman"/>
                <w:sz w:val="24"/>
                <w:szCs w:val="24"/>
                <w:vertAlign w:val="superscript"/>
              </w:rPr>
              <w:t>***</w:t>
            </w:r>
          </w:p>
        </w:tc>
      </w:tr>
      <w:tr w:rsidR="00651AA5" w14:paraId="366E9C4E" w14:textId="77777777" w:rsidTr="00F16287">
        <w:tc>
          <w:tcPr>
            <w:tcW w:w="2136" w:type="dxa"/>
            <w:tcBorders>
              <w:top w:val="nil"/>
              <w:left w:val="nil"/>
              <w:bottom w:val="single" w:sz="4" w:space="0" w:color="auto"/>
              <w:right w:val="nil"/>
            </w:tcBorders>
          </w:tcPr>
          <w:p w14:paraId="7A8613A7"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04ACDA18"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(5.76)</w:t>
            </w:r>
          </w:p>
        </w:tc>
        <w:tc>
          <w:tcPr>
            <w:tcW w:w="1656" w:type="dxa"/>
            <w:tcBorders>
              <w:top w:val="nil"/>
              <w:left w:val="nil"/>
              <w:bottom w:val="single" w:sz="4" w:space="0" w:color="auto"/>
              <w:right w:val="nil"/>
            </w:tcBorders>
          </w:tcPr>
          <w:p w14:paraId="763777E6"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(5.09)</w:t>
            </w:r>
          </w:p>
        </w:tc>
        <w:tc>
          <w:tcPr>
            <w:tcW w:w="1656" w:type="dxa"/>
            <w:tcBorders>
              <w:top w:val="nil"/>
              <w:left w:val="nil"/>
              <w:bottom w:val="single" w:sz="4" w:space="0" w:color="auto"/>
              <w:right w:val="nil"/>
            </w:tcBorders>
          </w:tcPr>
          <w:p w14:paraId="48FFA0B3"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(7.55)</w:t>
            </w:r>
          </w:p>
        </w:tc>
        <w:tc>
          <w:tcPr>
            <w:tcW w:w="1656" w:type="dxa"/>
            <w:tcBorders>
              <w:top w:val="nil"/>
              <w:left w:val="nil"/>
              <w:bottom w:val="single" w:sz="4" w:space="0" w:color="auto"/>
              <w:right w:val="nil"/>
            </w:tcBorders>
          </w:tcPr>
          <w:p w14:paraId="11C4CD78"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w:t>
            </w:r>
          </w:p>
        </w:tc>
        <w:tc>
          <w:tcPr>
            <w:tcW w:w="1656" w:type="dxa"/>
            <w:tcBorders>
              <w:top w:val="nil"/>
              <w:left w:val="nil"/>
              <w:bottom w:val="single" w:sz="4" w:space="0" w:color="auto"/>
              <w:right w:val="nil"/>
            </w:tcBorders>
          </w:tcPr>
          <w:p w14:paraId="460B3149"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(3.76)</w:t>
            </w:r>
          </w:p>
        </w:tc>
      </w:tr>
      <w:tr w:rsidR="00651AA5" w14:paraId="35C290E1" w14:textId="77777777" w:rsidTr="00F16287">
        <w:tc>
          <w:tcPr>
            <w:tcW w:w="2136" w:type="dxa"/>
            <w:tcBorders>
              <w:top w:val="nil"/>
              <w:left w:val="nil"/>
              <w:bottom w:val="single" w:sz="4" w:space="0" w:color="auto"/>
              <w:right w:val="nil"/>
            </w:tcBorders>
          </w:tcPr>
          <w:p w14:paraId="4C6F2D8F" w14:textId="77777777" w:rsidR="00651AA5" w:rsidRDefault="00651AA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60339CE4"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824</w:t>
            </w:r>
          </w:p>
        </w:tc>
        <w:tc>
          <w:tcPr>
            <w:tcW w:w="1656" w:type="dxa"/>
            <w:tcBorders>
              <w:top w:val="nil"/>
              <w:left w:val="nil"/>
              <w:bottom w:val="single" w:sz="4" w:space="0" w:color="auto"/>
              <w:right w:val="nil"/>
            </w:tcBorders>
          </w:tcPr>
          <w:p w14:paraId="3716BDC8"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823</w:t>
            </w:r>
          </w:p>
        </w:tc>
        <w:tc>
          <w:tcPr>
            <w:tcW w:w="1656" w:type="dxa"/>
            <w:tcBorders>
              <w:top w:val="nil"/>
              <w:left w:val="nil"/>
              <w:bottom w:val="single" w:sz="4" w:space="0" w:color="auto"/>
              <w:right w:val="nil"/>
            </w:tcBorders>
          </w:tcPr>
          <w:p w14:paraId="7E7B6B28"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680</w:t>
            </w:r>
          </w:p>
        </w:tc>
        <w:tc>
          <w:tcPr>
            <w:tcW w:w="1656" w:type="dxa"/>
            <w:tcBorders>
              <w:top w:val="nil"/>
              <w:left w:val="nil"/>
              <w:bottom w:val="single" w:sz="4" w:space="0" w:color="auto"/>
              <w:right w:val="nil"/>
            </w:tcBorders>
          </w:tcPr>
          <w:p w14:paraId="5FCAE500"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1523</w:t>
            </w:r>
          </w:p>
        </w:tc>
        <w:tc>
          <w:tcPr>
            <w:tcW w:w="1656" w:type="dxa"/>
            <w:tcBorders>
              <w:top w:val="nil"/>
              <w:left w:val="nil"/>
              <w:bottom w:val="single" w:sz="4" w:space="0" w:color="auto"/>
              <w:right w:val="nil"/>
            </w:tcBorders>
          </w:tcPr>
          <w:p w14:paraId="05C01A6E" w14:textId="77777777" w:rsidR="00651AA5" w:rsidRDefault="00651AA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1887</w:t>
            </w:r>
          </w:p>
        </w:tc>
      </w:tr>
    </w:tbl>
    <w:p w14:paraId="043CD3F2" w14:textId="77777777" w:rsidR="00651AA5" w:rsidRDefault="00651AA5" w:rsidP="00651AA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36E13F51" w14:textId="23638C3E" w:rsidR="00651AA5" w:rsidRPr="00651AA5" w:rsidRDefault="00651AA5" w:rsidP="003E06E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080E70CF" w14:textId="77777777" w:rsidR="00651AA5" w:rsidRPr="00102C68" w:rsidRDefault="00651AA5" w:rsidP="003E06E6">
      <w:pPr>
        <w:widowControl w:val="0"/>
        <w:autoSpaceDE w:val="0"/>
        <w:autoSpaceDN w:val="0"/>
        <w:adjustRightInd w:val="0"/>
        <w:spacing w:after="0" w:line="240" w:lineRule="auto"/>
        <w:rPr>
          <w:rFonts w:ascii="Times New Roman" w:hAnsi="Times New Roman" w:cs="Times New Roman"/>
          <w:sz w:val="20"/>
          <w:szCs w:val="20"/>
          <w:highlight w:val="yellow"/>
        </w:rPr>
      </w:pPr>
    </w:p>
    <w:p w14:paraId="75DB6FF7" w14:textId="7F63D128" w:rsidR="003E06E6" w:rsidRPr="00B73B23" w:rsidRDefault="00A51EF0" w:rsidP="003E06E6">
      <w:r w:rsidRPr="00B73B23">
        <w:t>Table A1</w:t>
      </w:r>
      <w:r w:rsidR="00A002D9" w:rsidRPr="00B73B23">
        <w:t>6</w:t>
      </w:r>
      <w:r w:rsidRPr="00B73B23">
        <w:t>: Capital Account Index Interaction Term</w:t>
      </w:r>
    </w:p>
    <w:p w14:paraId="42E40C82" w14:textId="7D4692AA" w:rsidR="003E06E6" w:rsidRPr="00651AA5" w:rsidRDefault="00DF3C45" w:rsidP="003E06E6">
      <w:r w:rsidRPr="00B73B23">
        <w:t>The general story is one of</w:t>
      </w:r>
      <w:r w:rsidR="003E06E6" w:rsidRPr="00B73B23">
        <w:t xml:space="preserve"> no real impact</w:t>
      </w:r>
      <w:r w:rsidRPr="00B73B23">
        <w:t xml:space="preserve">. </w:t>
      </w:r>
      <w:r w:rsidR="003E06E6" w:rsidRPr="00B73B23">
        <w:t>CBI has greater instability increasing impact with openness on the event measure, but not the WB measure, painting an unclear picture</w:t>
      </w:r>
      <w:r w:rsidRPr="00B73B23">
        <w:t>. The i</w:t>
      </w:r>
      <w:r w:rsidR="003E06E6" w:rsidRPr="00B73B23">
        <w:t>nteraction term for fixed rates is surprisingly insignificant</w:t>
      </w:r>
      <w:r w:rsidR="005C2F54">
        <w:t>; fixed rates have more impact with high capital controls or low openness</w:t>
      </w:r>
      <w:r>
        <w:t>.</w:t>
      </w:r>
    </w:p>
    <w:tbl>
      <w:tblPr>
        <w:tblW w:w="10416" w:type="dxa"/>
        <w:tblLayout w:type="fixed"/>
        <w:tblLook w:val="0000" w:firstRow="0" w:lastRow="0" w:firstColumn="0" w:lastColumn="0" w:noHBand="0" w:noVBand="0"/>
      </w:tblPr>
      <w:tblGrid>
        <w:gridCol w:w="2136"/>
        <w:gridCol w:w="1656"/>
        <w:gridCol w:w="1656"/>
        <w:gridCol w:w="1656"/>
        <w:gridCol w:w="1656"/>
        <w:gridCol w:w="1656"/>
      </w:tblGrid>
      <w:tr w:rsidR="00A461D3" w14:paraId="7228606A" w14:textId="77777777" w:rsidTr="00F16287">
        <w:tc>
          <w:tcPr>
            <w:tcW w:w="2136" w:type="dxa"/>
            <w:tcBorders>
              <w:top w:val="single" w:sz="4" w:space="0" w:color="auto"/>
              <w:left w:val="nil"/>
              <w:bottom w:val="nil"/>
              <w:right w:val="nil"/>
            </w:tcBorders>
          </w:tcPr>
          <w:p w14:paraId="01EB2AAD"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35D0F2E2"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2C029F3F"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7BA407E1"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5ECF3454"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4E176271"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461D3" w14:paraId="3F259EA1" w14:textId="77777777" w:rsidTr="00F16287">
        <w:tc>
          <w:tcPr>
            <w:tcW w:w="2136" w:type="dxa"/>
            <w:tcBorders>
              <w:top w:val="nil"/>
              <w:left w:val="nil"/>
              <w:bottom w:val="nil"/>
              <w:right w:val="nil"/>
            </w:tcBorders>
          </w:tcPr>
          <w:p w14:paraId="1207BAC5"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D94DF92"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6351D33B"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55216D8D"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7E74A25F"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5B8602C8"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A461D3" w14:paraId="29B15C37" w14:textId="77777777" w:rsidTr="00F16287">
        <w:tc>
          <w:tcPr>
            <w:tcW w:w="2136" w:type="dxa"/>
            <w:tcBorders>
              <w:top w:val="single" w:sz="4" w:space="0" w:color="auto"/>
              <w:left w:val="nil"/>
              <w:bottom w:val="nil"/>
              <w:right w:val="nil"/>
            </w:tcBorders>
          </w:tcPr>
          <w:p w14:paraId="21435684" w14:textId="77777777" w:rsidR="00A461D3" w:rsidRPr="004A6319" w:rsidRDefault="00A461D3" w:rsidP="00F16287">
            <w:pPr>
              <w:widowControl w:val="0"/>
              <w:autoSpaceDE w:val="0"/>
              <w:autoSpaceDN w:val="0"/>
              <w:adjustRightInd w:val="0"/>
              <w:spacing w:after="0" w:line="240" w:lineRule="auto"/>
              <w:rPr>
                <w:rFonts w:ascii="Times New Roman" w:hAnsi="Times New Roman" w:cs="Times New Roman"/>
                <w:sz w:val="24"/>
                <w:szCs w:val="24"/>
                <w:lang w:val="fr-BE"/>
              </w:rPr>
            </w:pPr>
            <w:r w:rsidRPr="004A6319">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2F5AB921"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0.527</w:t>
            </w:r>
          </w:p>
        </w:tc>
        <w:tc>
          <w:tcPr>
            <w:tcW w:w="1656" w:type="dxa"/>
            <w:tcBorders>
              <w:top w:val="single" w:sz="4" w:space="0" w:color="auto"/>
              <w:left w:val="nil"/>
              <w:bottom w:val="nil"/>
              <w:right w:val="nil"/>
            </w:tcBorders>
          </w:tcPr>
          <w:p w14:paraId="467D0326"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0.464</w:t>
            </w:r>
          </w:p>
        </w:tc>
        <w:tc>
          <w:tcPr>
            <w:tcW w:w="1656" w:type="dxa"/>
            <w:tcBorders>
              <w:top w:val="single" w:sz="4" w:space="0" w:color="auto"/>
              <w:left w:val="nil"/>
              <w:bottom w:val="nil"/>
              <w:right w:val="nil"/>
            </w:tcBorders>
          </w:tcPr>
          <w:p w14:paraId="44EEB2AE"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0.580</w:t>
            </w:r>
          </w:p>
        </w:tc>
        <w:tc>
          <w:tcPr>
            <w:tcW w:w="1656" w:type="dxa"/>
            <w:tcBorders>
              <w:top w:val="single" w:sz="4" w:space="0" w:color="auto"/>
              <w:left w:val="nil"/>
              <w:bottom w:val="nil"/>
              <w:right w:val="nil"/>
            </w:tcBorders>
          </w:tcPr>
          <w:p w14:paraId="144989F1"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-0.703</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643D9606"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0.577</w:t>
            </w:r>
            <w:r>
              <w:rPr>
                <w:rFonts w:ascii="Times New Roman" w:hAnsi="Times New Roman" w:cs="Times New Roman"/>
                <w:sz w:val="24"/>
                <w:szCs w:val="24"/>
                <w:vertAlign w:val="superscript"/>
              </w:rPr>
              <w:t>*</w:t>
            </w:r>
          </w:p>
        </w:tc>
      </w:tr>
      <w:tr w:rsidR="00A461D3" w14:paraId="70CB06D3" w14:textId="77777777" w:rsidTr="00F16287">
        <w:tc>
          <w:tcPr>
            <w:tcW w:w="2136" w:type="dxa"/>
            <w:tcBorders>
              <w:top w:val="nil"/>
              <w:left w:val="nil"/>
              <w:bottom w:val="nil"/>
              <w:right w:val="nil"/>
            </w:tcBorders>
          </w:tcPr>
          <w:p w14:paraId="142B835F"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45BA1BC"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656" w:type="dxa"/>
            <w:tcBorders>
              <w:top w:val="nil"/>
              <w:left w:val="nil"/>
              <w:bottom w:val="nil"/>
              <w:right w:val="nil"/>
            </w:tcBorders>
          </w:tcPr>
          <w:p w14:paraId="2A589B6A"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(1.57)</w:t>
            </w:r>
          </w:p>
        </w:tc>
        <w:tc>
          <w:tcPr>
            <w:tcW w:w="1656" w:type="dxa"/>
            <w:tcBorders>
              <w:top w:val="nil"/>
              <w:left w:val="nil"/>
              <w:bottom w:val="nil"/>
              <w:right w:val="nil"/>
            </w:tcBorders>
          </w:tcPr>
          <w:p w14:paraId="244EFD7D"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(1.48)</w:t>
            </w:r>
          </w:p>
        </w:tc>
        <w:tc>
          <w:tcPr>
            <w:tcW w:w="1656" w:type="dxa"/>
            <w:tcBorders>
              <w:top w:val="nil"/>
              <w:left w:val="nil"/>
              <w:bottom w:val="nil"/>
              <w:right w:val="nil"/>
            </w:tcBorders>
          </w:tcPr>
          <w:p w14:paraId="055F5EEF"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(-2.84)</w:t>
            </w:r>
          </w:p>
        </w:tc>
        <w:tc>
          <w:tcPr>
            <w:tcW w:w="1656" w:type="dxa"/>
            <w:tcBorders>
              <w:top w:val="nil"/>
              <w:left w:val="nil"/>
              <w:bottom w:val="nil"/>
              <w:right w:val="nil"/>
            </w:tcBorders>
          </w:tcPr>
          <w:p w14:paraId="36C9A4FB"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(2.46)</w:t>
            </w:r>
          </w:p>
        </w:tc>
      </w:tr>
      <w:tr w:rsidR="00A461D3" w14:paraId="615DA104" w14:textId="77777777" w:rsidTr="00F16287">
        <w:tc>
          <w:tcPr>
            <w:tcW w:w="2136" w:type="dxa"/>
            <w:tcBorders>
              <w:top w:val="nil"/>
              <w:left w:val="nil"/>
              <w:bottom w:val="nil"/>
              <w:right w:val="nil"/>
            </w:tcBorders>
          </w:tcPr>
          <w:p w14:paraId="37D1BE18"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47678DD"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007571A"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4A56FB7"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9BB8F35"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B71A1EB"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r>
      <w:tr w:rsidR="00A461D3" w14:paraId="0EDE0D8A" w14:textId="77777777" w:rsidTr="00F16287">
        <w:tc>
          <w:tcPr>
            <w:tcW w:w="2136" w:type="dxa"/>
            <w:tcBorders>
              <w:top w:val="nil"/>
              <w:left w:val="nil"/>
              <w:bottom w:val="nil"/>
              <w:right w:val="nil"/>
            </w:tcBorders>
          </w:tcPr>
          <w:p w14:paraId="5FF6FED4"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Chinn-Ito index, normalized</w:t>
            </w:r>
          </w:p>
        </w:tc>
        <w:tc>
          <w:tcPr>
            <w:tcW w:w="1656" w:type="dxa"/>
            <w:tcBorders>
              <w:top w:val="nil"/>
              <w:left w:val="nil"/>
              <w:bottom w:val="nil"/>
              <w:right w:val="nil"/>
            </w:tcBorders>
          </w:tcPr>
          <w:p w14:paraId="219AE5D5"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-0.0999</w:t>
            </w:r>
          </w:p>
        </w:tc>
        <w:tc>
          <w:tcPr>
            <w:tcW w:w="1656" w:type="dxa"/>
            <w:tcBorders>
              <w:top w:val="nil"/>
              <w:left w:val="nil"/>
              <w:bottom w:val="nil"/>
              <w:right w:val="nil"/>
            </w:tcBorders>
          </w:tcPr>
          <w:p w14:paraId="4E6FD58C"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0.174</w:t>
            </w:r>
          </w:p>
        </w:tc>
        <w:tc>
          <w:tcPr>
            <w:tcW w:w="1656" w:type="dxa"/>
            <w:tcBorders>
              <w:top w:val="nil"/>
              <w:left w:val="nil"/>
              <w:bottom w:val="nil"/>
              <w:right w:val="nil"/>
            </w:tcBorders>
          </w:tcPr>
          <w:p w14:paraId="33604C67"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-0.283</w:t>
            </w:r>
          </w:p>
        </w:tc>
        <w:tc>
          <w:tcPr>
            <w:tcW w:w="1656" w:type="dxa"/>
            <w:tcBorders>
              <w:top w:val="nil"/>
              <w:left w:val="nil"/>
              <w:bottom w:val="nil"/>
              <w:right w:val="nil"/>
            </w:tcBorders>
          </w:tcPr>
          <w:p w14:paraId="105FDE84"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-0.157</w:t>
            </w:r>
          </w:p>
        </w:tc>
        <w:tc>
          <w:tcPr>
            <w:tcW w:w="1656" w:type="dxa"/>
            <w:tcBorders>
              <w:top w:val="nil"/>
              <w:left w:val="nil"/>
              <w:bottom w:val="nil"/>
              <w:right w:val="nil"/>
            </w:tcBorders>
          </w:tcPr>
          <w:p w14:paraId="48E8324A"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0.0588</w:t>
            </w:r>
          </w:p>
        </w:tc>
      </w:tr>
      <w:tr w:rsidR="00A461D3" w14:paraId="05C16A7D" w14:textId="77777777" w:rsidTr="00F16287">
        <w:tc>
          <w:tcPr>
            <w:tcW w:w="2136" w:type="dxa"/>
            <w:tcBorders>
              <w:top w:val="nil"/>
              <w:left w:val="nil"/>
              <w:bottom w:val="nil"/>
              <w:right w:val="nil"/>
            </w:tcBorders>
          </w:tcPr>
          <w:p w14:paraId="77BA13A3"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890505F"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656" w:type="dxa"/>
            <w:tcBorders>
              <w:top w:val="nil"/>
              <w:left w:val="nil"/>
              <w:bottom w:val="nil"/>
              <w:right w:val="nil"/>
            </w:tcBorders>
          </w:tcPr>
          <w:p w14:paraId="1368259B"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(0.99)</w:t>
            </w:r>
          </w:p>
        </w:tc>
        <w:tc>
          <w:tcPr>
            <w:tcW w:w="1656" w:type="dxa"/>
            <w:tcBorders>
              <w:top w:val="nil"/>
              <w:left w:val="nil"/>
              <w:bottom w:val="nil"/>
              <w:right w:val="nil"/>
            </w:tcBorders>
          </w:tcPr>
          <w:p w14:paraId="1D775DAA"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656" w:type="dxa"/>
            <w:tcBorders>
              <w:top w:val="nil"/>
              <w:left w:val="nil"/>
              <w:bottom w:val="nil"/>
              <w:right w:val="nil"/>
            </w:tcBorders>
          </w:tcPr>
          <w:p w14:paraId="0750F8A3"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(-0.65)</w:t>
            </w:r>
          </w:p>
        </w:tc>
        <w:tc>
          <w:tcPr>
            <w:tcW w:w="1656" w:type="dxa"/>
            <w:tcBorders>
              <w:top w:val="nil"/>
              <w:left w:val="nil"/>
              <w:bottom w:val="nil"/>
              <w:right w:val="nil"/>
            </w:tcBorders>
          </w:tcPr>
          <w:p w14:paraId="485F2955"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r>
      <w:tr w:rsidR="00A461D3" w14:paraId="6BE7BF2F" w14:textId="77777777" w:rsidTr="00F16287">
        <w:tc>
          <w:tcPr>
            <w:tcW w:w="2136" w:type="dxa"/>
            <w:tcBorders>
              <w:top w:val="nil"/>
              <w:left w:val="nil"/>
              <w:bottom w:val="nil"/>
              <w:right w:val="nil"/>
            </w:tcBorders>
          </w:tcPr>
          <w:p w14:paraId="681EF142"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61A657E"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DB4578F"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A8FD90C"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B8681DF"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230F9B0"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r>
      <w:tr w:rsidR="00A461D3" w14:paraId="7435DD89" w14:textId="77777777" w:rsidTr="00F16287">
        <w:tc>
          <w:tcPr>
            <w:tcW w:w="2136" w:type="dxa"/>
            <w:tcBorders>
              <w:top w:val="nil"/>
              <w:left w:val="nil"/>
              <w:bottom w:val="nil"/>
              <w:right w:val="nil"/>
            </w:tcBorders>
          </w:tcPr>
          <w:p w14:paraId="349E5DA5"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 Jure CBI (CNW Index) * Chinn-Ito index, normalized</w:t>
            </w:r>
          </w:p>
        </w:tc>
        <w:tc>
          <w:tcPr>
            <w:tcW w:w="1656" w:type="dxa"/>
            <w:tcBorders>
              <w:top w:val="nil"/>
              <w:left w:val="nil"/>
              <w:bottom w:val="nil"/>
              <w:right w:val="nil"/>
            </w:tcBorders>
          </w:tcPr>
          <w:p w14:paraId="3A7B4840"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-0.255</w:t>
            </w:r>
          </w:p>
        </w:tc>
        <w:tc>
          <w:tcPr>
            <w:tcW w:w="1656" w:type="dxa"/>
            <w:tcBorders>
              <w:top w:val="nil"/>
              <w:left w:val="nil"/>
              <w:bottom w:val="nil"/>
              <w:right w:val="nil"/>
            </w:tcBorders>
          </w:tcPr>
          <w:p w14:paraId="268F99C4"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-0.227</w:t>
            </w:r>
          </w:p>
        </w:tc>
        <w:tc>
          <w:tcPr>
            <w:tcW w:w="1656" w:type="dxa"/>
            <w:tcBorders>
              <w:top w:val="nil"/>
              <w:left w:val="nil"/>
              <w:bottom w:val="nil"/>
              <w:right w:val="nil"/>
            </w:tcBorders>
          </w:tcPr>
          <w:p w14:paraId="6E0AB7DC"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-0.240</w:t>
            </w:r>
          </w:p>
        </w:tc>
        <w:tc>
          <w:tcPr>
            <w:tcW w:w="1656" w:type="dxa"/>
            <w:tcBorders>
              <w:top w:val="nil"/>
              <w:left w:val="nil"/>
              <w:bottom w:val="nil"/>
              <w:right w:val="nil"/>
            </w:tcBorders>
          </w:tcPr>
          <w:p w14:paraId="2C3C73F3"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0.530</w:t>
            </w:r>
          </w:p>
        </w:tc>
        <w:tc>
          <w:tcPr>
            <w:tcW w:w="1656" w:type="dxa"/>
            <w:tcBorders>
              <w:top w:val="nil"/>
              <w:left w:val="nil"/>
              <w:bottom w:val="nil"/>
              <w:right w:val="nil"/>
            </w:tcBorders>
          </w:tcPr>
          <w:p w14:paraId="26390307"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0.662</w:t>
            </w:r>
            <w:r>
              <w:rPr>
                <w:rFonts w:ascii="Times New Roman" w:hAnsi="Times New Roman" w:cs="Times New Roman"/>
                <w:sz w:val="24"/>
                <w:szCs w:val="24"/>
                <w:vertAlign w:val="superscript"/>
              </w:rPr>
              <w:t>*</w:t>
            </w:r>
          </w:p>
        </w:tc>
      </w:tr>
      <w:tr w:rsidR="00A461D3" w14:paraId="19EF6309" w14:textId="77777777" w:rsidTr="00F16287">
        <w:tc>
          <w:tcPr>
            <w:tcW w:w="2136" w:type="dxa"/>
            <w:tcBorders>
              <w:top w:val="nil"/>
              <w:left w:val="nil"/>
              <w:bottom w:val="nil"/>
              <w:right w:val="nil"/>
            </w:tcBorders>
          </w:tcPr>
          <w:p w14:paraId="5180C13C"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3820D5D"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656" w:type="dxa"/>
            <w:tcBorders>
              <w:top w:val="nil"/>
              <w:left w:val="nil"/>
              <w:bottom w:val="nil"/>
              <w:right w:val="nil"/>
            </w:tcBorders>
          </w:tcPr>
          <w:p w14:paraId="3F477836"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c>
          <w:tcPr>
            <w:tcW w:w="1656" w:type="dxa"/>
            <w:tcBorders>
              <w:top w:val="nil"/>
              <w:left w:val="nil"/>
              <w:bottom w:val="nil"/>
              <w:right w:val="nil"/>
            </w:tcBorders>
          </w:tcPr>
          <w:p w14:paraId="33DB77C6"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w:t>
            </w:r>
          </w:p>
        </w:tc>
        <w:tc>
          <w:tcPr>
            <w:tcW w:w="1656" w:type="dxa"/>
            <w:tcBorders>
              <w:top w:val="nil"/>
              <w:left w:val="nil"/>
              <w:bottom w:val="nil"/>
              <w:right w:val="nil"/>
            </w:tcBorders>
          </w:tcPr>
          <w:p w14:paraId="058EBDB3"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(1.67)</w:t>
            </w:r>
          </w:p>
        </w:tc>
        <w:tc>
          <w:tcPr>
            <w:tcW w:w="1656" w:type="dxa"/>
            <w:tcBorders>
              <w:top w:val="nil"/>
              <w:left w:val="nil"/>
              <w:bottom w:val="nil"/>
              <w:right w:val="nil"/>
            </w:tcBorders>
          </w:tcPr>
          <w:p w14:paraId="50103C8A"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(2.08)</w:t>
            </w:r>
          </w:p>
        </w:tc>
      </w:tr>
      <w:tr w:rsidR="00A461D3" w14:paraId="2596FD95" w14:textId="77777777" w:rsidTr="00F16287">
        <w:tc>
          <w:tcPr>
            <w:tcW w:w="2136" w:type="dxa"/>
            <w:tcBorders>
              <w:top w:val="nil"/>
              <w:left w:val="nil"/>
              <w:bottom w:val="nil"/>
              <w:right w:val="nil"/>
            </w:tcBorders>
          </w:tcPr>
          <w:p w14:paraId="0FB70F23"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CCC7466"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A9A6038"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F6A253A"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622F697"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65AD480"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r>
      <w:tr w:rsidR="00A461D3" w14:paraId="6392F7B0" w14:textId="77777777" w:rsidTr="00F16287">
        <w:tc>
          <w:tcPr>
            <w:tcW w:w="2136" w:type="dxa"/>
            <w:tcBorders>
              <w:top w:val="nil"/>
              <w:left w:val="nil"/>
              <w:bottom w:val="nil"/>
              <w:right w:val="nil"/>
            </w:tcBorders>
          </w:tcPr>
          <w:p w14:paraId="2C8AF0C2"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6942FBB8"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-0.0157</w:t>
            </w:r>
          </w:p>
        </w:tc>
        <w:tc>
          <w:tcPr>
            <w:tcW w:w="1656" w:type="dxa"/>
            <w:tcBorders>
              <w:top w:val="nil"/>
              <w:left w:val="nil"/>
              <w:bottom w:val="nil"/>
              <w:right w:val="nil"/>
            </w:tcBorders>
          </w:tcPr>
          <w:p w14:paraId="49BFB95B"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B36A708"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-0.0164</w:t>
            </w:r>
          </w:p>
        </w:tc>
        <w:tc>
          <w:tcPr>
            <w:tcW w:w="1656" w:type="dxa"/>
            <w:tcBorders>
              <w:top w:val="nil"/>
              <w:left w:val="nil"/>
              <w:bottom w:val="nil"/>
              <w:right w:val="nil"/>
            </w:tcBorders>
          </w:tcPr>
          <w:p w14:paraId="5AB2C8FA"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0.0138</w:t>
            </w:r>
          </w:p>
        </w:tc>
        <w:tc>
          <w:tcPr>
            <w:tcW w:w="1656" w:type="dxa"/>
            <w:tcBorders>
              <w:top w:val="nil"/>
              <w:left w:val="nil"/>
              <w:bottom w:val="nil"/>
              <w:right w:val="nil"/>
            </w:tcBorders>
          </w:tcPr>
          <w:p w14:paraId="17D50E51"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0.0151</w:t>
            </w:r>
          </w:p>
        </w:tc>
      </w:tr>
      <w:tr w:rsidR="00A461D3" w14:paraId="0ADF8274" w14:textId="77777777" w:rsidTr="00F16287">
        <w:tc>
          <w:tcPr>
            <w:tcW w:w="2136" w:type="dxa"/>
            <w:tcBorders>
              <w:top w:val="nil"/>
              <w:left w:val="nil"/>
              <w:bottom w:val="nil"/>
              <w:right w:val="nil"/>
            </w:tcBorders>
          </w:tcPr>
          <w:p w14:paraId="183518F8"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80BA980"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1656" w:type="dxa"/>
            <w:tcBorders>
              <w:top w:val="nil"/>
              <w:left w:val="nil"/>
              <w:bottom w:val="nil"/>
              <w:right w:val="nil"/>
            </w:tcBorders>
          </w:tcPr>
          <w:p w14:paraId="02727150"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(-2.47)</w:t>
            </w:r>
          </w:p>
        </w:tc>
        <w:tc>
          <w:tcPr>
            <w:tcW w:w="1656" w:type="dxa"/>
            <w:tcBorders>
              <w:top w:val="nil"/>
              <w:left w:val="nil"/>
              <w:bottom w:val="nil"/>
              <w:right w:val="nil"/>
            </w:tcBorders>
          </w:tcPr>
          <w:p w14:paraId="7B71CD6B"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(-1.23)</w:t>
            </w:r>
          </w:p>
        </w:tc>
        <w:tc>
          <w:tcPr>
            <w:tcW w:w="1656" w:type="dxa"/>
            <w:tcBorders>
              <w:top w:val="nil"/>
              <w:left w:val="nil"/>
              <w:bottom w:val="nil"/>
              <w:right w:val="nil"/>
            </w:tcBorders>
          </w:tcPr>
          <w:p w14:paraId="57E28D64"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656" w:type="dxa"/>
            <w:tcBorders>
              <w:top w:val="nil"/>
              <w:left w:val="nil"/>
              <w:bottom w:val="nil"/>
              <w:right w:val="nil"/>
            </w:tcBorders>
          </w:tcPr>
          <w:p w14:paraId="29570820"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(1.87)</w:t>
            </w:r>
          </w:p>
        </w:tc>
      </w:tr>
      <w:tr w:rsidR="00A461D3" w14:paraId="5D00EF90" w14:textId="77777777" w:rsidTr="00F16287">
        <w:tc>
          <w:tcPr>
            <w:tcW w:w="2136" w:type="dxa"/>
            <w:tcBorders>
              <w:top w:val="nil"/>
              <w:left w:val="nil"/>
              <w:bottom w:val="nil"/>
              <w:right w:val="nil"/>
            </w:tcBorders>
          </w:tcPr>
          <w:p w14:paraId="3B9C52EA"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725AC60"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52E91D"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6C602AF"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561C4DF"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2CA7BEC"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r>
      <w:tr w:rsidR="00A461D3" w14:paraId="411B2343" w14:textId="77777777" w:rsidTr="00F16287">
        <w:tc>
          <w:tcPr>
            <w:tcW w:w="2136" w:type="dxa"/>
            <w:tcBorders>
              <w:top w:val="nil"/>
              <w:left w:val="nil"/>
              <w:bottom w:val="nil"/>
              <w:right w:val="nil"/>
            </w:tcBorders>
          </w:tcPr>
          <w:p w14:paraId="07F357A2"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 * Chinn-Ito index, normalized</w:t>
            </w:r>
          </w:p>
        </w:tc>
        <w:tc>
          <w:tcPr>
            <w:tcW w:w="1656" w:type="dxa"/>
            <w:tcBorders>
              <w:top w:val="nil"/>
              <w:left w:val="nil"/>
              <w:bottom w:val="nil"/>
              <w:right w:val="nil"/>
            </w:tcBorders>
          </w:tcPr>
          <w:p w14:paraId="1D75A00B"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0.00902</w:t>
            </w:r>
          </w:p>
        </w:tc>
        <w:tc>
          <w:tcPr>
            <w:tcW w:w="1656" w:type="dxa"/>
            <w:tcBorders>
              <w:top w:val="nil"/>
              <w:left w:val="nil"/>
              <w:bottom w:val="nil"/>
              <w:right w:val="nil"/>
            </w:tcBorders>
          </w:tcPr>
          <w:p w14:paraId="448996B2"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0.00261</w:t>
            </w:r>
          </w:p>
        </w:tc>
        <w:tc>
          <w:tcPr>
            <w:tcW w:w="1656" w:type="dxa"/>
            <w:tcBorders>
              <w:top w:val="nil"/>
              <w:left w:val="nil"/>
              <w:bottom w:val="nil"/>
              <w:right w:val="nil"/>
            </w:tcBorders>
          </w:tcPr>
          <w:p w14:paraId="6D66F630"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0.0279</w:t>
            </w:r>
          </w:p>
        </w:tc>
        <w:tc>
          <w:tcPr>
            <w:tcW w:w="1656" w:type="dxa"/>
            <w:tcBorders>
              <w:top w:val="nil"/>
              <w:left w:val="nil"/>
              <w:bottom w:val="nil"/>
              <w:right w:val="nil"/>
            </w:tcBorders>
          </w:tcPr>
          <w:p w14:paraId="21FF933D"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-0.0108</w:t>
            </w:r>
          </w:p>
        </w:tc>
        <w:tc>
          <w:tcPr>
            <w:tcW w:w="1656" w:type="dxa"/>
            <w:tcBorders>
              <w:top w:val="nil"/>
              <w:left w:val="nil"/>
              <w:bottom w:val="nil"/>
              <w:right w:val="nil"/>
            </w:tcBorders>
          </w:tcPr>
          <w:p w14:paraId="64C0521E"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-0.0286</w:t>
            </w:r>
          </w:p>
        </w:tc>
      </w:tr>
      <w:tr w:rsidR="00A461D3" w14:paraId="41D0145F" w14:textId="77777777" w:rsidTr="00F16287">
        <w:tc>
          <w:tcPr>
            <w:tcW w:w="2136" w:type="dxa"/>
            <w:tcBorders>
              <w:top w:val="nil"/>
              <w:left w:val="nil"/>
              <w:bottom w:val="nil"/>
              <w:right w:val="nil"/>
            </w:tcBorders>
          </w:tcPr>
          <w:p w14:paraId="49249D6D"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CB84181"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656" w:type="dxa"/>
            <w:tcBorders>
              <w:top w:val="nil"/>
              <w:left w:val="nil"/>
              <w:bottom w:val="nil"/>
              <w:right w:val="nil"/>
            </w:tcBorders>
          </w:tcPr>
          <w:p w14:paraId="63B5C2B6"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656" w:type="dxa"/>
            <w:tcBorders>
              <w:top w:val="nil"/>
              <w:left w:val="nil"/>
              <w:bottom w:val="nil"/>
              <w:right w:val="nil"/>
            </w:tcBorders>
          </w:tcPr>
          <w:p w14:paraId="4EFB9995"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w:t>
            </w:r>
          </w:p>
        </w:tc>
        <w:tc>
          <w:tcPr>
            <w:tcW w:w="1656" w:type="dxa"/>
            <w:tcBorders>
              <w:top w:val="nil"/>
              <w:left w:val="nil"/>
              <w:bottom w:val="nil"/>
              <w:right w:val="nil"/>
            </w:tcBorders>
          </w:tcPr>
          <w:p w14:paraId="253FBE53"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w:t>
            </w:r>
          </w:p>
        </w:tc>
        <w:tc>
          <w:tcPr>
            <w:tcW w:w="1656" w:type="dxa"/>
            <w:tcBorders>
              <w:top w:val="nil"/>
              <w:left w:val="nil"/>
              <w:bottom w:val="nil"/>
              <w:right w:val="nil"/>
            </w:tcBorders>
          </w:tcPr>
          <w:p w14:paraId="19753DC9"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(-1.93)</w:t>
            </w:r>
          </w:p>
        </w:tc>
      </w:tr>
      <w:tr w:rsidR="00A461D3" w14:paraId="5D70424B" w14:textId="77777777" w:rsidTr="00F16287">
        <w:tc>
          <w:tcPr>
            <w:tcW w:w="2136" w:type="dxa"/>
            <w:tcBorders>
              <w:top w:val="nil"/>
              <w:left w:val="nil"/>
              <w:bottom w:val="nil"/>
              <w:right w:val="nil"/>
            </w:tcBorders>
          </w:tcPr>
          <w:p w14:paraId="66AA5DDF"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0E01A4A"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05D6067"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94808E4"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B89D285"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15DFAEE"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r>
      <w:tr w:rsidR="00A461D3" w14:paraId="60EFAA41" w14:textId="77777777" w:rsidTr="00F16287">
        <w:tc>
          <w:tcPr>
            <w:tcW w:w="2136" w:type="dxa"/>
            <w:tcBorders>
              <w:top w:val="nil"/>
              <w:left w:val="nil"/>
              <w:bottom w:val="nil"/>
              <w:right w:val="nil"/>
            </w:tcBorders>
          </w:tcPr>
          <w:p w14:paraId="36AC1C2D"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03C1B787"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9AA6CF7"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A231F0A"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06A9E46"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0.129</w:t>
            </w:r>
          </w:p>
        </w:tc>
        <w:tc>
          <w:tcPr>
            <w:tcW w:w="1656" w:type="dxa"/>
            <w:tcBorders>
              <w:top w:val="nil"/>
              <w:left w:val="nil"/>
              <w:bottom w:val="nil"/>
              <w:right w:val="nil"/>
            </w:tcBorders>
          </w:tcPr>
          <w:p w14:paraId="65469C86"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-0.0527</w:t>
            </w:r>
          </w:p>
        </w:tc>
      </w:tr>
      <w:tr w:rsidR="00A461D3" w14:paraId="60A2BF2B" w14:textId="77777777" w:rsidTr="00F16287">
        <w:tc>
          <w:tcPr>
            <w:tcW w:w="2136" w:type="dxa"/>
            <w:tcBorders>
              <w:top w:val="nil"/>
              <w:left w:val="nil"/>
              <w:bottom w:val="single" w:sz="4" w:space="0" w:color="auto"/>
              <w:right w:val="nil"/>
            </w:tcBorders>
          </w:tcPr>
          <w:p w14:paraId="656356D4"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2F06ED57"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(2.77)</w:t>
            </w:r>
          </w:p>
        </w:tc>
        <w:tc>
          <w:tcPr>
            <w:tcW w:w="1656" w:type="dxa"/>
            <w:tcBorders>
              <w:top w:val="nil"/>
              <w:left w:val="nil"/>
              <w:bottom w:val="single" w:sz="4" w:space="0" w:color="auto"/>
              <w:right w:val="nil"/>
            </w:tcBorders>
          </w:tcPr>
          <w:p w14:paraId="37CBF2C8"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(2.14)</w:t>
            </w:r>
          </w:p>
        </w:tc>
        <w:tc>
          <w:tcPr>
            <w:tcW w:w="1656" w:type="dxa"/>
            <w:tcBorders>
              <w:top w:val="nil"/>
              <w:left w:val="nil"/>
              <w:bottom w:val="single" w:sz="4" w:space="0" w:color="auto"/>
              <w:right w:val="nil"/>
            </w:tcBorders>
          </w:tcPr>
          <w:p w14:paraId="262DA3C5"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(3.11)</w:t>
            </w:r>
          </w:p>
        </w:tc>
        <w:tc>
          <w:tcPr>
            <w:tcW w:w="1656" w:type="dxa"/>
            <w:tcBorders>
              <w:top w:val="nil"/>
              <w:left w:val="nil"/>
              <w:bottom w:val="single" w:sz="4" w:space="0" w:color="auto"/>
              <w:right w:val="nil"/>
            </w:tcBorders>
          </w:tcPr>
          <w:p w14:paraId="3FF0907D"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w:t>
            </w:r>
          </w:p>
        </w:tc>
        <w:tc>
          <w:tcPr>
            <w:tcW w:w="1656" w:type="dxa"/>
            <w:tcBorders>
              <w:top w:val="nil"/>
              <w:left w:val="nil"/>
              <w:bottom w:val="single" w:sz="4" w:space="0" w:color="auto"/>
              <w:right w:val="nil"/>
            </w:tcBorders>
          </w:tcPr>
          <w:p w14:paraId="0AE3CFAC"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r>
      <w:tr w:rsidR="00A461D3" w14:paraId="1B8C4BC6" w14:textId="77777777" w:rsidTr="00F16287">
        <w:tc>
          <w:tcPr>
            <w:tcW w:w="2136" w:type="dxa"/>
            <w:tcBorders>
              <w:top w:val="nil"/>
              <w:left w:val="nil"/>
              <w:bottom w:val="single" w:sz="4" w:space="0" w:color="auto"/>
              <w:right w:val="nil"/>
            </w:tcBorders>
          </w:tcPr>
          <w:p w14:paraId="5E8CAB9C" w14:textId="77777777" w:rsidR="00A461D3" w:rsidRDefault="00A461D3"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55A07B74"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1305</w:t>
            </w:r>
          </w:p>
        </w:tc>
        <w:tc>
          <w:tcPr>
            <w:tcW w:w="1656" w:type="dxa"/>
            <w:tcBorders>
              <w:top w:val="nil"/>
              <w:left w:val="nil"/>
              <w:bottom w:val="single" w:sz="4" w:space="0" w:color="auto"/>
              <w:right w:val="nil"/>
            </w:tcBorders>
          </w:tcPr>
          <w:p w14:paraId="08ACEDAE"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1305</w:t>
            </w:r>
          </w:p>
        </w:tc>
        <w:tc>
          <w:tcPr>
            <w:tcW w:w="1656" w:type="dxa"/>
            <w:tcBorders>
              <w:top w:val="nil"/>
              <w:left w:val="nil"/>
              <w:bottom w:val="single" w:sz="4" w:space="0" w:color="auto"/>
              <w:right w:val="nil"/>
            </w:tcBorders>
          </w:tcPr>
          <w:p w14:paraId="6D26EC33"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1068</w:t>
            </w:r>
          </w:p>
        </w:tc>
        <w:tc>
          <w:tcPr>
            <w:tcW w:w="1656" w:type="dxa"/>
            <w:tcBorders>
              <w:top w:val="nil"/>
              <w:left w:val="nil"/>
              <w:bottom w:val="single" w:sz="4" w:space="0" w:color="auto"/>
              <w:right w:val="nil"/>
            </w:tcBorders>
          </w:tcPr>
          <w:p w14:paraId="09403F04"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2061</w:t>
            </w:r>
          </w:p>
        </w:tc>
        <w:tc>
          <w:tcPr>
            <w:tcW w:w="1656" w:type="dxa"/>
            <w:tcBorders>
              <w:top w:val="nil"/>
              <w:left w:val="nil"/>
              <w:bottom w:val="single" w:sz="4" w:space="0" w:color="auto"/>
              <w:right w:val="nil"/>
            </w:tcBorders>
          </w:tcPr>
          <w:p w14:paraId="00BE31E2" w14:textId="77777777" w:rsidR="00A461D3" w:rsidRDefault="00A461D3"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3933</w:t>
            </w:r>
          </w:p>
        </w:tc>
      </w:tr>
    </w:tbl>
    <w:p w14:paraId="7043A5E6" w14:textId="77777777" w:rsidR="00A461D3" w:rsidRDefault="00A461D3" w:rsidP="00A461D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6E404C05" w14:textId="77777777" w:rsidR="00A461D3" w:rsidRDefault="00A461D3" w:rsidP="00A461D3">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33B14DC9" w14:textId="77777777" w:rsidR="00A461D3" w:rsidRDefault="00A461D3" w:rsidP="00A461D3">
      <w:pPr>
        <w:widowControl w:val="0"/>
        <w:autoSpaceDE w:val="0"/>
        <w:autoSpaceDN w:val="0"/>
        <w:adjustRightInd w:val="0"/>
        <w:spacing w:after="0" w:line="240" w:lineRule="auto"/>
        <w:rPr>
          <w:rFonts w:ascii="Times New Roman" w:hAnsi="Times New Roman" w:cs="Times New Roman"/>
          <w:sz w:val="24"/>
          <w:szCs w:val="24"/>
        </w:rPr>
      </w:pPr>
    </w:p>
    <w:tbl>
      <w:tblPr>
        <w:tblW w:w="10416" w:type="dxa"/>
        <w:tblLayout w:type="fixed"/>
        <w:tblLook w:val="0000" w:firstRow="0" w:lastRow="0" w:firstColumn="0" w:lastColumn="0" w:noHBand="0" w:noVBand="0"/>
      </w:tblPr>
      <w:tblGrid>
        <w:gridCol w:w="2136"/>
        <w:gridCol w:w="1656"/>
        <w:gridCol w:w="1656"/>
        <w:gridCol w:w="1656"/>
        <w:gridCol w:w="1656"/>
        <w:gridCol w:w="1656"/>
      </w:tblGrid>
      <w:tr w:rsidR="005C2F54" w14:paraId="69630440" w14:textId="77777777" w:rsidTr="00F16287">
        <w:tc>
          <w:tcPr>
            <w:tcW w:w="2136" w:type="dxa"/>
            <w:tcBorders>
              <w:top w:val="single" w:sz="4" w:space="0" w:color="auto"/>
              <w:left w:val="nil"/>
              <w:bottom w:val="nil"/>
              <w:right w:val="nil"/>
            </w:tcBorders>
          </w:tcPr>
          <w:p w14:paraId="4D8C0A87"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107CCAE4"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1E804B3F"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3AD36F20"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5C5B0427"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2ABB2ABB"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5C2F54" w14:paraId="295DE8F2" w14:textId="77777777" w:rsidTr="00F16287">
        <w:tc>
          <w:tcPr>
            <w:tcW w:w="2136" w:type="dxa"/>
            <w:tcBorders>
              <w:top w:val="nil"/>
              <w:left w:val="nil"/>
              <w:bottom w:val="nil"/>
              <w:right w:val="nil"/>
            </w:tcBorders>
          </w:tcPr>
          <w:p w14:paraId="16A6ED8F"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CF4466A"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623E2493"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050E13F7"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0820A82D"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67E077B9"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5C2F54" w14:paraId="42C01B91" w14:textId="77777777" w:rsidTr="00F16287">
        <w:tc>
          <w:tcPr>
            <w:tcW w:w="2136" w:type="dxa"/>
            <w:tcBorders>
              <w:top w:val="nil"/>
              <w:left w:val="nil"/>
              <w:bottom w:val="nil"/>
              <w:right w:val="nil"/>
            </w:tcBorders>
          </w:tcPr>
          <w:p w14:paraId="12BE659B"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D4CAF0C"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1E41AA0"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6DE5FF7"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C1459AD"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3C11E9C"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r>
      <w:tr w:rsidR="005C2F54" w14:paraId="06C950B6" w14:textId="77777777" w:rsidTr="00F16287">
        <w:tc>
          <w:tcPr>
            <w:tcW w:w="2136" w:type="dxa"/>
            <w:tcBorders>
              <w:top w:val="nil"/>
              <w:left w:val="nil"/>
              <w:bottom w:val="nil"/>
              <w:right w:val="nil"/>
            </w:tcBorders>
          </w:tcPr>
          <w:p w14:paraId="5EEE5BCC"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79447DF1"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-0.0446</w:t>
            </w:r>
          </w:p>
        </w:tc>
        <w:tc>
          <w:tcPr>
            <w:tcW w:w="1656" w:type="dxa"/>
            <w:tcBorders>
              <w:top w:val="nil"/>
              <w:left w:val="nil"/>
              <w:bottom w:val="nil"/>
              <w:right w:val="nil"/>
            </w:tcBorders>
          </w:tcPr>
          <w:p w14:paraId="53A088C6"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-0.0170</w:t>
            </w:r>
          </w:p>
        </w:tc>
        <w:tc>
          <w:tcPr>
            <w:tcW w:w="1656" w:type="dxa"/>
            <w:tcBorders>
              <w:top w:val="nil"/>
              <w:left w:val="nil"/>
              <w:bottom w:val="nil"/>
              <w:right w:val="nil"/>
            </w:tcBorders>
          </w:tcPr>
          <w:p w14:paraId="50AC0871"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-0.0547</w:t>
            </w:r>
          </w:p>
        </w:tc>
        <w:tc>
          <w:tcPr>
            <w:tcW w:w="1656" w:type="dxa"/>
            <w:tcBorders>
              <w:top w:val="nil"/>
              <w:left w:val="nil"/>
              <w:bottom w:val="nil"/>
              <w:right w:val="nil"/>
            </w:tcBorders>
          </w:tcPr>
          <w:p w14:paraId="72CCC232"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0.0107</w:t>
            </w:r>
          </w:p>
        </w:tc>
        <w:tc>
          <w:tcPr>
            <w:tcW w:w="1656" w:type="dxa"/>
            <w:tcBorders>
              <w:top w:val="nil"/>
              <w:left w:val="nil"/>
              <w:bottom w:val="nil"/>
              <w:right w:val="nil"/>
            </w:tcBorders>
          </w:tcPr>
          <w:p w14:paraId="3442EEA0"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0.0101</w:t>
            </w:r>
          </w:p>
        </w:tc>
      </w:tr>
      <w:tr w:rsidR="005C2F54" w14:paraId="5776EDE5" w14:textId="77777777" w:rsidTr="00F16287">
        <w:tc>
          <w:tcPr>
            <w:tcW w:w="2136" w:type="dxa"/>
            <w:tcBorders>
              <w:top w:val="nil"/>
              <w:left w:val="nil"/>
              <w:bottom w:val="nil"/>
              <w:right w:val="nil"/>
            </w:tcBorders>
          </w:tcPr>
          <w:p w14:paraId="742A0EC3"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C8534F8"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w:t>
            </w:r>
          </w:p>
        </w:tc>
        <w:tc>
          <w:tcPr>
            <w:tcW w:w="1656" w:type="dxa"/>
            <w:tcBorders>
              <w:top w:val="nil"/>
              <w:left w:val="nil"/>
              <w:bottom w:val="nil"/>
              <w:right w:val="nil"/>
            </w:tcBorders>
          </w:tcPr>
          <w:p w14:paraId="6D4DD7BF"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656" w:type="dxa"/>
            <w:tcBorders>
              <w:top w:val="nil"/>
              <w:left w:val="nil"/>
              <w:bottom w:val="nil"/>
              <w:right w:val="nil"/>
            </w:tcBorders>
          </w:tcPr>
          <w:p w14:paraId="5E5AA96E"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w:t>
            </w:r>
          </w:p>
        </w:tc>
        <w:tc>
          <w:tcPr>
            <w:tcW w:w="1656" w:type="dxa"/>
            <w:tcBorders>
              <w:top w:val="nil"/>
              <w:left w:val="nil"/>
              <w:bottom w:val="nil"/>
              <w:right w:val="nil"/>
            </w:tcBorders>
          </w:tcPr>
          <w:p w14:paraId="5722C24B"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6B848F36"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r>
      <w:tr w:rsidR="005C2F54" w14:paraId="1B7CE279" w14:textId="77777777" w:rsidTr="00F16287">
        <w:tc>
          <w:tcPr>
            <w:tcW w:w="2136" w:type="dxa"/>
            <w:tcBorders>
              <w:top w:val="nil"/>
              <w:left w:val="nil"/>
              <w:bottom w:val="nil"/>
              <w:right w:val="nil"/>
            </w:tcBorders>
          </w:tcPr>
          <w:p w14:paraId="08915DF6"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BCE4BD5"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43FFD53"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5E635E9"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BAF26E7"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9743E0B"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r>
      <w:tr w:rsidR="005C2F54" w14:paraId="7C17DE54" w14:textId="77777777" w:rsidTr="00F16287">
        <w:tc>
          <w:tcPr>
            <w:tcW w:w="2136" w:type="dxa"/>
            <w:tcBorders>
              <w:top w:val="nil"/>
              <w:left w:val="nil"/>
              <w:bottom w:val="nil"/>
              <w:right w:val="nil"/>
            </w:tcBorders>
          </w:tcPr>
          <w:p w14:paraId="2108F175"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Chinn-Ito index, normalized</w:t>
            </w:r>
          </w:p>
        </w:tc>
        <w:tc>
          <w:tcPr>
            <w:tcW w:w="1656" w:type="dxa"/>
            <w:tcBorders>
              <w:top w:val="nil"/>
              <w:left w:val="nil"/>
              <w:bottom w:val="nil"/>
              <w:right w:val="nil"/>
            </w:tcBorders>
          </w:tcPr>
          <w:p w14:paraId="6F23E380"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0.0400</w:t>
            </w:r>
          </w:p>
        </w:tc>
        <w:tc>
          <w:tcPr>
            <w:tcW w:w="1656" w:type="dxa"/>
            <w:tcBorders>
              <w:top w:val="nil"/>
              <w:left w:val="nil"/>
              <w:bottom w:val="nil"/>
              <w:right w:val="nil"/>
            </w:tcBorders>
          </w:tcPr>
          <w:p w14:paraId="4EDBA913"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0.0770</w:t>
            </w:r>
          </w:p>
        </w:tc>
        <w:tc>
          <w:tcPr>
            <w:tcW w:w="1656" w:type="dxa"/>
            <w:tcBorders>
              <w:top w:val="nil"/>
              <w:left w:val="nil"/>
              <w:bottom w:val="nil"/>
              <w:right w:val="nil"/>
            </w:tcBorders>
          </w:tcPr>
          <w:p w14:paraId="5BF2163E"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0.206</w:t>
            </w:r>
          </w:p>
        </w:tc>
        <w:tc>
          <w:tcPr>
            <w:tcW w:w="1656" w:type="dxa"/>
            <w:tcBorders>
              <w:top w:val="nil"/>
              <w:left w:val="nil"/>
              <w:bottom w:val="nil"/>
              <w:right w:val="nil"/>
            </w:tcBorders>
          </w:tcPr>
          <w:p w14:paraId="714C2847"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0.269</w:t>
            </w:r>
          </w:p>
        </w:tc>
        <w:tc>
          <w:tcPr>
            <w:tcW w:w="1656" w:type="dxa"/>
            <w:tcBorders>
              <w:top w:val="nil"/>
              <w:left w:val="nil"/>
              <w:bottom w:val="nil"/>
              <w:right w:val="nil"/>
            </w:tcBorders>
          </w:tcPr>
          <w:p w14:paraId="11B2313E"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0.469</w:t>
            </w:r>
            <w:r>
              <w:rPr>
                <w:rFonts w:ascii="Times New Roman" w:hAnsi="Times New Roman" w:cs="Times New Roman"/>
                <w:sz w:val="24"/>
                <w:szCs w:val="24"/>
                <w:vertAlign w:val="superscript"/>
              </w:rPr>
              <w:t>***</w:t>
            </w:r>
          </w:p>
        </w:tc>
      </w:tr>
      <w:tr w:rsidR="005C2F54" w14:paraId="7A3424DC" w14:textId="77777777" w:rsidTr="00F16287">
        <w:tc>
          <w:tcPr>
            <w:tcW w:w="2136" w:type="dxa"/>
            <w:tcBorders>
              <w:top w:val="nil"/>
              <w:left w:val="nil"/>
              <w:bottom w:val="nil"/>
              <w:right w:val="nil"/>
            </w:tcBorders>
          </w:tcPr>
          <w:p w14:paraId="3AB92F4E"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D58A7AA"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656" w:type="dxa"/>
            <w:tcBorders>
              <w:top w:val="nil"/>
              <w:left w:val="nil"/>
              <w:bottom w:val="nil"/>
              <w:right w:val="nil"/>
            </w:tcBorders>
          </w:tcPr>
          <w:p w14:paraId="7D2506E9"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656" w:type="dxa"/>
            <w:tcBorders>
              <w:top w:val="nil"/>
              <w:left w:val="nil"/>
              <w:bottom w:val="nil"/>
              <w:right w:val="nil"/>
            </w:tcBorders>
          </w:tcPr>
          <w:p w14:paraId="1087170D"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w:t>
            </w:r>
          </w:p>
        </w:tc>
        <w:tc>
          <w:tcPr>
            <w:tcW w:w="1656" w:type="dxa"/>
            <w:tcBorders>
              <w:top w:val="nil"/>
              <w:left w:val="nil"/>
              <w:bottom w:val="nil"/>
              <w:right w:val="nil"/>
            </w:tcBorders>
          </w:tcPr>
          <w:p w14:paraId="298C11AF"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w:t>
            </w:r>
          </w:p>
        </w:tc>
        <w:tc>
          <w:tcPr>
            <w:tcW w:w="1656" w:type="dxa"/>
            <w:tcBorders>
              <w:top w:val="nil"/>
              <w:left w:val="nil"/>
              <w:bottom w:val="nil"/>
              <w:right w:val="nil"/>
            </w:tcBorders>
          </w:tcPr>
          <w:p w14:paraId="7D8F36BE"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(3.71)</w:t>
            </w:r>
          </w:p>
        </w:tc>
      </w:tr>
      <w:tr w:rsidR="005C2F54" w14:paraId="7B06ADF8" w14:textId="77777777" w:rsidTr="00F16287">
        <w:tc>
          <w:tcPr>
            <w:tcW w:w="2136" w:type="dxa"/>
            <w:tcBorders>
              <w:top w:val="nil"/>
              <w:left w:val="nil"/>
              <w:bottom w:val="nil"/>
              <w:right w:val="nil"/>
            </w:tcBorders>
          </w:tcPr>
          <w:p w14:paraId="3D770648"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A38C376"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EAF4E67"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65F724C"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6B0C63E"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6B22373"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r>
      <w:tr w:rsidR="005C2F54" w14:paraId="03FEB5BA" w14:textId="77777777" w:rsidTr="00F16287">
        <w:tc>
          <w:tcPr>
            <w:tcW w:w="2136" w:type="dxa"/>
            <w:tcBorders>
              <w:top w:val="nil"/>
              <w:left w:val="nil"/>
              <w:bottom w:val="nil"/>
              <w:right w:val="nil"/>
            </w:tcBorders>
          </w:tcPr>
          <w:p w14:paraId="4A4CEFF7"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(Lack of) Irregular CB Governor Turnover (higher = more de facto CBI) * Chinn-Ito index, </w:t>
            </w:r>
            <w:r>
              <w:rPr>
                <w:rFonts w:ascii="Times New Roman" w:hAnsi="Times New Roman" w:cs="Times New Roman"/>
                <w:sz w:val="24"/>
                <w:szCs w:val="24"/>
              </w:rPr>
              <w:lastRenderedPageBreak/>
              <w:t>normalized</w:t>
            </w:r>
          </w:p>
        </w:tc>
        <w:tc>
          <w:tcPr>
            <w:tcW w:w="1656" w:type="dxa"/>
            <w:tcBorders>
              <w:top w:val="nil"/>
              <w:left w:val="nil"/>
              <w:bottom w:val="nil"/>
              <w:right w:val="nil"/>
            </w:tcBorders>
          </w:tcPr>
          <w:p w14:paraId="049EADBA"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-0.181</w:t>
            </w:r>
          </w:p>
        </w:tc>
        <w:tc>
          <w:tcPr>
            <w:tcW w:w="1656" w:type="dxa"/>
            <w:tcBorders>
              <w:top w:val="nil"/>
              <w:left w:val="nil"/>
              <w:bottom w:val="nil"/>
              <w:right w:val="nil"/>
            </w:tcBorders>
          </w:tcPr>
          <w:p w14:paraId="567B67A0"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-0.0343</w:t>
            </w:r>
          </w:p>
        </w:tc>
        <w:tc>
          <w:tcPr>
            <w:tcW w:w="1656" w:type="dxa"/>
            <w:tcBorders>
              <w:top w:val="nil"/>
              <w:left w:val="nil"/>
              <w:bottom w:val="nil"/>
              <w:right w:val="nil"/>
            </w:tcBorders>
          </w:tcPr>
          <w:p w14:paraId="574341A9"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-0.339</w:t>
            </w:r>
          </w:p>
        </w:tc>
        <w:tc>
          <w:tcPr>
            <w:tcW w:w="1656" w:type="dxa"/>
            <w:tcBorders>
              <w:top w:val="nil"/>
              <w:left w:val="nil"/>
              <w:bottom w:val="nil"/>
              <w:right w:val="nil"/>
            </w:tcBorders>
          </w:tcPr>
          <w:p w14:paraId="4A3AD6BF"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-0.00721</w:t>
            </w:r>
          </w:p>
        </w:tc>
        <w:tc>
          <w:tcPr>
            <w:tcW w:w="1656" w:type="dxa"/>
            <w:tcBorders>
              <w:top w:val="nil"/>
              <w:left w:val="nil"/>
              <w:bottom w:val="nil"/>
              <w:right w:val="nil"/>
            </w:tcBorders>
          </w:tcPr>
          <w:p w14:paraId="4E4D3BDF"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-0.00268</w:t>
            </w:r>
          </w:p>
        </w:tc>
      </w:tr>
      <w:tr w:rsidR="005C2F54" w14:paraId="72DD175D" w14:textId="77777777" w:rsidTr="00F16287">
        <w:tc>
          <w:tcPr>
            <w:tcW w:w="2136" w:type="dxa"/>
            <w:tcBorders>
              <w:top w:val="nil"/>
              <w:left w:val="nil"/>
              <w:bottom w:val="nil"/>
              <w:right w:val="nil"/>
            </w:tcBorders>
          </w:tcPr>
          <w:p w14:paraId="5D8E60A2"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A1E0C4E"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(-0.98)</w:t>
            </w:r>
          </w:p>
        </w:tc>
        <w:tc>
          <w:tcPr>
            <w:tcW w:w="1656" w:type="dxa"/>
            <w:tcBorders>
              <w:top w:val="nil"/>
              <w:left w:val="nil"/>
              <w:bottom w:val="nil"/>
              <w:right w:val="nil"/>
            </w:tcBorders>
          </w:tcPr>
          <w:p w14:paraId="2DCAE3EE"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656" w:type="dxa"/>
            <w:tcBorders>
              <w:top w:val="nil"/>
              <w:left w:val="nil"/>
              <w:bottom w:val="nil"/>
              <w:right w:val="nil"/>
            </w:tcBorders>
          </w:tcPr>
          <w:p w14:paraId="5B96E1E6"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(-1.81)</w:t>
            </w:r>
          </w:p>
        </w:tc>
        <w:tc>
          <w:tcPr>
            <w:tcW w:w="1656" w:type="dxa"/>
            <w:tcBorders>
              <w:top w:val="nil"/>
              <w:left w:val="nil"/>
              <w:bottom w:val="nil"/>
              <w:right w:val="nil"/>
            </w:tcBorders>
          </w:tcPr>
          <w:p w14:paraId="4665167C"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656" w:type="dxa"/>
            <w:tcBorders>
              <w:top w:val="nil"/>
              <w:left w:val="nil"/>
              <w:bottom w:val="nil"/>
              <w:right w:val="nil"/>
            </w:tcBorders>
          </w:tcPr>
          <w:p w14:paraId="2F1C7C66"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r>
      <w:tr w:rsidR="005C2F54" w14:paraId="15D39757" w14:textId="77777777" w:rsidTr="00F16287">
        <w:tc>
          <w:tcPr>
            <w:tcW w:w="2136" w:type="dxa"/>
            <w:tcBorders>
              <w:top w:val="nil"/>
              <w:left w:val="nil"/>
              <w:bottom w:val="nil"/>
              <w:right w:val="nil"/>
            </w:tcBorders>
          </w:tcPr>
          <w:p w14:paraId="26D64179"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49A8E03"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846AE68"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A9D90CB"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9C87A63"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0BFC1B"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r>
      <w:tr w:rsidR="005C2F54" w14:paraId="4C92AD64" w14:textId="77777777" w:rsidTr="00F16287">
        <w:tc>
          <w:tcPr>
            <w:tcW w:w="2136" w:type="dxa"/>
            <w:tcBorders>
              <w:top w:val="nil"/>
              <w:left w:val="nil"/>
              <w:bottom w:val="nil"/>
              <w:right w:val="nil"/>
            </w:tcBorders>
          </w:tcPr>
          <w:p w14:paraId="71619E13"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48FA24F4"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-0.00869</w:t>
            </w:r>
          </w:p>
        </w:tc>
        <w:tc>
          <w:tcPr>
            <w:tcW w:w="1656" w:type="dxa"/>
            <w:tcBorders>
              <w:top w:val="nil"/>
              <w:left w:val="nil"/>
              <w:bottom w:val="nil"/>
              <w:right w:val="nil"/>
            </w:tcBorders>
          </w:tcPr>
          <w:p w14:paraId="3F688DC4"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9136BFA"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-0.00776</w:t>
            </w:r>
          </w:p>
        </w:tc>
        <w:tc>
          <w:tcPr>
            <w:tcW w:w="1656" w:type="dxa"/>
            <w:tcBorders>
              <w:top w:val="nil"/>
              <w:left w:val="nil"/>
              <w:bottom w:val="nil"/>
              <w:right w:val="nil"/>
            </w:tcBorders>
          </w:tcPr>
          <w:p w14:paraId="69220C24"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A38B55E"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0.00917</w:t>
            </w:r>
          </w:p>
        </w:tc>
      </w:tr>
      <w:tr w:rsidR="005C2F54" w14:paraId="572658ED" w14:textId="77777777" w:rsidTr="00F16287">
        <w:tc>
          <w:tcPr>
            <w:tcW w:w="2136" w:type="dxa"/>
            <w:tcBorders>
              <w:top w:val="nil"/>
              <w:left w:val="nil"/>
              <w:bottom w:val="nil"/>
              <w:right w:val="nil"/>
            </w:tcBorders>
          </w:tcPr>
          <w:p w14:paraId="3212B1CA"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23B71C5"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w:t>
            </w:r>
          </w:p>
        </w:tc>
        <w:tc>
          <w:tcPr>
            <w:tcW w:w="1656" w:type="dxa"/>
            <w:tcBorders>
              <w:top w:val="nil"/>
              <w:left w:val="nil"/>
              <w:bottom w:val="nil"/>
              <w:right w:val="nil"/>
            </w:tcBorders>
          </w:tcPr>
          <w:p w14:paraId="0D884ED0"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(-2.93)</w:t>
            </w:r>
          </w:p>
        </w:tc>
        <w:tc>
          <w:tcPr>
            <w:tcW w:w="1656" w:type="dxa"/>
            <w:tcBorders>
              <w:top w:val="nil"/>
              <w:left w:val="nil"/>
              <w:bottom w:val="nil"/>
              <w:right w:val="nil"/>
            </w:tcBorders>
          </w:tcPr>
          <w:p w14:paraId="41443689"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w:t>
            </w:r>
          </w:p>
        </w:tc>
        <w:tc>
          <w:tcPr>
            <w:tcW w:w="1656" w:type="dxa"/>
            <w:tcBorders>
              <w:top w:val="nil"/>
              <w:left w:val="nil"/>
              <w:bottom w:val="nil"/>
              <w:right w:val="nil"/>
            </w:tcBorders>
          </w:tcPr>
          <w:p w14:paraId="70ED0FB7"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(2.13)</w:t>
            </w:r>
          </w:p>
        </w:tc>
        <w:tc>
          <w:tcPr>
            <w:tcW w:w="1656" w:type="dxa"/>
            <w:tcBorders>
              <w:top w:val="nil"/>
              <w:left w:val="nil"/>
              <w:bottom w:val="nil"/>
              <w:right w:val="nil"/>
            </w:tcBorders>
          </w:tcPr>
          <w:p w14:paraId="5180D98A"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5C2F54" w14:paraId="6599025A" w14:textId="77777777" w:rsidTr="00F16287">
        <w:tc>
          <w:tcPr>
            <w:tcW w:w="2136" w:type="dxa"/>
            <w:tcBorders>
              <w:top w:val="nil"/>
              <w:left w:val="nil"/>
              <w:bottom w:val="nil"/>
              <w:right w:val="nil"/>
            </w:tcBorders>
          </w:tcPr>
          <w:p w14:paraId="752E551C"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D840B49"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DB1A997"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3C3D6EE"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B193077"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065346D"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r>
      <w:tr w:rsidR="005C2F54" w14:paraId="3A885321" w14:textId="77777777" w:rsidTr="00F16287">
        <w:tc>
          <w:tcPr>
            <w:tcW w:w="2136" w:type="dxa"/>
            <w:tcBorders>
              <w:top w:val="nil"/>
              <w:left w:val="nil"/>
              <w:bottom w:val="nil"/>
              <w:right w:val="nil"/>
            </w:tcBorders>
          </w:tcPr>
          <w:p w14:paraId="39FC1ED9"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 * Chinn-Ito index, normalized</w:t>
            </w:r>
          </w:p>
        </w:tc>
        <w:tc>
          <w:tcPr>
            <w:tcW w:w="1656" w:type="dxa"/>
            <w:tcBorders>
              <w:top w:val="nil"/>
              <w:left w:val="nil"/>
              <w:bottom w:val="nil"/>
              <w:right w:val="nil"/>
            </w:tcBorders>
          </w:tcPr>
          <w:p w14:paraId="183830BE"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0.0146</w:t>
            </w:r>
          </w:p>
        </w:tc>
        <w:tc>
          <w:tcPr>
            <w:tcW w:w="1656" w:type="dxa"/>
            <w:tcBorders>
              <w:top w:val="nil"/>
              <w:left w:val="nil"/>
              <w:bottom w:val="nil"/>
              <w:right w:val="nil"/>
            </w:tcBorders>
          </w:tcPr>
          <w:p w14:paraId="3EB2AE8F"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0.0173</w:t>
            </w:r>
          </w:p>
        </w:tc>
        <w:tc>
          <w:tcPr>
            <w:tcW w:w="1656" w:type="dxa"/>
            <w:tcBorders>
              <w:top w:val="nil"/>
              <w:left w:val="nil"/>
              <w:bottom w:val="nil"/>
              <w:right w:val="nil"/>
            </w:tcBorders>
          </w:tcPr>
          <w:p w14:paraId="67DF6D01"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0.0205</w:t>
            </w:r>
          </w:p>
        </w:tc>
        <w:tc>
          <w:tcPr>
            <w:tcW w:w="1656" w:type="dxa"/>
            <w:tcBorders>
              <w:top w:val="nil"/>
              <w:left w:val="nil"/>
              <w:bottom w:val="nil"/>
              <w:right w:val="nil"/>
            </w:tcBorders>
          </w:tcPr>
          <w:p w14:paraId="01659D07"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-0.0286</w:t>
            </w:r>
          </w:p>
        </w:tc>
        <w:tc>
          <w:tcPr>
            <w:tcW w:w="1656" w:type="dxa"/>
            <w:tcBorders>
              <w:top w:val="nil"/>
              <w:left w:val="nil"/>
              <w:bottom w:val="nil"/>
              <w:right w:val="nil"/>
            </w:tcBorders>
          </w:tcPr>
          <w:p w14:paraId="3245CAF8"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-0.00582</w:t>
            </w:r>
          </w:p>
        </w:tc>
      </w:tr>
      <w:tr w:rsidR="005C2F54" w14:paraId="55DB18A0" w14:textId="77777777" w:rsidTr="00F16287">
        <w:tc>
          <w:tcPr>
            <w:tcW w:w="2136" w:type="dxa"/>
            <w:tcBorders>
              <w:top w:val="nil"/>
              <w:left w:val="nil"/>
              <w:bottom w:val="nil"/>
              <w:right w:val="nil"/>
            </w:tcBorders>
          </w:tcPr>
          <w:p w14:paraId="1AE9DF76"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92E7229"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(0.77)</w:t>
            </w:r>
          </w:p>
        </w:tc>
        <w:tc>
          <w:tcPr>
            <w:tcW w:w="1656" w:type="dxa"/>
            <w:tcBorders>
              <w:top w:val="nil"/>
              <w:left w:val="nil"/>
              <w:bottom w:val="nil"/>
              <w:right w:val="nil"/>
            </w:tcBorders>
          </w:tcPr>
          <w:p w14:paraId="25DE3C87"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w:t>
            </w:r>
          </w:p>
        </w:tc>
        <w:tc>
          <w:tcPr>
            <w:tcW w:w="1656" w:type="dxa"/>
            <w:tcBorders>
              <w:top w:val="nil"/>
              <w:left w:val="nil"/>
              <w:bottom w:val="nil"/>
              <w:right w:val="nil"/>
            </w:tcBorders>
          </w:tcPr>
          <w:p w14:paraId="59C4D245"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(1.02)</w:t>
            </w:r>
          </w:p>
        </w:tc>
        <w:tc>
          <w:tcPr>
            <w:tcW w:w="1656" w:type="dxa"/>
            <w:tcBorders>
              <w:top w:val="nil"/>
              <w:left w:val="nil"/>
              <w:bottom w:val="nil"/>
              <w:right w:val="nil"/>
            </w:tcBorders>
          </w:tcPr>
          <w:p w14:paraId="6EC388FD"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(-1.66)</w:t>
            </w:r>
          </w:p>
        </w:tc>
        <w:tc>
          <w:tcPr>
            <w:tcW w:w="1656" w:type="dxa"/>
            <w:tcBorders>
              <w:top w:val="nil"/>
              <w:left w:val="nil"/>
              <w:bottom w:val="nil"/>
              <w:right w:val="nil"/>
            </w:tcBorders>
          </w:tcPr>
          <w:p w14:paraId="5E6B4FA3"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r>
      <w:tr w:rsidR="005C2F54" w14:paraId="5FAFA5A8" w14:textId="77777777" w:rsidTr="00F16287">
        <w:tc>
          <w:tcPr>
            <w:tcW w:w="2136" w:type="dxa"/>
            <w:tcBorders>
              <w:top w:val="nil"/>
              <w:left w:val="nil"/>
              <w:bottom w:val="nil"/>
              <w:right w:val="nil"/>
            </w:tcBorders>
          </w:tcPr>
          <w:p w14:paraId="514C87FE"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009FB43"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9F8E09B"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CD54AD"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F366B74"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5C4F31E"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r>
      <w:tr w:rsidR="005C2F54" w14:paraId="0F86E29F" w14:textId="77777777" w:rsidTr="00F16287">
        <w:tc>
          <w:tcPr>
            <w:tcW w:w="2136" w:type="dxa"/>
            <w:tcBorders>
              <w:top w:val="nil"/>
              <w:left w:val="nil"/>
              <w:bottom w:val="nil"/>
              <w:right w:val="nil"/>
            </w:tcBorders>
          </w:tcPr>
          <w:p w14:paraId="7072FD1D"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06652EA2"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0.771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2BAC24F"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1BD3927"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0.781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34648BC"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A613DA6"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0.113</w:t>
            </w:r>
          </w:p>
        </w:tc>
      </w:tr>
      <w:tr w:rsidR="005C2F54" w14:paraId="322B7FFB" w14:textId="77777777" w:rsidTr="00F16287">
        <w:tc>
          <w:tcPr>
            <w:tcW w:w="2136" w:type="dxa"/>
            <w:tcBorders>
              <w:top w:val="nil"/>
              <w:left w:val="nil"/>
              <w:bottom w:val="single" w:sz="4" w:space="0" w:color="auto"/>
              <w:right w:val="nil"/>
            </w:tcBorders>
          </w:tcPr>
          <w:p w14:paraId="44B0B505"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4A1D50B1"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(6.11)</w:t>
            </w:r>
          </w:p>
        </w:tc>
        <w:tc>
          <w:tcPr>
            <w:tcW w:w="1656" w:type="dxa"/>
            <w:tcBorders>
              <w:top w:val="nil"/>
              <w:left w:val="nil"/>
              <w:bottom w:val="single" w:sz="4" w:space="0" w:color="auto"/>
              <w:right w:val="nil"/>
            </w:tcBorders>
          </w:tcPr>
          <w:p w14:paraId="61AD61E7"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(4.57)</w:t>
            </w:r>
          </w:p>
        </w:tc>
        <w:tc>
          <w:tcPr>
            <w:tcW w:w="1656" w:type="dxa"/>
            <w:tcBorders>
              <w:top w:val="nil"/>
              <w:left w:val="nil"/>
              <w:bottom w:val="single" w:sz="4" w:space="0" w:color="auto"/>
              <w:right w:val="nil"/>
            </w:tcBorders>
          </w:tcPr>
          <w:p w14:paraId="5391BF52"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(5.83)</w:t>
            </w:r>
          </w:p>
        </w:tc>
        <w:tc>
          <w:tcPr>
            <w:tcW w:w="1656" w:type="dxa"/>
            <w:tcBorders>
              <w:top w:val="nil"/>
              <w:left w:val="nil"/>
              <w:bottom w:val="single" w:sz="4" w:space="0" w:color="auto"/>
              <w:right w:val="nil"/>
            </w:tcBorders>
          </w:tcPr>
          <w:p w14:paraId="196595EB"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656" w:type="dxa"/>
            <w:tcBorders>
              <w:top w:val="nil"/>
              <w:left w:val="nil"/>
              <w:bottom w:val="single" w:sz="4" w:space="0" w:color="auto"/>
              <w:right w:val="nil"/>
            </w:tcBorders>
          </w:tcPr>
          <w:p w14:paraId="693505C7"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(1.91)</w:t>
            </w:r>
          </w:p>
        </w:tc>
      </w:tr>
      <w:tr w:rsidR="005C2F54" w14:paraId="0DE7F272" w14:textId="77777777" w:rsidTr="00F16287">
        <w:tc>
          <w:tcPr>
            <w:tcW w:w="2136" w:type="dxa"/>
            <w:tcBorders>
              <w:top w:val="nil"/>
              <w:left w:val="nil"/>
              <w:bottom w:val="single" w:sz="4" w:space="0" w:color="auto"/>
              <w:right w:val="nil"/>
            </w:tcBorders>
          </w:tcPr>
          <w:p w14:paraId="49D98E1C" w14:textId="77777777" w:rsidR="005C2F54" w:rsidRDefault="005C2F54"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3A2D9E6A"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1520</w:t>
            </w:r>
          </w:p>
        </w:tc>
        <w:tc>
          <w:tcPr>
            <w:tcW w:w="1656" w:type="dxa"/>
            <w:tcBorders>
              <w:top w:val="nil"/>
              <w:left w:val="nil"/>
              <w:bottom w:val="single" w:sz="4" w:space="0" w:color="auto"/>
              <w:right w:val="nil"/>
            </w:tcBorders>
          </w:tcPr>
          <w:p w14:paraId="032324F9"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1521</w:t>
            </w:r>
          </w:p>
        </w:tc>
        <w:tc>
          <w:tcPr>
            <w:tcW w:w="1656" w:type="dxa"/>
            <w:tcBorders>
              <w:top w:val="nil"/>
              <w:left w:val="nil"/>
              <w:bottom w:val="single" w:sz="4" w:space="0" w:color="auto"/>
              <w:right w:val="nil"/>
            </w:tcBorders>
          </w:tcPr>
          <w:p w14:paraId="764E1D79"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1238</w:t>
            </w:r>
          </w:p>
        </w:tc>
        <w:tc>
          <w:tcPr>
            <w:tcW w:w="1656" w:type="dxa"/>
            <w:tcBorders>
              <w:top w:val="nil"/>
              <w:left w:val="nil"/>
              <w:bottom w:val="single" w:sz="4" w:space="0" w:color="auto"/>
              <w:right w:val="nil"/>
            </w:tcBorders>
          </w:tcPr>
          <w:p w14:paraId="2DCDB3EE"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2556</w:t>
            </w:r>
          </w:p>
        </w:tc>
        <w:tc>
          <w:tcPr>
            <w:tcW w:w="1656" w:type="dxa"/>
            <w:tcBorders>
              <w:top w:val="nil"/>
              <w:left w:val="nil"/>
              <w:bottom w:val="single" w:sz="4" w:space="0" w:color="auto"/>
              <w:right w:val="nil"/>
            </w:tcBorders>
          </w:tcPr>
          <w:p w14:paraId="477C7D83" w14:textId="77777777" w:rsidR="005C2F54" w:rsidRDefault="005C2F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4105</w:t>
            </w:r>
          </w:p>
        </w:tc>
      </w:tr>
    </w:tbl>
    <w:p w14:paraId="164CA974" w14:textId="77777777" w:rsidR="003E06E6" w:rsidRDefault="003E06E6" w:rsidP="003E06E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 xml:space="preserve"> statistics in parentheses</w:t>
      </w:r>
    </w:p>
    <w:p w14:paraId="160D76CC" w14:textId="77777777" w:rsidR="003E06E6" w:rsidRDefault="003E06E6" w:rsidP="003E06E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0.001</w:t>
      </w:r>
    </w:p>
    <w:p w14:paraId="2192C2A8" w14:textId="13398B33" w:rsidR="007323BE" w:rsidRDefault="007323BE" w:rsidP="002338C3">
      <w:pPr>
        <w:widowControl w:val="0"/>
        <w:autoSpaceDE w:val="0"/>
        <w:autoSpaceDN w:val="0"/>
        <w:adjustRightInd w:val="0"/>
        <w:spacing w:after="0" w:line="240" w:lineRule="auto"/>
        <w:rPr>
          <w:strike/>
          <w:highlight w:val="yellow"/>
        </w:rPr>
      </w:pPr>
    </w:p>
    <w:p w14:paraId="219DEC0F" w14:textId="751B3F3B" w:rsidR="006570EE" w:rsidRDefault="006F2982" w:rsidP="006F2982">
      <w:r w:rsidRPr="006F2982">
        <w:t>Hig</w:t>
      </w:r>
      <w:r>
        <w:t>h openness tertiary IV</w:t>
      </w:r>
      <w:r w:rsidR="004642DB">
        <w:t>, de jure</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6F2982" w14:paraId="2F75C86F" w14:textId="77777777" w:rsidTr="00015B88">
        <w:tc>
          <w:tcPr>
            <w:tcW w:w="2136" w:type="dxa"/>
            <w:tcBorders>
              <w:top w:val="single" w:sz="4" w:space="0" w:color="auto"/>
              <w:left w:val="nil"/>
              <w:bottom w:val="nil"/>
              <w:right w:val="nil"/>
            </w:tcBorders>
          </w:tcPr>
          <w:p w14:paraId="39C3574B"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15F8AABF"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7FBB1456"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470814DD"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1C15323C"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7434FA5D"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6F2982" w14:paraId="4B51E192" w14:textId="77777777" w:rsidTr="00015B88">
        <w:tc>
          <w:tcPr>
            <w:tcW w:w="2136" w:type="dxa"/>
            <w:tcBorders>
              <w:top w:val="nil"/>
              <w:left w:val="nil"/>
              <w:bottom w:val="nil"/>
              <w:right w:val="nil"/>
            </w:tcBorders>
          </w:tcPr>
          <w:p w14:paraId="54970D89"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1EF17FC"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0C7808E0"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73F9232F"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37C7A98D"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01C05A39"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6F2982" w14:paraId="033F506E" w14:textId="77777777" w:rsidTr="00015B88">
        <w:tc>
          <w:tcPr>
            <w:tcW w:w="2136" w:type="dxa"/>
            <w:tcBorders>
              <w:top w:val="single" w:sz="4" w:space="0" w:color="auto"/>
              <w:left w:val="nil"/>
              <w:bottom w:val="nil"/>
              <w:right w:val="nil"/>
            </w:tcBorders>
          </w:tcPr>
          <w:p w14:paraId="1F4785F8"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 Jure CBI (CNW Index)</w:t>
            </w:r>
          </w:p>
        </w:tc>
        <w:tc>
          <w:tcPr>
            <w:tcW w:w="1656" w:type="dxa"/>
            <w:tcBorders>
              <w:top w:val="single" w:sz="4" w:space="0" w:color="auto"/>
              <w:left w:val="nil"/>
              <w:bottom w:val="nil"/>
              <w:right w:val="nil"/>
            </w:tcBorders>
          </w:tcPr>
          <w:p w14:paraId="15EB431A"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0.984</w:t>
            </w:r>
          </w:p>
        </w:tc>
        <w:tc>
          <w:tcPr>
            <w:tcW w:w="1656" w:type="dxa"/>
            <w:tcBorders>
              <w:top w:val="single" w:sz="4" w:space="0" w:color="auto"/>
              <w:left w:val="nil"/>
              <w:bottom w:val="nil"/>
              <w:right w:val="nil"/>
            </w:tcBorders>
          </w:tcPr>
          <w:p w14:paraId="7D7A0546"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-1.564</w:t>
            </w:r>
          </w:p>
        </w:tc>
        <w:tc>
          <w:tcPr>
            <w:tcW w:w="1656" w:type="dxa"/>
            <w:tcBorders>
              <w:top w:val="single" w:sz="4" w:space="0" w:color="auto"/>
              <w:left w:val="nil"/>
              <w:bottom w:val="nil"/>
              <w:right w:val="nil"/>
            </w:tcBorders>
          </w:tcPr>
          <w:p w14:paraId="4D293D8C"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1.810</w:t>
            </w:r>
          </w:p>
        </w:tc>
        <w:tc>
          <w:tcPr>
            <w:tcW w:w="1656" w:type="dxa"/>
            <w:tcBorders>
              <w:top w:val="single" w:sz="4" w:space="0" w:color="auto"/>
              <w:left w:val="nil"/>
              <w:bottom w:val="nil"/>
              <w:right w:val="nil"/>
            </w:tcBorders>
          </w:tcPr>
          <w:p w14:paraId="422B0C16"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12.70</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087B74DF"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1.846</w:t>
            </w:r>
            <w:r>
              <w:rPr>
                <w:rFonts w:ascii="Times New Roman" w:hAnsi="Times New Roman" w:cs="Times New Roman"/>
                <w:sz w:val="24"/>
                <w:szCs w:val="24"/>
                <w:vertAlign w:val="superscript"/>
              </w:rPr>
              <w:t>**</w:t>
            </w:r>
          </w:p>
        </w:tc>
      </w:tr>
      <w:tr w:rsidR="006F2982" w14:paraId="636B1EA3" w14:textId="77777777" w:rsidTr="00015B88">
        <w:tc>
          <w:tcPr>
            <w:tcW w:w="2136" w:type="dxa"/>
            <w:tcBorders>
              <w:top w:val="nil"/>
              <w:left w:val="nil"/>
              <w:bottom w:val="nil"/>
              <w:right w:val="nil"/>
            </w:tcBorders>
          </w:tcPr>
          <w:p w14:paraId="2EFD2F07"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201F9AF"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656" w:type="dxa"/>
            <w:tcBorders>
              <w:top w:val="nil"/>
              <w:left w:val="nil"/>
              <w:bottom w:val="nil"/>
              <w:right w:val="nil"/>
            </w:tcBorders>
          </w:tcPr>
          <w:p w14:paraId="60D48CC2"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(-1.48)</w:t>
            </w:r>
          </w:p>
        </w:tc>
        <w:tc>
          <w:tcPr>
            <w:tcW w:w="1656" w:type="dxa"/>
            <w:tcBorders>
              <w:top w:val="nil"/>
              <w:left w:val="nil"/>
              <w:bottom w:val="nil"/>
              <w:right w:val="nil"/>
            </w:tcBorders>
          </w:tcPr>
          <w:p w14:paraId="5528D4AE"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(1.27)</w:t>
            </w:r>
          </w:p>
        </w:tc>
        <w:tc>
          <w:tcPr>
            <w:tcW w:w="1656" w:type="dxa"/>
            <w:tcBorders>
              <w:top w:val="nil"/>
              <w:left w:val="nil"/>
              <w:bottom w:val="nil"/>
              <w:right w:val="nil"/>
            </w:tcBorders>
          </w:tcPr>
          <w:p w14:paraId="1A73E7C3"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(6.40)</w:t>
            </w:r>
          </w:p>
        </w:tc>
        <w:tc>
          <w:tcPr>
            <w:tcW w:w="1656" w:type="dxa"/>
            <w:tcBorders>
              <w:top w:val="nil"/>
              <w:left w:val="nil"/>
              <w:bottom w:val="nil"/>
              <w:right w:val="nil"/>
            </w:tcBorders>
          </w:tcPr>
          <w:p w14:paraId="6B8EE16E"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(2.63)</w:t>
            </w:r>
          </w:p>
        </w:tc>
      </w:tr>
      <w:tr w:rsidR="006F2982" w14:paraId="18F23C45" w14:textId="77777777" w:rsidTr="00015B88">
        <w:tc>
          <w:tcPr>
            <w:tcW w:w="2136" w:type="dxa"/>
            <w:tcBorders>
              <w:top w:val="nil"/>
              <w:left w:val="nil"/>
              <w:bottom w:val="nil"/>
              <w:right w:val="nil"/>
            </w:tcBorders>
          </w:tcPr>
          <w:p w14:paraId="1F833FCA"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932E36E"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04BAB89"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2005F90"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35F0B62"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044580A"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p>
        </w:tc>
      </w:tr>
      <w:tr w:rsidR="006F2982" w14:paraId="5023EA0A" w14:textId="77777777" w:rsidTr="00015B88">
        <w:tc>
          <w:tcPr>
            <w:tcW w:w="2136" w:type="dxa"/>
            <w:tcBorders>
              <w:top w:val="nil"/>
              <w:left w:val="nil"/>
              <w:bottom w:val="nil"/>
              <w:right w:val="nil"/>
            </w:tcBorders>
          </w:tcPr>
          <w:p w14:paraId="1FFEE53B"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10ACCAD3"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-0.00531</w:t>
            </w:r>
          </w:p>
        </w:tc>
        <w:tc>
          <w:tcPr>
            <w:tcW w:w="1656" w:type="dxa"/>
            <w:tcBorders>
              <w:top w:val="nil"/>
              <w:left w:val="nil"/>
              <w:bottom w:val="nil"/>
              <w:right w:val="nil"/>
            </w:tcBorders>
          </w:tcPr>
          <w:p w14:paraId="4FEDB194"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0.0358</w:t>
            </w:r>
          </w:p>
        </w:tc>
        <w:tc>
          <w:tcPr>
            <w:tcW w:w="1656" w:type="dxa"/>
            <w:tcBorders>
              <w:top w:val="nil"/>
              <w:left w:val="nil"/>
              <w:bottom w:val="nil"/>
              <w:right w:val="nil"/>
            </w:tcBorders>
          </w:tcPr>
          <w:p w14:paraId="6CC26C0E"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0.0113</w:t>
            </w:r>
          </w:p>
        </w:tc>
        <w:tc>
          <w:tcPr>
            <w:tcW w:w="1656" w:type="dxa"/>
            <w:tcBorders>
              <w:top w:val="nil"/>
              <w:left w:val="nil"/>
              <w:bottom w:val="nil"/>
              <w:right w:val="nil"/>
            </w:tcBorders>
          </w:tcPr>
          <w:p w14:paraId="79B84780"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D9BE16D"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-0.0192</w:t>
            </w:r>
          </w:p>
        </w:tc>
      </w:tr>
      <w:tr w:rsidR="006F2982" w14:paraId="48E944CC" w14:textId="77777777" w:rsidTr="00015B88">
        <w:tc>
          <w:tcPr>
            <w:tcW w:w="2136" w:type="dxa"/>
            <w:tcBorders>
              <w:top w:val="nil"/>
              <w:left w:val="nil"/>
              <w:bottom w:val="nil"/>
              <w:right w:val="nil"/>
            </w:tcBorders>
          </w:tcPr>
          <w:p w14:paraId="0CD65A80"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5AA450"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656" w:type="dxa"/>
            <w:tcBorders>
              <w:top w:val="nil"/>
              <w:left w:val="nil"/>
              <w:bottom w:val="nil"/>
              <w:right w:val="nil"/>
            </w:tcBorders>
          </w:tcPr>
          <w:p w14:paraId="2E5E534D"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(0.73)</w:t>
            </w:r>
          </w:p>
        </w:tc>
        <w:tc>
          <w:tcPr>
            <w:tcW w:w="1656" w:type="dxa"/>
            <w:tcBorders>
              <w:top w:val="nil"/>
              <w:left w:val="nil"/>
              <w:bottom w:val="nil"/>
              <w:right w:val="nil"/>
            </w:tcBorders>
          </w:tcPr>
          <w:p w14:paraId="73AE7A53"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656" w:type="dxa"/>
            <w:tcBorders>
              <w:top w:val="nil"/>
              <w:left w:val="nil"/>
              <w:bottom w:val="nil"/>
              <w:right w:val="nil"/>
            </w:tcBorders>
          </w:tcPr>
          <w:p w14:paraId="0797BBB1"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(-3.96)</w:t>
            </w:r>
          </w:p>
        </w:tc>
        <w:tc>
          <w:tcPr>
            <w:tcW w:w="1656" w:type="dxa"/>
            <w:tcBorders>
              <w:top w:val="nil"/>
              <w:left w:val="nil"/>
              <w:bottom w:val="nil"/>
              <w:right w:val="nil"/>
            </w:tcBorders>
          </w:tcPr>
          <w:p w14:paraId="63081A63"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(-0.89)</w:t>
            </w:r>
          </w:p>
        </w:tc>
      </w:tr>
      <w:tr w:rsidR="006F2982" w14:paraId="75A6AC1E" w14:textId="77777777" w:rsidTr="00015B88">
        <w:tc>
          <w:tcPr>
            <w:tcW w:w="2136" w:type="dxa"/>
            <w:tcBorders>
              <w:top w:val="nil"/>
              <w:left w:val="nil"/>
              <w:bottom w:val="nil"/>
              <w:right w:val="nil"/>
            </w:tcBorders>
          </w:tcPr>
          <w:p w14:paraId="3801111D"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BFA588F"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E242350"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6BAB32"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C93962C"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4F4FD4F"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p>
        </w:tc>
      </w:tr>
      <w:tr w:rsidR="006F2982" w14:paraId="31F02D7B" w14:textId="77777777" w:rsidTr="00015B88">
        <w:tc>
          <w:tcPr>
            <w:tcW w:w="2136" w:type="dxa"/>
            <w:tcBorders>
              <w:top w:val="nil"/>
              <w:left w:val="nil"/>
              <w:bottom w:val="nil"/>
              <w:right w:val="nil"/>
            </w:tcBorders>
          </w:tcPr>
          <w:p w14:paraId="1625F4CF"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492D710E"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0.154</w:t>
            </w:r>
          </w:p>
        </w:tc>
        <w:tc>
          <w:tcPr>
            <w:tcW w:w="1656" w:type="dxa"/>
            <w:tcBorders>
              <w:top w:val="nil"/>
              <w:left w:val="nil"/>
              <w:bottom w:val="nil"/>
              <w:right w:val="nil"/>
            </w:tcBorders>
          </w:tcPr>
          <w:p w14:paraId="6F570757"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8C18BF7"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-0.415</w:t>
            </w:r>
          </w:p>
        </w:tc>
        <w:tc>
          <w:tcPr>
            <w:tcW w:w="1656" w:type="dxa"/>
            <w:tcBorders>
              <w:top w:val="nil"/>
              <w:left w:val="nil"/>
              <w:bottom w:val="nil"/>
              <w:right w:val="nil"/>
            </w:tcBorders>
          </w:tcPr>
          <w:p w14:paraId="34236A35"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-6.030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DAE473F"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-0.376</w:t>
            </w:r>
          </w:p>
        </w:tc>
      </w:tr>
      <w:tr w:rsidR="006F2982" w14:paraId="22BF7C4A" w14:textId="77777777" w:rsidTr="00015B88">
        <w:tc>
          <w:tcPr>
            <w:tcW w:w="2136" w:type="dxa"/>
            <w:tcBorders>
              <w:top w:val="nil"/>
              <w:left w:val="nil"/>
              <w:bottom w:val="single" w:sz="4" w:space="0" w:color="auto"/>
              <w:right w:val="nil"/>
            </w:tcBorders>
          </w:tcPr>
          <w:p w14:paraId="660D893E"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30570D41"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656" w:type="dxa"/>
            <w:tcBorders>
              <w:top w:val="nil"/>
              <w:left w:val="nil"/>
              <w:bottom w:val="single" w:sz="4" w:space="0" w:color="auto"/>
              <w:right w:val="nil"/>
            </w:tcBorders>
          </w:tcPr>
          <w:p w14:paraId="16A44883"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(2.60)</w:t>
            </w:r>
          </w:p>
        </w:tc>
        <w:tc>
          <w:tcPr>
            <w:tcW w:w="1656" w:type="dxa"/>
            <w:tcBorders>
              <w:top w:val="nil"/>
              <w:left w:val="nil"/>
              <w:bottom w:val="single" w:sz="4" w:space="0" w:color="auto"/>
              <w:right w:val="nil"/>
            </w:tcBorders>
          </w:tcPr>
          <w:p w14:paraId="377E9186"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w:t>
            </w:r>
          </w:p>
        </w:tc>
        <w:tc>
          <w:tcPr>
            <w:tcW w:w="1656" w:type="dxa"/>
            <w:tcBorders>
              <w:top w:val="nil"/>
              <w:left w:val="nil"/>
              <w:bottom w:val="single" w:sz="4" w:space="0" w:color="auto"/>
              <w:right w:val="nil"/>
            </w:tcBorders>
          </w:tcPr>
          <w:p w14:paraId="0DA1838C"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(-5.81)</w:t>
            </w:r>
          </w:p>
        </w:tc>
        <w:tc>
          <w:tcPr>
            <w:tcW w:w="1656" w:type="dxa"/>
            <w:tcBorders>
              <w:top w:val="nil"/>
              <w:left w:val="nil"/>
              <w:bottom w:val="single" w:sz="4" w:space="0" w:color="auto"/>
              <w:right w:val="nil"/>
            </w:tcBorders>
          </w:tcPr>
          <w:p w14:paraId="08403860"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w:t>
            </w:r>
          </w:p>
        </w:tc>
      </w:tr>
      <w:tr w:rsidR="006F2982" w14:paraId="6715A47C" w14:textId="77777777" w:rsidTr="00015B88">
        <w:tc>
          <w:tcPr>
            <w:tcW w:w="2136" w:type="dxa"/>
            <w:tcBorders>
              <w:top w:val="nil"/>
              <w:left w:val="nil"/>
              <w:bottom w:val="single" w:sz="4" w:space="0" w:color="auto"/>
              <w:right w:val="nil"/>
            </w:tcBorders>
          </w:tcPr>
          <w:p w14:paraId="270FEC50" w14:textId="77777777" w:rsidR="006F2982" w:rsidRDefault="006F2982"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28E99334"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477</w:t>
            </w:r>
          </w:p>
        </w:tc>
        <w:tc>
          <w:tcPr>
            <w:tcW w:w="1656" w:type="dxa"/>
            <w:tcBorders>
              <w:top w:val="nil"/>
              <w:left w:val="nil"/>
              <w:bottom w:val="single" w:sz="4" w:space="0" w:color="auto"/>
              <w:right w:val="nil"/>
            </w:tcBorders>
          </w:tcPr>
          <w:p w14:paraId="23C0F913"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477</w:t>
            </w:r>
          </w:p>
        </w:tc>
        <w:tc>
          <w:tcPr>
            <w:tcW w:w="1656" w:type="dxa"/>
            <w:tcBorders>
              <w:top w:val="nil"/>
              <w:left w:val="nil"/>
              <w:bottom w:val="single" w:sz="4" w:space="0" w:color="auto"/>
              <w:right w:val="nil"/>
            </w:tcBorders>
          </w:tcPr>
          <w:p w14:paraId="3D2016CF"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656" w:type="dxa"/>
            <w:tcBorders>
              <w:top w:val="nil"/>
              <w:left w:val="nil"/>
              <w:bottom w:val="single" w:sz="4" w:space="0" w:color="auto"/>
              <w:right w:val="nil"/>
            </w:tcBorders>
          </w:tcPr>
          <w:p w14:paraId="1317D2ED"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1041</w:t>
            </w:r>
          </w:p>
        </w:tc>
        <w:tc>
          <w:tcPr>
            <w:tcW w:w="1656" w:type="dxa"/>
            <w:tcBorders>
              <w:top w:val="nil"/>
              <w:left w:val="nil"/>
              <w:bottom w:val="single" w:sz="4" w:space="0" w:color="auto"/>
              <w:right w:val="nil"/>
            </w:tcBorders>
          </w:tcPr>
          <w:p w14:paraId="14038BC4" w14:textId="77777777" w:rsidR="006F2982" w:rsidRDefault="006F298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994</w:t>
            </w:r>
          </w:p>
        </w:tc>
      </w:tr>
    </w:tbl>
    <w:p w14:paraId="4454116C" w14:textId="77777777" w:rsidR="006F2982" w:rsidRDefault="006F2982" w:rsidP="006F298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682D370C" w14:textId="77777777" w:rsidR="006F2982" w:rsidRDefault="006F2982" w:rsidP="006F298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29A5A6E5" w14:textId="3155B551" w:rsidR="006F2982" w:rsidRDefault="006F2982" w:rsidP="006F2982">
      <w:pPr>
        <w:widowControl w:val="0"/>
        <w:autoSpaceDE w:val="0"/>
        <w:autoSpaceDN w:val="0"/>
        <w:adjustRightInd w:val="0"/>
        <w:spacing w:after="0" w:line="240" w:lineRule="auto"/>
        <w:rPr>
          <w:rFonts w:ascii="Times New Roman" w:hAnsi="Times New Roman" w:cs="Times New Roman"/>
          <w:sz w:val="24"/>
          <w:szCs w:val="24"/>
        </w:rPr>
      </w:pPr>
    </w:p>
    <w:p w14:paraId="4019BA12" w14:textId="654FE44C" w:rsidR="004642DB" w:rsidRDefault="004642DB" w:rsidP="006F298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Low openness tert</w:t>
      </w:r>
      <w:r w:rsidR="00FB5C2E">
        <w:rPr>
          <w:rFonts w:ascii="Times New Roman" w:hAnsi="Times New Roman" w:cs="Times New Roman"/>
          <w:sz w:val="24"/>
          <w:szCs w:val="24"/>
        </w:rPr>
        <w:t>i</w:t>
      </w:r>
      <w:r>
        <w:rPr>
          <w:rFonts w:ascii="Times New Roman" w:hAnsi="Times New Roman" w:cs="Times New Roman"/>
          <w:sz w:val="24"/>
          <w:szCs w:val="24"/>
        </w:rPr>
        <w:t>ary IV, de jure</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4642DB" w14:paraId="7237B51C" w14:textId="77777777" w:rsidTr="00015B88">
        <w:tc>
          <w:tcPr>
            <w:tcW w:w="2136" w:type="dxa"/>
            <w:tcBorders>
              <w:top w:val="single" w:sz="4" w:space="0" w:color="auto"/>
              <w:left w:val="nil"/>
              <w:bottom w:val="nil"/>
              <w:right w:val="nil"/>
            </w:tcBorders>
          </w:tcPr>
          <w:p w14:paraId="6F1C6AEA"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303E831A"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69384C18"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2FCC11C8"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42D2F00F"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31505773"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4642DB" w14:paraId="2D7B7991" w14:textId="77777777" w:rsidTr="00015B88">
        <w:tc>
          <w:tcPr>
            <w:tcW w:w="2136" w:type="dxa"/>
            <w:tcBorders>
              <w:top w:val="nil"/>
              <w:left w:val="nil"/>
              <w:bottom w:val="nil"/>
              <w:right w:val="nil"/>
            </w:tcBorders>
          </w:tcPr>
          <w:p w14:paraId="5E2BE74F"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555B084"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5361AA98"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64DA5F9C"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2892CE12"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22F85FAF"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4642DB" w14:paraId="04EE0AA8" w14:textId="77777777" w:rsidTr="00015B88">
        <w:tc>
          <w:tcPr>
            <w:tcW w:w="2136" w:type="dxa"/>
            <w:tcBorders>
              <w:top w:val="single" w:sz="4" w:space="0" w:color="auto"/>
              <w:left w:val="nil"/>
              <w:bottom w:val="nil"/>
              <w:right w:val="nil"/>
            </w:tcBorders>
          </w:tcPr>
          <w:p w14:paraId="74F383F8"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 Jure CBI (CNW Index)</w:t>
            </w:r>
          </w:p>
        </w:tc>
        <w:tc>
          <w:tcPr>
            <w:tcW w:w="1656" w:type="dxa"/>
            <w:tcBorders>
              <w:top w:val="single" w:sz="4" w:space="0" w:color="auto"/>
              <w:left w:val="nil"/>
              <w:bottom w:val="nil"/>
              <w:right w:val="nil"/>
            </w:tcBorders>
          </w:tcPr>
          <w:p w14:paraId="3D1AA832"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-0.130</w:t>
            </w:r>
          </w:p>
        </w:tc>
        <w:tc>
          <w:tcPr>
            <w:tcW w:w="1656" w:type="dxa"/>
            <w:tcBorders>
              <w:top w:val="single" w:sz="4" w:space="0" w:color="auto"/>
              <w:left w:val="nil"/>
              <w:bottom w:val="nil"/>
              <w:right w:val="nil"/>
            </w:tcBorders>
          </w:tcPr>
          <w:p w14:paraId="42B35D9B"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0.223</w:t>
            </w:r>
          </w:p>
        </w:tc>
        <w:tc>
          <w:tcPr>
            <w:tcW w:w="1656" w:type="dxa"/>
            <w:tcBorders>
              <w:top w:val="single" w:sz="4" w:space="0" w:color="auto"/>
              <w:left w:val="nil"/>
              <w:bottom w:val="nil"/>
              <w:right w:val="nil"/>
            </w:tcBorders>
          </w:tcPr>
          <w:p w14:paraId="761ADC2C"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0.365</w:t>
            </w:r>
          </w:p>
        </w:tc>
        <w:tc>
          <w:tcPr>
            <w:tcW w:w="1656" w:type="dxa"/>
            <w:tcBorders>
              <w:top w:val="single" w:sz="4" w:space="0" w:color="auto"/>
              <w:left w:val="nil"/>
              <w:bottom w:val="nil"/>
              <w:right w:val="nil"/>
            </w:tcBorders>
          </w:tcPr>
          <w:p w14:paraId="7F7D6E27"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8.373</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09F7DD36"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-1.121</w:t>
            </w:r>
          </w:p>
        </w:tc>
      </w:tr>
      <w:tr w:rsidR="004642DB" w14:paraId="1A3D68D4" w14:textId="77777777" w:rsidTr="00015B88">
        <w:tc>
          <w:tcPr>
            <w:tcW w:w="2136" w:type="dxa"/>
            <w:tcBorders>
              <w:top w:val="nil"/>
              <w:left w:val="nil"/>
              <w:bottom w:val="nil"/>
              <w:right w:val="nil"/>
            </w:tcBorders>
          </w:tcPr>
          <w:p w14:paraId="3B1B7EB0"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8D7ED7F"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656" w:type="dxa"/>
            <w:tcBorders>
              <w:top w:val="nil"/>
              <w:left w:val="nil"/>
              <w:bottom w:val="nil"/>
              <w:right w:val="nil"/>
            </w:tcBorders>
          </w:tcPr>
          <w:p w14:paraId="7EBEE684"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656" w:type="dxa"/>
            <w:tcBorders>
              <w:top w:val="nil"/>
              <w:left w:val="nil"/>
              <w:bottom w:val="nil"/>
              <w:right w:val="nil"/>
            </w:tcBorders>
          </w:tcPr>
          <w:p w14:paraId="7C9E5DCB"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656" w:type="dxa"/>
            <w:tcBorders>
              <w:top w:val="nil"/>
              <w:left w:val="nil"/>
              <w:bottom w:val="nil"/>
              <w:right w:val="nil"/>
            </w:tcBorders>
          </w:tcPr>
          <w:p w14:paraId="62814116"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(4.47)</w:t>
            </w:r>
          </w:p>
        </w:tc>
        <w:tc>
          <w:tcPr>
            <w:tcW w:w="1656" w:type="dxa"/>
            <w:tcBorders>
              <w:top w:val="nil"/>
              <w:left w:val="nil"/>
              <w:bottom w:val="nil"/>
              <w:right w:val="nil"/>
            </w:tcBorders>
          </w:tcPr>
          <w:p w14:paraId="13AACB14"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w:t>
            </w:r>
          </w:p>
        </w:tc>
      </w:tr>
      <w:tr w:rsidR="004642DB" w14:paraId="5FCAC224" w14:textId="77777777" w:rsidTr="00015B88">
        <w:tc>
          <w:tcPr>
            <w:tcW w:w="2136" w:type="dxa"/>
            <w:tcBorders>
              <w:top w:val="nil"/>
              <w:left w:val="nil"/>
              <w:bottom w:val="nil"/>
              <w:right w:val="nil"/>
            </w:tcBorders>
          </w:tcPr>
          <w:p w14:paraId="40EB4716"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D12E811"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95D9C2E"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73D7FE8"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D60B00A"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14E316B"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p>
        </w:tc>
      </w:tr>
      <w:tr w:rsidR="004642DB" w14:paraId="5AFD13E4" w14:textId="77777777" w:rsidTr="00015B88">
        <w:tc>
          <w:tcPr>
            <w:tcW w:w="2136" w:type="dxa"/>
            <w:tcBorders>
              <w:top w:val="nil"/>
              <w:left w:val="nil"/>
              <w:bottom w:val="nil"/>
              <w:right w:val="nil"/>
            </w:tcBorders>
          </w:tcPr>
          <w:p w14:paraId="0086CB0E"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4E2881BF"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-0.0355</w:t>
            </w:r>
          </w:p>
        </w:tc>
        <w:tc>
          <w:tcPr>
            <w:tcW w:w="1656" w:type="dxa"/>
            <w:tcBorders>
              <w:top w:val="nil"/>
              <w:left w:val="nil"/>
              <w:bottom w:val="nil"/>
              <w:right w:val="nil"/>
            </w:tcBorders>
          </w:tcPr>
          <w:p w14:paraId="030655EE"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0.0310</w:t>
            </w:r>
          </w:p>
        </w:tc>
        <w:tc>
          <w:tcPr>
            <w:tcW w:w="1656" w:type="dxa"/>
            <w:tcBorders>
              <w:top w:val="nil"/>
              <w:left w:val="nil"/>
              <w:bottom w:val="nil"/>
              <w:right w:val="nil"/>
            </w:tcBorders>
          </w:tcPr>
          <w:p w14:paraId="251B4CBA"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-0.0343</w:t>
            </w:r>
          </w:p>
        </w:tc>
        <w:tc>
          <w:tcPr>
            <w:tcW w:w="1656" w:type="dxa"/>
            <w:tcBorders>
              <w:top w:val="nil"/>
              <w:left w:val="nil"/>
              <w:bottom w:val="nil"/>
              <w:right w:val="nil"/>
            </w:tcBorders>
          </w:tcPr>
          <w:p w14:paraId="235B3711"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0.0784</w:t>
            </w:r>
          </w:p>
        </w:tc>
        <w:tc>
          <w:tcPr>
            <w:tcW w:w="1656" w:type="dxa"/>
            <w:tcBorders>
              <w:top w:val="nil"/>
              <w:left w:val="nil"/>
              <w:bottom w:val="nil"/>
              <w:right w:val="nil"/>
            </w:tcBorders>
          </w:tcPr>
          <w:p w14:paraId="7D5C5A31"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-0.130</w:t>
            </w:r>
            <w:r>
              <w:rPr>
                <w:rFonts w:ascii="Times New Roman" w:hAnsi="Times New Roman" w:cs="Times New Roman"/>
                <w:sz w:val="24"/>
                <w:szCs w:val="24"/>
                <w:vertAlign w:val="superscript"/>
              </w:rPr>
              <w:t>*</w:t>
            </w:r>
          </w:p>
        </w:tc>
      </w:tr>
      <w:tr w:rsidR="004642DB" w14:paraId="42BE88B2" w14:textId="77777777" w:rsidTr="00015B88">
        <w:tc>
          <w:tcPr>
            <w:tcW w:w="2136" w:type="dxa"/>
            <w:tcBorders>
              <w:top w:val="nil"/>
              <w:left w:val="nil"/>
              <w:bottom w:val="nil"/>
              <w:right w:val="nil"/>
            </w:tcBorders>
          </w:tcPr>
          <w:p w14:paraId="39F1090A"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EF49E18"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(-0.81)</w:t>
            </w:r>
          </w:p>
        </w:tc>
        <w:tc>
          <w:tcPr>
            <w:tcW w:w="1656" w:type="dxa"/>
            <w:tcBorders>
              <w:top w:val="nil"/>
              <w:left w:val="nil"/>
              <w:bottom w:val="nil"/>
              <w:right w:val="nil"/>
            </w:tcBorders>
          </w:tcPr>
          <w:p w14:paraId="3961FA47"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w:t>
            </w:r>
          </w:p>
        </w:tc>
        <w:tc>
          <w:tcPr>
            <w:tcW w:w="1656" w:type="dxa"/>
            <w:tcBorders>
              <w:top w:val="nil"/>
              <w:left w:val="nil"/>
              <w:bottom w:val="nil"/>
              <w:right w:val="nil"/>
            </w:tcBorders>
          </w:tcPr>
          <w:p w14:paraId="7ECB3D7F"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656" w:type="dxa"/>
            <w:tcBorders>
              <w:top w:val="nil"/>
              <w:left w:val="nil"/>
              <w:bottom w:val="nil"/>
              <w:right w:val="nil"/>
            </w:tcBorders>
          </w:tcPr>
          <w:p w14:paraId="56032AD2"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w:t>
            </w:r>
          </w:p>
        </w:tc>
        <w:tc>
          <w:tcPr>
            <w:tcW w:w="1656" w:type="dxa"/>
            <w:tcBorders>
              <w:top w:val="nil"/>
              <w:left w:val="nil"/>
              <w:bottom w:val="nil"/>
              <w:right w:val="nil"/>
            </w:tcBorders>
          </w:tcPr>
          <w:p w14:paraId="528E9387"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(-2.04)</w:t>
            </w:r>
          </w:p>
        </w:tc>
      </w:tr>
      <w:tr w:rsidR="004642DB" w14:paraId="624396CB" w14:textId="77777777" w:rsidTr="00015B88">
        <w:tc>
          <w:tcPr>
            <w:tcW w:w="2136" w:type="dxa"/>
            <w:tcBorders>
              <w:top w:val="nil"/>
              <w:left w:val="nil"/>
              <w:bottom w:val="nil"/>
              <w:right w:val="nil"/>
            </w:tcBorders>
          </w:tcPr>
          <w:p w14:paraId="228EE8A9"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F80669F"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BEDC9B0"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C5F3C4E"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C994E3B"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05B1BBB"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p>
        </w:tc>
      </w:tr>
      <w:tr w:rsidR="004642DB" w14:paraId="11D47642" w14:textId="77777777" w:rsidTr="00015B88">
        <w:tc>
          <w:tcPr>
            <w:tcW w:w="2136" w:type="dxa"/>
            <w:tcBorders>
              <w:top w:val="nil"/>
              <w:left w:val="nil"/>
              <w:bottom w:val="nil"/>
              <w:right w:val="nil"/>
            </w:tcBorders>
          </w:tcPr>
          <w:p w14:paraId="55FCDCFC"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60B69752"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1.019</w:t>
            </w:r>
          </w:p>
        </w:tc>
        <w:tc>
          <w:tcPr>
            <w:tcW w:w="1656" w:type="dxa"/>
            <w:tcBorders>
              <w:top w:val="nil"/>
              <w:left w:val="nil"/>
              <w:bottom w:val="nil"/>
              <w:right w:val="nil"/>
            </w:tcBorders>
          </w:tcPr>
          <w:p w14:paraId="57D81495"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0.0502</w:t>
            </w:r>
          </w:p>
        </w:tc>
        <w:tc>
          <w:tcPr>
            <w:tcW w:w="1656" w:type="dxa"/>
            <w:tcBorders>
              <w:top w:val="nil"/>
              <w:left w:val="nil"/>
              <w:bottom w:val="nil"/>
              <w:right w:val="nil"/>
            </w:tcBorders>
          </w:tcPr>
          <w:p w14:paraId="179A7245"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0.814</w:t>
            </w:r>
          </w:p>
        </w:tc>
        <w:tc>
          <w:tcPr>
            <w:tcW w:w="1656" w:type="dxa"/>
            <w:tcBorders>
              <w:top w:val="nil"/>
              <w:left w:val="nil"/>
              <w:bottom w:val="nil"/>
              <w:right w:val="nil"/>
            </w:tcBorders>
          </w:tcPr>
          <w:p w14:paraId="1B1E8840"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-5.434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D5DC827"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1.988</w:t>
            </w:r>
            <w:r>
              <w:rPr>
                <w:rFonts w:ascii="Times New Roman" w:hAnsi="Times New Roman" w:cs="Times New Roman"/>
                <w:sz w:val="24"/>
                <w:szCs w:val="24"/>
                <w:vertAlign w:val="superscript"/>
              </w:rPr>
              <w:t>*</w:t>
            </w:r>
          </w:p>
        </w:tc>
      </w:tr>
      <w:tr w:rsidR="004642DB" w14:paraId="3537D595" w14:textId="77777777" w:rsidTr="00015B88">
        <w:tc>
          <w:tcPr>
            <w:tcW w:w="2136" w:type="dxa"/>
            <w:tcBorders>
              <w:top w:val="nil"/>
              <w:left w:val="nil"/>
              <w:bottom w:val="single" w:sz="4" w:space="0" w:color="auto"/>
              <w:right w:val="nil"/>
            </w:tcBorders>
          </w:tcPr>
          <w:p w14:paraId="1EC97FA5"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3332A33A"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(1.62)</w:t>
            </w:r>
          </w:p>
        </w:tc>
        <w:tc>
          <w:tcPr>
            <w:tcW w:w="1656" w:type="dxa"/>
            <w:tcBorders>
              <w:top w:val="nil"/>
              <w:left w:val="nil"/>
              <w:bottom w:val="single" w:sz="4" w:space="0" w:color="auto"/>
              <w:right w:val="nil"/>
            </w:tcBorders>
          </w:tcPr>
          <w:p w14:paraId="38ACAA15"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656" w:type="dxa"/>
            <w:tcBorders>
              <w:top w:val="nil"/>
              <w:left w:val="nil"/>
              <w:bottom w:val="single" w:sz="4" w:space="0" w:color="auto"/>
              <w:right w:val="nil"/>
            </w:tcBorders>
          </w:tcPr>
          <w:p w14:paraId="5305C271"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(1.37)</w:t>
            </w:r>
          </w:p>
        </w:tc>
        <w:tc>
          <w:tcPr>
            <w:tcW w:w="1656" w:type="dxa"/>
            <w:tcBorders>
              <w:top w:val="nil"/>
              <w:left w:val="nil"/>
              <w:bottom w:val="single" w:sz="4" w:space="0" w:color="auto"/>
              <w:right w:val="nil"/>
            </w:tcBorders>
          </w:tcPr>
          <w:p w14:paraId="1F014896"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(-3.58)</w:t>
            </w:r>
          </w:p>
        </w:tc>
        <w:tc>
          <w:tcPr>
            <w:tcW w:w="1656" w:type="dxa"/>
            <w:tcBorders>
              <w:top w:val="nil"/>
              <w:left w:val="nil"/>
              <w:bottom w:val="single" w:sz="4" w:space="0" w:color="auto"/>
              <w:right w:val="nil"/>
            </w:tcBorders>
          </w:tcPr>
          <w:p w14:paraId="0F4A6CAD"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(2.11)</w:t>
            </w:r>
          </w:p>
        </w:tc>
      </w:tr>
      <w:tr w:rsidR="004642DB" w14:paraId="05801224" w14:textId="77777777" w:rsidTr="00015B88">
        <w:tc>
          <w:tcPr>
            <w:tcW w:w="2136" w:type="dxa"/>
            <w:tcBorders>
              <w:top w:val="nil"/>
              <w:left w:val="nil"/>
              <w:bottom w:val="single" w:sz="4" w:space="0" w:color="auto"/>
              <w:right w:val="nil"/>
            </w:tcBorders>
          </w:tcPr>
          <w:p w14:paraId="3A097977" w14:textId="77777777" w:rsidR="004642DB" w:rsidRDefault="004642DB"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188596E3"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402</w:t>
            </w:r>
          </w:p>
        </w:tc>
        <w:tc>
          <w:tcPr>
            <w:tcW w:w="1656" w:type="dxa"/>
            <w:tcBorders>
              <w:top w:val="nil"/>
              <w:left w:val="nil"/>
              <w:bottom w:val="single" w:sz="4" w:space="0" w:color="auto"/>
              <w:right w:val="nil"/>
            </w:tcBorders>
          </w:tcPr>
          <w:p w14:paraId="57FA2EF9"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402</w:t>
            </w:r>
          </w:p>
        </w:tc>
        <w:tc>
          <w:tcPr>
            <w:tcW w:w="1656" w:type="dxa"/>
            <w:tcBorders>
              <w:top w:val="nil"/>
              <w:left w:val="nil"/>
              <w:bottom w:val="single" w:sz="4" w:space="0" w:color="auto"/>
              <w:right w:val="nil"/>
            </w:tcBorders>
          </w:tcPr>
          <w:p w14:paraId="33E8DC40"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306</w:t>
            </w:r>
          </w:p>
        </w:tc>
        <w:tc>
          <w:tcPr>
            <w:tcW w:w="1656" w:type="dxa"/>
            <w:tcBorders>
              <w:top w:val="nil"/>
              <w:left w:val="nil"/>
              <w:bottom w:val="single" w:sz="4" w:space="0" w:color="auto"/>
              <w:right w:val="nil"/>
            </w:tcBorders>
          </w:tcPr>
          <w:p w14:paraId="07565C45"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869</w:t>
            </w:r>
          </w:p>
        </w:tc>
        <w:tc>
          <w:tcPr>
            <w:tcW w:w="1656" w:type="dxa"/>
            <w:tcBorders>
              <w:top w:val="nil"/>
              <w:left w:val="nil"/>
              <w:bottom w:val="single" w:sz="4" w:space="0" w:color="auto"/>
              <w:right w:val="nil"/>
            </w:tcBorders>
          </w:tcPr>
          <w:p w14:paraId="171E6E74" w14:textId="77777777" w:rsidR="004642DB" w:rsidRDefault="004642DB"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1118</w:t>
            </w:r>
          </w:p>
        </w:tc>
      </w:tr>
    </w:tbl>
    <w:p w14:paraId="1D4492D2" w14:textId="77777777" w:rsidR="004642DB" w:rsidRDefault="004642DB" w:rsidP="004642D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6AC14E6A" w14:textId="77777777" w:rsidR="004642DB" w:rsidRDefault="004642DB" w:rsidP="004642DB">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14EA2754" w14:textId="67847E55" w:rsidR="004642DB" w:rsidRDefault="004642DB" w:rsidP="004642DB">
      <w:pPr>
        <w:widowControl w:val="0"/>
        <w:autoSpaceDE w:val="0"/>
        <w:autoSpaceDN w:val="0"/>
        <w:adjustRightInd w:val="0"/>
        <w:spacing w:after="0" w:line="240" w:lineRule="auto"/>
        <w:rPr>
          <w:rFonts w:ascii="Times New Roman" w:hAnsi="Times New Roman" w:cs="Times New Roman"/>
          <w:sz w:val="24"/>
          <w:szCs w:val="24"/>
        </w:rPr>
      </w:pPr>
    </w:p>
    <w:p w14:paraId="19DB3093" w14:textId="699A283A" w:rsidR="002A431A" w:rsidRDefault="002A431A" w:rsidP="002A431A">
      <w:r>
        <w:t>High openness,</w:t>
      </w:r>
      <w:r w:rsidR="00A4107C">
        <w:t xml:space="preserve"> tertiary IV, de facto</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655BB5" w14:paraId="1C38A685" w14:textId="77777777" w:rsidTr="00015B88">
        <w:tc>
          <w:tcPr>
            <w:tcW w:w="2136" w:type="dxa"/>
            <w:tcBorders>
              <w:top w:val="single" w:sz="4" w:space="0" w:color="auto"/>
              <w:left w:val="nil"/>
              <w:bottom w:val="nil"/>
              <w:right w:val="nil"/>
            </w:tcBorders>
          </w:tcPr>
          <w:p w14:paraId="36834125"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6466F671"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5D092A43"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43A724AE"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7E3706F7"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2013372E"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655BB5" w14:paraId="7C12C064" w14:textId="77777777" w:rsidTr="00015B88">
        <w:tc>
          <w:tcPr>
            <w:tcW w:w="2136" w:type="dxa"/>
            <w:tcBorders>
              <w:top w:val="nil"/>
              <w:left w:val="nil"/>
              <w:bottom w:val="nil"/>
              <w:right w:val="nil"/>
            </w:tcBorders>
          </w:tcPr>
          <w:p w14:paraId="445908BE"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6B1455B"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79BE6FD9"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19D5D617"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3B82E661"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27CCEFA8"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655BB5" w14:paraId="65D39106" w14:textId="77777777" w:rsidTr="00015B88">
        <w:tc>
          <w:tcPr>
            <w:tcW w:w="2136" w:type="dxa"/>
            <w:tcBorders>
              <w:top w:val="single" w:sz="4" w:space="0" w:color="auto"/>
              <w:left w:val="nil"/>
              <w:bottom w:val="nil"/>
              <w:right w:val="nil"/>
            </w:tcBorders>
          </w:tcPr>
          <w:p w14:paraId="766BBDA7"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1E579D4A"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1.422</w:t>
            </w:r>
          </w:p>
        </w:tc>
        <w:tc>
          <w:tcPr>
            <w:tcW w:w="1656" w:type="dxa"/>
            <w:tcBorders>
              <w:top w:val="single" w:sz="4" w:space="0" w:color="auto"/>
              <w:left w:val="nil"/>
              <w:bottom w:val="nil"/>
              <w:right w:val="nil"/>
            </w:tcBorders>
          </w:tcPr>
          <w:p w14:paraId="2239EFD5"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-1.161</w:t>
            </w:r>
          </w:p>
        </w:tc>
        <w:tc>
          <w:tcPr>
            <w:tcW w:w="1656" w:type="dxa"/>
            <w:tcBorders>
              <w:top w:val="single" w:sz="4" w:space="0" w:color="auto"/>
              <w:left w:val="nil"/>
              <w:bottom w:val="nil"/>
              <w:right w:val="nil"/>
            </w:tcBorders>
          </w:tcPr>
          <w:p w14:paraId="23B290F4"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2.622</w:t>
            </w:r>
          </w:p>
        </w:tc>
        <w:tc>
          <w:tcPr>
            <w:tcW w:w="1656" w:type="dxa"/>
            <w:tcBorders>
              <w:top w:val="single" w:sz="4" w:space="0" w:color="auto"/>
              <w:left w:val="nil"/>
              <w:bottom w:val="nil"/>
              <w:right w:val="nil"/>
            </w:tcBorders>
          </w:tcPr>
          <w:p w14:paraId="146F9A90"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15.91</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18894973"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4.289</w:t>
            </w:r>
          </w:p>
        </w:tc>
      </w:tr>
      <w:tr w:rsidR="00655BB5" w14:paraId="0EC8173C" w14:textId="77777777" w:rsidTr="00015B88">
        <w:tc>
          <w:tcPr>
            <w:tcW w:w="2136" w:type="dxa"/>
            <w:tcBorders>
              <w:top w:val="nil"/>
              <w:left w:val="nil"/>
              <w:bottom w:val="nil"/>
              <w:right w:val="nil"/>
            </w:tcBorders>
          </w:tcPr>
          <w:p w14:paraId="006F81A1"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0CCA6EC"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(1.02)</w:t>
            </w:r>
          </w:p>
        </w:tc>
        <w:tc>
          <w:tcPr>
            <w:tcW w:w="1656" w:type="dxa"/>
            <w:tcBorders>
              <w:top w:val="nil"/>
              <w:left w:val="nil"/>
              <w:bottom w:val="nil"/>
              <w:right w:val="nil"/>
            </w:tcBorders>
          </w:tcPr>
          <w:p w14:paraId="562C96BB"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w:t>
            </w:r>
          </w:p>
        </w:tc>
        <w:tc>
          <w:tcPr>
            <w:tcW w:w="1656" w:type="dxa"/>
            <w:tcBorders>
              <w:top w:val="nil"/>
              <w:left w:val="nil"/>
              <w:bottom w:val="nil"/>
              <w:right w:val="nil"/>
            </w:tcBorders>
          </w:tcPr>
          <w:p w14:paraId="079F77ED"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(1.39)</w:t>
            </w:r>
          </w:p>
        </w:tc>
        <w:tc>
          <w:tcPr>
            <w:tcW w:w="1656" w:type="dxa"/>
            <w:tcBorders>
              <w:top w:val="nil"/>
              <w:left w:val="nil"/>
              <w:bottom w:val="nil"/>
              <w:right w:val="nil"/>
            </w:tcBorders>
          </w:tcPr>
          <w:p w14:paraId="0BC87978"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(3.41)</w:t>
            </w:r>
          </w:p>
        </w:tc>
        <w:tc>
          <w:tcPr>
            <w:tcW w:w="1656" w:type="dxa"/>
            <w:tcBorders>
              <w:top w:val="nil"/>
              <w:left w:val="nil"/>
              <w:bottom w:val="nil"/>
              <w:right w:val="nil"/>
            </w:tcBorders>
          </w:tcPr>
          <w:p w14:paraId="24E8B72E"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(1.31)</w:t>
            </w:r>
          </w:p>
        </w:tc>
      </w:tr>
      <w:tr w:rsidR="00655BB5" w14:paraId="6B940A43" w14:textId="77777777" w:rsidTr="00015B88">
        <w:tc>
          <w:tcPr>
            <w:tcW w:w="2136" w:type="dxa"/>
            <w:tcBorders>
              <w:top w:val="nil"/>
              <w:left w:val="nil"/>
              <w:bottom w:val="nil"/>
              <w:right w:val="nil"/>
            </w:tcBorders>
          </w:tcPr>
          <w:p w14:paraId="2D302321"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AC063A9"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1BC067D"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551B6D0"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ADF1563"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B447046"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p>
        </w:tc>
      </w:tr>
      <w:tr w:rsidR="00655BB5" w14:paraId="56129BE0" w14:textId="77777777" w:rsidTr="00015B88">
        <w:tc>
          <w:tcPr>
            <w:tcW w:w="2136" w:type="dxa"/>
            <w:tcBorders>
              <w:top w:val="nil"/>
              <w:left w:val="nil"/>
              <w:bottom w:val="nil"/>
              <w:right w:val="nil"/>
            </w:tcBorders>
          </w:tcPr>
          <w:p w14:paraId="295AAE91"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16E7BED4"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0.0180</w:t>
            </w:r>
          </w:p>
        </w:tc>
        <w:tc>
          <w:tcPr>
            <w:tcW w:w="1656" w:type="dxa"/>
            <w:tcBorders>
              <w:top w:val="nil"/>
              <w:left w:val="nil"/>
              <w:bottom w:val="nil"/>
              <w:right w:val="nil"/>
            </w:tcBorders>
          </w:tcPr>
          <w:p w14:paraId="53908FCD"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-0.0133</w:t>
            </w:r>
          </w:p>
        </w:tc>
        <w:tc>
          <w:tcPr>
            <w:tcW w:w="1656" w:type="dxa"/>
            <w:tcBorders>
              <w:top w:val="nil"/>
              <w:left w:val="nil"/>
              <w:bottom w:val="nil"/>
              <w:right w:val="nil"/>
            </w:tcBorders>
          </w:tcPr>
          <w:p w14:paraId="6BE97B92"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0.0778</w:t>
            </w:r>
          </w:p>
        </w:tc>
        <w:tc>
          <w:tcPr>
            <w:tcW w:w="1656" w:type="dxa"/>
            <w:tcBorders>
              <w:top w:val="nil"/>
              <w:left w:val="nil"/>
              <w:bottom w:val="nil"/>
              <w:right w:val="nil"/>
            </w:tcBorders>
          </w:tcPr>
          <w:p w14:paraId="7736708B"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0.0848</w:t>
            </w:r>
          </w:p>
        </w:tc>
        <w:tc>
          <w:tcPr>
            <w:tcW w:w="1656" w:type="dxa"/>
            <w:tcBorders>
              <w:top w:val="nil"/>
              <w:left w:val="nil"/>
              <w:bottom w:val="nil"/>
              <w:right w:val="nil"/>
            </w:tcBorders>
          </w:tcPr>
          <w:p w14:paraId="7E8882E6"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0.0311</w:t>
            </w:r>
          </w:p>
        </w:tc>
      </w:tr>
      <w:tr w:rsidR="00655BB5" w14:paraId="7E8722ED" w14:textId="77777777" w:rsidTr="00015B88">
        <w:tc>
          <w:tcPr>
            <w:tcW w:w="2136" w:type="dxa"/>
            <w:tcBorders>
              <w:top w:val="nil"/>
              <w:left w:val="nil"/>
              <w:bottom w:val="nil"/>
              <w:right w:val="nil"/>
            </w:tcBorders>
          </w:tcPr>
          <w:p w14:paraId="22F2D6FD"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92E6FFD"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656" w:type="dxa"/>
            <w:tcBorders>
              <w:top w:val="nil"/>
              <w:left w:val="nil"/>
              <w:bottom w:val="nil"/>
              <w:right w:val="nil"/>
            </w:tcBorders>
          </w:tcPr>
          <w:p w14:paraId="658B3312"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w:t>
            </w:r>
          </w:p>
        </w:tc>
        <w:tc>
          <w:tcPr>
            <w:tcW w:w="1656" w:type="dxa"/>
            <w:tcBorders>
              <w:top w:val="nil"/>
              <w:left w:val="nil"/>
              <w:bottom w:val="nil"/>
              <w:right w:val="nil"/>
            </w:tcBorders>
          </w:tcPr>
          <w:p w14:paraId="2833248A"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(1.80)</w:t>
            </w:r>
          </w:p>
        </w:tc>
        <w:tc>
          <w:tcPr>
            <w:tcW w:w="1656" w:type="dxa"/>
            <w:tcBorders>
              <w:top w:val="nil"/>
              <w:left w:val="nil"/>
              <w:bottom w:val="nil"/>
              <w:right w:val="nil"/>
            </w:tcBorders>
          </w:tcPr>
          <w:p w14:paraId="4D0D844B"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656" w:type="dxa"/>
            <w:tcBorders>
              <w:top w:val="nil"/>
              <w:left w:val="nil"/>
              <w:bottom w:val="nil"/>
              <w:right w:val="nil"/>
            </w:tcBorders>
          </w:tcPr>
          <w:p w14:paraId="1A991A00"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(0.64)</w:t>
            </w:r>
          </w:p>
        </w:tc>
      </w:tr>
      <w:tr w:rsidR="00655BB5" w14:paraId="3E81EF07" w14:textId="77777777" w:rsidTr="00015B88">
        <w:tc>
          <w:tcPr>
            <w:tcW w:w="2136" w:type="dxa"/>
            <w:tcBorders>
              <w:top w:val="nil"/>
              <w:left w:val="nil"/>
              <w:bottom w:val="nil"/>
              <w:right w:val="nil"/>
            </w:tcBorders>
          </w:tcPr>
          <w:p w14:paraId="2153CF64"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747FB62"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F83A018"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7A162C1"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5565C22"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D194BE9"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p>
        </w:tc>
      </w:tr>
      <w:tr w:rsidR="00655BB5" w14:paraId="27F65293" w14:textId="77777777" w:rsidTr="00015B88">
        <w:tc>
          <w:tcPr>
            <w:tcW w:w="2136" w:type="dxa"/>
            <w:tcBorders>
              <w:top w:val="nil"/>
              <w:left w:val="nil"/>
              <w:bottom w:val="nil"/>
              <w:right w:val="nil"/>
            </w:tcBorders>
          </w:tcPr>
          <w:p w14:paraId="19BBC107"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52E8E915"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-0.718</w:t>
            </w:r>
          </w:p>
        </w:tc>
        <w:tc>
          <w:tcPr>
            <w:tcW w:w="1656" w:type="dxa"/>
            <w:tcBorders>
              <w:top w:val="nil"/>
              <w:left w:val="nil"/>
              <w:bottom w:val="nil"/>
              <w:right w:val="nil"/>
            </w:tcBorders>
          </w:tcPr>
          <w:p w14:paraId="4C42A5AB"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1.623</w:t>
            </w:r>
          </w:p>
        </w:tc>
        <w:tc>
          <w:tcPr>
            <w:tcW w:w="1656" w:type="dxa"/>
            <w:tcBorders>
              <w:top w:val="nil"/>
              <w:left w:val="nil"/>
              <w:bottom w:val="nil"/>
              <w:right w:val="nil"/>
            </w:tcBorders>
          </w:tcPr>
          <w:p w14:paraId="33DA5F33"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-2.214</w:t>
            </w:r>
          </w:p>
        </w:tc>
        <w:tc>
          <w:tcPr>
            <w:tcW w:w="1656" w:type="dxa"/>
            <w:tcBorders>
              <w:top w:val="nil"/>
              <w:left w:val="nil"/>
              <w:bottom w:val="nil"/>
              <w:right w:val="nil"/>
            </w:tcBorders>
          </w:tcPr>
          <w:p w14:paraId="5B82E558"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-14.96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7A53530"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-3.517</w:t>
            </w:r>
          </w:p>
        </w:tc>
      </w:tr>
      <w:tr w:rsidR="00655BB5" w14:paraId="465315C5" w14:textId="77777777" w:rsidTr="00015B88">
        <w:tc>
          <w:tcPr>
            <w:tcW w:w="2136" w:type="dxa"/>
            <w:tcBorders>
              <w:top w:val="nil"/>
              <w:left w:val="nil"/>
              <w:bottom w:val="single" w:sz="4" w:space="0" w:color="auto"/>
              <w:right w:val="nil"/>
            </w:tcBorders>
          </w:tcPr>
          <w:p w14:paraId="2FCA869A"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079A9A70"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w:t>
            </w:r>
          </w:p>
        </w:tc>
        <w:tc>
          <w:tcPr>
            <w:tcW w:w="1656" w:type="dxa"/>
            <w:tcBorders>
              <w:top w:val="nil"/>
              <w:left w:val="nil"/>
              <w:bottom w:val="single" w:sz="4" w:space="0" w:color="auto"/>
              <w:right w:val="nil"/>
            </w:tcBorders>
          </w:tcPr>
          <w:p w14:paraId="51238205"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w:t>
            </w:r>
          </w:p>
        </w:tc>
        <w:tc>
          <w:tcPr>
            <w:tcW w:w="1656" w:type="dxa"/>
            <w:tcBorders>
              <w:top w:val="nil"/>
              <w:left w:val="nil"/>
              <w:bottom w:val="single" w:sz="4" w:space="0" w:color="auto"/>
              <w:right w:val="nil"/>
            </w:tcBorders>
          </w:tcPr>
          <w:p w14:paraId="5A3FD0A8"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(-1.30)</w:t>
            </w:r>
          </w:p>
        </w:tc>
        <w:tc>
          <w:tcPr>
            <w:tcW w:w="1656" w:type="dxa"/>
            <w:tcBorders>
              <w:top w:val="nil"/>
              <w:left w:val="nil"/>
              <w:bottom w:val="single" w:sz="4" w:space="0" w:color="auto"/>
              <w:right w:val="nil"/>
            </w:tcBorders>
          </w:tcPr>
          <w:p w14:paraId="5D34AAE0"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(-3.47)</w:t>
            </w:r>
          </w:p>
        </w:tc>
        <w:tc>
          <w:tcPr>
            <w:tcW w:w="1656" w:type="dxa"/>
            <w:tcBorders>
              <w:top w:val="nil"/>
              <w:left w:val="nil"/>
              <w:bottom w:val="single" w:sz="4" w:space="0" w:color="auto"/>
              <w:right w:val="nil"/>
            </w:tcBorders>
          </w:tcPr>
          <w:p w14:paraId="488C3827"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(-1.16)</w:t>
            </w:r>
          </w:p>
        </w:tc>
      </w:tr>
      <w:tr w:rsidR="00655BB5" w14:paraId="194AF334" w14:textId="77777777" w:rsidTr="00015B88">
        <w:tc>
          <w:tcPr>
            <w:tcW w:w="2136" w:type="dxa"/>
            <w:tcBorders>
              <w:top w:val="nil"/>
              <w:left w:val="nil"/>
              <w:bottom w:val="single" w:sz="4" w:space="0" w:color="auto"/>
              <w:right w:val="nil"/>
            </w:tcBorders>
          </w:tcPr>
          <w:p w14:paraId="7C770C17" w14:textId="77777777" w:rsidR="00655BB5" w:rsidRDefault="00655BB5"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7E17D346"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579</w:t>
            </w:r>
          </w:p>
        </w:tc>
        <w:tc>
          <w:tcPr>
            <w:tcW w:w="1656" w:type="dxa"/>
            <w:tcBorders>
              <w:top w:val="nil"/>
              <w:left w:val="nil"/>
              <w:bottom w:val="single" w:sz="4" w:space="0" w:color="auto"/>
              <w:right w:val="nil"/>
            </w:tcBorders>
          </w:tcPr>
          <w:p w14:paraId="73112D9F"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578</w:t>
            </w:r>
          </w:p>
        </w:tc>
        <w:tc>
          <w:tcPr>
            <w:tcW w:w="1656" w:type="dxa"/>
            <w:tcBorders>
              <w:top w:val="nil"/>
              <w:left w:val="nil"/>
              <w:bottom w:val="single" w:sz="4" w:space="0" w:color="auto"/>
              <w:right w:val="nil"/>
            </w:tcBorders>
          </w:tcPr>
          <w:p w14:paraId="75101D14"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481</w:t>
            </w:r>
          </w:p>
        </w:tc>
        <w:tc>
          <w:tcPr>
            <w:tcW w:w="1656" w:type="dxa"/>
            <w:tcBorders>
              <w:top w:val="nil"/>
              <w:left w:val="nil"/>
              <w:bottom w:val="single" w:sz="4" w:space="0" w:color="auto"/>
              <w:right w:val="nil"/>
            </w:tcBorders>
          </w:tcPr>
          <w:p w14:paraId="06386CE6"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1342</w:t>
            </w:r>
          </w:p>
        </w:tc>
        <w:tc>
          <w:tcPr>
            <w:tcW w:w="1656" w:type="dxa"/>
            <w:tcBorders>
              <w:top w:val="nil"/>
              <w:left w:val="nil"/>
              <w:bottom w:val="single" w:sz="4" w:space="0" w:color="auto"/>
              <w:right w:val="nil"/>
            </w:tcBorders>
          </w:tcPr>
          <w:p w14:paraId="3DB664EF" w14:textId="77777777" w:rsidR="00655BB5" w:rsidRDefault="00655BB5"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1014</w:t>
            </w:r>
          </w:p>
        </w:tc>
      </w:tr>
    </w:tbl>
    <w:p w14:paraId="6B60C537" w14:textId="77777777" w:rsidR="00655BB5" w:rsidRDefault="00655BB5" w:rsidP="00655BB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7A7AB913" w14:textId="77777777" w:rsidR="00655BB5" w:rsidRDefault="00655BB5" w:rsidP="00655BB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11B15E5" w14:textId="77777777" w:rsidR="00655BB5" w:rsidRDefault="00655BB5" w:rsidP="00655BB5">
      <w:pPr>
        <w:widowControl w:val="0"/>
        <w:autoSpaceDE w:val="0"/>
        <w:autoSpaceDN w:val="0"/>
        <w:adjustRightInd w:val="0"/>
        <w:spacing w:after="0" w:line="240" w:lineRule="auto"/>
        <w:rPr>
          <w:rFonts w:ascii="Times New Roman" w:hAnsi="Times New Roman" w:cs="Times New Roman"/>
          <w:sz w:val="24"/>
          <w:szCs w:val="24"/>
        </w:rPr>
      </w:pPr>
    </w:p>
    <w:p w14:paraId="5A0615E8" w14:textId="77777777" w:rsidR="00655BB5" w:rsidRDefault="00655BB5" w:rsidP="002A431A"/>
    <w:p w14:paraId="61F10262" w14:textId="11B4D1BF" w:rsidR="00A4107C" w:rsidRDefault="00A4107C" w:rsidP="002A431A">
      <w:r>
        <w:lastRenderedPageBreak/>
        <w:t>Low openness, ter</w:t>
      </w:r>
      <w:r w:rsidR="00E925A2">
        <w:t>ti</w:t>
      </w:r>
      <w:r>
        <w:t>ary IV, de facto</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E925A2" w14:paraId="527D1569" w14:textId="77777777" w:rsidTr="00015B88">
        <w:tc>
          <w:tcPr>
            <w:tcW w:w="2136" w:type="dxa"/>
            <w:tcBorders>
              <w:top w:val="single" w:sz="4" w:space="0" w:color="auto"/>
              <w:left w:val="nil"/>
              <w:bottom w:val="nil"/>
              <w:right w:val="nil"/>
            </w:tcBorders>
          </w:tcPr>
          <w:p w14:paraId="27FCDFC7"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2B21ABFD"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45CFC274"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4E63C929"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65290EBF"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7327A1F4"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E925A2" w14:paraId="4839EB74" w14:textId="77777777" w:rsidTr="00015B88">
        <w:tc>
          <w:tcPr>
            <w:tcW w:w="2136" w:type="dxa"/>
            <w:tcBorders>
              <w:top w:val="nil"/>
              <w:left w:val="nil"/>
              <w:bottom w:val="nil"/>
              <w:right w:val="nil"/>
            </w:tcBorders>
          </w:tcPr>
          <w:p w14:paraId="23AB3C15"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2CAA6C"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7B92E54C"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4D737C62"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6277AB78"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23F9FBB4"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E925A2" w14:paraId="21E8EFDD" w14:textId="77777777" w:rsidTr="00015B88">
        <w:tc>
          <w:tcPr>
            <w:tcW w:w="2136" w:type="dxa"/>
            <w:tcBorders>
              <w:top w:val="single" w:sz="4" w:space="0" w:color="auto"/>
              <w:left w:val="nil"/>
              <w:bottom w:val="nil"/>
              <w:right w:val="nil"/>
            </w:tcBorders>
          </w:tcPr>
          <w:p w14:paraId="710A8A6B"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3C6D1D70"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1.134</w:t>
            </w:r>
          </w:p>
        </w:tc>
        <w:tc>
          <w:tcPr>
            <w:tcW w:w="1656" w:type="dxa"/>
            <w:tcBorders>
              <w:top w:val="single" w:sz="4" w:space="0" w:color="auto"/>
              <w:left w:val="nil"/>
              <w:bottom w:val="nil"/>
              <w:right w:val="nil"/>
            </w:tcBorders>
          </w:tcPr>
          <w:p w14:paraId="410F2130"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-0.879</w:t>
            </w:r>
          </w:p>
        </w:tc>
        <w:tc>
          <w:tcPr>
            <w:tcW w:w="1656" w:type="dxa"/>
            <w:tcBorders>
              <w:top w:val="single" w:sz="4" w:space="0" w:color="auto"/>
              <w:left w:val="nil"/>
              <w:bottom w:val="nil"/>
              <w:right w:val="nil"/>
            </w:tcBorders>
          </w:tcPr>
          <w:p w14:paraId="7C78FD8F"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-0.123</w:t>
            </w:r>
          </w:p>
        </w:tc>
        <w:tc>
          <w:tcPr>
            <w:tcW w:w="1656" w:type="dxa"/>
            <w:tcBorders>
              <w:top w:val="single" w:sz="4" w:space="0" w:color="auto"/>
              <w:left w:val="nil"/>
              <w:bottom w:val="nil"/>
              <w:right w:val="nil"/>
            </w:tcBorders>
          </w:tcPr>
          <w:p w14:paraId="48A44FF5"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-7.853</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629C5154"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29.15</w:t>
            </w:r>
          </w:p>
        </w:tc>
      </w:tr>
      <w:tr w:rsidR="00E925A2" w14:paraId="243569CF" w14:textId="77777777" w:rsidTr="00015B88">
        <w:tc>
          <w:tcPr>
            <w:tcW w:w="2136" w:type="dxa"/>
            <w:tcBorders>
              <w:top w:val="nil"/>
              <w:left w:val="nil"/>
              <w:bottom w:val="nil"/>
              <w:right w:val="nil"/>
            </w:tcBorders>
          </w:tcPr>
          <w:p w14:paraId="0046BDCB"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4EBB351"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(0.68)</w:t>
            </w:r>
          </w:p>
        </w:tc>
        <w:tc>
          <w:tcPr>
            <w:tcW w:w="1656" w:type="dxa"/>
            <w:tcBorders>
              <w:top w:val="nil"/>
              <w:left w:val="nil"/>
              <w:bottom w:val="nil"/>
              <w:right w:val="nil"/>
            </w:tcBorders>
          </w:tcPr>
          <w:p w14:paraId="514B0876"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(-0.89)</w:t>
            </w:r>
          </w:p>
        </w:tc>
        <w:tc>
          <w:tcPr>
            <w:tcW w:w="1656" w:type="dxa"/>
            <w:tcBorders>
              <w:top w:val="nil"/>
              <w:left w:val="nil"/>
              <w:bottom w:val="nil"/>
              <w:right w:val="nil"/>
            </w:tcBorders>
          </w:tcPr>
          <w:p w14:paraId="46907D85"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656" w:type="dxa"/>
            <w:tcBorders>
              <w:top w:val="nil"/>
              <w:left w:val="nil"/>
              <w:bottom w:val="nil"/>
              <w:right w:val="nil"/>
            </w:tcBorders>
          </w:tcPr>
          <w:p w14:paraId="302C2B50"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656" w:type="dxa"/>
            <w:tcBorders>
              <w:top w:val="nil"/>
              <w:left w:val="nil"/>
              <w:bottom w:val="nil"/>
              <w:right w:val="nil"/>
            </w:tcBorders>
          </w:tcPr>
          <w:p w14:paraId="2986674B"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E925A2" w14:paraId="54E83204" w14:textId="77777777" w:rsidTr="00015B88">
        <w:tc>
          <w:tcPr>
            <w:tcW w:w="2136" w:type="dxa"/>
            <w:tcBorders>
              <w:top w:val="nil"/>
              <w:left w:val="nil"/>
              <w:bottom w:val="nil"/>
              <w:right w:val="nil"/>
            </w:tcBorders>
          </w:tcPr>
          <w:p w14:paraId="30290191"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02DE993"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C667455"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189C91B"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DF4DDC3"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5EC4A39"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p>
        </w:tc>
      </w:tr>
      <w:tr w:rsidR="00E925A2" w14:paraId="609CED54" w14:textId="77777777" w:rsidTr="00015B88">
        <w:tc>
          <w:tcPr>
            <w:tcW w:w="2136" w:type="dxa"/>
            <w:tcBorders>
              <w:top w:val="nil"/>
              <w:left w:val="nil"/>
              <w:bottom w:val="nil"/>
              <w:right w:val="nil"/>
            </w:tcBorders>
          </w:tcPr>
          <w:p w14:paraId="6AD39DF7"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535FF6C1"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-0.0149</w:t>
            </w:r>
          </w:p>
        </w:tc>
        <w:tc>
          <w:tcPr>
            <w:tcW w:w="1656" w:type="dxa"/>
            <w:tcBorders>
              <w:top w:val="nil"/>
              <w:left w:val="nil"/>
              <w:bottom w:val="nil"/>
              <w:right w:val="nil"/>
            </w:tcBorders>
          </w:tcPr>
          <w:p w14:paraId="238A24DA"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-0.00460</w:t>
            </w:r>
          </w:p>
        </w:tc>
        <w:tc>
          <w:tcPr>
            <w:tcW w:w="1656" w:type="dxa"/>
            <w:tcBorders>
              <w:top w:val="nil"/>
              <w:left w:val="nil"/>
              <w:bottom w:val="nil"/>
              <w:right w:val="nil"/>
            </w:tcBorders>
          </w:tcPr>
          <w:p w14:paraId="05B497C4"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-0.0550</w:t>
            </w:r>
          </w:p>
        </w:tc>
        <w:tc>
          <w:tcPr>
            <w:tcW w:w="1656" w:type="dxa"/>
            <w:tcBorders>
              <w:top w:val="nil"/>
              <w:left w:val="nil"/>
              <w:bottom w:val="nil"/>
              <w:right w:val="nil"/>
            </w:tcBorders>
          </w:tcPr>
          <w:p w14:paraId="7C2EE223"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-0.123</w:t>
            </w:r>
          </w:p>
        </w:tc>
        <w:tc>
          <w:tcPr>
            <w:tcW w:w="1656" w:type="dxa"/>
            <w:tcBorders>
              <w:top w:val="nil"/>
              <w:left w:val="nil"/>
              <w:bottom w:val="nil"/>
              <w:right w:val="nil"/>
            </w:tcBorders>
          </w:tcPr>
          <w:p w14:paraId="2DA651CD"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-1.518</w:t>
            </w:r>
          </w:p>
        </w:tc>
      </w:tr>
      <w:tr w:rsidR="00E925A2" w14:paraId="598988CB" w14:textId="77777777" w:rsidTr="00015B88">
        <w:tc>
          <w:tcPr>
            <w:tcW w:w="2136" w:type="dxa"/>
            <w:tcBorders>
              <w:top w:val="nil"/>
              <w:left w:val="nil"/>
              <w:bottom w:val="nil"/>
              <w:right w:val="nil"/>
            </w:tcBorders>
          </w:tcPr>
          <w:p w14:paraId="7F4990C5"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443CCED"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56" w:type="dxa"/>
            <w:tcBorders>
              <w:top w:val="nil"/>
              <w:left w:val="nil"/>
              <w:bottom w:val="nil"/>
              <w:right w:val="nil"/>
            </w:tcBorders>
          </w:tcPr>
          <w:p w14:paraId="78198792"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656" w:type="dxa"/>
            <w:tcBorders>
              <w:top w:val="nil"/>
              <w:left w:val="nil"/>
              <w:bottom w:val="nil"/>
              <w:right w:val="nil"/>
            </w:tcBorders>
          </w:tcPr>
          <w:p w14:paraId="0672E653"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(-1.09)</w:t>
            </w:r>
          </w:p>
        </w:tc>
        <w:tc>
          <w:tcPr>
            <w:tcW w:w="1656" w:type="dxa"/>
            <w:tcBorders>
              <w:top w:val="nil"/>
              <w:left w:val="nil"/>
              <w:bottom w:val="nil"/>
              <w:right w:val="nil"/>
            </w:tcBorders>
          </w:tcPr>
          <w:p w14:paraId="00FAC26B"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(-1.71)</w:t>
            </w:r>
          </w:p>
        </w:tc>
        <w:tc>
          <w:tcPr>
            <w:tcW w:w="1656" w:type="dxa"/>
            <w:tcBorders>
              <w:top w:val="nil"/>
              <w:left w:val="nil"/>
              <w:bottom w:val="nil"/>
              <w:right w:val="nil"/>
            </w:tcBorders>
          </w:tcPr>
          <w:p w14:paraId="2F012231"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E925A2" w14:paraId="3EBAA90A" w14:textId="77777777" w:rsidTr="00015B88">
        <w:tc>
          <w:tcPr>
            <w:tcW w:w="2136" w:type="dxa"/>
            <w:tcBorders>
              <w:top w:val="nil"/>
              <w:left w:val="nil"/>
              <w:bottom w:val="nil"/>
              <w:right w:val="nil"/>
            </w:tcBorders>
          </w:tcPr>
          <w:p w14:paraId="0C51B4AB"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58CC8E8"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5043C60"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E8D35BF"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A53B86D"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8D717DA"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p>
        </w:tc>
      </w:tr>
      <w:tr w:rsidR="00E925A2" w14:paraId="68F58796" w14:textId="77777777" w:rsidTr="00015B88">
        <w:tc>
          <w:tcPr>
            <w:tcW w:w="2136" w:type="dxa"/>
            <w:tcBorders>
              <w:top w:val="nil"/>
              <w:left w:val="nil"/>
              <w:bottom w:val="nil"/>
              <w:right w:val="nil"/>
            </w:tcBorders>
          </w:tcPr>
          <w:p w14:paraId="19F3A9DF"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33C87D32"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-0.129</w:t>
            </w:r>
          </w:p>
        </w:tc>
        <w:tc>
          <w:tcPr>
            <w:tcW w:w="1656" w:type="dxa"/>
            <w:tcBorders>
              <w:top w:val="nil"/>
              <w:left w:val="nil"/>
              <w:bottom w:val="nil"/>
              <w:right w:val="nil"/>
            </w:tcBorders>
          </w:tcPr>
          <w:p w14:paraId="2D77AEF2"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1.190</w:t>
            </w:r>
          </w:p>
        </w:tc>
        <w:tc>
          <w:tcPr>
            <w:tcW w:w="1656" w:type="dxa"/>
            <w:tcBorders>
              <w:top w:val="nil"/>
              <w:left w:val="nil"/>
              <w:bottom w:val="nil"/>
              <w:right w:val="nil"/>
            </w:tcBorders>
          </w:tcPr>
          <w:p w14:paraId="637F5433"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1.306</w:t>
            </w:r>
          </w:p>
        </w:tc>
        <w:tc>
          <w:tcPr>
            <w:tcW w:w="1656" w:type="dxa"/>
            <w:tcBorders>
              <w:top w:val="nil"/>
              <w:left w:val="nil"/>
              <w:bottom w:val="nil"/>
              <w:right w:val="nil"/>
            </w:tcBorders>
          </w:tcPr>
          <w:p w14:paraId="26CE2403"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7.569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D4847C1"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-13.18</w:t>
            </w:r>
          </w:p>
        </w:tc>
      </w:tr>
      <w:tr w:rsidR="00E925A2" w14:paraId="2528EE09" w14:textId="77777777" w:rsidTr="00015B88">
        <w:tc>
          <w:tcPr>
            <w:tcW w:w="2136" w:type="dxa"/>
            <w:tcBorders>
              <w:top w:val="nil"/>
              <w:left w:val="nil"/>
              <w:bottom w:val="single" w:sz="4" w:space="0" w:color="auto"/>
              <w:right w:val="nil"/>
            </w:tcBorders>
          </w:tcPr>
          <w:p w14:paraId="2E5F627B"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1C51CC1F"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656" w:type="dxa"/>
            <w:tcBorders>
              <w:top w:val="nil"/>
              <w:left w:val="nil"/>
              <w:bottom w:val="single" w:sz="4" w:space="0" w:color="auto"/>
              <w:right w:val="nil"/>
            </w:tcBorders>
          </w:tcPr>
          <w:p w14:paraId="09108706"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w:t>
            </w:r>
          </w:p>
        </w:tc>
        <w:tc>
          <w:tcPr>
            <w:tcW w:w="1656" w:type="dxa"/>
            <w:tcBorders>
              <w:top w:val="nil"/>
              <w:left w:val="nil"/>
              <w:bottom w:val="single" w:sz="4" w:space="0" w:color="auto"/>
              <w:right w:val="nil"/>
            </w:tcBorders>
          </w:tcPr>
          <w:p w14:paraId="5A18A8C6"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656" w:type="dxa"/>
            <w:tcBorders>
              <w:top w:val="nil"/>
              <w:left w:val="nil"/>
              <w:bottom w:val="single" w:sz="4" w:space="0" w:color="auto"/>
              <w:right w:val="nil"/>
            </w:tcBorders>
          </w:tcPr>
          <w:p w14:paraId="7F0FAB96"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(3.02)</w:t>
            </w:r>
          </w:p>
        </w:tc>
        <w:tc>
          <w:tcPr>
            <w:tcW w:w="1656" w:type="dxa"/>
            <w:tcBorders>
              <w:top w:val="nil"/>
              <w:left w:val="nil"/>
              <w:bottom w:val="single" w:sz="4" w:space="0" w:color="auto"/>
              <w:right w:val="nil"/>
            </w:tcBorders>
          </w:tcPr>
          <w:p w14:paraId="17369CC5"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E925A2" w14:paraId="7CD26B14" w14:textId="77777777" w:rsidTr="00015B88">
        <w:tc>
          <w:tcPr>
            <w:tcW w:w="2136" w:type="dxa"/>
            <w:tcBorders>
              <w:top w:val="nil"/>
              <w:left w:val="nil"/>
              <w:bottom w:val="single" w:sz="4" w:space="0" w:color="auto"/>
              <w:right w:val="nil"/>
            </w:tcBorders>
          </w:tcPr>
          <w:p w14:paraId="2E409926" w14:textId="77777777" w:rsidR="00E925A2" w:rsidRDefault="00E925A2"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7F402463"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421</w:t>
            </w:r>
          </w:p>
        </w:tc>
        <w:tc>
          <w:tcPr>
            <w:tcW w:w="1656" w:type="dxa"/>
            <w:tcBorders>
              <w:top w:val="nil"/>
              <w:left w:val="nil"/>
              <w:bottom w:val="single" w:sz="4" w:space="0" w:color="auto"/>
              <w:right w:val="nil"/>
            </w:tcBorders>
          </w:tcPr>
          <w:p w14:paraId="5AC0E525"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656" w:type="dxa"/>
            <w:tcBorders>
              <w:top w:val="nil"/>
              <w:left w:val="nil"/>
              <w:bottom w:val="single" w:sz="4" w:space="0" w:color="auto"/>
              <w:right w:val="nil"/>
            </w:tcBorders>
          </w:tcPr>
          <w:p w14:paraId="3523ADF5"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6" w:type="dxa"/>
            <w:tcBorders>
              <w:top w:val="nil"/>
              <w:left w:val="nil"/>
              <w:bottom w:val="single" w:sz="4" w:space="0" w:color="auto"/>
              <w:right w:val="nil"/>
            </w:tcBorders>
          </w:tcPr>
          <w:p w14:paraId="34D570F6"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968</w:t>
            </w:r>
          </w:p>
        </w:tc>
        <w:tc>
          <w:tcPr>
            <w:tcW w:w="1656" w:type="dxa"/>
            <w:tcBorders>
              <w:top w:val="nil"/>
              <w:left w:val="nil"/>
              <w:bottom w:val="single" w:sz="4" w:space="0" w:color="auto"/>
              <w:right w:val="nil"/>
            </w:tcBorders>
          </w:tcPr>
          <w:p w14:paraId="7B5B68DA" w14:textId="77777777" w:rsidR="00E925A2" w:rsidRDefault="00E925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1079</w:t>
            </w:r>
          </w:p>
        </w:tc>
      </w:tr>
    </w:tbl>
    <w:p w14:paraId="2F62D015" w14:textId="77777777" w:rsidR="00E925A2" w:rsidRDefault="00E925A2" w:rsidP="00E925A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7CD58C2B" w14:textId="77777777" w:rsidR="00E925A2" w:rsidRDefault="00E925A2" w:rsidP="00E925A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276F45F5" w14:textId="77777777" w:rsidR="00E925A2" w:rsidRDefault="00E925A2" w:rsidP="00E925A2">
      <w:pPr>
        <w:widowControl w:val="0"/>
        <w:autoSpaceDE w:val="0"/>
        <w:autoSpaceDN w:val="0"/>
        <w:adjustRightInd w:val="0"/>
        <w:spacing w:after="0" w:line="240" w:lineRule="auto"/>
        <w:rPr>
          <w:rFonts w:ascii="Times New Roman" w:hAnsi="Times New Roman" w:cs="Times New Roman"/>
          <w:sz w:val="24"/>
          <w:szCs w:val="24"/>
        </w:rPr>
      </w:pPr>
    </w:p>
    <w:p w14:paraId="6F823461" w14:textId="660F3860" w:rsidR="00E925A2" w:rsidRDefault="00E925A2" w:rsidP="00E925A2">
      <w:r>
        <w:t>High openness, OECD de jure</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C36C06" w14:paraId="1C52E202" w14:textId="77777777" w:rsidTr="00015B88">
        <w:tc>
          <w:tcPr>
            <w:tcW w:w="2136" w:type="dxa"/>
            <w:tcBorders>
              <w:top w:val="single" w:sz="4" w:space="0" w:color="auto"/>
              <w:left w:val="nil"/>
              <w:bottom w:val="nil"/>
              <w:right w:val="nil"/>
            </w:tcBorders>
          </w:tcPr>
          <w:p w14:paraId="69C74C60"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1DC9F916"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68657E48"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18AA8054"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6009C6C5"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721B4C81"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C36C06" w14:paraId="0D7CED92" w14:textId="77777777" w:rsidTr="00015B88">
        <w:tc>
          <w:tcPr>
            <w:tcW w:w="2136" w:type="dxa"/>
            <w:tcBorders>
              <w:top w:val="nil"/>
              <w:left w:val="nil"/>
              <w:bottom w:val="nil"/>
              <w:right w:val="nil"/>
            </w:tcBorders>
          </w:tcPr>
          <w:p w14:paraId="32B524FE"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A58FBF0"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72C613F4"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33F87BD1"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5EB2C449"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0B2109AD"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C36C06" w14:paraId="237651A6" w14:textId="77777777" w:rsidTr="00015B88">
        <w:tc>
          <w:tcPr>
            <w:tcW w:w="2136" w:type="dxa"/>
            <w:tcBorders>
              <w:top w:val="single" w:sz="4" w:space="0" w:color="auto"/>
              <w:left w:val="nil"/>
              <w:bottom w:val="nil"/>
              <w:right w:val="nil"/>
            </w:tcBorders>
          </w:tcPr>
          <w:p w14:paraId="0CB2A49A"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 Jure CBI (CNW Index)</w:t>
            </w:r>
          </w:p>
        </w:tc>
        <w:tc>
          <w:tcPr>
            <w:tcW w:w="1656" w:type="dxa"/>
            <w:tcBorders>
              <w:top w:val="single" w:sz="4" w:space="0" w:color="auto"/>
              <w:left w:val="nil"/>
              <w:bottom w:val="nil"/>
              <w:right w:val="nil"/>
            </w:tcBorders>
          </w:tcPr>
          <w:p w14:paraId="3C616204"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102.6</w:t>
            </w:r>
          </w:p>
        </w:tc>
        <w:tc>
          <w:tcPr>
            <w:tcW w:w="1656" w:type="dxa"/>
            <w:tcBorders>
              <w:top w:val="single" w:sz="4" w:space="0" w:color="auto"/>
              <w:left w:val="nil"/>
              <w:bottom w:val="nil"/>
              <w:right w:val="nil"/>
            </w:tcBorders>
          </w:tcPr>
          <w:p w14:paraId="7EFA0486"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41.25</w:t>
            </w:r>
          </w:p>
        </w:tc>
        <w:tc>
          <w:tcPr>
            <w:tcW w:w="1656" w:type="dxa"/>
            <w:tcBorders>
              <w:top w:val="single" w:sz="4" w:space="0" w:color="auto"/>
              <w:left w:val="nil"/>
              <w:bottom w:val="nil"/>
              <w:right w:val="nil"/>
            </w:tcBorders>
          </w:tcPr>
          <w:p w14:paraId="588C770C"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-59.20</w:t>
            </w:r>
          </w:p>
        </w:tc>
        <w:tc>
          <w:tcPr>
            <w:tcW w:w="1656" w:type="dxa"/>
            <w:tcBorders>
              <w:top w:val="single" w:sz="4" w:space="0" w:color="auto"/>
              <w:left w:val="nil"/>
              <w:bottom w:val="nil"/>
              <w:right w:val="nil"/>
            </w:tcBorders>
          </w:tcPr>
          <w:p w14:paraId="1FBFF6A1"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237.7</w:t>
            </w:r>
          </w:p>
        </w:tc>
        <w:tc>
          <w:tcPr>
            <w:tcW w:w="1656" w:type="dxa"/>
            <w:tcBorders>
              <w:top w:val="single" w:sz="4" w:space="0" w:color="auto"/>
              <w:left w:val="nil"/>
              <w:bottom w:val="nil"/>
              <w:right w:val="nil"/>
            </w:tcBorders>
          </w:tcPr>
          <w:p w14:paraId="22654E37"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2.703</w:t>
            </w:r>
            <w:r>
              <w:rPr>
                <w:rFonts w:ascii="Times New Roman" w:hAnsi="Times New Roman" w:cs="Times New Roman"/>
                <w:sz w:val="24"/>
                <w:szCs w:val="24"/>
                <w:vertAlign w:val="superscript"/>
              </w:rPr>
              <w:t>***</w:t>
            </w:r>
          </w:p>
        </w:tc>
      </w:tr>
      <w:tr w:rsidR="00C36C06" w14:paraId="1A85028C" w14:textId="77777777" w:rsidTr="00015B88">
        <w:tc>
          <w:tcPr>
            <w:tcW w:w="2136" w:type="dxa"/>
            <w:tcBorders>
              <w:top w:val="nil"/>
              <w:left w:val="nil"/>
              <w:bottom w:val="nil"/>
              <w:right w:val="nil"/>
            </w:tcBorders>
          </w:tcPr>
          <w:p w14:paraId="0D271397"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F2749DE"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1149A477"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51372266"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4B2F9399"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656" w:type="dxa"/>
            <w:tcBorders>
              <w:top w:val="nil"/>
              <w:left w:val="nil"/>
              <w:bottom w:val="nil"/>
              <w:right w:val="nil"/>
            </w:tcBorders>
          </w:tcPr>
          <w:p w14:paraId="7B3E27AD"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36C06" w14:paraId="1EC24B8F" w14:textId="77777777" w:rsidTr="00015B88">
        <w:tc>
          <w:tcPr>
            <w:tcW w:w="2136" w:type="dxa"/>
            <w:tcBorders>
              <w:top w:val="nil"/>
              <w:left w:val="nil"/>
              <w:bottom w:val="nil"/>
              <w:right w:val="nil"/>
            </w:tcBorders>
          </w:tcPr>
          <w:p w14:paraId="7BBF8182"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CD85175"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1B9F1D0"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57E793A"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FFD768A"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9B98F7C"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p>
        </w:tc>
      </w:tr>
      <w:tr w:rsidR="00C36C06" w14:paraId="4857F704" w14:textId="77777777" w:rsidTr="00015B88">
        <w:tc>
          <w:tcPr>
            <w:tcW w:w="2136" w:type="dxa"/>
            <w:tcBorders>
              <w:top w:val="nil"/>
              <w:left w:val="nil"/>
              <w:bottom w:val="nil"/>
              <w:right w:val="nil"/>
            </w:tcBorders>
          </w:tcPr>
          <w:p w14:paraId="1ED979AE"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181DBBB0"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-3.053</w:t>
            </w:r>
          </w:p>
        </w:tc>
        <w:tc>
          <w:tcPr>
            <w:tcW w:w="1656" w:type="dxa"/>
            <w:tcBorders>
              <w:top w:val="nil"/>
              <w:left w:val="nil"/>
              <w:bottom w:val="nil"/>
              <w:right w:val="nil"/>
            </w:tcBorders>
          </w:tcPr>
          <w:p w14:paraId="47B6209C"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-1.237</w:t>
            </w:r>
          </w:p>
        </w:tc>
        <w:tc>
          <w:tcPr>
            <w:tcW w:w="1656" w:type="dxa"/>
            <w:tcBorders>
              <w:top w:val="nil"/>
              <w:left w:val="nil"/>
              <w:bottom w:val="nil"/>
              <w:right w:val="nil"/>
            </w:tcBorders>
          </w:tcPr>
          <w:p w14:paraId="310DDA10"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1.833</w:t>
            </w:r>
          </w:p>
        </w:tc>
        <w:tc>
          <w:tcPr>
            <w:tcW w:w="1656" w:type="dxa"/>
            <w:tcBorders>
              <w:top w:val="nil"/>
              <w:left w:val="nil"/>
              <w:bottom w:val="nil"/>
              <w:right w:val="nil"/>
            </w:tcBorders>
          </w:tcPr>
          <w:p w14:paraId="7B736609"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-7.971</w:t>
            </w:r>
          </w:p>
        </w:tc>
        <w:tc>
          <w:tcPr>
            <w:tcW w:w="1656" w:type="dxa"/>
            <w:tcBorders>
              <w:top w:val="nil"/>
              <w:left w:val="nil"/>
              <w:bottom w:val="nil"/>
              <w:right w:val="nil"/>
            </w:tcBorders>
          </w:tcPr>
          <w:p w14:paraId="151E5963"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-0.129</w:t>
            </w:r>
          </w:p>
        </w:tc>
      </w:tr>
      <w:tr w:rsidR="00C36C06" w14:paraId="6E4D0219" w14:textId="77777777" w:rsidTr="00015B88">
        <w:tc>
          <w:tcPr>
            <w:tcW w:w="2136" w:type="dxa"/>
            <w:tcBorders>
              <w:top w:val="nil"/>
              <w:left w:val="nil"/>
              <w:bottom w:val="nil"/>
              <w:right w:val="nil"/>
            </w:tcBorders>
          </w:tcPr>
          <w:p w14:paraId="71AC3C4D"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7924CBB"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656" w:type="dxa"/>
            <w:tcBorders>
              <w:top w:val="nil"/>
              <w:left w:val="nil"/>
              <w:bottom w:val="nil"/>
              <w:right w:val="nil"/>
            </w:tcBorders>
          </w:tcPr>
          <w:p w14:paraId="42969E64"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274730EE"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712CE2B0"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656" w:type="dxa"/>
            <w:tcBorders>
              <w:top w:val="nil"/>
              <w:left w:val="nil"/>
              <w:bottom w:val="nil"/>
              <w:right w:val="nil"/>
            </w:tcBorders>
          </w:tcPr>
          <w:p w14:paraId="62017E09"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(-1.60)</w:t>
            </w:r>
          </w:p>
        </w:tc>
      </w:tr>
      <w:tr w:rsidR="00C36C06" w14:paraId="7145D549" w14:textId="77777777" w:rsidTr="00015B88">
        <w:tc>
          <w:tcPr>
            <w:tcW w:w="2136" w:type="dxa"/>
            <w:tcBorders>
              <w:top w:val="nil"/>
              <w:left w:val="nil"/>
              <w:bottom w:val="nil"/>
              <w:right w:val="nil"/>
            </w:tcBorders>
          </w:tcPr>
          <w:p w14:paraId="1B566954"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D1372E3"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E2B5138"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ED7BA9E"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51F211A"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645DD40"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p>
        </w:tc>
      </w:tr>
      <w:tr w:rsidR="00C36C06" w14:paraId="115F80AC" w14:textId="77777777" w:rsidTr="00015B88">
        <w:tc>
          <w:tcPr>
            <w:tcW w:w="2136" w:type="dxa"/>
            <w:tcBorders>
              <w:top w:val="nil"/>
              <w:left w:val="nil"/>
              <w:bottom w:val="nil"/>
              <w:right w:val="nil"/>
            </w:tcBorders>
          </w:tcPr>
          <w:p w14:paraId="1F14473C"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67FD8A0F"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-44.21</w:t>
            </w:r>
          </w:p>
        </w:tc>
        <w:tc>
          <w:tcPr>
            <w:tcW w:w="1656" w:type="dxa"/>
            <w:tcBorders>
              <w:top w:val="nil"/>
              <w:left w:val="nil"/>
              <w:bottom w:val="nil"/>
              <w:right w:val="nil"/>
            </w:tcBorders>
          </w:tcPr>
          <w:p w14:paraId="04A6434F"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-17.55</w:t>
            </w:r>
          </w:p>
        </w:tc>
        <w:tc>
          <w:tcPr>
            <w:tcW w:w="1656" w:type="dxa"/>
            <w:tcBorders>
              <w:top w:val="nil"/>
              <w:left w:val="nil"/>
              <w:bottom w:val="nil"/>
              <w:right w:val="nil"/>
            </w:tcBorders>
          </w:tcPr>
          <w:p w14:paraId="7970E9B7"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26.23</w:t>
            </w:r>
          </w:p>
        </w:tc>
        <w:tc>
          <w:tcPr>
            <w:tcW w:w="1656" w:type="dxa"/>
            <w:tcBorders>
              <w:top w:val="nil"/>
              <w:left w:val="nil"/>
              <w:bottom w:val="nil"/>
              <w:right w:val="nil"/>
            </w:tcBorders>
          </w:tcPr>
          <w:p w14:paraId="7BC2FE46"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-99.78</w:t>
            </w:r>
          </w:p>
        </w:tc>
        <w:tc>
          <w:tcPr>
            <w:tcW w:w="1656" w:type="dxa"/>
            <w:tcBorders>
              <w:top w:val="nil"/>
              <w:left w:val="nil"/>
              <w:bottom w:val="nil"/>
              <w:right w:val="nil"/>
            </w:tcBorders>
          </w:tcPr>
          <w:p w14:paraId="02A1B9BF"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p>
        </w:tc>
      </w:tr>
      <w:tr w:rsidR="00C36C06" w14:paraId="1E81BCFA" w14:textId="77777777" w:rsidTr="00015B88">
        <w:tc>
          <w:tcPr>
            <w:tcW w:w="2136" w:type="dxa"/>
            <w:tcBorders>
              <w:top w:val="nil"/>
              <w:left w:val="nil"/>
              <w:bottom w:val="single" w:sz="4" w:space="0" w:color="auto"/>
              <w:right w:val="nil"/>
            </w:tcBorders>
          </w:tcPr>
          <w:p w14:paraId="17D80761"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559FC3E4"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single" w:sz="4" w:space="0" w:color="auto"/>
              <w:right w:val="nil"/>
            </w:tcBorders>
          </w:tcPr>
          <w:p w14:paraId="6D2AEFBF"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single" w:sz="4" w:space="0" w:color="auto"/>
              <w:right w:val="nil"/>
            </w:tcBorders>
          </w:tcPr>
          <w:p w14:paraId="233C5E23"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single" w:sz="4" w:space="0" w:color="auto"/>
              <w:right w:val="nil"/>
            </w:tcBorders>
          </w:tcPr>
          <w:p w14:paraId="5DF41FFB"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656" w:type="dxa"/>
            <w:tcBorders>
              <w:top w:val="nil"/>
              <w:left w:val="nil"/>
              <w:bottom w:val="single" w:sz="4" w:space="0" w:color="auto"/>
              <w:right w:val="nil"/>
            </w:tcBorders>
          </w:tcPr>
          <w:p w14:paraId="797BD405"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p>
        </w:tc>
      </w:tr>
      <w:tr w:rsidR="00C36C06" w14:paraId="24325E67" w14:textId="77777777" w:rsidTr="00015B88">
        <w:tc>
          <w:tcPr>
            <w:tcW w:w="2136" w:type="dxa"/>
            <w:tcBorders>
              <w:top w:val="nil"/>
              <w:left w:val="nil"/>
              <w:bottom w:val="single" w:sz="4" w:space="0" w:color="auto"/>
              <w:right w:val="nil"/>
            </w:tcBorders>
          </w:tcPr>
          <w:p w14:paraId="723B91B8" w14:textId="77777777" w:rsidR="00C36C06" w:rsidRDefault="00C36C06"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725223F2"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656" w:type="dxa"/>
            <w:tcBorders>
              <w:top w:val="nil"/>
              <w:left w:val="nil"/>
              <w:bottom w:val="single" w:sz="4" w:space="0" w:color="auto"/>
              <w:right w:val="nil"/>
            </w:tcBorders>
          </w:tcPr>
          <w:p w14:paraId="5439EE87"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656" w:type="dxa"/>
            <w:tcBorders>
              <w:top w:val="nil"/>
              <w:left w:val="nil"/>
              <w:bottom w:val="single" w:sz="4" w:space="0" w:color="auto"/>
              <w:right w:val="nil"/>
            </w:tcBorders>
          </w:tcPr>
          <w:p w14:paraId="4D80955F"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656" w:type="dxa"/>
            <w:tcBorders>
              <w:top w:val="nil"/>
              <w:left w:val="nil"/>
              <w:bottom w:val="single" w:sz="4" w:space="0" w:color="auto"/>
              <w:right w:val="nil"/>
            </w:tcBorders>
          </w:tcPr>
          <w:p w14:paraId="58EF3FAB"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w:t>
            </w:r>
          </w:p>
        </w:tc>
        <w:tc>
          <w:tcPr>
            <w:tcW w:w="1656" w:type="dxa"/>
            <w:tcBorders>
              <w:top w:val="nil"/>
              <w:left w:val="nil"/>
              <w:bottom w:val="single" w:sz="4" w:space="0" w:color="auto"/>
              <w:right w:val="nil"/>
            </w:tcBorders>
          </w:tcPr>
          <w:p w14:paraId="6D6A5B02" w14:textId="77777777" w:rsidR="00C36C06" w:rsidRDefault="00C36C06"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r>
    </w:tbl>
    <w:p w14:paraId="3B5C66DE" w14:textId="77777777" w:rsidR="00C36C06" w:rsidRDefault="00C36C06" w:rsidP="00C36C0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62E31722" w14:textId="77777777" w:rsidR="00C36C06" w:rsidRDefault="00C36C06" w:rsidP="00C36C06">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0F29DB4" w14:textId="77777777" w:rsidR="00E925A2" w:rsidRDefault="00E925A2" w:rsidP="00E925A2"/>
    <w:p w14:paraId="2773FEA6" w14:textId="711C11FE" w:rsidR="00E925A2" w:rsidRDefault="00E925A2" w:rsidP="002A431A">
      <w:r>
        <w:lastRenderedPageBreak/>
        <w:t>Low openness, OECD de jure</w:t>
      </w:r>
      <w:r w:rsidR="00252D31">
        <w:t xml:space="preserve"> (insufficient observations for other dependent variables)</w:t>
      </w:r>
    </w:p>
    <w:tbl>
      <w:tblPr>
        <w:tblW w:w="0" w:type="auto"/>
        <w:tblLayout w:type="fixed"/>
        <w:tblLook w:val="0000" w:firstRow="0" w:lastRow="0" w:firstColumn="0" w:lastColumn="0" w:noHBand="0" w:noVBand="0"/>
      </w:tblPr>
      <w:tblGrid>
        <w:gridCol w:w="2136"/>
        <w:gridCol w:w="1656"/>
      </w:tblGrid>
      <w:tr w:rsidR="00252D31" w14:paraId="36DCCE34" w14:textId="77777777" w:rsidTr="00015B88">
        <w:tc>
          <w:tcPr>
            <w:tcW w:w="2136" w:type="dxa"/>
            <w:tcBorders>
              <w:top w:val="single" w:sz="4" w:space="0" w:color="auto"/>
              <w:left w:val="nil"/>
              <w:bottom w:val="nil"/>
              <w:right w:val="nil"/>
            </w:tcBorders>
          </w:tcPr>
          <w:p w14:paraId="6F61D8B3" w14:textId="77777777" w:rsidR="00252D31" w:rsidRDefault="00252D31" w:rsidP="00015B88">
            <w:pPr>
              <w:widowControl w:val="0"/>
              <w:autoSpaceDE w:val="0"/>
              <w:autoSpaceDN w:val="0"/>
              <w:adjustRightInd w:val="0"/>
              <w:spacing w:after="0" w:line="240" w:lineRule="auto"/>
              <w:rPr>
                <w:rFonts w:ascii="Times New Roman" w:hAnsi="Times New Roman"/>
                <w:sz w:val="24"/>
                <w:szCs w:val="24"/>
              </w:rPr>
            </w:pPr>
          </w:p>
        </w:tc>
        <w:tc>
          <w:tcPr>
            <w:tcW w:w="1656" w:type="dxa"/>
            <w:tcBorders>
              <w:top w:val="single" w:sz="4" w:space="0" w:color="auto"/>
              <w:left w:val="nil"/>
              <w:bottom w:val="nil"/>
              <w:right w:val="nil"/>
            </w:tcBorders>
          </w:tcPr>
          <w:p w14:paraId="17C33534" w14:textId="77777777" w:rsidR="00252D31" w:rsidRDefault="00252D31" w:rsidP="00015B8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w:t>
            </w:r>
          </w:p>
        </w:tc>
      </w:tr>
      <w:tr w:rsidR="00252D31" w14:paraId="0D7E7096" w14:textId="77777777" w:rsidTr="00015B88">
        <w:tc>
          <w:tcPr>
            <w:tcW w:w="2136" w:type="dxa"/>
            <w:tcBorders>
              <w:top w:val="nil"/>
              <w:left w:val="nil"/>
              <w:bottom w:val="nil"/>
              <w:right w:val="nil"/>
            </w:tcBorders>
          </w:tcPr>
          <w:p w14:paraId="4FDF7137" w14:textId="77777777" w:rsidR="00252D31" w:rsidRDefault="00252D31" w:rsidP="00015B88">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4A071A08" w14:textId="77777777" w:rsidR="00252D31" w:rsidRDefault="00252D31" w:rsidP="00015B8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Instability Event Indicator</w:t>
            </w:r>
          </w:p>
        </w:tc>
      </w:tr>
      <w:tr w:rsidR="00252D31" w14:paraId="68C0B701" w14:textId="77777777" w:rsidTr="00015B88">
        <w:tc>
          <w:tcPr>
            <w:tcW w:w="2136" w:type="dxa"/>
            <w:tcBorders>
              <w:top w:val="single" w:sz="4" w:space="0" w:color="auto"/>
              <w:left w:val="nil"/>
              <w:bottom w:val="nil"/>
              <w:right w:val="nil"/>
            </w:tcBorders>
          </w:tcPr>
          <w:p w14:paraId="46B1EF80" w14:textId="77777777" w:rsidR="00252D31" w:rsidRDefault="00252D31" w:rsidP="00015B88">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333DE681" w14:textId="77777777" w:rsidR="00252D31" w:rsidRDefault="00252D31" w:rsidP="00015B8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29.15</w:t>
            </w:r>
          </w:p>
        </w:tc>
      </w:tr>
      <w:tr w:rsidR="00252D31" w14:paraId="7311BBB4" w14:textId="77777777" w:rsidTr="00015B88">
        <w:tc>
          <w:tcPr>
            <w:tcW w:w="2136" w:type="dxa"/>
            <w:tcBorders>
              <w:top w:val="nil"/>
              <w:left w:val="nil"/>
              <w:bottom w:val="nil"/>
              <w:right w:val="nil"/>
            </w:tcBorders>
          </w:tcPr>
          <w:p w14:paraId="4439A0E4" w14:textId="77777777" w:rsidR="00252D31" w:rsidRDefault="00252D31" w:rsidP="00015B88">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71DE2A82" w14:textId="77777777" w:rsidR="00252D31" w:rsidRDefault="00252D31" w:rsidP="00015B8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w:t>
            </w:r>
          </w:p>
        </w:tc>
      </w:tr>
      <w:tr w:rsidR="00252D31" w14:paraId="6F5589F4" w14:textId="77777777" w:rsidTr="00015B88">
        <w:tc>
          <w:tcPr>
            <w:tcW w:w="2136" w:type="dxa"/>
            <w:tcBorders>
              <w:top w:val="nil"/>
              <w:left w:val="nil"/>
              <w:bottom w:val="nil"/>
              <w:right w:val="nil"/>
            </w:tcBorders>
          </w:tcPr>
          <w:p w14:paraId="0A5AD99C" w14:textId="77777777" w:rsidR="00252D31" w:rsidRDefault="00252D31" w:rsidP="00015B88">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5A5AFAD4" w14:textId="77777777" w:rsidR="00252D31" w:rsidRDefault="00252D31" w:rsidP="00015B88">
            <w:pPr>
              <w:widowControl w:val="0"/>
              <w:autoSpaceDE w:val="0"/>
              <w:autoSpaceDN w:val="0"/>
              <w:adjustRightInd w:val="0"/>
              <w:spacing w:after="0" w:line="240" w:lineRule="auto"/>
              <w:rPr>
                <w:rFonts w:ascii="Times New Roman" w:hAnsi="Times New Roman"/>
                <w:sz w:val="24"/>
                <w:szCs w:val="24"/>
              </w:rPr>
            </w:pPr>
          </w:p>
        </w:tc>
      </w:tr>
      <w:tr w:rsidR="00252D31" w14:paraId="5C645BAC" w14:textId="77777777" w:rsidTr="00015B88">
        <w:tc>
          <w:tcPr>
            <w:tcW w:w="2136" w:type="dxa"/>
            <w:tcBorders>
              <w:top w:val="nil"/>
              <w:left w:val="nil"/>
              <w:bottom w:val="nil"/>
              <w:right w:val="nil"/>
            </w:tcBorders>
          </w:tcPr>
          <w:p w14:paraId="3F9A47E8" w14:textId="77777777" w:rsidR="00252D31" w:rsidRDefault="00252D31" w:rsidP="00015B88">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Exchange Rate Classification (RR inverted, higher = more fixed)</w:t>
            </w:r>
          </w:p>
        </w:tc>
        <w:tc>
          <w:tcPr>
            <w:tcW w:w="1656" w:type="dxa"/>
            <w:tcBorders>
              <w:top w:val="nil"/>
              <w:left w:val="nil"/>
              <w:bottom w:val="nil"/>
              <w:right w:val="nil"/>
            </w:tcBorders>
          </w:tcPr>
          <w:p w14:paraId="1CC56946" w14:textId="77777777" w:rsidR="00252D31" w:rsidRDefault="00252D31" w:rsidP="00015B8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-1.518</w:t>
            </w:r>
          </w:p>
        </w:tc>
      </w:tr>
      <w:tr w:rsidR="00252D31" w14:paraId="336C48BF" w14:textId="77777777" w:rsidTr="00015B88">
        <w:tc>
          <w:tcPr>
            <w:tcW w:w="2136" w:type="dxa"/>
            <w:tcBorders>
              <w:top w:val="nil"/>
              <w:left w:val="nil"/>
              <w:bottom w:val="nil"/>
              <w:right w:val="nil"/>
            </w:tcBorders>
          </w:tcPr>
          <w:p w14:paraId="111DCD00" w14:textId="77777777" w:rsidR="00252D31" w:rsidRDefault="00252D31" w:rsidP="00015B88">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3F4E219D" w14:textId="77777777" w:rsidR="00252D31" w:rsidRDefault="00252D31" w:rsidP="00015B8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w:t>
            </w:r>
          </w:p>
        </w:tc>
      </w:tr>
      <w:tr w:rsidR="00252D31" w14:paraId="3E31B7CC" w14:textId="77777777" w:rsidTr="00015B88">
        <w:tc>
          <w:tcPr>
            <w:tcW w:w="2136" w:type="dxa"/>
            <w:tcBorders>
              <w:top w:val="nil"/>
              <w:left w:val="nil"/>
              <w:bottom w:val="nil"/>
              <w:right w:val="nil"/>
            </w:tcBorders>
          </w:tcPr>
          <w:p w14:paraId="5C2F9084" w14:textId="77777777" w:rsidR="00252D31" w:rsidRDefault="00252D31" w:rsidP="00015B88">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27C7FC95" w14:textId="77777777" w:rsidR="00252D31" w:rsidRDefault="00252D31" w:rsidP="00015B88">
            <w:pPr>
              <w:widowControl w:val="0"/>
              <w:autoSpaceDE w:val="0"/>
              <w:autoSpaceDN w:val="0"/>
              <w:adjustRightInd w:val="0"/>
              <w:spacing w:after="0" w:line="240" w:lineRule="auto"/>
              <w:rPr>
                <w:rFonts w:ascii="Times New Roman" w:hAnsi="Times New Roman"/>
                <w:sz w:val="24"/>
                <w:szCs w:val="24"/>
              </w:rPr>
            </w:pPr>
          </w:p>
        </w:tc>
      </w:tr>
      <w:tr w:rsidR="00252D31" w14:paraId="6E328790" w14:textId="77777777" w:rsidTr="00015B88">
        <w:tc>
          <w:tcPr>
            <w:tcW w:w="2136" w:type="dxa"/>
            <w:tcBorders>
              <w:top w:val="nil"/>
              <w:left w:val="nil"/>
              <w:bottom w:val="nil"/>
              <w:right w:val="nil"/>
            </w:tcBorders>
          </w:tcPr>
          <w:p w14:paraId="1464D485" w14:textId="77777777" w:rsidR="00252D31" w:rsidRDefault="00252D31" w:rsidP="00015B88">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Constant</w:t>
            </w:r>
          </w:p>
        </w:tc>
        <w:tc>
          <w:tcPr>
            <w:tcW w:w="1656" w:type="dxa"/>
            <w:tcBorders>
              <w:top w:val="nil"/>
              <w:left w:val="nil"/>
              <w:bottom w:val="nil"/>
              <w:right w:val="nil"/>
            </w:tcBorders>
          </w:tcPr>
          <w:p w14:paraId="7B39A9C3" w14:textId="77777777" w:rsidR="00252D31" w:rsidRDefault="00252D31" w:rsidP="00015B8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-13.18</w:t>
            </w:r>
          </w:p>
        </w:tc>
      </w:tr>
      <w:tr w:rsidR="00252D31" w14:paraId="608F36BF" w14:textId="77777777" w:rsidTr="00015B88">
        <w:tc>
          <w:tcPr>
            <w:tcW w:w="2136" w:type="dxa"/>
            <w:tcBorders>
              <w:top w:val="nil"/>
              <w:left w:val="nil"/>
              <w:bottom w:val="single" w:sz="4" w:space="0" w:color="auto"/>
              <w:right w:val="nil"/>
            </w:tcBorders>
          </w:tcPr>
          <w:p w14:paraId="2387848B" w14:textId="77777777" w:rsidR="00252D31" w:rsidRDefault="00252D31" w:rsidP="00015B88">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single" w:sz="4" w:space="0" w:color="auto"/>
              <w:right w:val="nil"/>
            </w:tcBorders>
          </w:tcPr>
          <w:p w14:paraId="20F48B42" w14:textId="77777777" w:rsidR="00252D31" w:rsidRDefault="00252D31" w:rsidP="00015B8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w:t>
            </w:r>
          </w:p>
        </w:tc>
      </w:tr>
      <w:tr w:rsidR="00252D31" w14:paraId="019A5343" w14:textId="77777777" w:rsidTr="00015B88">
        <w:tc>
          <w:tcPr>
            <w:tcW w:w="2136" w:type="dxa"/>
            <w:tcBorders>
              <w:top w:val="nil"/>
              <w:left w:val="nil"/>
              <w:bottom w:val="single" w:sz="4" w:space="0" w:color="auto"/>
              <w:right w:val="nil"/>
            </w:tcBorders>
          </w:tcPr>
          <w:p w14:paraId="71341A12" w14:textId="77777777" w:rsidR="00252D31" w:rsidRDefault="00252D31" w:rsidP="00015B88">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Observations</w:t>
            </w:r>
          </w:p>
        </w:tc>
        <w:tc>
          <w:tcPr>
            <w:tcW w:w="1656" w:type="dxa"/>
            <w:tcBorders>
              <w:top w:val="nil"/>
              <w:left w:val="nil"/>
              <w:bottom w:val="single" w:sz="4" w:space="0" w:color="auto"/>
              <w:right w:val="nil"/>
            </w:tcBorders>
          </w:tcPr>
          <w:p w14:paraId="76D918D3" w14:textId="77777777" w:rsidR="00252D31" w:rsidRDefault="00252D31" w:rsidP="00015B8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1079</w:t>
            </w:r>
          </w:p>
        </w:tc>
      </w:tr>
    </w:tbl>
    <w:p w14:paraId="1878E784" w14:textId="77777777" w:rsidR="00252D31" w:rsidRDefault="00252D31" w:rsidP="00252D31">
      <w:pPr>
        <w:widowControl w:val="0"/>
        <w:autoSpaceDE w:val="0"/>
        <w:autoSpaceDN w:val="0"/>
        <w:adjustRightInd w:val="0"/>
        <w:spacing w:after="0" w:line="240" w:lineRule="auto"/>
        <w:rPr>
          <w:rFonts w:ascii="Times New Roman" w:hAnsi="Times New Roman"/>
          <w:sz w:val="20"/>
          <w:szCs w:val="20"/>
        </w:rPr>
      </w:pPr>
      <w:r>
        <w:rPr>
          <w:rFonts w:ascii="Times New Roman" w:hAnsi="Times New Roman"/>
          <w:i/>
          <w:iCs/>
          <w:sz w:val="20"/>
          <w:szCs w:val="20"/>
        </w:rPr>
        <w:t>t</w:t>
      </w:r>
      <w:r>
        <w:rPr>
          <w:rFonts w:ascii="Times New Roman" w:hAnsi="Times New Roman"/>
          <w:sz w:val="20"/>
          <w:szCs w:val="20"/>
        </w:rPr>
        <w:t xml:space="preserve"> statistics in parentheses</w:t>
      </w:r>
    </w:p>
    <w:p w14:paraId="39A75935" w14:textId="106D0FB8" w:rsidR="0080073F" w:rsidRDefault="00252D31" w:rsidP="0080073F">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vertAlign w:val="superscript"/>
        </w:rPr>
        <w:t>*</w:t>
      </w:r>
      <w:r>
        <w:rPr>
          <w:rFonts w:ascii="Times New Roman" w:hAnsi="Times New Roman"/>
          <w:sz w:val="20"/>
          <w:szCs w:val="20"/>
        </w:rPr>
        <w:t xml:space="preserve"> </w:t>
      </w:r>
      <w:r>
        <w:rPr>
          <w:rFonts w:ascii="Times New Roman" w:hAnsi="Times New Roman"/>
          <w:i/>
          <w:iCs/>
          <w:sz w:val="20"/>
          <w:szCs w:val="20"/>
        </w:rPr>
        <w:t>p</w:t>
      </w:r>
      <w:r>
        <w:rPr>
          <w:rFonts w:ascii="Times New Roman" w:hAnsi="Times New Roman"/>
          <w:sz w:val="20"/>
          <w:szCs w:val="20"/>
        </w:rPr>
        <w:t xml:space="preserve"> &lt; 0.05, </w:t>
      </w:r>
      <w:r>
        <w:rPr>
          <w:rFonts w:ascii="Times New Roman" w:hAnsi="Times New Roman"/>
          <w:sz w:val="20"/>
          <w:szCs w:val="20"/>
          <w:vertAlign w:val="superscript"/>
        </w:rPr>
        <w:t>**</w:t>
      </w:r>
      <w:r>
        <w:rPr>
          <w:rFonts w:ascii="Times New Roman" w:hAnsi="Times New Roman"/>
          <w:sz w:val="20"/>
          <w:szCs w:val="20"/>
        </w:rPr>
        <w:t xml:space="preserve"> </w:t>
      </w:r>
      <w:r>
        <w:rPr>
          <w:rFonts w:ascii="Times New Roman" w:hAnsi="Times New Roman"/>
          <w:i/>
          <w:iCs/>
          <w:sz w:val="20"/>
          <w:szCs w:val="20"/>
        </w:rPr>
        <w:t>p</w:t>
      </w:r>
      <w:r>
        <w:rPr>
          <w:rFonts w:ascii="Times New Roman" w:hAnsi="Times New Roman"/>
          <w:sz w:val="20"/>
          <w:szCs w:val="20"/>
        </w:rPr>
        <w:t xml:space="preserve"> &lt; 0.01, </w:t>
      </w:r>
      <w:r>
        <w:rPr>
          <w:rFonts w:ascii="Times New Roman" w:hAnsi="Times New Roman"/>
          <w:sz w:val="20"/>
          <w:szCs w:val="20"/>
          <w:vertAlign w:val="superscript"/>
        </w:rPr>
        <w:t>***</w:t>
      </w:r>
      <w:r>
        <w:rPr>
          <w:rFonts w:ascii="Times New Roman" w:hAnsi="Times New Roman"/>
          <w:sz w:val="20"/>
          <w:szCs w:val="20"/>
        </w:rPr>
        <w:t xml:space="preserve"> </w:t>
      </w:r>
      <w:r>
        <w:rPr>
          <w:rFonts w:ascii="Times New Roman" w:hAnsi="Times New Roman"/>
          <w:i/>
          <w:iCs/>
          <w:sz w:val="20"/>
          <w:szCs w:val="20"/>
        </w:rPr>
        <w:t>p</w:t>
      </w:r>
      <w:r>
        <w:rPr>
          <w:rFonts w:ascii="Times New Roman" w:hAnsi="Times New Roman"/>
          <w:sz w:val="20"/>
          <w:szCs w:val="20"/>
        </w:rPr>
        <w:t xml:space="preserve"> &lt; 0.001</w:t>
      </w:r>
    </w:p>
    <w:p w14:paraId="4300AED4" w14:textId="77777777" w:rsidR="0080073F" w:rsidRPr="0080073F" w:rsidRDefault="0080073F" w:rsidP="0080073F">
      <w:pPr>
        <w:widowControl w:val="0"/>
        <w:autoSpaceDE w:val="0"/>
        <w:autoSpaceDN w:val="0"/>
        <w:adjustRightInd w:val="0"/>
        <w:spacing w:after="0" w:line="240" w:lineRule="auto"/>
        <w:rPr>
          <w:rFonts w:ascii="Times New Roman" w:hAnsi="Times New Roman"/>
          <w:sz w:val="20"/>
          <w:szCs w:val="20"/>
        </w:rPr>
      </w:pPr>
    </w:p>
    <w:p w14:paraId="2A06F227" w14:textId="36F17EBE" w:rsidR="00A91CA2" w:rsidRPr="0080073F" w:rsidRDefault="00A91CA2" w:rsidP="0080073F">
      <w:r>
        <w:t>High openness</w:t>
      </w:r>
      <w:r w:rsidR="002A431A">
        <w:t>,</w:t>
      </w:r>
      <w:r>
        <w:t xml:space="preserve"> OECD </w:t>
      </w:r>
      <w:r w:rsidR="008345F1">
        <w:t>de facto</w:t>
      </w:r>
    </w:p>
    <w:tbl>
      <w:tblPr>
        <w:tblW w:w="0" w:type="auto"/>
        <w:tblLayout w:type="fixed"/>
        <w:tblLook w:val="0000" w:firstRow="0" w:lastRow="0" w:firstColumn="0" w:lastColumn="0" w:noHBand="0" w:noVBand="0"/>
      </w:tblPr>
      <w:tblGrid>
        <w:gridCol w:w="2136"/>
        <w:gridCol w:w="1656"/>
        <w:gridCol w:w="1656"/>
        <w:gridCol w:w="1656"/>
        <w:gridCol w:w="1656"/>
      </w:tblGrid>
      <w:tr w:rsidR="00A91CA2" w14:paraId="01083B7D" w14:textId="77777777" w:rsidTr="00015B88">
        <w:tc>
          <w:tcPr>
            <w:tcW w:w="2136" w:type="dxa"/>
            <w:tcBorders>
              <w:top w:val="single" w:sz="4" w:space="0" w:color="auto"/>
              <w:left w:val="nil"/>
              <w:bottom w:val="nil"/>
              <w:right w:val="nil"/>
            </w:tcBorders>
          </w:tcPr>
          <w:p w14:paraId="355E1467" w14:textId="77777777" w:rsidR="00A91CA2" w:rsidRDefault="00A91C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75417760"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6B8D9469"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318367C6"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1930D280"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91CA2" w14:paraId="3A447AD2" w14:textId="77777777" w:rsidTr="00015B88">
        <w:tc>
          <w:tcPr>
            <w:tcW w:w="2136" w:type="dxa"/>
            <w:tcBorders>
              <w:top w:val="nil"/>
              <w:left w:val="nil"/>
              <w:bottom w:val="nil"/>
              <w:right w:val="nil"/>
            </w:tcBorders>
          </w:tcPr>
          <w:p w14:paraId="33DEECB9" w14:textId="77777777" w:rsidR="00A91CA2" w:rsidRDefault="00A91C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A2C4589"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5F744CF5"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0BB92D55"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5A0CDB43"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r>
      <w:tr w:rsidR="00A91CA2" w14:paraId="068E87B3" w14:textId="77777777" w:rsidTr="00015B88">
        <w:tc>
          <w:tcPr>
            <w:tcW w:w="2136" w:type="dxa"/>
            <w:tcBorders>
              <w:top w:val="single" w:sz="4" w:space="0" w:color="auto"/>
              <w:left w:val="nil"/>
              <w:bottom w:val="nil"/>
              <w:right w:val="nil"/>
            </w:tcBorders>
          </w:tcPr>
          <w:p w14:paraId="7028B030" w14:textId="77777777" w:rsidR="00A91CA2" w:rsidRDefault="00A91CA2"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single" w:sz="4" w:space="0" w:color="auto"/>
              <w:left w:val="nil"/>
              <w:bottom w:val="nil"/>
              <w:right w:val="nil"/>
            </w:tcBorders>
          </w:tcPr>
          <w:p w14:paraId="63FC22D6"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0.0374</w:t>
            </w:r>
          </w:p>
        </w:tc>
        <w:tc>
          <w:tcPr>
            <w:tcW w:w="1656" w:type="dxa"/>
            <w:tcBorders>
              <w:top w:val="single" w:sz="4" w:space="0" w:color="auto"/>
              <w:left w:val="nil"/>
              <w:bottom w:val="nil"/>
              <w:right w:val="nil"/>
            </w:tcBorders>
          </w:tcPr>
          <w:p w14:paraId="5AD16041"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-0.00478</w:t>
            </w:r>
          </w:p>
        </w:tc>
        <w:tc>
          <w:tcPr>
            <w:tcW w:w="1656" w:type="dxa"/>
            <w:tcBorders>
              <w:top w:val="single" w:sz="4" w:space="0" w:color="auto"/>
              <w:left w:val="nil"/>
              <w:bottom w:val="nil"/>
              <w:right w:val="nil"/>
            </w:tcBorders>
          </w:tcPr>
          <w:p w14:paraId="2D6688C3"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0.107</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519970F0"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0.0621</w:t>
            </w:r>
            <w:r>
              <w:rPr>
                <w:rFonts w:ascii="Times New Roman" w:hAnsi="Times New Roman" w:cs="Times New Roman"/>
                <w:sz w:val="24"/>
                <w:szCs w:val="24"/>
                <w:vertAlign w:val="superscript"/>
              </w:rPr>
              <w:t>***</w:t>
            </w:r>
          </w:p>
        </w:tc>
      </w:tr>
      <w:tr w:rsidR="00A91CA2" w14:paraId="6DB38990" w14:textId="77777777" w:rsidTr="00015B88">
        <w:tc>
          <w:tcPr>
            <w:tcW w:w="2136" w:type="dxa"/>
            <w:tcBorders>
              <w:top w:val="nil"/>
              <w:left w:val="nil"/>
              <w:bottom w:val="nil"/>
              <w:right w:val="nil"/>
            </w:tcBorders>
          </w:tcPr>
          <w:p w14:paraId="24F88FB5" w14:textId="77777777" w:rsidR="00A91CA2" w:rsidRDefault="00A91C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EADD6A3"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w:t>
            </w:r>
          </w:p>
        </w:tc>
        <w:tc>
          <w:tcPr>
            <w:tcW w:w="1656" w:type="dxa"/>
            <w:tcBorders>
              <w:top w:val="nil"/>
              <w:left w:val="nil"/>
              <w:bottom w:val="nil"/>
              <w:right w:val="nil"/>
            </w:tcBorders>
          </w:tcPr>
          <w:p w14:paraId="1E101AC9"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656" w:type="dxa"/>
            <w:tcBorders>
              <w:top w:val="nil"/>
              <w:left w:val="nil"/>
              <w:bottom w:val="nil"/>
              <w:right w:val="nil"/>
            </w:tcBorders>
          </w:tcPr>
          <w:p w14:paraId="6AE05653"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(2.04)</w:t>
            </w:r>
          </w:p>
        </w:tc>
        <w:tc>
          <w:tcPr>
            <w:tcW w:w="1656" w:type="dxa"/>
            <w:tcBorders>
              <w:top w:val="nil"/>
              <w:left w:val="nil"/>
              <w:bottom w:val="nil"/>
              <w:right w:val="nil"/>
            </w:tcBorders>
          </w:tcPr>
          <w:p w14:paraId="3B5CAF08"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(3.39)</w:t>
            </w:r>
          </w:p>
        </w:tc>
      </w:tr>
      <w:tr w:rsidR="00A91CA2" w14:paraId="203426B3" w14:textId="77777777" w:rsidTr="00015B88">
        <w:tc>
          <w:tcPr>
            <w:tcW w:w="2136" w:type="dxa"/>
            <w:tcBorders>
              <w:top w:val="nil"/>
              <w:left w:val="nil"/>
              <w:bottom w:val="nil"/>
              <w:right w:val="nil"/>
            </w:tcBorders>
          </w:tcPr>
          <w:p w14:paraId="1BB15A57" w14:textId="77777777" w:rsidR="00A91CA2" w:rsidRDefault="00A91C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DE38D59" w14:textId="77777777" w:rsidR="00A91CA2" w:rsidRDefault="00A91C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DB2960E" w14:textId="77777777" w:rsidR="00A91CA2" w:rsidRDefault="00A91C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7336156" w14:textId="77777777" w:rsidR="00A91CA2" w:rsidRDefault="00A91C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92A20AC" w14:textId="77777777" w:rsidR="00A91CA2" w:rsidRDefault="00A91CA2" w:rsidP="00015B88">
            <w:pPr>
              <w:widowControl w:val="0"/>
              <w:autoSpaceDE w:val="0"/>
              <w:autoSpaceDN w:val="0"/>
              <w:adjustRightInd w:val="0"/>
              <w:spacing w:after="0" w:line="240" w:lineRule="auto"/>
              <w:rPr>
                <w:rFonts w:ascii="Times New Roman" w:hAnsi="Times New Roman" w:cs="Times New Roman"/>
                <w:sz w:val="24"/>
                <w:szCs w:val="24"/>
              </w:rPr>
            </w:pPr>
          </w:p>
        </w:tc>
      </w:tr>
      <w:tr w:rsidR="00A91CA2" w14:paraId="4323DF4F" w14:textId="77777777" w:rsidTr="00015B88">
        <w:tc>
          <w:tcPr>
            <w:tcW w:w="2136" w:type="dxa"/>
            <w:tcBorders>
              <w:top w:val="nil"/>
              <w:left w:val="nil"/>
              <w:bottom w:val="nil"/>
              <w:right w:val="nil"/>
            </w:tcBorders>
          </w:tcPr>
          <w:p w14:paraId="0BBD6E0F" w14:textId="77777777" w:rsidR="00A91CA2" w:rsidRDefault="00A91CA2"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7D33DE6E"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49E92FE0"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11DE7F6B"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56" w:type="dxa"/>
            <w:tcBorders>
              <w:top w:val="nil"/>
              <w:left w:val="nil"/>
              <w:bottom w:val="nil"/>
              <w:right w:val="nil"/>
            </w:tcBorders>
          </w:tcPr>
          <w:p w14:paraId="1FCAD396"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-1.395</w:t>
            </w:r>
          </w:p>
        </w:tc>
      </w:tr>
      <w:tr w:rsidR="00A91CA2" w14:paraId="7563E9C7" w14:textId="77777777" w:rsidTr="00015B88">
        <w:tc>
          <w:tcPr>
            <w:tcW w:w="2136" w:type="dxa"/>
            <w:tcBorders>
              <w:top w:val="nil"/>
              <w:left w:val="nil"/>
              <w:bottom w:val="nil"/>
              <w:right w:val="nil"/>
            </w:tcBorders>
          </w:tcPr>
          <w:p w14:paraId="523AADEB" w14:textId="77777777" w:rsidR="00A91CA2" w:rsidRDefault="00A91C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02EF081"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13CD606E"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48F90E16"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56" w:type="dxa"/>
            <w:tcBorders>
              <w:top w:val="nil"/>
              <w:left w:val="nil"/>
              <w:bottom w:val="nil"/>
              <w:right w:val="nil"/>
            </w:tcBorders>
          </w:tcPr>
          <w:p w14:paraId="159E4FB1"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w:t>
            </w:r>
          </w:p>
        </w:tc>
      </w:tr>
      <w:tr w:rsidR="00A91CA2" w14:paraId="3C5D803D" w14:textId="77777777" w:rsidTr="00015B88">
        <w:tc>
          <w:tcPr>
            <w:tcW w:w="2136" w:type="dxa"/>
            <w:tcBorders>
              <w:top w:val="nil"/>
              <w:left w:val="nil"/>
              <w:bottom w:val="nil"/>
              <w:right w:val="nil"/>
            </w:tcBorders>
          </w:tcPr>
          <w:p w14:paraId="150C6524" w14:textId="77777777" w:rsidR="00A91CA2" w:rsidRDefault="00A91C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790D4A5" w14:textId="77777777" w:rsidR="00A91CA2" w:rsidRDefault="00A91C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A3A8B1F" w14:textId="77777777" w:rsidR="00A91CA2" w:rsidRDefault="00A91C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2F7DB30" w14:textId="77777777" w:rsidR="00A91CA2" w:rsidRDefault="00A91C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9A07963" w14:textId="77777777" w:rsidR="00A91CA2" w:rsidRDefault="00A91CA2" w:rsidP="00015B88">
            <w:pPr>
              <w:widowControl w:val="0"/>
              <w:autoSpaceDE w:val="0"/>
              <w:autoSpaceDN w:val="0"/>
              <w:adjustRightInd w:val="0"/>
              <w:spacing w:after="0" w:line="240" w:lineRule="auto"/>
              <w:rPr>
                <w:rFonts w:ascii="Times New Roman" w:hAnsi="Times New Roman" w:cs="Times New Roman"/>
                <w:sz w:val="24"/>
                <w:szCs w:val="24"/>
              </w:rPr>
            </w:pPr>
          </w:p>
        </w:tc>
      </w:tr>
      <w:tr w:rsidR="00A91CA2" w14:paraId="4E5734FD" w14:textId="77777777" w:rsidTr="00015B88">
        <w:tc>
          <w:tcPr>
            <w:tcW w:w="2136" w:type="dxa"/>
            <w:tcBorders>
              <w:top w:val="nil"/>
              <w:left w:val="nil"/>
              <w:bottom w:val="nil"/>
              <w:right w:val="nil"/>
            </w:tcBorders>
          </w:tcPr>
          <w:p w14:paraId="6A0D839E" w14:textId="77777777" w:rsidR="00A91CA2" w:rsidRDefault="00A91CA2"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237F2DF9"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0.452</w:t>
            </w:r>
          </w:p>
        </w:tc>
        <w:tc>
          <w:tcPr>
            <w:tcW w:w="1656" w:type="dxa"/>
            <w:tcBorders>
              <w:top w:val="nil"/>
              <w:left w:val="nil"/>
              <w:bottom w:val="nil"/>
              <w:right w:val="nil"/>
            </w:tcBorders>
          </w:tcPr>
          <w:p w14:paraId="611380AC"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0.525</w:t>
            </w:r>
          </w:p>
        </w:tc>
        <w:tc>
          <w:tcPr>
            <w:tcW w:w="1656" w:type="dxa"/>
            <w:tcBorders>
              <w:top w:val="nil"/>
              <w:left w:val="nil"/>
              <w:bottom w:val="nil"/>
              <w:right w:val="nil"/>
            </w:tcBorders>
          </w:tcPr>
          <w:p w14:paraId="443C30CF"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0.155</w:t>
            </w:r>
          </w:p>
        </w:tc>
        <w:tc>
          <w:tcPr>
            <w:tcW w:w="1656" w:type="dxa"/>
            <w:tcBorders>
              <w:top w:val="nil"/>
              <w:left w:val="nil"/>
              <w:bottom w:val="nil"/>
              <w:right w:val="nil"/>
            </w:tcBorders>
          </w:tcPr>
          <w:p w14:paraId="5429455F"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1.468</w:t>
            </w:r>
          </w:p>
        </w:tc>
      </w:tr>
      <w:tr w:rsidR="00A91CA2" w14:paraId="0B429895" w14:textId="77777777" w:rsidTr="00015B88">
        <w:tc>
          <w:tcPr>
            <w:tcW w:w="2136" w:type="dxa"/>
            <w:tcBorders>
              <w:top w:val="nil"/>
              <w:left w:val="nil"/>
              <w:bottom w:val="single" w:sz="4" w:space="0" w:color="auto"/>
              <w:right w:val="nil"/>
            </w:tcBorders>
          </w:tcPr>
          <w:p w14:paraId="0298A1D5" w14:textId="77777777" w:rsidR="00A91CA2" w:rsidRDefault="00A91CA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34852CA4"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56" w:type="dxa"/>
            <w:tcBorders>
              <w:top w:val="nil"/>
              <w:left w:val="nil"/>
              <w:bottom w:val="single" w:sz="4" w:space="0" w:color="auto"/>
              <w:right w:val="nil"/>
            </w:tcBorders>
          </w:tcPr>
          <w:p w14:paraId="740E5543"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(1.08)</w:t>
            </w:r>
          </w:p>
        </w:tc>
        <w:tc>
          <w:tcPr>
            <w:tcW w:w="1656" w:type="dxa"/>
            <w:tcBorders>
              <w:top w:val="nil"/>
              <w:left w:val="nil"/>
              <w:bottom w:val="single" w:sz="4" w:space="0" w:color="auto"/>
              <w:right w:val="nil"/>
            </w:tcBorders>
          </w:tcPr>
          <w:p w14:paraId="64E9D955"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656" w:type="dxa"/>
            <w:tcBorders>
              <w:top w:val="nil"/>
              <w:left w:val="nil"/>
              <w:bottom w:val="single" w:sz="4" w:space="0" w:color="auto"/>
              <w:right w:val="nil"/>
            </w:tcBorders>
          </w:tcPr>
          <w:p w14:paraId="7A438497"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r>
      <w:tr w:rsidR="00A91CA2" w14:paraId="6CD693DB" w14:textId="77777777" w:rsidTr="00015B88">
        <w:tc>
          <w:tcPr>
            <w:tcW w:w="2136" w:type="dxa"/>
            <w:tcBorders>
              <w:top w:val="nil"/>
              <w:left w:val="nil"/>
              <w:bottom w:val="single" w:sz="4" w:space="0" w:color="auto"/>
              <w:right w:val="nil"/>
            </w:tcBorders>
          </w:tcPr>
          <w:p w14:paraId="14E44C32" w14:textId="77777777" w:rsidR="00A91CA2" w:rsidRDefault="00A91CA2"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154BD942"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w:t>
            </w:r>
          </w:p>
        </w:tc>
        <w:tc>
          <w:tcPr>
            <w:tcW w:w="1656" w:type="dxa"/>
            <w:tcBorders>
              <w:top w:val="nil"/>
              <w:left w:val="nil"/>
              <w:bottom w:val="single" w:sz="4" w:space="0" w:color="auto"/>
              <w:right w:val="nil"/>
            </w:tcBorders>
          </w:tcPr>
          <w:p w14:paraId="19DA6A35"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54</w:t>
            </w:r>
          </w:p>
        </w:tc>
        <w:tc>
          <w:tcPr>
            <w:tcW w:w="1656" w:type="dxa"/>
            <w:tcBorders>
              <w:top w:val="nil"/>
              <w:left w:val="nil"/>
              <w:bottom w:val="single" w:sz="4" w:space="0" w:color="auto"/>
              <w:right w:val="nil"/>
            </w:tcBorders>
          </w:tcPr>
          <w:p w14:paraId="6B2933B1"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47</w:t>
            </w:r>
          </w:p>
        </w:tc>
        <w:tc>
          <w:tcPr>
            <w:tcW w:w="1656" w:type="dxa"/>
            <w:tcBorders>
              <w:top w:val="nil"/>
              <w:left w:val="nil"/>
              <w:bottom w:val="single" w:sz="4" w:space="0" w:color="auto"/>
              <w:right w:val="nil"/>
            </w:tcBorders>
          </w:tcPr>
          <w:p w14:paraId="26B0EF3C" w14:textId="77777777" w:rsidR="00A91CA2" w:rsidRDefault="00A91CA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176</w:t>
            </w:r>
          </w:p>
        </w:tc>
      </w:tr>
    </w:tbl>
    <w:p w14:paraId="7EF32833" w14:textId="77777777" w:rsidR="00A91CA2" w:rsidRDefault="00A91CA2" w:rsidP="00A91CA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15A1F3E" w14:textId="77777777" w:rsidR="00A91CA2" w:rsidRDefault="00A91CA2" w:rsidP="00A91CA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3BF42F05" w14:textId="1B248575" w:rsidR="00913A6F" w:rsidRDefault="00913A6F" w:rsidP="006F2982"/>
    <w:p w14:paraId="63209DB0" w14:textId="73664410" w:rsidR="00FB5C2E" w:rsidRDefault="00FB5C2E" w:rsidP="006F2982">
      <w:r>
        <w:t>Low openness OECD de facto</w:t>
      </w:r>
    </w:p>
    <w:tbl>
      <w:tblPr>
        <w:tblW w:w="0" w:type="auto"/>
        <w:tblLayout w:type="fixed"/>
        <w:tblLook w:val="0000" w:firstRow="0" w:lastRow="0" w:firstColumn="0" w:lastColumn="0" w:noHBand="0" w:noVBand="0"/>
      </w:tblPr>
      <w:tblGrid>
        <w:gridCol w:w="2136"/>
        <w:gridCol w:w="1656"/>
        <w:gridCol w:w="1656"/>
        <w:gridCol w:w="1656"/>
        <w:gridCol w:w="1656"/>
      </w:tblGrid>
      <w:tr w:rsidR="00FB5C2E" w14:paraId="48719DE2" w14:textId="77777777" w:rsidTr="00015B88">
        <w:tc>
          <w:tcPr>
            <w:tcW w:w="2136" w:type="dxa"/>
            <w:tcBorders>
              <w:top w:val="single" w:sz="4" w:space="0" w:color="auto"/>
              <w:left w:val="nil"/>
              <w:bottom w:val="nil"/>
              <w:right w:val="nil"/>
            </w:tcBorders>
          </w:tcPr>
          <w:p w14:paraId="10E41638" w14:textId="77777777" w:rsidR="00FB5C2E" w:rsidRDefault="00FB5C2E"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193523FC"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26B23285"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1D48E618"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10AFEF07"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FB5C2E" w14:paraId="1AB84A22" w14:textId="77777777" w:rsidTr="00015B88">
        <w:tc>
          <w:tcPr>
            <w:tcW w:w="2136" w:type="dxa"/>
            <w:tcBorders>
              <w:top w:val="nil"/>
              <w:left w:val="nil"/>
              <w:bottom w:val="nil"/>
              <w:right w:val="nil"/>
            </w:tcBorders>
          </w:tcPr>
          <w:p w14:paraId="49C2C5BC" w14:textId="77777777" w:rsidR="00FB5C2E" w:rsidRDefault="00FB5C2E"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028A6F2"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42997019"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136E554A"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0ACAA212"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r>
      <w:tr w:rsidR="00FB5C2E" w14:paraId="55DF9D4E" w14:textId="77777777" w:rsidTr="00015B88">
        <w:tc>
          <w:tcPr>
            <w:tcW w:w="2136" w:type="dxa"/>
            <w:tcBorders>
              <w:top w:val="single" w:sz="4" w:space="0" w:color="auto"/>
              <w:left w:val="nil"/>
              <w:bottom w:val="nil"/>
              <w:right w:val="nil"/>
            </w:tcBorders>
          </w:tcPr>
          <w:p w14:paraId="2B00B9AB" w14:textId="77777777" w:rsidR="00FB5C2E" w:rsidRDefault="00FB5C2E"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55DF9B41"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20.31</w:t>
            </w:r>
          </w:p>
        </w:tc>
        <w:tc>
          <w:tcPr>
            <w:tcW w:w="1656" w:type="dxa"/>
            <w:tcBorders>
              <w:top w:val="single" w:sz="4" w:space="0" w:color="auto"/>
              <w:left w:val="nil"/>
              <w:bottom w:val="nil"/>
              <w:right w:val="nil"/>
            </w:tcBorders>
          </w:tcPr>
          <w:p w14:paraId="7E53E70C"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-30.75</w:t>
            </w:r>
          </w:p>
        </w:tc>
        <w:tc>
          <w:tcPr>
            <w:tcW w:w="1656" w:type="dxa"/>
            <w:tcBorders>
              <w:top w:val="single" w:sz="4" w:space="0" w:color="auto"/>
              <w:left w:val="nil"/>
              <w:bottom w:val="nil"/>
              <w:right w:val="nil"/>
            </w:tcBorders>
          </w:tcPr>
          <w:p w14:paraId="73D3C0C6"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60.69</w:t>
            </w:r>
          </w:p>
        </w:tc>
        <w:tc>
          <w:tcPr>
            <w:tcW w:w="1656" w:type="dxa"/>
            <w:tcBorders>
              <w:top w:val="single" w:sz="4" w:space="0" w:color="auto"/>
              <w:left w:val="nil"/>
              <w:bottom w:val="nil"/>
              <w:right w:val="nil"/>
            </w:tcBorders>
          </w:tcPr>
          <w:p w14:paraId="1D97713B"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-2.472</w:t>
            </w:r>
          </w:p>
        </w:tc>
      </w:tr>
      <w:tr w:rsidR="00FB5C2E" w14:paraId="73458952" w14:textId="77777777" w:rsidTr="00015B88">
        <w:tc>
          <w:tcPr>
            <w:tcW w:w="2136" w:type="dxa"/>
            <w:tcBorders>
              <w:top w:val="nil"/>
              <w:left w:val="nil"/>
              <w:bottom w:val="nil"/>
              <w:right w:val="nil"/>
            </w:tcBorders>
          </w:tcPr>
          <w:p w14:paraId="7EA28E00" w14:textId="77777777" w:rsidR="00FB5C2E" w:rsidRDefault="00FB5C2E"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D2E9FF2"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656" w:type="dxa"/>
            <w:tcBorders>
              <w:top w:val="nil"/>
              <w:left w:val="nil"/>
              <w:bottom w:val="nil"/>
              <w:right w:val="nil"/>
            </w:tcBorders>
          </w:tcPr>
          <w:p w14:paraId="40BAC9D3"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656" w:type="dxa"/>
            <w:tcBorders>
              <w:top w:val="nil"/>
              <w:left w:val="nil"/>
              <w:bottom w:val="nil"/>
              <w:right w:val="nil"/>
            </w:tcBorders>
          </w:tcPr>
          <w:p w14:paraId="58DD855C"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656" w:type="dxa"/>
            <w:tcBorders>
              <w:top w:val="nil"/>
              <w:left w:val="nil"/>
              <w:bottom w:val="nil"/>
              <w:right w:val="nil"/>
            </w:tcBorders>
          </w:tcPr>
          <w:p w14:paraId="4551EEDE"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FB5C2E" w14:paraId="1AC218CF" w14:textId="77777777" w:rsidTr="00015B88">
        <w:tc>
          <w:tcPr>
            <w:tcW w:w="2136" w:type="dxa"/>
            <w:tcBorders>
              <w:top w:val="nil"/>
              <w:left w:val="nil"/>
              <w:bottom w:val="nil"/>
              <w:right w:val="nil"/>
            </w:tcBorders>
          </w:tcPr>
          <w:p w14:paraId="4DB2045A" w14:textId="77777777" w:rsidR="00FB5C2E" w:rsidRDefault="00FB5C2E"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15DCA62" w14:textId="77777777" w:rsidR="00FB5C2E" w:rsidRDefault="00FB5C2E"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629FBB3" w14:textId="77777777" w:rsidR="00FB5C2E" w:rsidRDefault="00FB5C2E"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3A9E3A8" w14:textId="77777777" w:rsidR="00FB5C2E" w:rsidRDefault="00FB5C2E"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78F97DF" w14:textId="77777777" w:rsidR="00FB5C2E" w:rsidRDefault="00FB5C2E" w:rsidP="00015B88">
            <w:pPr>
              <w:widowControl w:val="0"/>
              <w:autoSpaceDE w:val="0"/>
              <w:autoSpaceDN w:val="0"/>
              <w:adjustRightInd w:val="0"/>
              <w:spacing w:after="0" w:line="240" w:lineRule="auto"/>
              <w:rPr>
                <w:rFonts w:ascii="Times New Roman" w:hAnsi="Times New Roman" w:cs="Times New Roman"/>
                <w:sz w:val="24"/>
                <w:szCs w:val="24"/>
              </w:rPr>
            </w:pPr>
          </w:p>
        </w:tc>
      </w:tr>
      <w:tr w:rsidR="00FB5C2E" w14:paraId="154CB605" w14:textId="77777777" w:rsidTr="00015B88">
        <w:tc>
          <w:tcPr>
            <w:tcW w:w="2136" w:type="dxa"/>
            <w:tcBorders>
              <w:top w:val="nil"/>
              <w:left w:val="nil"/>
              <w:bottom w:val="nil"/>
              <w:right w:val="nil"/>
            </w:tcBorders>
          </w:tcPr>
          <w:p w14:paraId="233E8C07" w14:textId="77777777" w:rsidR="00FB5C2E" w:rsidRDefault="00FB5C2E"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318E9F51"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-1.151</w:t>
            </w:r>
          </w:p>
        </w:tc>
        <w:tc>
          <w:tcPr>
            <w:tcW w:w="1656" w:type="dxa"/>
            <w:tcBorders>
              <w:top w:val="nil"/>
              <w:left w:val="nil"/>
              <w:bottom w:val="nil"/>
              <w:right w:val="nil"/>
            </w:tcBorders>
          </w:tcPr>
          <w:p w14:paraId="4782B7CC"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c>
          <w:tcPr>
            <w:tcW w:w="1656" w:type="dxa"/>
            <w:tcBorders>
              <w:top w:val="nil"/>
              <w:left w:val="nil"/>
              <w:bottom w:val="nil"/>
              <w:right w:val="nil"/>
            </w:tcBorders>
          </w:tcPr>
          <w:p w14:paraId="7CD1F0FC"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-4.080</w:t>
            </w:r>
          </w:p>
        </w:tc>
        <w:tc>
          <w:tcPr>
            <w:tcW w:w="1656" w:type="dxa"/>
            <w:tcBorders>
              <w:top w:val="nil"/>
              <w:left w:val="nil"/>
              <w:bottom w:val="nil"/>
              <w:right w:val="nil"/>
            </w:tcBorders>
          </w:tcPr>
          <w:p w14:paraId="1D16F89F"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-0.201</w:t>
            </w:r>
          </w:p>
        </w:tc>
      </w:tr>
      <w:tr w:rsidR="00FB5C2E" w14:paraId="01055450" w14:textId="77777777" w:rsidTr="00015B88">
        <w:tc>
          <w:tcPr>
            <w:tcW w:w="2136" w:type="dxa"/>
            <w:tcBorders>
              <w:top w:val="nil"/>
              <w:left w:val="nil"/>
              <w:bottom w:val="nil"/>
              <w:right w:val="nil"/>
            </w:tcBorders>
          </w:tcPr>
          <w:p w14:paraId="3AEF9184" w14:textId="77777777" w:rsidR="00FB5C2E" w:rsidRDefault="00FB5C2E"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3AE5B88"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656" w:type="dxa"/>
            <w:tcBorders>
              <w:top w:val="nil"/>
              <w:left w:val="nil"/>
              <w:bottom w:val="nil"/>
              <w:right w:val="nil"/>
            </w:tcBorders>
          </w:tcPr>
          <w:p w14:paraId="22FA3D6F"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656" w:type="dxa"/>
            <w:tcBorders>
              <w:top w:val="nil"/>
              <w:left w:val="nil"/>
              <w:bottom w:val="nil"/>
              <w:right w:val="nil"/>
            </w:tcBorders>
          </w:tcPr>
          <w:p w14:paraId="75139AAC"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656" w:type="dxa"/>
            <w:tcBorders>
              <w:top w:val="nil"/>
              <w:left w:val="nil"/>
              <w:bottom w:val="nil"/>
              <w:right w:val="nil"/>
            </w:tcBorders>
          </w:tcPr>
          <w:p w14:paraId="0C21A00A"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w:t>
            </w:r>
          </w:p>
        </w:tc>
      </w:tr>
      <w:tr w:rsidR="00FB5C2E" w14:paraId="4052D77A" w14:textId="77777777" w:rsidTr="00015B88">
        <w:tc>
          <w:tcPr>
            <w:tcW w:w="2136" w:type="dxa"/>
            <w:tcBorders>
              <w:top w:val="nil"/>
              <w:left w:val="nil"/>
              <w:bottom w:val="nil"/>
              <w:right w:val="nil"/>
            </w:tcBorders>
          </w:tcPr>
          <w:p w14:paraId="448028C6" w14:textId="77777777" w:rsidR="00FB5C2E" w:rsidRDefault="00FB5C2E"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3A9181D" w14:textId="77777777" w:rsidR="00FB5C2E" w:rsidRDefault="00FB5C2E"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90EC9DC" w14:textId="77777777" w:rsidR="00FB5C2E" w:rsidRDefault="00FB5C2E"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762AEAD" w14:textId="77777777" w:rsidR="00FB5C2E" w:rsidRDefault="00FB5C2E"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FD3EDB4" w14:textId="77777777" w:rsidR="00FB5C2E" w:rsidRDefault="00FB5C2E" w:rsidP="00015B88">
            <w:pPr>
              <w:widowControl w:val="0"/>
              <w:autoSpaceDE w:val="0"/>
              <w:autoSpaceDN w:val="0"/>
              <w:adjustRightInd w:val="0"/>
              <w:spacing w:after="0" w:line="240" w:lineRule="auto"/>
              <w:rPr>
                <w:rFonts w:ascii="Times New Roman" w:hAnsi="Times New Roman" w:cs="Times New Roman"/>
                <w:sz w:val="24"/>
                <w:szCs w:val="24"/>
              </w:rPr>
            </w:pPr>
          </w:p>
        </w:tc>
      </w:tr>
      <w:tr w:rsidR="00FB5C2E" w14:paraId="650F1F39" w14:textId="77777777" w:rsidTr="00015B88">
        <w:tc>
          <w:tcPr>
            <w:tcW w:w="2136" w:type="dxa"/>
            <w:tcBorders>
              <w:top w:val="nil"/>
              <w:left w:val="nil"/>
              <w:bottom w:val="nil"/>
              <w:right w:val="nil"/>
            </w:tcBorders>
          </w:tcPr>
          <w:p w14:paraId="452128EE" w14:textId="77777777" w:rsidR="00FB5C2E" w:rsidRDefault="00FB5C2E"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242C027D"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-11.01</w:t>
            </w:r>
          </w:p>
        </w:tc>
        <w:tc>
          <w:tcPr>
            <w:tcW w:w="1656" w:type="dxa"/>
            <w:tcBorders>
              <w:top w:val="nil"/>
              <w:left w:val="nil"/>
              <w:bottom w:val="nil"/>
              <w:right w:val="nil"/>
            </w:tcBorders>
          </w:tcPr>
          <w:p w14:paraId="47682896"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16.25</w:t>
            </w:r>
          </w:p>
        </w:tc>
        <w:tc>
          <w:tcPr>
            <w:tcW w:w="1656" w:type="dxa"/>
            <w:tcBorders>
              <w:top w:val="nil"/>
              <w:left w:val="nil"/>
              <w:bottom w:val="nil"/>
              <w:right w:val="nil"/>
            </w:tcBorders>
          </w:tcPr>
          <w:p w14:paraId="01E9DEA8"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-31.96</w:t>
            </w:r>
          </w:p>
        </w:tc>
        <w:tc>
          <w:tcPr>
            <w:tcW w:w="1656" w:type="dxa"/>
            <w:tcBorders>
              <w:top w:val="nil"/>
              <w:left w:val="nil"/>
              <w:bottom w:val="nil"/>
              <w:right w:val="nil"/>
            </w:tcBorders>
          </w:tcPr>
          <w:p w14:paraId="040F968C"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2.846</w:t>
            </w:r>
          </w:p>
        </w:tc>
      </w:tr>
      <w:tr w:rsidR="00FB5C2E" w14:paraId="52EC04EA" w14:textId="77777777" w:rsidTr="00015B88">
        <w:tc>
          <w:tcPr>
            <w:tcW w:w="2136" w:type="dxa"/>
            <w:tcBorders>
              <w:top w:val="nil"/>
              <w:left w:val="nil"/>
              <w:bottom w:val="single" w:sz="4" w:space="0" w:color="auto"/>
              <w:right w:val="nil"/>
            </w:tcBorders>
          </w:tcPr>
          <w:p w14:paraId="102DBE8B" w14:textId="77777777" w:rsidR="00FB5C2E" w:rsidRDefault="00FB5C2E"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45F393D1"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656" w:type="dxa"/>
            <w:tcBorders>
              <w:top w:val="nil"/>
              <w:left w:val="nil"/>
              <w:bottom w:val="single" w:sz="4" w:space="0" w:color="auto"/>
              <w:right w:val="nil"/>
            </w:tcBorders>
          </w:tcPr>
          <w:p w14:paraId="2C7A910B"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656" w:type="dxa"/>
            <w:tcBorders>
              <w:top w:val="nil"/>
              <w:left w:val="nil"/>
              <w:bottom w:val="single" w:sz="4" w:space="0" w:color="auto"/>
              <w:right w:val="nil"/>
            </w:tcBorders>
          </w:tcPr>
          <w:p w14:paraId="751B1DD9"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656" w:type="dxa"/>
            <w:tcBorders>
              <w:top w:val="nil"/>
              <w:left w:val="nil"/>
              <w:bottom w:val="single" w:sz="4" w:space="0" w:color="auto"/>
              <w:right w:val="nil"/>
            </w:tcBorders>
          </w:tcPr>
          <w:p w14:paraId="2C54F948"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FB5C2E" w14:paraId="6FF296C1" w14:textId="77777777" w:rsidTr="00015B88">
        <w:tc>
          <w:tcPr>
            <w:tcW w:w="2136" w:type="dxa"/>
            <w:tcBorders>
              <w:top w:val="nil"/>
              <w:left w:val="nil"/>
              <w:bottom w:val="single" w:sz="4" w:space="0" w:color="auto"/>
              <w:right w:val="nil"/>
            </w:tcBorders>
          </w:tcPr>
          <w:p w14:paraId="438562F8" w14:textId="77777777" w:rsidR="00FB5C2E" w:rsidRDefault="00FB5C2E"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6F329563"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656" w:type="dxa"/>
            <w:tcBorders>
              <w:top w:val="nil"/>
              <w:left w:val="nil"/>
              <w:bottom w:val="single" w:sz="4" w:space="0" w:color="auto"/>
              <w:right w:val="nil"/>
            </w:tcBorders>
          </w:tcPr>
          <w:p w14:paraId="0299FA3E"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656" w:type="dxa"/>
            <w:tcBorders>
              <w:top w:val="nil"/>
              <w:left w:val="nil"/>
              <w:bottom w:val="single" w:sz="4" w:space="0" w:color="auto"/>
              <w:right w:val="nil"/>
            </w:tcBorders>
          </w:tcPr>
          <w:p w14:paraId="6821D8FD"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656" w:type="dxa"/>
            <w:tcBorders>
              <w:top w:val="nil"/>
              <w:left w:val="nil"/>
              <w:bottom w:val="single" w:sz="4" w:space="0" w:color="auto"/>
              <w:right w:val="nil"/>
            </w:tcBorders>
          </w:tcPr>
          <w:p w14:paraId="758E5227" w14:textId="77777777" w:rsidR="00FB5C2E" w:rsidRDefault="00FB5C2E"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r>
    </w:tbl>
    <w:p w14:paraId="488E5C3B" w14:textId="77777777" w:rsidR="00FB5C2E" w:rsidRDefault="00FB5C2E" w:rsidP="00FB5C2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8750F7D" w14:textId="77777777" w:rsidR="00FB5C2E" w:rsidRDefault="00FB5C2E" w:rsidP="00FB5C2E">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354E1E10" w14:textId="3C06C1BE" w:rsidR="00FB5C2E" w:rsidRDefault="00FB5C2E" w:rsidP="006F2982"/>
    <w:p w14:paraId="0A716A46" w14:textId="4ACE43E3" w:rsidR="00781AC5" w:rsidRDefault="00E925A2" w:rsidP="006F2982">
      <w:r>
        <w:t>De jure interaction term of openness, linear lag model</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054D3B" w:rsidRPr="00DA590E" w14:paraId="51382E21" w14:textId="77777777" w:rsidTr="00015B88">
        <w:tc>
          <w:tcPr>
            <w:tcW w:w="2136" w:type="dxa"/>
            <w:tcBorders>
              <w:top w:val="single" w:sz="4" w:space="0" w:color="auto"/>
              <w:left w:val="nil"/>
              <w:bottom w:val="nil"/>
              <w:right w:val="nil"/>
            </w:tcBorders>
          </w:tcPr>
          <w:p w14:paraId="3144B1C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36557E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w:t>
            </w:r>
          </w:p>
        </w:tc>
        <w:tc>
          <w:tcPr>
            <w:tcW w:w="1656" w:type="dxa"/>
            <w:tcBorders>
              <w:top w:val="single" w:sz="4" w:space="0" w:color="auto"/>
              <w:left w:val="nil"/>
              <w:bottom w:val="nil"/>
              <w:right w:val="nil"/>
            </w:tcBorders>
          </w:tcPr>
          <w:p w14:paraId="51EA9B6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w:t>
            </w:r>
          </w:p>
        </w:tc>
        <w:tc>
          <w:tcPr>
            <w:tcW w:w="1656" w:type="dxa"/>
            <w:tcBorders>
              <w:top w:val="single" w:sz="4" w:space="0" w:color="auto"/>
              <w:left w:val="nil"/>
              <w:bottom w:val="nil"/>
              <w:right w:val="nil"/>
            </w:tcBorders>
          </w:tcPr>
          <w:p w14:paraId="3059824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(3)</w:t>
            </w:r>
          </w:p>
        </w:tc>
        <w:tc>
          <w:tcPr>
            <w:tcW w:w="1656" w:type="dxa"/>
            <w:tcBorders>
              <w:top w:val="single" w:sz="4" w:space="0" w:color="auto"/>
              <w:left w:val="nil"/>
              <w:bottom w:val="nil"/>
              <w:right w:val="nil"/>
            </w:tcBorders>
          </w:tcPr>
          <w:p w14:paraId="74E6F9C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(4)</w:t>
            </w:r>
          </w:p>
        </w:tc>
        <w:tc>
          <w:tcPr>
            <w:tcW w:w="1656" w:type="dxa"/>
            <w:tcBorders>
              <w:top w:val="single" w:sz="4" w:space="0" w:color="auto"/>
              <w:left w:val="nil"/>
              <w:bottom w:val="nil"/>
              <w:right w:val="nil"/>
            </w:tcBorders>
          </w:tcPr>
          <w:p w14:paraId="5C089B3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(5)</w:t>
            </w:r>
          </w:p>
        </w:tc>
      </w:tr>
      <w:tr w:rsidR="00054D3B" w:rsidRPr="00DA590E" w14:paraId="1CB80975" w14:textId="77777777" w:rsidTr="00015B88">
        <w:tc>
          <w:tcPr>
            <w:tcW w:w="2136" w:type="dxa"/>
            <w:tcBorders>
              <w:top w:val="nil"/>
              <w:left w:val="nil"/>
              <w:bottom w:val="nil"/>
              <w:right w:val="nil"/>
            </w:tcBorders>
          </w:tcPr>
          <w:p w14:paraId="734E7FF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8F96E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Head of Govt. Turnover</w:t>
            </w:r>
          </w:p>
        </w:tc>
        <w:tc>
          <w:tcPr>
            <w:tcW w:w="1656" w:type="dxa"/>
            <w:tcBorders>
              <w:top w:val="nil"/>
              <w:left w:val="nil"/>
              <w:bottom w:val="nil"/>
              <w:right w:val="nil"/>
            </w:tcBorders>
          </w:tcPr>
          <w:p w14:paraId="109DA92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Head of State Turnover</w:t>
            </w:r>
          </w:p>
        </w:tc>
        <w:tc>
          <w:tcPr>
            <w:tcW w:w="1656" w:type="dxa"/>
            <w:tcBorders>
              <w:top w:val="nil"/>
              <w:left w:val="nil"/>
              <w:bottom w:val="nil"/>
              <w:right w:val="nil"/>
            </w:tcBorders>
          </w:tcPr>
          <w:p w14:paraId="0B6E6F8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Lower House Turnover</w:t>
            </w:r>
          </w:p>
        </w:tc>
        <w:tc>
          <w:tcPr>
            <w:tcW w:w="1656" w:type="dxa"/>
            <w:tcBorders>
              <w:top w:val="nil"/>
              <w:left w:val="nil"/>
              <w:bottom w:val="nil"/>
              <w:right w:val="nil"/>
            </w:tcBorders>
          </w:tcPr>
          <w:p w14:paraId="26B9FA7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47C99DD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Instability Event Indicator</w:t>
            </w:r>
          </w:p>
        </w:tc>
      </w:tr>
      <w:tr w:rsidR="00054D3B" w:rsidRPr="00DA590E" w14:paraId="59F08FEE" w14:textId="77777777" w:rsidTr="00015B88">
        <w:tc>
          <w:tcPr>
            <w:tcW w:w="2136" w:type="dxa"/>
            <w:tcBorders>
              <w:top w:val="single" w:sz="4" w:space="0" w:color="auto"/>
              <w:left w:val="nil"/>
              <w:bottom w:val="nil"/>
              <w:right w:val="nil"/>
            </w:tcBorders>
          </w:tcPr>
          <w:p w14:paraId="5B4F9FA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8AB99F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0.546</w:t>
            </w:r>
          </w:p>
        </w:tc>
        <w:tc>
          <w:tcPr>
            <w:tcW w:w="1656" w:type="dxa"/>
            <w:tcBorders>
              <w:top w:val="single" w:sz="4" w:space="0" w:color="auto"/>
              <w:left w:val="nil"/>
              <w:bottom w:val="nil"/>
              <w:right w:val="nil"/>
            </w:tcBorders>
          </w:tcPr>
          <w:p w14:paraId="0A3E4E3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1.840</w:t>
            </w:r>
          </w:p>
        </w:tc>
        <w:tc>
          <w:tcPr>
            <w:tcW w:w="1656" w:type="dxa"/>
            <w:tcBorders>
              <w:top w:val="single" w:sz="4" w:space="0" w:color="auto"/>
              <w:left w:val="nil"/>
              <w:bottom w:val="nil"/>
              <w:right w:val="nil"/>
            </w:tcBorders>
          </w:tcPr>
          <w:p w14:paraId="134BFB7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1.996</w:t>
            </w:r>
            <w:r w:rsidRPr="00DA590E">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64F9AE8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-0.911</w:t>
            </w:r>
            <w:r w:rsidRPr="00DA590E">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59A9961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0.281</w:t>
            </w:r>
          </w:p>
        </w:tc>
      </w:tr>
      <w:tr w:rsidR="00054D3B" w:rsidRPr="00DA590E" w14:paraId="78259D5B" w14:textId="77777777" w:rsidTr="00015B88">
        <w:tc>
          <w:tcPr>
            <w:tcW w:w="2136" w:type="dxa"/>
            <w:tcBorders>
              <w:top w:val="nil"/>
              <w:left w:val="nil"/>
              <w:bottom w:val="nil"/>
              <w:right w:val="nil"/>
            </w:tcBorders>
          </w:tcPr>
          <w:p w14:paraId="7CCE7C8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8CCD9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(0.62)</w:t>
            </w:r>
          </w:p>
        </w:tc>
        <w:tc>
          <w:tcPr>
            <w:tcW w:w="1656" w:type="dxa"/>
            <w:tcBorders>
              <w:top w:val="nil"/>
              <w:left w:val="nil"/>
              <w:bottom w:val="nil"/>
              <w:right w:val="nil"/>
            </w:tcBorders>
          </w:tcPr>
          <w:p w14:paraId="6CB805A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(1.97)</w:t>
            </w:r>
          </w:p>
        </w:tc>
        <w:tc>
          <w:tcPr>
            <w:tcW w:w="1656" w:type="dxa"/>
            <w:tcBorders>
              <w:top w:val="nil"/>
              <w:left w:val="nil"/>
              <w:bottom w:val="nil"/>
              <w:right w:val="nil"/>
            </w:tcBorders>
          </w:tcPr>
          <w:p w14:paraId="6ABEA64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(2.30)</w:t>
            </w:r>
          </w:p>
        </w:tc>
        <w:tc>
          <w:tcPr>
            <w:tcW w:w="1656" w:type="dxa"/>
            <w:tcBorders>
              <w:top w:val="nil"/>
              <w:left w:val="nil"/>
              <w:bottom w:val="nil"/>
              <w:right w:val="nil"/>
            </w:tcBorders>
          </w:tcPr>
          <w:p w14:paraId="2EFE938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(-3.94)</w:t>
            </w:r>
          </w:p>
        </w:tc>
        <w:tc>
          <w:tcPr>
            <w:tcW w:w="1656" w:type="dxa"/>
            <w:tcBorders>
              <w:top w:val="nil"/>
              <w:left w:val="nil"/>
              <w:bottom w:val="nil"/>
              <w:right w:val="nil"/>
            </w:tcBorders>
          </w:tcPr>
          <w:p w14:paraId="776EFE7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(0.80)</w:t>
            </w:r>
          </w:p>
        </w:tc>
      </w:tr>
      <w:tr w:rsidR="00054D3B" w:rsidRPr="00DA590E" w14:paraId="569AFA3B" w14:textId="77777777" w:rsidTr="00015B88">
        <w:tc>
          <w:tcPr>
            <w:tcW w:w="2136" w:type="dxa"/>
            <w:tcBorders>
              <w:top w:val="nil"/>
              <w:left w:val="nil"/>
              <w:bottom w:val="nil"/>
              <w:right w:val="nil"/>
            </w:tcBorders>
          </w:tcPr>
          <w:p w14:paraId="5612A2D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FD286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03062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0EE14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E4361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C8C3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7301F4C6" w14:textId="77777777" w:rsidTr="00015B88">
        <w:tc>
          <w:tcPr>
            <w:tcW w:w="2136" w:type="dxa"/>
            <w:tcBorders>
              <w:top w:val="nil"/>
              <w:left w:val="nil"/>
              <w:bottom w:val="nil"/>
              <w:right w:val="nil"/>
            </w:tcBorders>
          </w:tcPr>
          <w:p w14:paraId="127E9FC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EC334F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-0.0519</w:t>
            </w:r>
          </w:p>
        </w:tc>
        <w:tc>
          <w:tcPr>
            <w:tcW w:w="1656" w:type="dxa"/>
            <w:tcBorders>
              <w:top w:val="nil"/>
              <w:left w:val="nil"/>
              <w:bottom w:val="nil"/>
              <w:right w:val="nil"/>
            </w:tcBorders>
          </w:tcPr>
          <w:p w14:paraId="41D37B4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-0.0684</w:t>
            </w:r>
            <w:r w:rsidRPr="00DA590E">
              <w:rPr>
                <w:rFonts w:ascii="Times New Roman" w:hAnsi="Times New Roman" w:cs="Times New Roman"/>
                <w:sz w:val="16"/>
                <w:szCs w:val="16"/>
                <w:vertAlign w:val="superscript"/>
              </w:rPr>
              <w:t>**</w:t>
            </w:r>
          </w:p>
        </w:tc>
        <w:tc>
          <w:tcPr>
            <w:tcW w:w="1656" w:type="dxa"/>
            <w:tcBorders>
              <w:top w:val="nil"/>
              <w:left w:val="nil"/>
              <w:bottom w:val="nil"/>
              <w:right w:val="nil"/>
            </w:tcBorders>
          </w:tcPr>
          <w:p w14:paraId="692D890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0.00660</w:t>
            </w:r>
          </w:p>
        </w:tc>
        <w:tc>
          <w:tcPr>
            <w:tcW w:w="1656" w:type="dxa"/>
            <w:tcBorders>
              <w:top w:val="nil"/>
              <w:left w:val="nil"/>
              <w:bottom w:val="nil"/>
              <w:right w:val="nil"/>
            </w:tcBorders>
          </w:tcPr>
          <w:p w14:paraId="12EE551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0.00851</w:t>
            </w:r>
          </w:p>
        </w:tc>
        <w:tc>
          <w:tcPr>
            <w:tcW w:w="1656" w:type="dxa"/>
            <w:tcBorders>
              <w:top w:val="nil"/>
              <w:left w:val="nil"/>
              <w:bottom w:val="nil"/>
              <w:right w:val="nil"/>
            </w:tcBorders>
          </w:tcPr>
          <w:p w14:paraId="5C42354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0.0258</w:t>
            </w:r>
            <w:r w:rsidRPr="00DA590E">
              <w:rPr>
                <w:rFonts w:ascii="Times New Roman" w:hAnsi="Times New Roman" w:cs="Times New Roman"/>
                <w:sz w:val="16"/>
                <w:szCs w:val="16"/>
                <w:vertAlign w:val="superscript"/>
              </w:rPr>
              <w:t>*</w:t>
            </w:r>
          </w:p>
        </w:tc>
      </w:tr>
      <w:tr w:rsidR="00054D3B" w:rsidRPr="00DA590E" w14:paraId="7E080FDA" w14:textId="77777777" w:rsidTr="00015B88">
        <w:tc>
          <w:tcPr>
            <w:tcW w:w="2136" w:type="dxa"/>
            <w:tcBorders>
              <w:top w:val="nil"/>
              <w:left w:val="nil"/>
              <w:bottom w:val="nil"/>
              <w:right w:val="nil"/>
            </w:tcBorders>
          </w:tcPr>
          <w:p w14:paraId="2D183AE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97EA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(-1.89)</w:t>
            </w:r>
          </w:p>
        </w:tc>
        <w:tc>
          <w:tcPr>
            <w:tcW w:w="1656" w:type="dxa"/>
            <w:tcBorders>
              <w:top w:val="nil"/>
              <w:left w:val="nil"/>
              <w:bottom w:val="nil"/>
              <w:right w:val="nil"/>
            </w:tcBorders>
          </w:tcPr>
          <w:p w14:paraId="3C9B828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(-2.79)</w:t>
            </w:r>
          </w:p>
        </w:tc>
        <w:tc>
          <w:tcPr>
            <w:tcW w:w="1656" w:type="dxa"/>
            <w:tcBorders>
              <w:top w:val="nil"/>
              <w:left w:val="nil"/>
              <w:bottom w:val="nil"/>
              <w:right w:val="nil"/>
            </w:tcBorders>
          </w:tcPr>
          <w:p w14:paraId="34EAB2E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(0.29)</w:t>
            </w:r>
          </w:p>
        </w:tc>
        <w:tc>
          <w:tcPr>
            <w:tcW w:w="1656" w:type="dxa"/>
            <w:tcBorders>
              <w:top w:val="nil"/>
              <w:left w:val="nil"/>
              <w:bottom w:val="nil"/>
              <w:right w:val="nil"/>
            </w:tcBorders>
          </w:tcPr>
          <w:p w14:paraId="2ADD530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(0.89)</w:t>
            </w:r>
          </w:p>
        </w:tc>
        <w:tc>
          <w:tcPr>
            <w:tcW w:w="1656" w:type="dxa"/>
            <w:tcBorders>
              <w:top w:val="nil"/>
              <w:left w:val="nil"/>
              <w:bottom w:val="nil"/>
              <w:right w:val="nil"/>
            </w:tcBorders>
          </w:tcPr>
          <w:p w14:paraId="07C725F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(2.25)</w:t>
            </w:r>
          </w:p>
        </w:tc>
      </w:tr>
      <w:tr w:rsidR="00054D3B" w:rsidRPr="00DA590E" w14:paraId="4A038FBA" w14:textId="77777777" w:rsidTr="00015B88">
        <w:tc>
          <w:tcPr>
            <w:tcW w:w="2136" w:type="dxa"/>
            <w:tcBorders>
              <w:top w:val="nil"/>
              <w:left w:val="nil"/>
              <w:bottom w:val="nil"/>
              <w:right w:val="nil"/>
            </w:tcBorders>
          </w:tcPr>
          <w:p w14:paraId="165514F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11D11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8F7A9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5F73E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EF79A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1BEA9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278CB6EB" w14:textId="77777777" w:rsidTr="00015B88">
        <w:tc>
          <w:tcPr>
            <w:tcW w:w="2136" w:type="dxa"/>
            <w:tcBorders>
              <w:top w:val="nil"/>
              <w:left w:val="nil"/>
              <w:bottom w:val="nil"/>
              <w:right w:val="nil"/>
            </w:tcBorders>
          </w:tcPr>
          <w:p w14:paraId="05ADA97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Chinn-Ito index, normalized</w:t>
            </w:r>
          </w:p>
        </w:tc>
        <w:tc>
          <w:tcPr>
            <w:tcW w:w="1656" w:type="dxa"/>
            <w:tcBorders>
              <w:top w:val="nil"/>
              <w:left w:val="nil"/>
              <w:bottom w:val="nil"/>
              <w:right w:val="nil"/>
            </w:tcBorders>
          </w:tcPr>
          <w:p w14:paraId="724BFD3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-0.522</w:t>
            </w:r>
          </w:p>
        </w:tc>
        <w:tc>
          <w:tcPr>
            <w:tcW w:w="1656" w:type="dxa"/>
            <w:tcBorders>
              <w:top w:val="nil"/>
              <w:left w:val="nil"/>
              <w:bottom w:val="nil"/>
              <w:right w:val="nil"/>
            </w:tcBorders>
          </w:tcPr>
          <w:p w14:paraId="683F35B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0.140</w:t>
            </w:r>
          </w:p>
        </w:tc>
        <w:tc>
          <w:tcPr>
            <w:tcW w:w="1656" w:type="dxa"/>
            <w:tcBorders>
              <w:top w:val="nil"/>
              <w:left w:val="nil"/>
              <w:bottom w:val="nil"/>
              <w:right w:val="nil"/>
            </w:tcBorders>
          </w:tcPr>
          <w:p w14:paraId="5BFDD4E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0.926</w:t>
            </w:r>
          </w:p>
        </w:tc>
        <w:tc>
          <w:tcPr>
            <w:tcW w:w="1656" w:type="dxa"/>
            <w:tcBorders>
              <w:top w:val="nil"/>
              <w:left w:val="nil"/>
              <w:bottom w:val="nil"/>
              <w:right w:val="nil"/>
            </w:tcBorders>
          </w:tcPr>
          <w:p w14:paraId="33DD66B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-0.302</w:t>
            </w:r>
          </w:p>
        </w:tc>
        <w:tc>
          <w:tcPr>
            <w:tcW w:w="1656" w:type="dxa"/>
            <w:tcBorders>
              <w:top w:val="nil"/>
              <w:left w:val="nil"/>
              <w:bottom w:val="nil"/>
              <w:right w:val="nil"/>
            </w:tcBorders>
          </w:tcPr>
          <w:p w14:paraId="4FB9D77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0.515</w:t>
            </w:r>
            <w:r w:rsidRPr="00DA590E">
              <w:rPr>
                <w:rFonts w:ascii="Times New Roman" w:hAnsi="Times New Roman" w:cs="Times New Roman"/>
                <w:sz w:val="16"/>
                <w:szCs w:val="16"/>
                <w:vertAlign w:val="superscript"/>
              </w:rPr>
              <w:t>*</w:t>
            </w:r>
          </w:p>
        </w:tc>
      </w:tr>
      <w:tr w:rsidR="00054D3B" w:rsidRPr="00DA590E" w14:paraId="7B5460AF" w14:textId="77777777" w:rsidTr="00015B88">
        <w:tc>
          <w:tcPr>
            <w:tcW w:w="2136" w:type="dxa"/>
            <w:tcBorders>
              <w:top w:val="nil"/>
              <w:left w:val="nil"/>
              <w:bottom w:val="nil"/>
              <w:right w:val="nil"/>
            </w:tcBorders>
          </w:tcPr>
          <w:p w14:paraId="5C522D6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A4FF6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(-0.84)</w:t>
            </w:r>
          </w:p>
        </w:tc>
        <w:tc>
          <w:tcPr>
            <w:tcW w:w="1656" w:type="dxa"/>
            <w:tcBorders>
              <w:top w:val="nil"/>
              <w:left w:val="nil"/>
              <w:bottom w:val="nil"/>
              <w:right w:val="nil"/>
            </w:tcBorders>
          </w:tcPr>
          <w:p w14:paraId="6FE68EE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(0.29)</w:t>
            </w:r>
          </w:p>
        </w:tc>
        <w:tc>
          <w:tcPr>
            <w:tcW w:w="1656" w:type="dxa"/>
            <w:tcBorders>
              <w:top w:val="nil"/>
              <w:left w:val="nil"/>
              <w:bottom w:val="nil"/>
              <w:right w:val="nil"/>
            </w:tcBorders>
          </w:tcPr>
          <w:p w14:paraId="7B04D2C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(1.38)</w:t>
            </w:r>
          </w:p>
        </w:tc>
        <w:tc>
          <w:tcPr>
            <w:tcW w:w="1656" w:type="dxa"/>
            <w:tcBorders>
              <w:top w:val="nil"/>
              <w:left w:val="nil"/>
              <w:bottom w:val="nil"/>
              <w:right w:val="nil"/>
            </w:tcBorders>
          </w:tcPr>
          <w:p w14:paraId="031762E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(-1.10)</w:t>
            </w:r>
          </w:p>
        </w:tc>
        <w:tc>
          <w:tcPr>
            <w:tcW w:w="1656" w:type="dxa"/>
            <w:tcBorders>
              <w:top w:val="nil"/>
              <w:left w:val="nil"/>
              <w:bottom w:val="nil"/>
              <w:right w:val="nil"/>
            </w:tcBorders>
          </w:tcPr>
          <w:p w14:paraId="333B0C5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(2.06)</w:t>
            </w:r>
          </w:p>
        </w:tc>
      </w:tr>
      <w:tr w:rsidR="00054D3B" w:rsidRPr="00DA590E" w14:paraId="098A55D0" w14:textId="77777777" w:rsidTr="00015B88">
        <w:tc>
          <w:tcPr>
            <w:tcW w:w="2136" w:type="dxa"/>
            <w:tcBorders>
              <w:top w:val="nil"/>
              <w:left w:val="nil"/>
              <w:bottom w:val="nil"/>
              <w:right w:val="nil"/>
            </w:tcBorders>
          </w:tcPr>
          <w:p w14:paraId="6F0E019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F42B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901A8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55E2D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ED190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E59B7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7B5D8FD5" w14:textId="77777777" w:rsidTr="00015B88">
        <w:tc>
          <w:tcPr>
            <w:tcW w:w="2136" w:type="dxa"/>
            <w:tcBorders>
              <w:top w:val="nil"/>
              <w:left w:val="nil"/>
              <w:bottom w:val="nil"/>
              <w:right w:val="nil"/>
            </w:tcBorders>
          </w:tcPr>
          <w:p w14:paraId="1B0AD2C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De Jure CBI * Capital Account Openness</w:t>
            </w:r>
          </w:p>
        </w:tc>
        <w:tc>
          <w:tcPr>
            <w:tcW w:w="1656" w:type="dxa"/>
            <w:tcBorders>
              <w:top w:val="nil"/>
              <w:left w:val="nil"/>
              <w:bottom w:val="nil"/>
              <w:right w:val="nil"/>
            </w:tcBorders>
          </w:tcPr>
          <w:p w14:paraId="0944B0F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-0.478</w:t>
            </w:r>
          </w:p>
        </w:tc>
        <w:tc>
          <w:tcPr>
            <w:tcW w:w="1656" w:type="dxa"/>
            <w:tcBorders>
              <w:top w:val="nil"/>
              <w:left w:val="nil"/>
              <w:bottom w:val="nil"/>
              <w:right w:val="nil"/>
            </w:tcBorders>
          </w:tcPr>
          <w:p w14:paraId="2B461F6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-2.044</w:t>
            </w:r>
          </w:p>
        </w:tc>
        <w:tc>
          <w:tcPr>
            <w:tcW w:w="1656" w:type="dxa"/>
            <w:tcBorders>
              <w:top w:val="nil"/>
              <w:left w:val="nil"/>
              <w:bottom w:val="nil"/>
              <w:right w:val="nil"/>
            </w:tcBorders>
          </w:tcPr>
          <w:p w14:paraId="3C2F1E7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-1.584</w:t>
            </w:r>
          </w:p>
        </w:tc>
        <w:tc>
          <w:tcPr>
            <w:tcW w:w="1656" w:type="dxa"/>
            <w:tcBorders>
              <w:top w:val="nil"/>
              <w:left w:val="nil"/>
              <w:bottom w:val="nil"/>
              <w:right w:val="nil"/>
            </w:tcBorders>
          </w:tcPr>
          <w:p w14:paraId="76B16F1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0.826</w:t>
            </w:r>
            <w:r w:rsidRPr="00DA590E">
              <w:rPr>
                <w:rFonts w:ascii="Times New Roman" w:hAnsi="Times New Roman" w:cs="Times New Roman"/>
                <w:sz w:val="16"/>
                <w:szCs w:val="16"/>
                <w:vertAlign w:val="superscript"/>
              </w:rPr>
              <w:t>**</w:t>
            </w:r>
          </w:p>
        </w:tc>
        <w:tc>
          <w:tcPr>
            <w:tcW w:w="1656" w:type="dxa"/>
            <w:tcBorders>
              <w:top w:val="nil"/>
              <w:left w:val="nil"/>
              <w:bottom w:val="nil"/>
              <w:right w:val="nil"/>
            </w:tcBorders>
          </w:tcPr>
          <w:p w14:paraId="10006CE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-0.372</w:t>
            </w:r>
          </w:p>
        </w:tc>
      </w:tr>
      <w:tr w:rsidR="00054D3B" w:rsidRPr="00DA590E" w14:paraId="5F6AA3B8" w14:textId="77777777" w:rsidTr="00015B88">
        <w:tc>
          <w:tcPr>
            <w:tcW w:w="2136" w:type="dxa"/>
            <w:tcBorders>
              <w:top w:val="nil"/>
              <w:left w:val="nil"/>
              <w:bottom w:val="nil"/>
              <w:right w:val="nil"/>
            </w:tcBorders>
          </w:tcPr>
          <w:p w14:paraId="4F63E30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08645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(-0.39)</w:t>
            </w:r>
          </w:p>
        </w:tc>
        <w:tc>
          <w:tcPr>
            <w:tcW w:w="1656" w:type="dxa"/>
            <w:tcBorders>
              <w:top w:val="nil"/>
              <w:left w:val="nil"/>
              <w:bottom w:val="nil"/>
              <w:right w:val="nil"/>
            </w:tcBorders>
          </w:tcPr>
          <w:p w14:paraId="4AFD782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(-1.92)</w:t>
            </w:r>
          </w:p>
        </w:tc>
        <w:tc>
          <w:tcPr>
            <w:tcW w:w="1656" w:type="dxa"/>
            <w:tcBorders>
              <w:top w:val="nil"/>
              <w:left w:val="nil"/>
              <w:bottom w:val="nil"/>
              <w:right w:val="nil"/>
            </w:tcBorders>
          </w:tcPr>
          <w:p w14:paraId="78F74C4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(-1.46)</w:t>
            </w:r>
          </w:p>
        </w:tc>
        <w:tc>
          <w:tcPr>
            <w:tcW w:w="1656" w:type="dxa"/>
            <w:tcBorders>
              <w:top w:val="nil"/>
              <w:left w:val="nil"/>
              <w:bottom w:val="nil"/>
              <w:right w:val="nil"/>
            </w:tcBorders>
          </w:tcPr>
          <w:p w14:paraId="42353C8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(2.76)</w:t>
            </w:r>
          </w:p>
        </w:tc>
        <w:tc>
          <w:tcPr>
            <w:tcW w:w="1656" w:type="dxa"/>
            <w:tcBorders>
              <w:top w:val="nil"/>
              <w:left w:val="nil"/>
              <w:bottom w:val="nil"/>
              <w:right w:val="nil"/>
            </w:tcBorders>
          </w:tcPr>
          <w:p w14:paraId="0F5F8B2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(-0.85)</w:t>
            </w:r>
          </w:p>
        </w:tc>
      </w:tr>
      <w:tr w:rsidR="00054D3B" w:rsidRPr="00DA590E" w14:paraId="2C84F9D8" w14:textId="77777777" w:rsidTr="00015B88">
        <w:tc>
          <w:tcPr>
            <w:tcW w:w="2136" w:type="dxa"/>
            <w:tcBorders>
              <w:top w:val="nil"/>
              <w:left w:val="nil"/>
              <w:bottom w:val="nil"/>
              <w:right w:val="nil"/>
            </w:tcBorders>
          </w:tcPr>
          <w:p w14:paraId="1917C56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CC80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93671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E6214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96ED9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269DE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2A7E2F0E" w14:textId="77777777" w:rsidTr="00015B88">
        <w:tc>
          <w:tcPr>
            <w:tcW w:w="2136" w:type="dxa"/>
            <w:tcBorders>
              <w:top w:val="nil"/>
              <w:left w:val="nil"/>
              <w:bottom w:val="nil"/>
              <w:right w:val="nil"/>
            </w:tcBorders>
          </w:tcPr>
          <w:p w14:paraId="0471932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14274E8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0.00126</w:t>
            </w:r>
          </w:p>
        </w:tc>
        <w:tc>
          <w:tcPr>
            <w:tcW w:w="1656" w:type="dxa"/>
            <w:tcBorders>
              <w:top w:val="nil"/>
              <w:left w:val="nil"/>
              <w:bottom w:val="nil"/>
              <w:right w:val="nil"/>
            </w:tcBorders>
          </w:tcPr>
          <w:p w14:paraId="42FB970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0.0463</w:t>
            </w:r>
          </w:p>
        </w:tc>
        <w:tc>
          <w:tcPr>
            <w:tcW w:w="1656" w:type="dxa"/>
            <w:tcBorders>
              <w:top w:val="nil"/>
              <w:left w:val="nil"/>
              <w:bottom w:val="nil"/>
              <w:right w:val="nil"/>
            </w:tcBorders>
          </w:tcPr>
          <w:p w14:paraId="48DEFF6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-0.0664</w:t>
            </w:r>
          </w:p>
        </w:tc>
        <w:tc>
          <w:tcPr>
            <w:tcW w:w="1656" w:type="dxa"/>
            <w:tcBorders>
              <w:top w:val="nil"/>
              <w:left w:val="nil"/>
              <w:bottom w:val="nil"/>
              <w:right w:val="nil"/>
            </w:tcBorders>
          </w:tcPr>
          <w:p w14:paraId="2DF7F96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-0.0187</w:t>
            </w:r>
          </w:p>
        </w:tc>
        <w:tc>
          <w:tcPr>
            <w:tcW w:w="1656" w:type="dxa"/>
            <w:tcBorders>
              <w:top w:val="nil"/>
              <w:left w:val="nil"/>
              <w:bottom w:val="nil"/>
              <w:right w:val="nil"/>
            </w:tcBorders>
          </w:tcPr>
          <w:p w14:paraId="1D2834C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-0.0487</w:t>
            </w:r>
            <w:r w:rsidRPr="00DA590E">
              <w:rPr>
                <w:rFonts w:ascii="Times New Roman" w:hAnsi="Times New Roman" w:cs="Times New Roman"/>
                <w:sz w:val="16"/>
                <w:szCs w:val="16"/>
                <w:vertAlign w:val="superscript"/>
              </w:rPr>
              <w:t>*</w:t>
            </w:r>
          </w:p>
        </w:tc>
      </w:tr>
      <w:tr w:rsidR="00054D3B" w:rsidRPr="00DA590E" w14:paraId="7D973018" w14:textId="77777777" w:rsidTr="00015B88">
        <w:tc>
          <w:tcPr>
            <w:tcW w:w="2136" w:type="dxa"/>
            <w:tcBorders>
              <w:top w:val="nil"/>
              <w:left w:val="nil"/>
              <w:bottom w:val="nil"/>
              <w:right w:val="nil"/>
            </w:tcBorders>
          </w:tcPr>
          <w:p w14:paraId="45E007B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9523A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(0.02)</w:t>
            </w:r>
          </w:p>
        </w:tc>
        <w:tc>
          <w:tcPr>
            <w:tcW w:w="1656" w:type="dxa"/>
            <w:tcBorders>
              <w:top w:val="nil"/>
              <w:left w:val="nil"/>
              <w:bottom w:val="nil"/>
              <w:right w:val="nil"/>
            </w:tcBorders>
          </w:tcPr>
          <w:p w14:paraId="7A861A5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(1.13)</w:t>
            </w:r>
          </w:p>
        </w:tc>
        <w:tc>
          <w:tcPr>
            <w:tcW w:w="1656" w:type="dxa"/>
            <w:tcBorders>
              <w:top w:val="nil"/>
              <w:left w:val="nil"/>
              <w:bottom w:val="nil"/>
              <w:right w:val="nil"/>
            </w:tcBorders>
          </w:tcPr>
          <w:p w14:paraId="05AD061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(-1.44)</w:t>
            </w:r>
          </w:p>
        </w:tc>
        <w:tc>
          <w:tcPr>
            <w:tcW w:w="1656" w:type="dxa"/>
            <w:tcBorders>
              <w:top w:val="nil"/>
              <w:left w:val="nil"/>
              <w:bottom w:val="nil"/>
              <w:right w:val="nil"/>
            </w:tcBorders>
          </w:tcPr>
          <w:p w14:paraId="59CFB10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(-1.17)</w:t>
            </w:r>
          </w:p>
        </w:tc>
        <w:tc>
          <w:tcPr>
            <w:tcW w:w="1656" w:type="dxa"/>
            <w:tcBorders>
              <w:top w:val="nil"/>
              <w:left w:val="nil"/>
              <w:bottom w:val="nil"/>
              <w:right w:val="nil"/>
            </w:tcBorders>
          </w:tcPr>
          <w:p w14:paraId="0FC7C32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(-2.19)</w:t>
            </w:r>
          </w:p>
        </w:tc>
      </w:tr>
      <w:tr w:rsidR="00054D3B" w:rsidRPr="00DA590E" w14:paraId="4FB5FB92" w14:textId="77777777" w:rsidTr="00015B88">
        <w:tc>
          <w:tcPr>
            <w:tcW w:w="2136" w:type="dxa"/>
            <w:tcBorders>
              <w:top w:val="nil"/>
              <w:left w:val="nil"/>
              <w:bottom w:val="nil"/>
              <w:right w:val="nil"/>
            </w:tcBorders>
          </w:tcPr>
          <w:p w14:paraId="2C1D030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9019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901CC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AE085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2D4F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30B5A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618DE287" w14:textId="77777777" w:rsidTr="00015B88">
        <w:tc>
          <w:tcPr>
            <w:tcW w:w="2136" w:type="dxa"/>
            <w:tcBorders>
              <w:top w:val="nil"/>
              <w:left w:val="nil"/>
              <w:bottom w:val="nil"/>
              <w:right w:val="nil"/>
            </w:tcBorders>
          </w:tcPr>
          <w:p w14:paraId="1380EE7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DA590E">
              <w:rPr>
                <w:rFonts w:ascii="Times New Roman" w:hAnsi="Times New Roman" w:cs="Times New Roman"/>
                <w:sz w:val="16"/>
                <w:szCs w:val="16"/>
              </w:rPr>
              <w:t>L.De</w:t>
            </w:r>
            <w:proofErr w:type="spellEnd"/>
            <w:r w:rsidRPr="00DA590E">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448868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0.491</w:t>
            </w:r>
          </w:p>
        </w:tc>
        <w:tc>
          <w:tcPr>
            <w:tcW w:w="1656" w:type="dxa"/>
            <w:tcBorders>
              <w:top w:val="nil"/>
              <w:left w:val="nil"/>
              <w:bottom w:val="nil"/>
              <w:right w:val="nil"/>
            </w:tcBorders>
          </w:tcPr>
          <w:p w14:paraId="7D5D86D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-1.520</w:t>
            </w:r>
          </w:p>
        </w:tc>
        <w:tc>
          <w:tcPr>
            <w:tcW w:w="1656" w:type="dxa"/>
            <w:tcBorders>
              <w:top w:val="nil"/>
              <w:left w:val="nil"/>
              <w:bottom w:val="nil"/>
              <w:right w:val="nil"/>
            </w:tcBorders>
          </w:tcPr>
          <w:p w14:paraId="080BB15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-2.132</w:t>
            </w:r>
          </w:p>
        </w:tc>
        <w:tc>
          <w:tcPr>
            <w:tcW w:w="1656" w:type="dxa"/>
            <w:tcBorders>
              <w:top w:val="nil"/>
              <w:left w:val="nil"/>
              <w:bottom w:val="nil"/>
              <w:right w:val="nil"/>
            </w:tcBorders>
          </w:tcPr>
          <w:p w14:paraId="43A017F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0.0527</w:t>
            </w:r>
          </w:p>
        </w:tc>
        <w:tc>
          <w:tcPr>
            <w:tcW w:w="1656" w:type="dxa"/>
            <w:tcBorders>
              <w:top w:val="nil"/>
              <w:left w:val="nil"/>
              <w:bottom w:val="nil"/>
              <w:right w:val="nil"/>
            </w:tcBorders>
          </w:tcPr>
          <w:p w14:paraId="6FC4877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0.214</w:t>
            </w:r>
          </w:p>
        </w:tc>
      </w:tr>
      <w:tr w:rsidR="00054D3B" w:rsidRPr="00DA590E" w14:paraId="52218183" w14:textId="77777777" w:rsidTr="00015B88">
        <w:tc>
          <w:tcPr>
            <w:tcW w:w="2136" w:type="dxa"/>
            <w:tcBorders>
              <w:top w:val="nil"/>
              <w:left w:val="nil"/>
              <w:bottom w:val="nil"/>
              <w:right w:val="nil"/>
            </w:tcBorders>
          </w:tcPr>
          <w:p w14:paraId="1B38507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732BD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(0.40)</w:t>
            </w:r>
          </w:p>
        </w:tc>
        <w:tc>
          <w:tcPr>
            <w:tcW w:w="1656" w:type="dxa"/>
            <w:tcBorders>
              <w:top w:val="nil"/>
              <w:left w:val="nil"/>
              <w:bottom w:val="nil"/>
              <w:right w:val="nil"/>
            </w:tcBorders>
          </w:tcPr>
          <w:p w14:paraId="0F65855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(-1.29)</w:t>
            </w:r>
          </w:p>
        </w:tc>
        <w:tc>
          <w:tcPr>
            <w:tcW w:w="1656" w:type="dxa"/>
            <w:tcBorders>
              <w:top w:val="nil"/>
              <w:left w:val="nil"/>
              <w:bottom w:val="nil"/>
              <w:right w:val="nil"/>
            </w:tcBorders>
          </w:tcPr>
          <w:p w14:paraId="44B910D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(-1.88)</w:t>
            </w:r>
          </w:p>
        </w:tc>
        <w:tc>
          <w:tcPr>
            <w:tcW w:w="1656" w:type="dxa"/>
            <w:tcBorders>
              <w:top w:val="nil"/>
              <w:left w:val="nil"/>
              <w:bottom w:val="nil"/>
              <w:right w:val="nil"/>
            </w:tcBorders>
          </w:tcPr>
          <w:p w14:paraId="0AC8688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(0.23)</w:t>
            </w:r>
          </w:p>
        </w:tc>
        <w:tc>
          <w:tcPr>
            <w:tcW w:w="1656" w:type="dxa"/>
            <w:tcBorders>
              <w:top w:val="nil"/>
              <w:left w:val="nil"/>
              <w:bottom w:val="nil"/>
              <w:right w:val="nil"/>
            </w:tcBorders>
          </w:tcPr>
          <w:p w14:paraId="455E6A5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(1.40)</w:t>
            </w:r>
          </w:p>
        </w:tc>
      </w:tr>
      <w:tr w:rsidR="00054D3B" w:rsidRPr="00DA590E" w14:paraId="3ECBDDAD" w14:textId="77777777" w:rsidTr="00015B88">
        <w:tc>
          <w:tcPr>
            <w:tcW w:w="2136" w:type="dxa"/>
            <w:tcBorders>
              <w:top w:val="nil"/>
              <w:left w:val="nil"/>
              <w:bottom w:val="nil"/>
              <w:right w:val="nil"/>
            </w:tcBorders>
          </w:tcPr>
          <w:p w14:paraId="6A72617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1315F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3F3E0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3ACE4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088E2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423A8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30287A5A" w14:textId="77777777" w:rsidTr="00015B88">
        <w:tc>
          <w:tcPr>
            <w:tcW w:w="2136" w:type="dxa"/>
            <w:tcBorders>
              <w:top w:val="nil"/>
              <w:left w:val="nil"/>
              <w:bottom w:val="nil"/>
              <w:right w:val="nil"/>
            </w:tcBorders>
          </w:tcPr>
          <w:p w14:paraId="2E041C2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 xml:space="preserve">L2.De Jure CBI (CNW </w:t>
            </w:r>
            <w:r w:rsidRPr="00DA590E">
              <w:rPr>
                <w:rFonts w:ascii="Times New Roman" w:hAnsi="Times New Roman" w:cs="Times New Roman"/>
                <w:sz w:val="16"/>
                <w:szCs w:val="16"/>
              </w:rPr>
              <w:lastRenderedPageBreak/>
              <w:t>Index)</w:t>
            </w:r>
          </w:p>
        </w:tc>
        <w:tc>
          <w:tcPr>
            <w:tcW w:w="1656" w:type="dxa"/>
            <w:tcBorders>
              <w:top w:val="nil"/>
              <w:left w:val="nil"/>
              <w:bottom w:val="nil"/>
              <w:right w:val="nil"/>
            </w:tcBorders>
          </w:tcPr>
          <w:p w14:paraId="6EB7CF2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lastRenderedPageBreak/>
              <w:t>-1.187</w:t>
            </w:r>
          </w:p>
        </w:tc>
        <w:tc>
          <w:tcPr>
            <w:tcW w:w="1656" w:type="dxa"/>
            <w:tcBorders>
              <w:top w:val="nil"/>
              <w:left w:val="nil"/>
              <w:bottom w:val="nil"/>
              <w:right w:val="nil"/>
            </w:tcBorders>
          </w:tcPr>
          <w:p w14:paraId="1C9277E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1.156</w:t>
            </w:r>
          </w:p>
        </w:tc>
        <w:tc>
          <w:tcPr>
            <w:tcW w:w="1656" w:type="dxa"/>
            <w:tcBorders>
              <w:top w:val="nil"/>
              <w:left w:val="nil"/>
              <w:bottom w:val="nil"/>
              <w:right w:val="nil"/>
            </w:tcBorders>
          </w:tcPr>
          <w:p w14:paraId="3A0F0BC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1.065</w:t>
            </w:r>
          </w:p>
        </w:tc>
        <w:tc>
          <w:tcPr>
            <w:tcW w:w="1656" w:type="dxa"/>
            <w:tcBorders>
              <w:top w:val="nil"/>
              <w:left w:val="nil"/>
              <w:bottom w:val="nil"/>
              <w:right w:val="nil"/>
            </w:tcBorders>
          </w:tcPr>
          <w:p w14:paraId="6E43748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-0.440</w:t>
            </w:r>
          </w:p>
        </w:tc>
        <w:tc>
          <w:tcPr>
            <w:tcW w:w="1656" w:type="dxa"/>
            <w:tcBorders>
              <w:top w:val="nil"/>
              <w:left w:val="nil"/>
              <w:bottom w:val="nil"/>
              <w:right w:val="nil"/>
            </w:tcBorders>
          </w:tcPr>
          <w:p w14:paraId="2CD9874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-0.0292</w:t>
            </w:r>
          </w:p>
        </w:tc>
      </w:tr>
      <w:tr w:rsidR="00054D3B" w:rsidRPr="00DA590E" w14:paraId="152AC464" w14:textId="77777777" w:rsidTr="00015B88">
        <w:tc>
          <w:tcPr>
            <w:tcW w:w="2136" w:type="dxa"/>
            <w:tcBorders>
              <w:top w:val="nil"/>
              <w:left w:val="nil"/>
              <w:bottom w:val="nil"/>
              <w:right w:val="nil"/>
            </w:tcBorders>
          </w:tcPr>
          <w:p w14:paraId="1BEA9F5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ED15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(-1.11)</w:t>
            </w:r>
          </w:p>
        </w:tc>
        <w:tc>
          <w:tcPr>
            <w:tcW w:w="1656" w:type="dxa"/>
            <w:tcBorders>
              <w:top w:val="nil"/>
              <w:left w:val="nil"/>
              <w:bottom w:val="nil"/>
              <w:right w:val="nil"/>
            </w:tcBorders>
          </w:tcPr>
          <w:p w14:paraId="6EE224E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(1.14)</w:t>
            </w:r>
          </w:p>
        </w:tc>
        <w:tc>
          <w:tcPr>
            <w:tcW w:w="1656" w:type="dxa"/>
            <w:tcBorders>
              <w:top w:val="nil"/>
              <w:left w:val="nil"/>
              <w:bottom w:val="nil"/>
              <w:right w:val="nil"/>
            </w:tcBorders>
          </w:tcPr>
          <w:p w14:paraId="74AE055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(0.78)</w:t>
            </w:r>
          </w:p>
        </w:tc>
        <w:tc>
          <w:tcPr>
            <w:tcW w:w="1656" w:type="dxa"/>
            <w:tcBorders>
              <w:top w:val="nil"/>
              <w:left w:val="nil"/>
              <w:bottom w:val="nil"/>
              <w:right w:val="nil"/>
            </w:tcBorders>
          </w:tcPr>
          <w:p w14:paraId="530F8B3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(-1.82)</w:t>
            </w:r>
          </w:p>
        </w:tc>
        <w:tc>
          <w:tcPr>
            <w:tcW w:w="1656" w:type="dxa"/>
            <w:tcBorders>
              <w:top w:val="nil"/>
              <w:left w:val="nil"/>
              <w:bottom w:val="nil"/>
              <w:right w:val="nil"/>
            </w:tcBorders>
          </w:tcPr>
          <w:p w14:paraId="165D524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(-0.10)</w:t>
            </w:r>
          </w:p>
        </w:tc>
      </w:tr>
      <w:tr w:rsidR="00054D3B" w:rsidRPr="00DA590E" w14:paraId="19C308DE" w14:textId="77777777" w:rsidTr="00015B88">
        <w:tc>
          <w:tcPr>
            <w:tcW w:w="2136" w:type="dxa"/>
            <w:tcBorders>
              <w:top w:val="nil"/>
              <w:left w:val="nil"/>
              <w:bottom w:val="nil"/>
              <w:right w:val="nil"/>
            </w:tcBorders>
          </w:tcPr>
          <w:p w14:paraId="24BCEC3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BE190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D2D35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03B56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53451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8DD22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40A84231" w14:textId="77777777" w:rsidTr="00015B88">
        <w:tc>
          <w:tcPr>
            <w:tcW w:w="2136" w:type="dxa"/>
            <w:tcBorders>
              <w:top w:val="nil"/>
              <w:left w:val="nil"/>
              <w:bottom w:val="nil"/>
              <w:right w:val="nil"/>
            </w:tcBorders>
          </w:tcPr>
          <w:p w14:paraId="6A37EE0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L3.De Jure CBI (CNW Index)</w:t>
            </w:r>
          </w:p>
        </w:tc>
        <w:tc>
          <w:tcPr>
            <w:tcW w:w="1656" w:type="dxa"/>
            <w:tcBorders>
              <w:top w:val="nil"/>
              <w:left w:val="nil"/>
              <w:bottom w:val="nil"/>
              <w:right w:val="nil"/>
            </w:tcBorders>
          </w:tcPr>
          <w:p w14:paraId="7EB4A53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0.514</w:t>
            </w:r>
          </w:p>
        </w:tc>
        <w:tc>
          <w:tcPr>
            <w:tcW w:w="1656" w:type="dxa"/>
            <w:tcBorders>
              <w:top w:val="nil"/>
              <w:left w:val="nil"/>
              <w:bottom w:val="nil"/>
              <w:right w:val="nil"/>
            </w:tcBorders>
          </w:tcPr>
          <w:p w14:paraId="733415A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-1.654</w:t>
            </w:r>
          </w:p>
        </w:tc>
        <w:tc>
          <w:tcPr>
            <w:tcW w:w="1656" w:type="dxa"/>
            <w:tcBorders>
              <w:top w:val="nil"/>
              <w:left w:val="nil"/>
              <w:bottom w:val="nil"/>
              <w:right w:val="nil"/>
            </w:tcBorders>
          </w:tcPr>
          <w:p w14:paraId="302FE20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-0.926</w:t>
            </w:r>
          </w:p>
        </w:tc>
        <w:tc>
          <w:tcPr>
            <w:tcW w:w="1656" w:type="dxa"/>
            <w:tcBorders>
              <w:top w:val="nil"/>
              <w:left w:val="nil"/>
              <w:bottom w:val="nil"/>
              <w:right w:val="nil"/>
            </w:tcBorders>
          </w:tcPr>
          <w:p w14:paraId="37FE836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0.370</w:t>
            </w:r>
          </w:p>
        </w:tc>
        <w:tc>
          <w:tcPr>
            <w:tcW w:w="1656" w:type="dxa"/>
            <w:tcBorders>
              <w:top w:val="nil"/>
              <w:left w:val="nil"/>
              <w:bottom w:val="nil"/>
              <w:right w:val="nil"/>
            </w:tcBorders>
          </w:tcPr>
          <w:p w14:paraId="3A03D8F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0.251</w:t>
            </w:r>
          </w:p>
        </w:tc>
      </w:tr>
      <w:tr w:rsidR="00054D3B" w:rsidRPr="00DA590E" w14:paraId="69716B9E" w14:textId="77777777" w:rsidTr="00015B88">
        <w:tc>
          <w:tcPr>
            <w:tcW w:w="2136" w:type="dxa"/>
            <w:tcBorders>
              <w:top w:val="nil"/>
              <w:left w:val="nil"/>
              <w:bottom w:val="nil"/>
              <w:right w:val="nil"/>
            </w:tcBorders>
          </w:tcPr>
          <w:p w14:paraId="12003B4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FC93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(0.47)</w:t>
            </w:r>
          </w:p>
        </w:tc>
        <w:tc>
          <w:tcPr>
            <w:tcW w:w="1656" w:type="dxa"/>
            <w:tcBorders>
              <w:top w:val="nil"/>
              <w:left w:val="nil"/>
              <w:bottom w:val="nil"/>
              <w:right w:val="nil"/>
            </w:tcBorders>
          </w:tcPr>
          <w:p w14:paraId="630757C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(-1.50)</w:t>
            </w:r>
          </w:p>
        </w:tc>
        <w:tc>
          <w:tcPr>
            <w:tcW w:w="1656" w:type="dxa"/>
            <w:tcBorders>
              <w:top w:val="nil"/>
              <w:left w:val="nil"/>
              <w:bottom w:val="nil"/>
              <w:right w:val="nil"/>
            </w:tcBorders>
          </w:tcPr>
          <w:p w14:paraId="2BBFB02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(-0.65)</w:t>
            </w:r>
          </w:p>
        </w:tc>
        <w:tc>
          <w:tcPr>
            <w:tcW w:w="1656" w:type="dxa"/>
            <w:tcBorders>
              <w:top w:val="nil"/>
              <w:left w:val="nil"/>
              <w:bottom w:val="nil"/>
              <w:right w:val="nil"/>
            </w:tcBorders>
          </w:tcPr>
          <w:p w14:paraId="73D6BFB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(1.23)</w:t>
            </w:r>
          </w:p>
        </w:tc>
        <w:tc>
          <w:tcPr>
            <w:tcW w:w="1656" w:type="dxa"/>
            <w:tcBorders>
              <w:top w:val="nil"/>
              <w:left w:val="nil"/>
              <w:bottom w:val="nil"/>
              <w:right w:val="nil"/>
            </w:tcBorders>
          </w:tcPr>
          <w:p w14:paraId="10856B4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(1.21)</w:t>
            </w:r>
          </w:p>
        </w:tc>
      </w:tr>
      <w:tr w:rsidR="00054D3B" w:rsidRPr="00DA590E" w14:paraId="51584735" w14:textId="77777777" w:rsidTr="00015B88">
        <w:tc>
          <w:tcPr>
            <w:tcW w:w="2136" w:type="dxa"/>
            <w:tcBorders>
              <w:top w:val="nil"/>
              <w:left w:val="nil"/>
              <w:bottom w:val="nil"/>
              <w:right w:val="nil"/>
            </w:tcBorders>
          </w:tcPr>
          <w:p w14:paraId="3F3A6AA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A9C3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7435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E5EC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55F45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BB2D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4CE5A037" w14:textId="77777777" w:rsidTr="00015B88">
        <w:tc>
          <w:tcPr>
            <w:tcW w:w="2136" w:type="dxa"/>
            <w:tcBorders>
              <w:top w:val="nil"/>
              <w:left w:val="nil"/>
              <w:bottom w:val="nil"/>
              <w:right w:val="nil"/>
            </w:tcBorders>
          </w:tcPr>
          <w:p w14:paraId="42B08E2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L4.De Jure CBI (CNW Index)</w:t>
            </w:r>
          </w:p>
        </w:tc>
        <w:tc>
          <w:tcPr>
            <w:tcW w:w="1656" w:type="dxa"/>
            <w:tcBorders>
              <w:top w:val="nil"/>
              <w:left w:val="nil"/>
              <w:bottom w:val="nil"/>
              <w:right w:val="nil"/>
            </w:tcBorders>
          </w:tcPr>
          <w:p w14:paraId="0A4A361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-0.447</w:t>
            </w:r>
          </w:p>
        </w:tc>
        <w:tc>
          <w:tcPr>
            <w:tcW w:w="1656" w:type="dxa"/>
            <w:tcBorders>
              <w:top w:val="nil"/>
              <w:left w:val="nil"/>
              <w:bottom w:val="nil"/>
              <w:right w:val="nil"/>
            </w:tcBorders>
          </w:tcPr>
          <w:p w14:paraId="5C0A454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-0.325</w:t>
            </w:r>
          </w:p>
        </w:tc>
        <w:tc>
          <w:tcPr>
            <w:tcW w:w="1656" w:type="dxa"/>
            <w:tcBorders>
              <w:top w:val="nil"/>
              <w:left w:val="nil"/>
              <w:bottom w:val="nil"/>
              <w:right w:val="nil"/>
            </w:tcBorders>
          </w:tcPr>
          <w:p w14:paraId="1111B49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0.898</w:t>
            </w:r>
          </w:p>
        </w:tc>
        <w:tc>
          <w:tcPr>
            <w:tcW w:w="1656" w:type="dxa"/>
            <w:tcBorders>
              <w:top w:val="nil"/>
              <w:left w:val="nil"/>
              <w:bottom w:val="nil"/>
              <w:right w:val="nil"/>
            </w:tcBorders>
          </w:tcPr>
          <w:p w14:paraId="6F49532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-0.136</w:t>
            </w:r>
          </w:p>
        </w:tc>
        <w:tc>
          <w:tcPr>
            <w:tcW w:w="1656" w:type="dxa"/>
            <w:tcBorders>
              <w:top w:val="nil"/>
              <w:left w:val="nil"/>
              <w:bottom w:val="nil"/>
              <w:right w:val="nil"/>
            </w:tcBorders>
          </w:tcPr>
          <w:p w14:paraId="6B08D52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-0.278</w:t>
            </w:r>
          </w:p>
        </w:tc>
      </w:tr>
      <w:tr w:rsidR="00054D3B" w:rsidRPr="00DA590E" w14:paraId="44F34488" w14:textId="77777777" w:rsidTr="00015B88">
        <w:tc>
          <w:tcPr>
            <w:tcW w:w="2136" w:type="dxa"/>
            <w:tcBorders>
              <w:top w:val="nil"/>
              <w:left w:val="nil"/>
              <w:bottom w:val="nil"/>
              <w:right w:val="nil"/>
            </w:tcBorders>
          </w:tcPr>
          <w:p w14:paraId="20404B9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A122D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(-0.42)</w:t>
            </w:r>
          </w:p>
        </w:tc>
        <w:tc>
          <w:tcPr>
            <w:tcW w:w="1656" w:type="dxa"/>
            <w:tcBorders>
              <w:top w:val="nil"/>
              <w:left w:val="nil"/>
              <w:bottom w:val="nil"/>
              <w:right w:val="nil"/>
            </w:tcBorders>
          </w:tcPr>
          <w:p w14:paraId="09C19DE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(-0.35)</w:t>
            </w:r>
          </w:p>
        </w:tc>
        <w:tc>
          <w:tcPr>
            <w:tcW w:w="1656" w:type="dxa"/>
            <w:tcBorders>
              <w:top w:val="nil"/>
              <w:left w:val="nil"/>
              <w:bottom w:val="nil"/>
              <w:right w:val="nil"/>
            </w:tcBorders>
          </w:tcPr>
          <w:p w14:paraId="63D3183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(0.62)</w:t>
            </w:r>
          </w:p>
        </w:tc>
        <w:tc>
          <w:tcPr>
            <w:tcW w:w="1656" w:type="dxa"/>
            <w:tcBorders>
              <w:top w:val="nil"/>
              <w:left w:val="nil"/>
              <w:bottom w:val="nil"/>
              <w:right w:val="nil"/>
            </w:tcBorders>
          </w:tcPr>
          <w:p w14:paraId="3455788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(-0.62)</w:t>
            </w:r>
          </w:p>
        </w:tc>
        <w:tc>
          <w:tcPr>
            <w:tcW w:w="1656" w:type="dxa"/>
            <w:tcBorders>
              <w:top w:val="nil"/>
              <w:left w:val="nil"/>
              <w:bottom w:val="nil"/>
              <w:right w:val="nil"/>
            </w:tcBorders>
          </w:tcPr>
          <w:p w14:paraId="4DFED9B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(-1.68)</w:t>
            </w:r>
          </w:p>
        </w:tc>
      </w:tr>
      <w:tr w:rsidR="00054D3B" w:rsidRPr="00DA590E" w14:paraId="15FD3CD8" w14:textId="77777777" w:rsidTr="00015B88">
        <w:tc>
          <w:tcPr>
            <w:tcW w:w="2136" w:type="dxa"/>
            <w:tcBorders>
              <w:top w:val="nil"/>
              <w:left w:val="nil"/>
              <w:bottom w:val="nil"/>
              <w:right w:val="nil"/>
            </w:tcBorders>
          </w:tcPr>
          <w:p w14:paraId="4398E35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60A1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CF23B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A4F9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EC367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F2283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7FBC7BDD" w14:textId="77777777" w:rsidTr="00015B88">
        <w:tc>
          <w:tcPr>
            <w:tcW w:w="2136" w:type="dxa"/>
            <w:tcBorders>
              <w:top w:val="nil"/>
              <w:left w:val="nil"/>
              <w:bottom w:val="nil"/>
              <w:right w:val="nil"/>
            </w:tcBorders>
          </w:tcPr>
          <w:p w14:paraId="2F13D7C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L5.De Jure CBI (CNW Index)</w:t>
            </w:r>
          </w:p>
        </w:tc>
        <w:tc>
          <w:tcPr>
            <w:tcW w:w="1656" w:type="dxa"/>
            <w:tcBorders>
              <w:top w:val="nil"/>
              <w:left w:val="nil"/>
              <w:bottom w:val="nil"/>
              <w:right w:val="nil"/>
            </w:tcBorders>
          </w:tcPr>
          <w:p w14:paraId="274AA93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1.723</w:t>
            </w:r>
          </w:p>
        </w:tc>
        <w:tc>
          <w:tcPr>
            <w:tcW w:w="1656" w:type="dxa"/>
            <w:tcBorders>
              <w:top w:val="nil"/>
              <w:left w:val="nil"/>
              <w:bottom w:val="nil"/>
              <w:right w:val="nil"/>
            </w:tcBorders>
          </w:tcPr>
          <w:p w14:paraId="76498ED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1.222</w:t>
            </w:r>
          </w:p>
        </w:tc>
        <w:tc>
          <w:tcPr>
            <w:tcW w:w="1656" w:type="dxa"/>
            <w:tcBorders>
              <w:top w:val="nil"/>
              <w:left w:val="nil"/>
              <w:bottom w:val="nil"/>
              <w:right w:val="nil"/>
            </w:tcBorders>
          </w:tcPr>
          <w:p w14:paraId="7EF9F0B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0.0127</w:t>
            </w:r>
          </w:p>
        </w:tc>
        <w:tc>
          <w:tcPr>
            <w:tcW w:w="1656" w:type="dxa"/>
            <w:tcBorders>
              <w:top w:val="nil"/>
              <w:left w:val="nil"/>
              <w:bottom w:val="nil"/>
              <w:right w:val="nil"/>
            </w:tcBorders>
          </w:tcPr>
          <w:p w14:paraId="5593E32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0.279</w:t>
            </w:r>
          </w:p>
        </w:tc>
        <w:tc>
          <w:tcPr>
            <w:tcW w:w="1656" w:type="dxa"/>
            <w:tcBorders>
              <w:top w:val="nil"/>
              <w:left w:val="nil"/>
              <w:bottom w:val="nil"/>
              <w:right w:val="nil"/>
            </w:tcBorders>
          </w:tcPr>
          <w:p w14:paraId="257E778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-0.0416</w:t>
            </w:r>
          </w:p>
        </w:tc>
      </w:tr>
      <w:tr w:rsidR="00054D3B" w:rsidRPr="00DA590E" w14:paraId="0004F4F5" w14:textId="77777777" w:rsidTr="00015B88">
        <w:tc>
          <w:tcPr>
            <w:tcW w:w="2136" w:type="dxa"/>
            <w:tcBorders>
              <w:top w:val="nil"/>
              <w:left w:val="nil"/>
              <w:bottom w:val="nil"/>
              <w:right w:val="nil"/>
            </w:tcBorders>
          </w:tcPr>
          <w:p w14:paraId="7CE8B6D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BBED3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(1.55)</w:t>
            </w:r>
          </w:p>
        </w:tc>
        <w:tc>
          <w:tcPr>
            <w:tcW w:w="1656" w:type="dxa"/>
            <w:tcBorders>
              <w:top w:val="nil"/>
              <w:left w:val="nil"/>
              <w:bottom w:val="nil"/>
              <w:right w:val="nil"/>
            </w:tcBorders>
          </w:tcPr>
          <w:p w14:paraId="728821F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(1.51)</w:t>
            </w:r>
          </w:p>
        </w:tc>
        <w:tc>
          <w:tcPr>
            <w:tcW w:w="1656" w:type="dxa"/>
            <w:tcBorders>
              <w:top w:val="nil"/>
              <w:left w:val="nil"/>
              <w:bottom w:val="nil"/>
              <w:right w:val="nil"/>
            </w:tcBorders>
          </w:tcPr>
          <w:p w14:paraId="6B8C939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w:t>
            </w:r>
          </w:p>
        </w:tc>
        <w:tc>
          <w:tcPr>
            <w:tcW w:w="1656" w:type="dxa"/>
            <w:tcBorders>
              <w:top w:val="nil"/>
              <w:left w:val="nil"/>
              <w:bottom w:val="nil"/>
              <w:right w:val="nil"/>
            </w:tcBorders>
          </w:tcPr>
          <w:p w14:paraId="0B06056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(1.56)</w:t>
            </w:r>
          </w:p>
        </w:tc>
        <w:tc>
          <w:tcPr>
            <w:tcW w:w="1656" w:type="dxa"/>
            <w:tcBorders>
              <w:top w:val="nil"/>
              <w:left w:val="nil"/>
              <w:bottom w:val="nil"/>
              <w:right w:val="nil"/>
            </w:tcBorders>
          </w:tcPr>
          <w:p w14:paraId="010A37A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(-0.19)</w:t>
            </w:r>
          </w:p>
        </w:tc>
      </w:tr>
      <w:tr w:rsidR="00054D3B" w:rsidRPr="00DA590E" w14:paraId="4FF830A9" w14:textId="77777777" w:rsidTr="00015B88">
        <w:tc>
          <w:tcPr>
            <w:tcW w:w="2136" w:type="dxa"/>
            <w:tcBorders>
              <w:top w:val="nil"/>
              <w:left w:val="nil"/>
              <w:bottom w:val="nil"/>
              <w:right w:val="nil"/>
            </w:tcBorders>
          </w:tcPr>
          <w:p w14:paraId="593609D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2429E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673CB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91C14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B0977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B04FF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047DA163" w14:textId="77777777" w:rsidTr="00015B88">
        <w:tc>
          <w:tcPr>
            <w:tcW w:w="2136" w:type="dxa"/>
            <w:tcBorders>
              <w:top w:val="nil"/>
              <w:left w:val="nil"/>
              <w:bottom w:val="nil"/>
              <w:right w:val="nil"/>
            </w:tcBorders>
          </w:tcPr>
          <w:p w14:paraId="7F6FA83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L6.De Jure CBI (CNW Index)</w:t>
            </w:r>
          </w:p>
        </w:tc>
        <w:tc>
          <w:tcPr>
            <w:tcW w:w="1656" w:type="dxa"/>
            <w:tcBorders>
              <w:top w:val="nil"/>
              <w:left w:val="nil"/>
              <w:bottom w:val="nil"/>
              <w:right w:val="nil"/>
            </w:tcBorders>
          </w:tcPr>
          <w:p w14:paraId="7996657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-1.762</w:t>
            </w:r>
          </w:p>
        </w:tc>
        <w:tc>
          <w:tcPr>
            <w:tcW w:w="1656" w:type="dxa"/>
            <w:tcBorders>
              <w:top w:val="nil"/>
              <w:left w:val="nil"/>
              <w:bottom w:val="nil"/>
              <w:right w:val="nil"/>
            </w:tcBorders>
          </w:tcPr>
          <w:p w14:paraId="19BF1AF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0.232</w:t>
            </w:r>
          </w:p>
        </w:tc>
        <w:tc>
          <w:tcPr>
            <w:tcW w:w="1656" w:type="dxa"/>
            <w:tcBorders>
              <w:top w:val="nil"/>
              <w:left w:val="nil"/>
              <w:bottom w:val="nil"/>
              <w:right w:val="nil"/>
            </w:tcBorders>
          </w:tcPr>
          <w:p w14:paraId="537B1B8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-0.871</w:t>
            </w:r>
          </w:p>
        </w:tc>
        <w:tc>
          <w:tcPr>
            <w:tcW w:w="1656" w:type="dxa"/>
            <w:tcBorders>
              <w:top w:val="nil"/>
              <w:left w:val="nil"/>
              <w:bottom w:val="nil"/>
              <w:right w:val="nil"/>
            </w:tcBorders>
          </w:tcPr>
          <w:p w14:paraId="34DBC5B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-0.0368</w:t>
            </w:r>
          </w:p>
        </w:tc>
        <w:tc>
          <w:tcPr>
            <w:tcW w:w="1656" w:type="dxa"/>
            <w:tcBorders>
              <w:top w:val="nil"/>
              <w:left w:val="nil"/>
              <w:bottom w:val="nil"/>
              <w:right w:val="nil"/>
            </w:tcBorders>
          </w:tcPr>
          <w:p w14:paraId="6E3BBAE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0.615</w:t>
            </w:r>
          </w:p>
        </w:tc>
      </w:tr>
      <w:tr w:rsidR="00054D3B" w:rsidRPr="00DA590E" w14:paraId="07BA20D8" w14:textId="77777777" w:rsidTr="00015B88">
        <w:tc>
          <w:tcPr>
            <w:tcW w:w="2136" w:type="dxa"/>
            <w:tcBorders>
              <w:top w:val="nil"/>
              <w:left w:val="nil"/>
              <w:bottom w:val="nil"/>
              <w:right w:val="nil"/>
            </w:tcBorders>
          </w:tcPr>
          <w:p w14:paraId="62A4FD7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BFE3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(-1.24)</w:t>
            </w:r>
          </w:p>
        </w:tc>
        <w:tc>
          <w:tcPr>
            <w:tcW w:w="1656" w:type="dxa"/>
            <w:tcBorders>
              <w:top w:val="nil"/>
              <w:left w:val="nil"/>
              <w:bottom w:val="nil"/>
              <w:right w:val="nil"/>
            </w:tcBorders>
          </w:tcPr>
          <w:p w14:paraId="717565B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(0.21)</w:t>
            </w:r>
          </w:p>
        </w:tc>
        <w:tc>
          <w:tcPr>
            <w:tcW w:w="1656" w:type="dxa"/>
            <w:tcBorders>
              <w:top w:val="nil"/>
              <w:left w:val="nil"/>
              <w:bottom w:val="nil"/>
              <w:right w:val="nil"/>
            </w:tcBorders>
          </w:tcPr>
          <w:p w14:paraId="3FCC0B8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(-0.59)</w:t>
            </w:r>
          </w:p>
        </w:tc>
        <w:tc>
          <w:tcPr>
            <w:tcW w:w="1656" w:type="dxa"/>
            <w:tcBorders>
              <w:top w:val="nil"/>
              <w:left w:val="nil"/>
              <w:bottom w:val="nil"/>
              <w:right w:val="nil"/>
            </w:tcBorders>
          </w:tcPr>
          <w:p w14:paraId="11E3F39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(-0.18)</w:t>
            </w:r>
          </w:p>
        </w:tc>
        <w:tc>
          <w:tcPr>
            <w:tcW w:w="1656" w:type="dxa"/>
            <w:tcBorders>
              <w:top w:val="nil"/>
              <w:left w:val="nil"/>
              <w:bottom w:val="nil"/>
              <w:right w:val="nil"/>
            </w:tcBorders>
          </w:tcPr>
          <w:p w14:paraId="7105D49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(1.94)</w:t>
            </w:r>
          </w:p>
        </w:tc>
      </w:tr>
      <w:tr w:rsidR="00054D3B" w:rsidRPr="00DA590E" w14:paraId="10D9DDA2" w14:textId="77777777" w:rsidTr="00015B88">
        <w:tc>
          <w:tcPr>
            <w:tcW w:w="2136" w:type="dxa"/>
            <w:tcBorders>
              <w:top w:val="nil"/>
              <w:left w:val="nil"/>
              <w:bottom w:val="nil"/>
              <w:right w:val="nil"/>
            </w:tcBorders>
          </w:tcPr>
          <w:p w14:paraId="0A8AAC8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0A6BE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DA25C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736B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2B60B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2998D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40E787F9" w14:textId="77777777" w:rsidTr="00015B88">
        <w:tc>
          <w:tcPr>
            <w:tcW w:w="2136" w:type="dxa"/>
            <w:tcBorders>
              <w:top w:val="nil"/>
              <w:left w:val="nil"/>
              <w:bottom w:val="nil"/>
              <w:right w:val="nil"/>
            </w:tcBorders>
          </w:tcPr>
          <w:p w14:paraId="11183BB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L7.De Jure CBI (CNW Index)</w:t>
            </w:r>
          </w:p>
        </w:tc>
        <w:tc>
          <w:tcPr>
            <w:tcW w:w="1656" w:type="dxa"/>
            <w:tcBorders>
              <w:top w:val="nil"/>
              <w:left w:val="nil"/>
              <w:bottom w:val="nil"/>
              <w:right w:val="nil"/>
            </w:tcBorders>
          </w:tcPr>
          <w:p w14:paraId="69B6A36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1.957</w:t>
            </w:r>
          </w:p>
        </w:tc>
        <w:tc>
          <w:tcPr>
            <w:tcW w:w="1656" w:type="dxa"/>
            <w:tcBorders>
              <w:top w:val="nil"/>
              <w:left w:val="nil"/>
              <w:bottom w:val="nil"/>
              <w:right w:val="nil"/>
            </w:tcBorders>
          </w:tcPr>
          <w:p w14:paraId="1EA6B54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0.725</w:t>
            </w:r>
          </w:p>
        </w:tc>
        <w:tc>
          <w:tcPr>
            <w:tcW w:w="1656" w:type="dxa"/>
            <w:tcBorders>
              <w:top w:val="nil"/>
              <w:left w:val="nil"/>
              <w:bottom w:val="nil"/>
              <w:right w:val="nil"/>
            </w:tcBorders>
          </w:tcPr>
          <w:p w14:paraId="7C8533F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1.821</w:t>
            </w:r>
          </w:p>
        </w:tc>
        <w:tc>
          <w:tcPr>
            <w:tcW w:w="1656" w:type="dxa"/>
            <w:tcBorders>
              <w:top w:val="nil"/>
              <w:left w:val="nil"/>
              <w:bottom w:val="nil"/>
              <w:right w:val="nil"/>
            </w:tcBorders>
          </w:tcPr>
          <w:p w14:paraId="1D2870E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-0.0983</w:t>
            </w:r>
          </w:p>
        </w:tc>
        <w:tc>
          <w:tcPr>
            <w:tcW w:w="1656" w:type="dxa"/>
            <w:tcBorders>
              <w:top w:val="nil"/>
              <w:left w:val="nil"/>
              <w:bottom w:val="nil"/>
              <w:right w:val="nil"/>
            </w:tcBorders>
          </w:tcPr>
          <w:p w14:paraId="337F979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-0.0807</w:t>
            </w:r>
          </w:p>
        </w:tc>
      </w:tr>
      <w:tr w:rsidR="00054D3B" w:rsidRPr="00DA590E" w14:paraId="05FF3632" w14:textId="77777777" w:rsidTr="00015B88">
        <w:tc>
          <w:tcPr>
            <w:tcW w:w="2136" w:type="dxa"/>
            <w:tcBorders>
              <w:top w:val="nil"/>
              <w:left w:val="nil"/>
              <w:bottom w:val="nil"/>
              <w:right w:val="nil"/>
            </w:tcBorders>
          </w:tcPr>
          <w:p w14:paraId="0D58289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8CC4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(1.31)</w:t>
            </w:r>
          </w:p>
        </w:tc>
        <w:tc>
          <w:tcPr>
            <w:tcW w:w="1656" w:type="dxa"/>
            <w:tcBorders>
              <w:top w:val="nil"/>
              <w:left w:val="nil"/>
              <w:bottom w:val="nil"/>
              <w:right w:val="nil"/>
            </w:tcBorders>
          </w:tcPr>
          <w:p w14:paraId="7461302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(0.49)</w:t>
            </w:r>
          </w:p>
        </w:tc>
        <w:tc>
          <w:tcPr>
            <w:tcW w:w="1656" w:type="dxa"/>
            <w:tcBorders>
              <w:top w:val="nil"/>
              <w:left w:val="nil"/>
              <w:bottom w:val="nil"/>
              <w:right w:val="nil"/>
            </w:tcBorders>
          </w:tcPr>
          <w:p w14:paraId="4F80639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(1.31)</w:t>
            </w:r>
          </w:p>
        </w:tc>
        <w:tc>
          <w:tcPr>
            <w:tcW w:w="1656" w:type="dxa"/>
            <w:tcBorders>
              <w:top w:val="nil"/>
              <w:left w:val="nil"/>
              <w:bottom w:val="nil"/>
              <w:right w:val="nil"/>
            </w:tcBorders>
          </w:tcPr>
          <w:p w14:paraId="0B7A612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(-0.52)</w:t>
            </w:r>
          </w:p>
        </w:tc>
        <w:tc>
          <w:tcPr>
            <w:tcW w:w="1656" w:type="dxa"/>
            <w:tcBorders>
              <w:top w:val="nil"/>
              <w:left w:val="nil"/>
              <w:bottom w:val="nil"/>
              <w:right w:val="nil"/>
            </w:tcBorders>
          </w:tcPr>
          <w:p w14:paraId="70EE6E0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(-0.68)</w:t>
            </w:r>
          </w:p>
        </w:tc>
      </w:tr>
      <w:tr w:rsidR="00054D3B" w:rsidRPr="00DA590E" w14:paraId="31C3BBCF" w14:textId="77777777" w:rsidTr="00015B88">
        <w:tc>
          <w:tcPr>
            <w:tcW w:w="2136" w:type="dxa"/>
            <w:tcBorders>
              <w:top w:val="nil"/>
              <w:left w:val="nil"/>
              <w:bottom w:val="nil"/>
              <w:right w:val="nil"/>
            </w:tcBorders>
          </w:tcPr>
          <w:p w14:paraId="2ACECC3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7C5E3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36A1A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5007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501CC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6C59F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69989E22" w14:textId="77777777" w:rsidTr="00015B88">
        <w:tc>
          <w:tcPr>
            <w:tcW w:w="2136" w:type="dxa"/>
            <w:tcBorders>
              <w:top w:val="nil"/>
              <w:left w:val="nil"/>
              <w:bottom w:val="nil"/>
              <w:right w:val="nil"/>
            </w:tcBorders>
          </w:tcPr>
          <w:p w14:paraId="3D08C9B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L8.De Jure CBI (CNW Index)</w:t>
            </w:r>
          </w:p>
        </w:tc>
        <w:tc>
          <w:tcPr>
            <w:tcW w:w="1656" w:type="dxa"/>
            <w:tcBorders>
              <w:top w:val="nil"/>
              <w:left w:val="nil"/>
              <w:bottom w:val="nil"/>
              <w:right w:val="nil"/>
            </w:tcBorders>
          </w:tcPr>
          <w:p w14:paraId="152E6EC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-2.815</w:t>
            </w:r>
          </w:p>
        </w:tc>
        <w:tc>
          <w:tcPr>
            <w:tcW w:w="1656" w:type="dxa"/>
            <w:tcBorders>
              <w:top w:val="nil"/>
              <w:left w:val="nil"/>
              <w:bottom w:val="nil"/>
              <w:right w:val="nil"/>
            </w:tcBorders>
          </w:tcPr>
          <w:p w14:paraId="315DB71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-1.962</w:t>
            </w:r>
          </w:p>
        </w:tc>
        <w:tc>
          <w:tcPr>
            <w:tcW w:w="1656" w:type="dxa"/>
            <w:tcBorders>
              <w:top w:val="nil"/>
              <w:left w:val="nil"/>
              <w:bottom w:val="nil"/>
              <w:right w:val="nil"/>
            </w:tcBorders>
          </w:tcPr>
          <w:p w14:paraId="7344E60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-0.225</w:t>
            </w:r>
          </w:p>
        </w:tc>
        <w:tc>
          <w:tcPr>
            <w:tcW w:w="1656" w:type="dxa"/>
            <w:tcBorders>
              <w:top w:val="nil"/>
              <w:left w:val="nil"/>
              <w:bottom w:val="nil"/>
              <w:right w:val="nil"/>
            </w:tcBorders>
          </w:tcPr>
          <w:p w14:paraId="3539BF7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-0.299</w:t>
            </w:r>
          </w:p>
        </w:tc>
        <w:tc>
          <w:tcPr>
            <w:tcW w:w="1656" w:type="dxa"/>
            <w:tcBorders>
              <w:top w:val="nil"/>
              <w:left w:val="nil"/>
              <w:bottom w:val="nil"/>
              <w:right w:val="nil"/>
            </w:tcBorders>
          </w:tcPr>
          <w:p w14:paraId="0372E3C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0.263</w:t>
            </w:r>
          </w:p>
        </w:tc>
      </w:tr>
      <w:tr w:rsidR="00054D3B" w:rsidRPr="00DA590E" w14:paraId="56A792AF" w14:textId="77777777" w:rsidTr="00015B88">
        <w:tc>
          <w:tcPr>
            <w:tcW w:w="2136" w:type="dxa"/>
            <w:tcBorders>
              <w:top w:val="nil"/>
              <w:left w:val="nil"/>
              <w:bottom w:val="nil"/>
              <w:right w:val="nil"/>
            </w:tcBorders>
          </w:tcPr>
          <w:p w14:paraId="1EF7669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708A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(-1.86)</w:t>
            </w:r>
          </w:p>
        </w:tc>
        <w:tc>
          <w:tcPr>
            <w:tcW w:w="1656" w:type="dxa"/>
            <w:tcBorders>
              <w:top w:val="nil"/>
              <w:left w:val="nil"/>
              <w:bottom w:val="nil"/>
              <w:right w:val="nil"/>
            </w:tcBorders>
          </w:tcPr>
          <w:p w14:paraId="3883635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(-1.19)</w:t>
            </w:r>
          </w:p>
        </w:tc>
        <w:tc>
          <w:tcPr>
            <w:tcW w:w="1656" w:type="dxa"/>
            <w:tcBorders>
              <w:top w:val="nil"/>
              <w:left w:val="nil"/>
              <w:bottom w:val="nil"/>
              <w:right w:val="nil"/>
            </w:tcBorders>
          </w:tcPr>
          <w:p w14:paraId="2387637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(-0.19)</w:t>
            </w:r>
          </w:p>
        </w:tc>
        <w:tc>
          <w:tcPr>
            <w:tcW w:w="1656" w:type="dxa"/>
            <w:tcBorders>
              <w:top w:val="nil"/>
              <w:left w:val="nil"/>
              <w:bottom w:val="nil"/>
              <w:right w:val="nil"/>
            </w:tcBorders>
          </w:tcPr>
          <w:p w14:paraId="1C008C8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(-1.84)</w:t>
            </w:r>
          </w:p>
        </w:tc>
        <w:tc>
          <w:tcPr>
            <w:tcW w:w="1656" w:type="dxa"/>
            <w:tcBorders>
              <w:top w:val="nil"/>
              <w:left w:val="nil"/>
              <w:bottom w:val="nil"/>
              <w:right w:val="nil"/>
            </w:tcBorders>
          </w:tcPr>
          <w:p w14:paraId="5C1CC46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(1.14)</w:t>
            </w:r>
          </w:p>
        </w:tc>
      </w:tr>
      <w:tr w:rsidR="00054D3B" w:rsidRPr="00DA590E" w14:paraId="3DC52966" w14:textId="77777777" w:rsidTr="00015B88">
        <w:tc>
          <w:tcPr>
            <w:tcW w:w="2136" w:type="dxa"/>
            <w:tcBorders>
              <w:top w:val="nil"/>
              <w:left w:val="nil"/>
              <w:bottom w:val="nil"/>
              <w:right w:val="nil"/>
            </w:tcBorders>
          </w:tcPr>
          <w:p w14:paraId="75B339A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B7EC6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F5D7F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6A9B1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B6C1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F49F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4B463758" w14:textId="77777777" w:rsidTr="00015B88">
        <w:tc>
          <w:tcPr>
            <w:tcW w:w="2136" w:type="dxa"/>
            <w:tcBorders>
              <w:top w:val="nil"/>
              <w:left w:val="nil"/>
              <w:bottom w:val="nil"/>
              <w:right w:val="nil"/>
            </w:tcBorders>
          </w:tcPr>
          <w:p w14:paraId="4FD20F6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L9.De Jure CBI (CNW Index)</w:t>
            </w:r>
          </w:p>
        </w:tc>
        <w:tc>
          <w:tcPr>
            <w:tcW w:w="1656" w:type="dxa"/>
            <w:tcBorders>
              <w:top w:val="nil"/>
              <w:left w:val="nil"/>
              <w:bottom w:val="nil"/>
              <w:right w:val="nil"/>
            </w:tcBorders>
          </w:tcPr>
          <w:p w14:paraId="48A520E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-0.251</w:t>
            </w:r>
          </w:p>
        </w:tc>
        <w:tc>
          <w:tcPr>
            <w:tcW w:w="1656" w:type="dxa"/>
            <w:tcBorders>
              <w:top w:val="nil"/>
              <w:left w:val="nil"/>
              <w:bottom w:val="nil"/>
              <w:right w:val="nil"/>
            </w:tcBorders>
          </w:tcPr>
          <w:p w14:paraId="01ED2DB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1.092</w:t>
            </w:r>
          </w:p>
        </w:tc>
        <w:tc>
          <w:tcPr>
            <w:tcW w:w="1656" w:type="dxa"/>
            <w:tcBorders>
              <w:top w:val="nil"/>
              <w:left w:val="nil"/>
              <w:bottom w:val="nil"/>
              <w:right w:val="nil"/>
            </w:tcBorders>
          </w:tcPr>
          <w:p w14:paraId="03009F5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-1.189</w:t>
            </w:r>
          </w:p>
        </w:tc>
        <w:tc>
          <w:tcPr>
            <w:tcW w:w="1656" w:type="dxa"/>
            <w:tcBorders>
              <w:top w:val="nil"/>
              <w:left w:val="nil"/>
              <w:bottom w:val="nil"/>
              <w:right w:val="nil"/>
            </w:tcBorders>
          </w:tcPr>
          <w:p w14:paraId="49EE048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-0.0232</w:t>
            </w:r>
          </w:p>
        </w:tc>
        <w:tc>
          <w:tcPr>
            <w:tcW w:w="1656" w:type="dxa"/>
            <w:tcBorders>
              <w:top w:val="nil"/>
              <w:left w:val="nil"/>
              <w:bottom w:val="nil"/>
              <w:right w:val="nil"/>
            </w:tcBorders>
          </w:tcPr>
          <w:p w14:paraId="4B31A9A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0.266</w:t>
            </w:r>
          </w:p>
        </w:tc>
      </w:tr>
      <w:tr w:rsidR="00054D3B" w:rsidRPr="00DA590E" w14:paraId="5E94549A" w14:textId="77777777" w:rsidTr="00015B88">
        <w:tc>
          <w:tcPr>
            <w:tcW w:w="2136" w:type="dxa"/>
            <w:tcBorders>
              <w:top w:val="nil"/>
              <w:left w:val="nil"/>
              <w:bottom w:val="nil"/>
              <w:right w:val="nil"/>
            </w:tcBorders>
          </w:tcPr>
          <w:p w14:paraId="5FC6165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53EC9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(-0.23)</w:t>
            </w:r>
          </w:p>
        </w:tc>
        <w:tc>
          <w:tcPr>
            <w:tcW w:w="1656" w:type="dxa"/>
            <w:tcBorders>
              <w:top w:val="nil"/>
              <w:left w:val="nil"/>
              <w:bottom w:val="nil"/>
              <w:right w:val="nil"/>
            </w:tcBorders>
          </w:tcPr>
          <w:p w14:paraId="27A8F0D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(1.40)</w:t>
            </w:r>
          </w:p>
        </w:tc>
        <w:tc>
          <w:tcPr>
            <w:tcW w:w="1656" w:type="dxa"/>
            <w:tcBorders>
              <w:top w:val="nil"/>
              <w:left w:val="nil"/>
              <w:bottom w:val="nil"/>
              <w:right w:val="nil"/>
            </w:tcBorders>
          </w:tcPr>
          <w:p w14:paraId="172B5B1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(-1.08)</w:t>
            </w:r>
          </w:p>
        </w:tc>
        <w:tc>
          <w:tcPr>
            <w:tcW w:w="1656" w:type="dxa"/>
            <w:tcBorders>
              <w:top w:val="nil"/>
              <w:left w:val="nil"/>
              <w:bottom w:val="nil"/>
              <w:right w:val="nil"/>
            </w:tcBorders>
          </w:tcPr>
          <w:p w14:paraId="7552610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(-0.17)</w:t>
            </w:r>
          </w:p>
        </w:tc>
        <w:tc>
          <w:tcPr>
            <w:tcW w:w="1656" w:type="dxa"/>
            <w:tcBorders>
              <w:top w:val="nil"/>
              <w:left w:val="nil"/>
              <w:bottom w:val="nil"/>
              <w:right w:val="nil"/>
            </w:tcBorders>
          </w:tcPr>
          <w:p w14:paraId="746194B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(1.40)</w:t>
            </w:r>
          </w:p>
        </w:tc>
      </w:tr>
      <w:tr w:rsidR="00054D3B" w:rsidRPr="00DA590E" w14:paraId="456F4810" w14:textId="77777777" w:rsidTr="00015B88">
        <w:tc>
          <w:tcPr>
            <w:tcW w:w="2136" w:type="dxa"/>
            <w:tcBorders>
              <w:top w:val="nil"/>
              <w:left w:val="nil"/>
              <w:bottom w:val="nil"/>
              <w:right w:val="nil"/>
            </w:tcBorders>
          </w:tcPr>
          <w:p w14:paraId="7B7E837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65F2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FDE70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952C1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A71A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77366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4B833C8B" w14:textId="77777777" w:rsidTr="00015B88">
        <w:tc>
          <w:tcPr>
            <w:tcW w:w="2136" w:type="dxa"/>
            <w:tcBorders>
              <w:top w:val="nil"/>
              <w:left w:val="nil"/>
              <w:bottom w:val="nil"/>
              <w:right w:val="nil"/>
            </w:tcBorders>
          </w:tcPr>
          <w:p w14:paraId="592C798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L10.De Jure CBI (CNW Index)</w:t>
            </w:r>
          </w:p>
        </w:tc>
        <w:tc>
          <w:tcPr>
            <w:tcW w:w="1656" w:type="dxa"/>
            <w:tcBorders>
              <w:top w:val="nil"/>
              <w:left w:val="nil"/>
              <w:bottom w:val="nil"/>
              <w:right w:val="nil"/>
            </w:tcBorders>
          </w:tcPr>
          <w:p w14:paraId="1A40446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0.887</w:t>
            </w:r>
          </w:p>
        </w:tc>
        <w:tc>
          <w:tcPr>
            <w:tcW w:w="1656" w:type="dxa"/>
            <w:tcBorders>
              <w:top w:val="nil"/>
              <w:left w:val="nil"/>
              <w:bottom w:val="nil"/>
              <w:right w:val="nil"/>
            </w:tcBorders>
          </w:tcPr>
          <w:p w14:paraId="2E8E15D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-0.726</w:t>
            </w:r>
          </w:p>
        </w:tc>
        <w:tc>
          <w:tcPr>
            <w:tcW w:w="1656" w:type="dxa"/>
            <w:tcBorders>
              <w:top w:val="nil"/>
              <w:left w:val="nil"/>
              <w:bottom w:val="nil"/>
              <w:right w:val="nil"/>
            </w:tcBorders>
          </w:tcPr>
          <w:p w14:paraId="1BE99A5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0.859</w:t>
            </w:r>
          </w:p>
        </w:tc>
        <w:tc>
          <w:tcPr>
            <w:tcW w:w="1656" w:type="dxa"/>
            <w:tcBorders>
              <w:top w:val="nil"/>
              <w:left w:val="nil"/>
              <w:bottom w:val="nil"/>
              <w:right w:val="nil"/>
            </w:tcBorders>
          </w:tcPr>
          <w:p w14:paraId="6BD2303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0.0473</w:t>
            </w:r>
          </w:p>
        </w:tc>
        <w:tc>
          <w:tcPr>
            <w:tcW w:w="1656" w:type="dxa"/>
            <w:tcBorders>
              <w:top w:val="nil"/>
              <w:left w:val="nil"/>
              <w:bottom w:val="nil"/>
              <w:right w:val="nil"/>
            </w:tcBorders>
          </w:tcPr>
          <w:p w14:paraId="7991053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-0.0477</w:t>
            </w:r>
          </w:p>
        </w:tc>
      </w:tr>
      <w:tr w:rsidR="00054D3B" w:rsidRPr="00DA590E" w14:paraId="10267624" w14:textId="77777777" w:rsidTr="00015B88">
        <w:tc>
          <w:tcPr>
            <w:tcW w:w="2136" w:type="dxa"/>
            <w:tcBorders>
              <w:top w:val="nil"/>
              <w:left w:val="nil"/>
              <w:bottom w:val="nil"/>
              <w:right w:val="nil"/>
            </w:tcBorders>
          </w:tcPr>
          <w:p w14:paraId="04B687A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FAFE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(1.05)</w:t>
            </w:r>
          </w:p>
        </w:tc>
        <w:tc>
          <w:tcPr>
            <w:tcW w:w="1656" w:type="dxa"/>
            <w:tcBorders>
              <w:top w:val="nil"/>
              <w:left w:val="nil"/>
              <w:bottom w:val="nil"/>
              <w:right w:val="nil"/>
            </w:tcBorders>
          </w:tcPr>
          <w:p w14:paraId="628BB8E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(-0.94)</w:t>
            </w:r>
          </w:p>
        </w:tc>
        <w:tc>
          <w:tcPr>
            <w:tcW w:w="1656" w:type="dxa"/>
            <w:tcBorders>
              <w:top w:val="nil"/>
              <w:left w:val="nil"/>
              <w:bottom w:val="nil"/>
              <w:right w:val="nil"/>
            </w:tcBorders>
          </w:tcPr>
          <w:p w14:paraId="2542936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(0.85)</w:t>
            </w:r>
          </w:p>
        </w:tc>
        <w:tc>
          <w:tcPr>
            <w:tcW w:w="1656" w:type="dxa"/>
            <w:tcBorders>
              <w:top w:val="nil"/>
              <w:left w:val="nil"/>
              <w:bottom w:val="nil"/>
              <w:right w:val="nil"/>
            </w:tcBorders>
          </w:tcPr>
          <w:p w14:paraId="061C889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(0.22)</w:t>
            </w:r>
          </w:p>
        </w:tc>
        <w:tc>
          <w:tcPr>
            <w:tcW w:w="1656" w:type="dxa"/>
            <w:tcBorders>
              <w:top w:val="nil"/>
              <w:left w:val="nil"/>
              <w:bottom w:val="nil"/>
              <w:right w:val="nil"/>
            </w:tcBorders>
          </w:tcPr>
          <w:p w14:paraId="0FB0E3F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(-0.15)</w:t>
            </w:r>
          </w:p>
        </w:tc>
      </w:tr>
      <w:tr w:rsidR="00054D3B" w:rsidRPr="00DA590E" w14:paraId="75E332D2" w14:textId="77777777" w:rsidTr="00015B88">
        <w:tc>
          <w:tcPr>
            <w:tcW w:w="2136" w:type="dxa"/>
            <w:tcBorders>
              <w:top w:val="nil"/>
              <w:left w:val="nil"/>
              <w:bottom w:val="nil"/>
              <w:right w:val="nil"/>
            </w:tcBorders>
          </w:tcPr>
          <w:p w14:paraId="2E8EFCC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40C8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E14D4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5EFD3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48E5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50F9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7445F4C9" w14:textId="77777777" w:rsidTr="00015B88">
        <w:tc>
          <w:tcPr>
            <w:tcW w:w="2136" w:type="dxa"/>
            <w:tcBorders>
              <w:top w:val="nil"/>
              <w:left w:val="nil"/>
              <w:bottom w:val="nil"/>
              <w:right w:val="nil"/>
            </w:tcBorders>
          </w:tcPr>
          <w:p w14:paraId="282199E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DA590E">
              <w:rPr>
                <w:rFonts w:ascii="Times New Roman" w:hAnsi="Times New Roman" w:cs="Times New Roman"/>
                <w:sz w:val="16"/>
                <w:szCs w:val="16"/>
              </w:rPr>
              <w:t>L.Exchange</w:t>
            </w:r>
            <w:proofErr w:type="spellEnd"/>
            <w:r w:rsidRPr="00DA590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C18FC5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0.0111</w:t>
            </w:r>
          </w:p>
        </w:tc>
        <w:tc>
          <w:tcPr>
            <w:tcW w:w="1656" w:type="dxa"/>
            <w:tcBorders>
              <w:top w:val="nil"/>
              <w:left w:val="nil"/>
              <w:bottom w:val="nil"/>
              <w:right w:val="nil"/>
            </w:tcBorders>
          </w:tcPr>
          <w:p w14:paraId="5594966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0.0450</w:t>
            </w:r>
          </w:p>
        </w:tc>
        <w:tc>
          <w:tcPr>
            <w:tcW w:w="1656" w:type="dxa"/>
            <w:tcBorders>
              <w:top w:val="nil"/>
              <w:left w:val="nil"/>
              <w:bottom w:val="nil"/>
              <w:right w:val="nil"/>
            </w:tcBorders>
          </w:tcPr>
          <w:p w14:paraId="4059D0B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-0.0356</w:t>
            </w:r>
          </w:p>
        </w:tc>
        <w:tc>
          <w:tcPr>
            <w:tcW w:w="1656" w:type="dxa"/>
            <w:tcBorders>
              <w:top w:val="nil"/>
              <w:left w:val="nil"/>
              <w:bottom w:val="nil"/>
              <w:right w:val="nil"/>
            </w:tcBorders>
          </w:tcPr>
          <w:p w14:paraId="50A9EA2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0.00663</w:t>
            </w:r>
          </w:p>
        </w:tc>
        <w:tc>
          <w:tcPr>
            <w:tcW w:w="1656" w:type="dxa"/>
            <w:tcBorders>
              <w:top w:val="nil"/>
              <w:left w:val="nil"/>
              <w:bottom w:val="nil"/>
              <w:right w:val="nil"/>
            </w:tcBorders>
          </w:tcPr>
          <w:p w14:paraId="2187DD6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0.00688</w:t>
            </w:r>
          </w:p>
        </w:tc>
      </w:tr>
      <w:tr w:rsidR="00054D3B" w:rsidRPr="00DA590E" w14:paraId="68B30F9B" w14:textId="77777777" w:rsidTr="00015B88">
        <w:tc>
          <w:tcPr>
            <w:tcW w:w="2136" w:type="dxa"/>
            <w:tcBorders>
              <w:top w:val="nil"/>
              <w:left w:val="nil"/>
              <w:bottom w:val="nil"/>
              <w:right w:val="nil"/>
            </w:tcBorders>
          </w:tcPr>
          <w:p w14:paraId="3ACCB59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F0AF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(0.30)</w:t>
            </w:r>
          </w:p>
        </w:tc>
        <w:tc>
          <w:tcPr>
            <w:tcW w:w="1656" w:type="dxa"/>
            <w:tcBorders>
              <w:top w:val="nil"/>
              <w:left w:val="nil"/>
              <w:bottom w:val="nil"/>
              <w:right w:val="nil"/>
            </w:tcBorders>
          </w:tcPr>
          <w:p w14:paraId="0B35816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(1.53)</w:t>
            </w:r>
          </w:p>
        </w:tc>
        <w:tc>
          <w:tcPr>
            <w:tcW w:w="1656" w:type="dxa"/>
            <w:tcBorders>
              <w:top w:val="nil"/>
              <w:left w:val="nil"/>
              <w:bottom w:val="nil"/>
              <w:right w:val="nil"/>
            </w:tcBorders>
          </w:tcPr>
          <w:p w14:paraId="1EB1F8B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(-1.24)</w:t>
            </w:r>
          </w:p>
        </w:tc>
        <w:tc>
          <w:tcPr>
            <w:tcW w:w="1656" w:type="dxa"/>
            <w:tcBorders>
              <w:top w:val="nil"/>
              <w:left w:val="nil"/>
              <w:bottom w:val="nil"/>
              <w:right w:val="nil"/>
            </w:tcBorders>
          </w:tcPr>
          <w:p w14:paraId="2C9ED24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(0.59)</w:t>
            </w:r>
          </w:p>
        </w:tc>
        <w:tc>
          <w:tcPr>
            <w:tcW w:w="1656" w:type="dxa"/>
            <w:tcBorders>
              <w:top w:val="nil"/>
              <w:left w:val="nil"/>
              <w:bottom w:val="nil"/>
              <w:right w:val="nil"/>
            </w:tcBorders>
          </w:tcPr>
          <w:p w14:paraId="63F5D32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(1.41)</w:t>
            </w:r>
          </w:p>
        </w:tc>
      </w:tr>
      <w:tr w:rsidR="00054D3B" w:rsidRPr="00DA590E" w14:paraId="5C8E8E73" w14:textId="77777777" w:rsidTr="00015B88">
        <w:tc>
          <w:tcPr>
            <w:tcW w:w="2136" w:type="dxa"/>
            <w:tcBorders>
              <w:top w:val="nil"/>
              <w:left w:val="nil"/>
              <w:bottom w:val="nil"/>
              <w:right w:val="nil"/>
            </w:tcBorders>
          </w:tcPr>
          <w:p w14:paraId="386A983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5EF0F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5006C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20FDA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AF9EB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68FBB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017D829F" w14:textId="77777777" w:rsidTr="00015B88">
        <w:tc>
          <w:tcPr>
            <w:tcW w:w="2136" w:type="dxa"/>
            <w:tcBorders>
              <w:top w:val="nil"/>
              <w:left w:val="nil"/>
              <w:bottom w:val="nil"/>
              <w:right w:val="nil"/>
            </w:tcBorders>
          </w:tcPr>
          <w:p w14:paraId="63FBB73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4AB12A0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-0.0276</w:t>
            </w:r>
          </w:p>
        </w:tc>
        <w:tc>
          <w:tcPr>
            <w:tcW w:w="1656" w:type="dxa"/>
            <w:tcBorders>
              <w:top w:val="nil"/>
              <w:left w:val="nil"/>
              <w:bottom w:val="nil"/>
              <w:right w:val="nil"/>
            </w:tcBorders>
          </w:tcPr>
          <w:p w14:paraId="09A60EF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-0.0396</w:t>
            </w:r>
          </w:p>
        </w:tc>
        <w:tc>
          <w:tcPr>
            <w:tcW w:w="1656" w:type="dxa"/>
            <w:tcBorders>
              <w:top w:val="nil"/>
              <w:left w:val="nil"/>
              <w:bottom w:val="nil"/>
              <w:right w:val="nil"/>
            </w:tcBorders>
          </w:tcPr>
          <w:p w14:paraId="4299951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0.0396</w:t>
            </w:r>
          </w:p>
        </w:tc>
        <w:tc>
          <w:tcPr>
            <w:tcW w:w="1656" w:type="dxa"/>
            <w:tcBorders>
              <w:top w:val="nil"/>
              <w:left w:val="nil"/>
              <w:bottom w:val="nil"/>
              <w:right w:val="nil"/>
            </w:tcBorders>
          </w:tcPr>
          <w:p w14:paraId="18FA62E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0.0175</w:t>
            </w:r>
            <w:r w:rsidRPr="00DA590E">
              <w:rPr>
                <w:rFonts w:ascii="Times New Roman" w:hAnsi="Times New Roman" w:cs="Times New Roman"/>
                <w:sz w:val="16"/>
                <w:szCs w:val="16"/>
                <w:vertAlign w:val="superscript"/>
              </w:rPr>
              <w:t>*</w:t>
            </w:r>
          </w:p>
        </w:tc>
        <w:tc>
          <w:tcPr>
            <w:tcW w:w="1656" w:type="dxa"/>
            <w:tcBorders>
              <w:top w:val="nil"/>
              <w:left w:val="nil"/>
              <w:bottom w:val="nil"/>
              <w:right w:val="nil"/>
            </w:tcBorders>
          </w:tcPr>
          <w:p w14:paraId="58B060C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-0.00768</w:t>
            </w:r>
          </w:p>
        </w:tc>
      </w:tr>
      <w:tr w:rsidR="00054D3B" w:rsidRPr="00DA590E" w14:paraId="73D5186A" w14:textId="77777777" w:rsidTr="00015B88">
        <w:tc>
          <w:tcPr>
            <w:tcW w:w="2136" w:type="dxa"/>
            <w:tcBorders>
              <w:top w:val="nil"/>
              <w:left w:val="nil"/>
              <w:bottom w:val="nil"/>
              <w:right w:val="nil"/>
            </w:tcBorders>
          </w:tcPr>
          <w:p w14:paraId="4708B67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4C257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(-0.95)</w:t>
            </w:r>
          </w:p>
        </w:tc>
        <w:tc>
          <w:tcPr>
            <w:tcW w:w="1656" w:type="dxa"/>
            <w:tcBorders>
              <w:top w:val="nil"/>
              <w:left w:val="nil"/>
              <w:bottom w:val="nil"/>
              <w:right w:val="nil"/>
            </w:tcBorders>
          </w:tcPr>
          <w:p w14:paraId="6845C9F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(-1.91)</w:t>
            </w:r>
          </w:p>
        </w:tc>
        <w:tc>
          <w:tcPr>
            <w:tcW w:w="1656" w:type="dxa"/>
            <w:tcBorders>
              <w:top w:val="nil"/>
              <w:left w:val="nil"/>
              <w:bottom w:val="nil"/>
              <w:right w:val="nil"/>
            </w:tcBorders>
          </w:tcPr>
          <w:p w14:paraId="586258C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(1.44)</w:t>
            </w:r>
          </w:p>
        </w:tc>
        <w:tc>
          <w:tcPr>
            <w:tcW w:w="1656" w:type="dxa"/>
            <w:tcBorders>
              <w:top w:val="nil"/>
              <w:left w:val="nil"/>
              <w:bottom w:val="nil"/>
              <w:right w:val="nil"/>
            </w:tcBorders>
          </w:tcPr>
          <w:p w14:paraId="4FF5C0A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(2.31)</w:t>
            </w:r>
          </w:p>
        </w:tc>
        <w:tc>
          <w:tcPr>
            <w:tcW w:w="1656" w:type="dxa"/>
            <w:tcBorders>
              <w:top w:val="nil"/>
              <w:left w:val="nil"/>
              <w:bottom w:val="nil"/>
              <w:right w:val="nil"/>
            </w:tcBorders>
          </w:tcPr>
          <w:p w14:paraId="21EBF2F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(-1.46)</w:t>
            </w:r>
          </w:p>
        </w:tc>
      </w:tr>
      <w:tr w:rsidR="00054D3B" w:rsidRPr="00DA590E" w14:paraId="5672B551" w14:textId="77777777" w:rsidTr="00015B88">
        <w:tc>
          <w:tcPr>
            <w:tcW w:w="2136" w:type="dxa"/>
            <w:tcBorders>
              <w:top w:val="nil"/>
              <w:left w:val="nil"/>
              <w:bottom w:val="nil"/>
              <w:right w:val="nil"/>
            </w:tcBorders>
          </w:tcPr>
          <w:p w14:paraId="5116922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2589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3E1C1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C923E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743F6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1E38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125CEF6D" w14:textId="77777777" w:rsidTr="00015B88">
        <w:tc>
          <w:tcPr>
            <w:tcW w:w="2136" w:type="dxa"/>
            <w:tcBorders>
              <w:top w:val="nil"/>
              <w:left w:val="nil"/>
              <w:bottom w:val="nil"/>
              <w:right w:val="nil"/>
            </w:tcBorders>
          </w:tcPr>
          <w:p w14:paraId="09A2C74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44C2F8D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0.0273</w:t>
            </w:r>
          </w:p>
        </w:tc>
        <w:tc>
          <w:tcPr>
            <w:tcW w:w="1656" w:type="dxa"/>
            <w:tcBorders>
              <w:top w:val="nil"/>
              <w:left w:val="nil"/>
              <w:bottom w:val="nil"/>
              <w:right w:val="nil"/>
            </w:tcBorders>
          </w:tcPr>
          <w:p w14:paraId="06D1C72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0.00425</w:t>
            </w:r>
          </w:p>
        </w:tc>
        <w:tc>
          <w:tcPr>
            <w:tcW w:w="1656" w:type="dxa"/>
            <w:tcBorders>
              <w:top w:val="nil"/>
              <w:left w:val="nil"/>
              <w:bottom w:val="nil"/>
              <w:right w:val="nil"/>
            </w:tcBorders>
          </w:tcPr>
          <w:p w14:paraId="38D1AB4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-0.0372</w:t>
            </w:r>
          </w:p>
        </w:tc>
        <w:tc>
          <w:tcPr>
            <w:tcW w:w="1656" w:type="dxa"/>
            <w:tcBorders>
              <w:top w:val="nil"/>
              <w:left w:val="nil"/>
              <w:bottom w:val="nil"/>
              <w:right w:val="nil"/>
            </w:tcBorders>
          </w:tcPr>
          <w:p w14:paraId="5EA3F47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-0.0241</w:t>
            </w:r>
            <w:r w:rsidRPr="00DA590E">
              <w:rPr>
                <w:rFonts w:ascii="Times New Roman" w:hAnsi="Times New Roman" w:cs="Times New Roman"/>
                <w:sz w:val="16"/>
                <w:szCs w:val="16"/>
                <w:vertAlign w:val="superscript"/>
              </w:rPr>
              <w:t>*</w:t>
            </w:r>
          </w:p>
        </w:tc>
        <w:tc>
          <w:tcPr>
            <w:tcW w:w="1656" w:type="dxa"/>
            <w:tcBorders>
              <w:top w:val="nil"/>
              <w:left w:val="nil"/>
              <w:bottom w:val="nil"/>
              <w:right w:val="nil"/>
            </w:tcBorders>
          </w:tcPr>
          <w:p w14:paraId="52E766B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-0.00539</w:t>
            </w:r>
          </w:p>
        </w:tc>
      </w:tr>
      <w:tr w:rsidR="00054D3B" w:rsidRPr="00DA590E" w14:paraId="1548A4F6" w14:textId="77777777" w:rsidTr="00015B88">
        <w:tc>
          <w:tcPr>
            <w:tcW w:w="2136" w:type="dxa"/>
            <w:tcBorders>
              <w:top w:val="nil"/>
              <w:left w:val="nil"/>
              <w:bottom w:val="nil"/>
              <w:right w:val="nil"/>
            </w:tcBorders>
          </w:tcPr>
          <w:p w14:paraId="1259D3C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1D84E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(0.75)</w:t>
            </w:r>
          </w:p>
        </w:tc>
        <w:tc>
          <w:tcPr>
            <w:tcW w:w="1656" w:type="dxa"/>
            <w:tcBorders>
              <w:top w:val="nil"/>
              <w:left w:val="nil"/>
              <w:bottom w:val="nil"/>
              <w:right w:val="nil"/>
            </w:tcBorders>
          </w:tcPr>
          <w:p w14:paraId="568174E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(0.16)</w:t>
            </w:r>
          </w:p>
        </w:tc>
        <w:tc>
          <w:tcPr>
            <w:tcW w:w="1656" w:type="dxa"/>
            <w:tcBorders>
              <w:top w:val="nil"/>
              <w:left w:val="nil"/>
              <w:bottom w:val="nil"/>
              <w:right w:val="nil"/>
            </w:tcBorders>
          </w:tcPr>
          <w:p w14:paraId="3F6F997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(-1.00)</w:t>
            </w:r>
          </w:p>
        </w:tc>
        <w:tc>
          <w:tcPr>
            <w:tcW w:w="1656" w:type="dxa"/>
            <w:tcBorders>
              <w:top w:val="nil"/>
              <w:left w:val="nil"/>
              <w:bottom w:val="nil"/>
              <w:right w:val="nil"/>
            </w:tcBorders>
          </w:tcPr>
          <w:p w14:paraId="375F3D4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(-2.37)</w:t>
            </w:r>
          </w:p>
        </w:tc>
        <w:tc>
          <w:tcPr>
            <w:tcW w:w="1656" w:type="dxa"/>
            <w:tcBorders>
              <w:top w:val="nil"/>
              <w:left w:val="nil"/>
              <w:bottom w:val="nil"/>
              <w:right w:val="nil"/>
            </w:tcBorders>
          </w:tcPr>
          <w:p w14:paraId="5BBDA3F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(-0.62)</w:t>
            </w:r>
          </w:p>
        </w:tc>
      </w:tr>
      <w:tr w:rsidR="00054D3B" w:rsidRPr="00DA590E" w14:paraId="05347214" w14:textId="77777777" w:rsidTr="00015B88">
        <w:tc>
          <w:tcPr>
            <w:tcW w:w="2136" w:type="dxa"/>
            <w:tcBorders>
              <w:top w:val="nil"/>
              <w:left w:val="nil"/>
              <w:bottom w:val="nil"/>
              <w:right w:val="nil"/>
            </w:tcBorders>
          </w:tcPr>
          <w:p w14:paraId="1EED1D8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9190D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D692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68FFF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FD8E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0143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0FC121CC" w14:textId="77777777" w:rsidTr="00015B88">
        <w:tc>
          <w:tcPr>
            <w:tcW w:w="2136" w:type="dxa"/>
            <w:tcBorders>
              <w:top w:val="nil"/>
              <w:left w:val="nil"/>
              <w:bottom w:val="nil"/>
              <w:right w:val="nil"/>
            </w:tcBorders>
          </w:tcPr>
          <w:p w14:paraId="4809128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1F19884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0.0232</w:t>
            </w:r>
          </w:p>
        </w:tc>
        <w:tc>
          <w:tcPr>
            <w:tcW w:w="1656" w:type="dxa"/>
            <w:tcBorders>
              <w:top w:val="nil"/>
              <w:left w:val="nil"/>
              <w:bottom w:val="nil"/>
              <w:right w:val="nil"/>
            </w:tcBorders>
          </w:tcPr>
          <w:p w14:paraId="318E22E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0.0387</w:t>
            </w:r>
          </w:p>
        </w:tc>
        <w:tc>
          <w:tcPr>
            <w:tcW w:w="1656" w:type="dxa"/>
            <w:tcBorders>
              <w:top w:val="nil"/>
              <w:left w:val="nil"/>
              <w:bottom w:val="nil"/>
              <w:right w:val="nil"/>
            </w:tcBorders>
          </w:tcPr>
          <w:p w14:paraId="34DE9FB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0.00422</w:t>
            </w:r>
          </w:p>
        </w:tc>
        <w:tc>
          <w:tcPr>
            <w:tcW w:w="1656" w:type="dxa"/>
            <w:tcBorders>
              <w:top w:val="nil"/>
              <w:left w:val="nil"/>
              <w:bottom w:val="nil"/>
              <w:right w:val="nil"/>
            </w:tcBorders>
          </w:tcPr>
          <w:p w14:paraId="5BA2CDA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-0.000100</w:t>
            </w:r>
          </w:p>
        </w:tc>
        <w:tc>
          <w:tcPr>
            <w:tcW w:w="1656" w:type="dxa"/>
            <w:tcBorders>
              <w:top w:val="nil"/>
              <w:left w:val="nil"/>
              <w:bottom w:val="nil"/>
              <w:right w:val="nil"/>
            </w:tcBorders>
          </w:tcPr>
          <w:p w14:paraId="0FB78DA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-0.000102</w:t>
            </w:r>
          </w:p>
        </w:tc>
      </w:tr>
      <w:tr w:rsidR="00054D3B" w:rsidRPr="00DA590E" w14:paraId="4F3966DD" w14:textId="77777777" w:rsidTr="00015B88">
        <w:tc>
          <w:tcPr>
            <w:tcW w:w="2136" w:type="dxa"/>
            <w:tcBorders>
              <w:top w:val="nil"/>
              <w:left w:val="nil"/>
              <w:bottom w:val="nil"/>
              <w:right w:val="nil"/>
            </w:tcBorders>
          </w:tcPr>
          <w:p w14:paraId="7F3A4D7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A136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(0.61)</w:t>
            </w:r>
          </w:p>
        </w:tc>
        <w:tc>
          <w:tcPr>
            <w:tcW w:w="1656" w:type="dxa"/>
            <w:tcBorders>
              <w:top w:val="nil"/>
              <w:left w:val="nil"/>
              <w:bottom w:val="nil"/>
              <w:right w:val="nil"/>
            </w:tcBorders>
          </w:tcPr>
          <w:p w14:paraId="4F878CD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(1.11)</w:t>
            </w:r>
          </w:p>
        </w:tc>
        <w:tc>
          <w:tcPr>
            <w:tcW w:w="1656" w:type="dxa"/>
            <w:tcBorders>
              <w:top w:val="nil"/>
              <w:left w:val="nil"/>
              <w:bottom w:val="nil"/>
              <w:right w:val="nil"/>
            </w:tcBorders>
          </w:tcPr>
          <w:p w14:paraId="1E3405E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(0.15)</w:t>
            </w:r>
          </w:p>
        </w:tc>
        <w:tc>
          <w:tcPr>
            <w:tcW w:w="1656" w:type="dxa"/>
            <w:tcBorders>
              <w:top w:val="nil"/>
              <w:left w:val="nil"/>
              <w:bottom w:val="nil"/>
              <w:right w:val="nil"/>
            </w:tcBorders>
          </w:tcPr>
          <w:p w14:paraId="4CD24B6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w:t>
            </w:r>
          </w:p>
        </w:tc>
        <w:tc>
          <w:tcPr>
            <w:tcW w:w="1656" w:type="dxa"/>
            <w:tcBorders>
              <w:top w:val="nil"/>
              <w:left w:val="nil"/>
              <w:bottom w:val="nil"/>
              <w:right w:val="nil"/>
            </w:tcBorders>
          </w:tcPr>
          <w:p w14:paraId="3AA4616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(-0.02)</w:t>
            </w:r>
          </w:p>
        </w:tc>
      </w:tr>
      <w:tr w:rsidR="00054D3B" w:rsidRPr="00DA590E" w14:paraId="75BAD850" w14:textId="77777777" w:rsidTr="00015B88">
        <w:tc>
          <w:tcPr>
            <w:tcW w:w="2136" w:type="dxa"/>
            <w:tcBorders>
              <w:top w:val="nil"/>
              <w:left w:val="nil"/>
              <w:bottom w:val="nil"/>
              <w:right w:val="nil"/>
            </w:tcBorders>
          </w:tcPr>
          <w:p w14:paraId="682BF9D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1C608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AF25E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4EF90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B5162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0ADD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422810B6" w14:textId="77777777" w:rsidTr="00015B88">
        <w:tc>
          <w:tcPr>
            <w:tcW w:w="2136" w:type="dxa"/>
            <w:tcBorders>
              <w:top w:val="nil"/>
              <w:left w:val="nil"/>
              <w:bottom w:val="nil"/>
              <w:right w:val="nil"/>
            </w:tcBorders>
          </w:tcPr>
          <w:p w14:paraId="1C097DF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3331F47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-0.0131</w:t>
            </w:r>
          </w:p>
        </w:tc>
        <w:tc>
          <w:tcPr>
            <w:tcW w:w="1656" w:type="dxa"/>
            <w:tcBorders>
              <w:top w:val="nil"/>
              <w:left w:val="nil"/>
              <w:bottom w:val="nil"/>
              <w:right w:val="nil"/>
            </w:tcBorders>
          </w:tcPr>
          <w:p w14:paraId="1E7BAE7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-0.0359</w:t>
            </w:r>
          </w:p>
        </w:tc>
        <w:tc>
          <w:tcPr>
            <w:tcW w:w="1656" w:type="dxa"/>
            <w:tcBorders>
              <w:top w:val="nil"/>
              <w:left w:val="nil"/>
              <w:bottom w:val="nil"/>
              <w:right w:val="nil"/>
            </w:tcBorders>
          </w:tcPr>
          <w:p w14:paraId="09E0675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0.0653</w:t>
            </w:r>
          </w:p>
        </w:tc>
        <w:tc>
          <w:tcPr>
            <w:tcW w:w="1656" w:type="dxa"/>
            <w:tcBorders>
              <w:top w:val="nil"/>
              <w:left w:val="nil"/>
              <w:bottom w:val="nil"/>
              <w:right w:val="nil"/>
            </w:tcBorders>
          </w:tcPr>
          <w:p w14:paraId="00E94E3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-0.00203</w:t>
            </w:r>
          </w:p>
        </w:tc>
        <w:tc>
          <w:tcPr>
            <w:tcW w:w="1656" w:type="dxa"/>
            <w:tcBorders>
              <w:top w:val="nil"/>
              <w:left w:val="nil"/>
              <w:bottom w:val="nil"/>
              <w:right w:val="nil"/>
            </w:tcBorders>
          </w:tcPr>
          <w:p w14:paraId="116A9D7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0.0155</w:t>
            </w:r>
            <w:r w:rsidRPr="00DA590E">
              <w:rPr>
                <w:rFonts w:ascii="Times New Roman" w:hAnsi="Times New Roman" w:cs="Times New Roman"/>
                <w:sz w:val="16"/>
                <w:szCs w:val="16"/>
                <w:vertAlign w:val="superscript"/>
              </w:rPr>
              <w:t>**</w:t>
            </w:r>
          </w:p>
        </w:tc>
      </w:tr>
      <w:tr w:rsidR="00054D3B" w:rsidRPr="00DA590E" w14:paraId="429725F2" w14:textId="77777777" w:rsidTr="00015B88">
        <w:tc>
          <w:tcPr>
            <w:tcW w:w="2136" w:type="dxa"/>
            <w:tcBorders>
              <w:top w:val="nil"/>
              <w:left w:val="nil"/>
              <w:bottom w:val="nil"/>
              <w:right w:val="nil"/>
            </w:tcBorders>
          </w:tcPr>
          <w:p w14:paraId="1615EEB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73EDD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(-0.39)</w:t>
            </w:r>
          </w:p>
        </w:tc>
        <w:tc>
          <w:tcPr>
            <w:tcW w:w="1656" w:type="dxa"/>
            <w:tcBorders>
              <w:top w:val="nil"/>
              <w:left w:val="nil"/>
              <w:bottom w:val="nil"/>
              <w:right w:val="nil"/>
            </w:tcBorders>
          </w:tcPr>
          <w:p w14:paraId="147871F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(-1.13)</w:t>
            </w:r>
          </w:p>
        </w:tc>
        <w:tc>
          <w:tcPr>
            <w:tcW w:w="1656" w:type="dxa"/>
            <w:tcBorders>
              <w:top w:val="nil"/>
              <w:left w:val="nil"/>
              <w:bottom w:val="nil"/>
              <w:right w:val="nil"/>
            </w:tcBorders>
          </w:tcPr>
          <w:p w14:paraId="6BB95CF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(1.97)</w:t>
            </w:r>
          </w:p>
        </w:tc>
        <w:tc>
          <w:tcPr>
            <w:tcW w:w="1656" w:type="dxa"/>
            <w:tcBorders>
              <w:top w:val="nil"/>
              <w:left w:val="nil"/>
              <w:bottom w:val="nil"/>
              <w:right w:val="nil"/>
            </w:tcBorders>
          </w:tcPr>
          <w:p w14:paraId="41310F3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(-0.23)</w:t>
            </w:r>
          </w:p>
        </w:tc>
        <w:tc>
          <w:tcPr>
            <w:tcW w:w="1656" w:type="dxa"/>
            <w:tcBorders>
              <w:top w:val="nil"/>
              <w:left w:val="nil"/>
              <w:bottom w:val="nil"/>
              <w:right w:val="nil"/>
            </w:tcBorders>
          </w:tcPr>
          <w:p w14:paraId="122222A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(3.02)</w:t>
            </w:r>
          </w:p>
        </w:tc>
      </w:tr>
      <w:tr w:rsidR="00054D3B" w:rsidRPr="00DA590E" w14:paraId="227BC4C5" w14:textId="77777777" w:rsidTr="00015B88">
        <w:tc>
          <w:tcPr>
            <w:tcW w:w="2136" w:type="dxa"/>
            <w:tcBorders>
              <w:top w:val="nil"/>
              <w:left w:val="nil"/>
              <w:bottom w:val="nil"/>
              <w:right w:val="nil"/>
            </w:tcBorders>
          </w:tcPr>
          <w:p w14:paraId="3B979C3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51BC8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B993B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6531D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36EFA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95E4E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3486B890" w14:textId="77777777" w:rsidTr="00015B88">
        <w:tc>
          <w:tcPr>
            <w:tcW w:w="2136" w:type="dxa"/>
            <w:tcBorders>
              <w:top w:val="nil"/>
              <w:left w:val="nil"/>
              <w:bottom w:val="nil"/>
              <w:right w:val="nil"/>
            </w:tcBorders>
          </w:tcPr>
          <w:p w14:paraId="0138724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6D85479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-0.0427</w:t>
            </w:r>
          </w:p>
        </w:tc>
        <w:tc>
          <w:tcPr>
            <w:tcW w:w="1656" w:type="dxa"/>
            <w:tcBorders>
              <w:top w:val="nil"/>
              <w:left w:val="nil"/>
              <w:bottom w:val="nil"/>
              <w:right w:val="nil"/>
            </w:tcBorders>
          </w:tcPr>
          <w:p w14:paraId="2D193DD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-0.00235</w:t>
            </w:r>
          </w:p>
        </w:tc>
        <w:tc>
          <w:tcPr>
            <w:tcW w:w="1656" w:type="dxa"/>
            <w:tcBorders>
              <w:top w:val="nil"/>
              <w:left w:val="nil"/>
              <w:bottom w:val="nil"/>
              <w:right w:val="nil"/>
            </w:tcBorders>
          </w:tcPr>
          <w:p w14:paraId="3C66EEA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-0.0976</w:t>
            </w:r>
            <w:r w:rsidRPr="00DA590E">
              <w:rPr>
                <w:rFonts w:ascii="Times New Roman" w:hAnsi="Times New Roman" w:cs="Times New Roman"/>
                <w:sz w:val="16"/>
                <w:szCs w:val="16"/>
                <w:vertAlign w:val="superscript"/>
              </w:rPr>
              <w:t>**</w:t>
            </w:r>
          </w:p>
        </w:tc>
        <w:tc>
          <w:tcPr>
            <w:tcW w:w="1656" w:type="dxa"/>
            <w:tcBorders>
              <w:top w:val="nil"/>
              <w:left w:val="nil"/>
              <w:bottom w:val="nil"/>
              <w:right w:val="nil"/>
            </w:tcBorders>
          </w:tcPr>
          <w:p w14:paraId="53DD317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-0.000839</w:t>
            </w:r>
          </w:p>
        </w:tc>
        <w:tc>
          <w:tcPr>
            <w:tcW w:w="1656" w:type="dxa"/>
            <w:tcBorders>
              <w:top w:val="nil"/>
              <w:left w:val="nil"/>
              <w:bottom w:val="nil"/>
              <w:right w:val="nil"/>
            </w:tcBorders>
          </w:tcPr>
          <w:p w14:paraId="67BF64B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-0.00219</w:t>
            </w:r>
          </w:p>
        </w:tc>
      </w:tr>
      <w:tr w:rsidR="00054D3B" w:rsidRPr="00DA590E" w14:paraId="5D30EAD2" w14:textId="77777777" w:rsidTr="00015B88">
        <w:tc>
          <w:tcPr>
            <w:tcW w:w="2136" w:type="dxa"/>
            <w:tcBorders>
              <w:top w:val="nil"/>
              <w:left w:val="nil"/>
              <w:bottom w:val="nil"/>
              <w:right w:val="nil"/>
            </w:tcBorders>
          </w:tcPr>
          <w:p w14:paraId="2F63331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ACF8B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(-1.77)</w:t>
            </w:r>
          </w:p>
        </w:tc>
        <w:tc>
          <w:tcPr>
            <w:tcW w:w="1656" w:type="dxa"/>
            <w:tcBorders>
              <w:top w:val="nil"/>
              <w:left w:val="nil"/>
              <w:bottom w:val="nil"/>
              <w:right w:val="nil"/>
            </w:tcBorders>
          </w:tcPr>
          <w:p w14:paraId="05CD5C4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(-0.10)</w:t>
            </w:r>
          </w:p>
        </w:tc>
        <w:tc>
          <w:tcPr>
            <w:tcW w:w="1656" w:type="dxa"/>
            <w:tcBorders>
              <w:top w:val="nil"/>
              <w:left w:val="nil"/>
              <w:bottom w:val="nil"/>
              <w:right w:val="nil"/>
            </w:tcBorders>
          </w:tcPr>
          <w:p w14:paraId="32597ED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(-3.22)</w:t>
            </w:r>
          </w:p>
        </w:tc>
        <w:tc>
          <w:tcPr>
            <w:tcW w:w="1656" w:type="dxa"/>
            <w:tcBorders>
              <w:top w:val="nil"/>
              <w:left w:val="nil"/>
              <w:bottom w:val="nil"/>
              <w:right w:val="nil"/>
            </w:tcBorders>
          </w:tcPr>
          <w:p w14:paraId="2E6495D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(-0.11)</w:t>
            </w:r>
          </w:p>
        </w:tc>
        <w:tc>
          <w:tcPr>
            <w:tcW w:w="1656" w:type="dxa"/>
            <w:tcBorders>
              <w:top w:val="nil"/>
              <w:left w:val="nil"/>
              <w:bottom w:val="nil"/>
              <w:right w:val="nil"/>
            </w:tcBorders>
          </w:tcPr>
          <w:p w14:paraId="63D428D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(-0.38)</w:t>
            </w:r>
          </w:p>
        </w:tc>
      </w:tr>
      <w:tr w:rsidR="00054D3B" w:rsidRPr="00DA590E" w14:paraId="1BECDC6C" w14:textId="77777777" w:rsidTr="00015B88">
        <w:tc>
          <w:tcPr>
            <w:tcW w:w="2136" w:type="dxa"/>
            <w:tcBorders>
              <w:top w:val="nil"/>
              <w:left w:val="nil"/>
              <w:bottom w:val="nil"/>
              <w:right w:val="nil"/>
            </w:tcBorders>
          </w:tcPr>
          <w:p w14:paraId="38AD652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0DCA4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6DCF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7C64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E3D7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9473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48030DED" w14:textId="77777777" w:rsidTr="00015B88">
        <w:tc>
          <w:tcPr>
            <w:tcW w:w="2136" w:type="dxa"/>
            <w:tcBorders>
              <w:top w:val="nil"/>
              <w:left w:val="nil"/>
              <w:bottom w:val="nil"/>
              <w:right w:val="nil"/>
            </w:tcBorders>
          </w:tcPr>
          <w:p w14:paraId="68D0E8D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318220A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0.0656</w:t>
            </w:r>
            <w:r w:rsidRPr="00DA590E">
              <w:rPr>
                <w:rFonts w:ascii="Times New Roman" w:hAnsi="Times New Roman" w:cs="Times New Roman"/>
                <w:sz w:val="16"/>
                <w:szCs w:val="16"/>
                <w:vertAlign w:val="superscript"/>
              </w:rPr>
              <w:t>*</w:t>
            </w:r>
          </w:p>
        </w:tc>
        <w:tc>
          <w:tcPr>
            <w:tcW w:w="1656" w:type="dxa"/>
            <w:tcBorders>
              <w:top w:val="nil"/>
              <w:left w:val="nil"/>
              <w:bottom w:val="nil"/>
              <w:right w:val="nil"/>
            </w:tcBorders>
          </w:tcPr>
          <w:p w14:paraId="682B939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0.0255</w:t>
            </w:r>
          </w:p>
        </w:tc>
        <w:tc>
          <w:tcPr>
            <w:tcW w:w="1656" w:type="dxa"/>
            <w:tcBorders>
              <w:top w:val="nil"/>
              <w:left w:val="nil"/>
              <w:bottom w:val="nil"/>
              <w:right w:val="nil"/>
            </w:tcBorders>
          </w:tcPr>
          <w:p w14:paraId="6ACACBE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0.0579</w:t>
            </w:r>
          </w:p>
        </w:tc>
        <w:tc>
          <w:tcPr>
            <w:tcW w:w="1656" w:type="dxa"/>
            <w:tcBorders>
              <w:top w:val="nil"/>
              <w:left w:val="nil"/>
              <w:bottom w:val="nil"/>
              <w:right w:val="nil"/>
            </w:tcBorders>
          </w:tcPr>
          <w:p w14:paraId="00FDE71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-0.00112</w:t>
            </w:r>
          </w:p>
        </w:tc>
        <w:tc>
          <w:tcPr>
            <w:tcW w:w="1656" w:type="dxa"/>
            <w:tcBorders>
              <w:top w:val="nil"/>
              <w:left w:val="nil"/>
              <w:bottom w:val="nil"/>
              <w:right w:val="nil"/>
            </w:tcBorders>
          </w:tcPr>
          <w:p w14:paraId="279631D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-0.00171</w:t>
            </w:r>
          </w:p>
        </w:tc>
      </w:tr>
      <w:tr w:rsidR="00054D3B" w:rsidRPr="00DA590E" w14:paraId="28820535" w14:textId="77777777" w:rsidTr="00015B88">
        <w:tc>
          <w:tcPr>
            <w:tcW w:w="2136" w:type="dxa"/>
            <w:tcBorders>
              <w:top w:val="nil"/>
              <w:left w:val="nil"/>
              <w:bottom w:val="nil"/>
              <w:right w:val="nil"/>
            </w:tcBorders>
          </w:tcPr>
          <w:p w14:paraId="383A160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AD88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(2.06)</w:t>
            </w:r>
          </w:p>
        </w:tc>
        <w:tc>
          <w:tcPr>
            <w:tcW w:w="1656" w:type="dxa"/>
            <w:tcBorders>
              <w:top w:val="nil"/>
              <w:left w:val="nil"/>
              <w:bottom w:val="nil"/>
              <w:right w:val="nil"/>
            </w:tcBorders>
          </w:tcPr>
          <w:p w14:paraId="4901039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(1.01)</w:t>
            </w:r>
          </w:p>
        </w:tc>
        <w:tc>
          <w:tcPr>
            <w:tcW w:w="1656" w:type="dxa"/>
            <w:tcBorders>
              <w:top w:val="nil"/>
              <w:left w:val="nil"/>
              <w:bottom w:val="nil"/>
              <w:right w:val="nil"/>
            </w:tcBorders>
          </w:tcPr>
          <w:p w14:paraId="46F478B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(1.87)</w:t>
            </w:r>
          </w:p>
        </w:tc>
        <w:tc>
          <w:tcPr>
            <w:tcW w:w="1656" w:type="dxa"/>
            <w:tcBorders>
              <w:top w:val="nil"/>
              <w:left w:val="nil"/>
              <w:bottom w:val="nil"/>
              <w:right w:val="nil"/>
            </w:tcBorders>
          </w:tcPr>
          <w:p w14:paraId="2BC73CA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(-0.14)</w:t>
            </w:r>
          </w:p>
        </w:tc>
        <w:tc>
          <w:tcPr>
            <w:tcW w:w="1656" w:type="dxa"/>
            <w:tcBorders>
              <w:top w:val="nil"/>
              <w:left w:val="nil"/>
              <w:bottom w:val="nil"/>
              <w:right w:val="nil"/>
            </w:tcBorders>
          </w:tcPr>
          <w:p w14:paraId="156D988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(-0.36)</w:t>
            </w:r>
          </w:p>
        </w:tc>
      </w:tr>
      <w:tr w:rsidR="00054D3B" w:rsidRPr="00DA590E" w14:paraId="00E6E8C9" w14:textId="77777777" w:rsidTr="00015B88">
        <w:tc>
          <w:tcPr>
            <w:tcW w:w="2136" w:type="dxa"/>
            <w:tcBorders>
              <w:top w:val="nil"/>
              <w:left w:val="nil"/>
              <w:bottom w:val="nil"/>
              <w:right w:val="nil"/>
            </w:tcBorders>
          </w:tcPr>
          <w:p w14:paraId="1F0E8DA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C4F5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CFED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890F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CD081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BBA64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6DA85A3C" w14:textId="77777777" w:rsidTr="00015B88">
        <w:tc>
          <w:tcPr>
            <w:tcW w:w="2136" w:type="dxa"/>
            <w:tcBorders>
              <w:top w:val="nil"/>
              <w:left w:val="nil"/>
              <w:bottom w:val="nil"/>
              <w:right w:val="nil"/>
            </w:tcBorders>
          </w:tcPr>
          <w:p w14:paraId="357D053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lastRenderedPageBreak/>
              <w:t>L8.Exchange Rate Classification (RR inverted, higher = more fixed)</w:t>
            </w:r>
          </w:p>
        </w:tc>
        <w:tc>
          <w:tcPr>
            <w:tcW w:w="1656" w:type="dxa"/>
            <w:tcBorders>
              <w:top w:val="nil"/>
              <w:left w:val="nil"/>
              <w:bottom w:val="nil"/>
              <w:right w:val="nil"/>
            </w:tcBorders>
          </w:tcPr>
          <w:p w14:paraId="183DF08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-0.0371</w:t>
            </w:r>
          </w:p>
        </w:tc>
        <w:tc>
          <w:tcPr>
            <w:tcW w:w="1656" w:type="dxa"/>
            <w:tcBorders>
              <w:top w:val="nil"/>
              <w:left w:val="nil"/>
              <w:bottom w:val="nil"/>
              <w:right w:val="nil"/>
            </w:tcBorders>
          </w:tcPr>
          <w:p w14:paraId="1B41B01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0.00477</w:t>
            </w:r>
          </w:p>
        </w:tc>
        <w:tc>
          <w:tcPr>
            <w:tcW w:w="1656" w:type="dxa"/>
            <w:tcBorders>
              <w:top w:val="nil"/>
              <w:left w:val="nil"/>
              <w:bottom w:val="nil"/>
              <w:right w:val="nil"/>
            </w:tcBorders>
          </w:tcPr>
          <w:p w14:paraId="420DCAB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-0.0341</w:t>
            </w:r>
          </w:p>
        </w:tc>
        <w:tc>
          <w:tcPr>
            <w:tcW w:w="1656" w:type="dxa"/>
            <w:tcBorders>
              <w:top w:val="nil"/>
              <w:left w:val="nil"/>
              <w:bottom w:val="nil"/>
              <w:right w:val="nil"/>
            </w:tcBorders>
          </w:tcPr>
          <w:p w14:paraId="262665D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0.00355</w:t>
            </w:r>
          </w:p>
        </w:tc>
        <w:tc>
          <w:tcPr>
            <w:tcW w:w="1656" w:type="dxa"/>
            <w:tcBorders>
              <w:top w:val="nil"/>
              <w:left w:val="nil"/>
              <w:bottom w:val="nil"/>
              <w:right w:val="nil"/>
            </w:tcBorders>
          </w:tcPr>
          <w:p w14:paraId="2A1E762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0.000179</w:t>
            </w:r>
          </w:p>
        </w:tc>
      </w:tr>
      <w:tr w:rsidR="00054D3B" w:rsidRPr="00DA590E" w14:paraId="0E6AD54E" w14:textId="77777777" w:rsidTr="00015B88">
        <w:tc>
          <w:tcPr>
            <w:tcW w:w="2136" w:type="dxa"/>
            <w:tcBorders>
              <w:top w:val="nil"/>
              <w:left w:val="nil"/>
              <w:bottom w:val="nil"/>
              <w:right w:val="nil"/>
            </w:tcBorders>
          </w:tcPr>
          <w:p w14:paraId="6E9AB15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927F6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(-1.25)</w:t>
            </w:r>
          </w:p>
        </w:tc>
        <w:tc>
          <w:tcPr>
            <w:tcW w:w="1656" w:type="dxa"/>
            <w:tcBorders>
              <w:top w:val="nil"/>
              <w:left w:val="nil"/>
              <w:bottom w:val="nil"/>
              <w:right w:val="nil"/>
            </w:tcBorders>
          </w:tcPr>
          <w:p w14:paraId="722F0ED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(0.22)</w:t>
            </w:r>
          </w:p>
        </w:tc>
        <w:tc>
          <w:tcPr>
            <w:tcW w:w="1656" w:type="dxa"/>
            <w:tcBorders>
              <w:top w:val="nil"/>
              <w:left w:val="nil"/>
              <w:bottom w:val="nil"/>
              <w:right w:val="nil"/>
            </w:tcBorders>
          </w:tcPr>
          <w:p w14:paraId="1259990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(-1.08)</w:t>
            </w:r>
          </w:p>
        </w:tc>
        <w:tc>
          <w:tcPr>
            <w:tcW w:w="1656" w:type="dxa"/>
            <w:tcBorders>
              <w:top w:val="nil"/>
              <w:left w:val="nil"/>
              <w:bottom w:val="nil"/>
              <w:right w:val="nil"/>
            </w:tcBorders>
          </w:tcPr>
          <w:p w14:paraId="124FDD7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(0.48)</w:t>
            </w:r>
          </w:p>
        </w:tc>
        <w:tc>
          <w:tcPr>
            <w:tcW w:w="1656" w:type="dxa"/>
            <w:tcBorders>
              <w:top w:val="nil"/>
              <w:left w:val="nil"/>
              <w:bottom w:val="nil"/>
              <w:right w:val="nil"/>
            </w:tcBorders>
          </w:tcPr>
          <w:p w14:paraId="1CEEC0E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(0.04)</w:t>
            </w:r>
          </w:p>
        </w:tc>
      </w:tr>
      <w:tr w:rsidR="00054D3B" w:rsidRPr="00DA590E" w14:paraId="4D34459F" w14:textId="77777777" w:rsidTr="00015B88">
        <w:tc>
          <w:tcPr>
            <w:tcW w:w="2136" w:type="dxa"/>
            <w:tcBorders>
              <w:top w:val="nil"/>
              <w:left w:val="nil"/>
              <w:bottom w:val="nil"/>
              <w:right w:val="nil"/>
            </w:tcBorders>
          </w:tcPr>
          <w:p w14:paraId="3385C91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8009D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737F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A6F3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89A08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0DAB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052F2820" w14:textId="77777777" w:rsidTr="00015B88">
        <w:tc>
          <w:tcPr>
            <w:tcW w:w="2136" w:type="dxa"/>
            <w:tcBorders>
              <w:top w:val="nil"/>
              <w:left w:val="nil"/>
              <w:bottom w:val="nil"/>
              <w:right w:val="nil"/>
            </w:tcBorders>
          </w:tcPr>
          <w:p w14:paraId="695FD11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1BE5F72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0.0119</w:t>
            </w:r>
          </w:p>
        </w:tc>
        <w:tc>
          <w:tcPr>
            <w:tcW w:w="1656" w:type="dxa"/>
            <w:tcBorders>
              <w:top w:val="nil"/>
              <w:left w:val="nil"/>
              <w:bottom w:val="nil"/>
              <w:right w:val="nil"/>
            </w:tcBorders>
          </w:tcPr>
          <w:p w14:paraId="6046DCF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-0.0184</w:t>
            </w:r>
          </w:p>
        </w:tc>
        <w:tc>
          <w:tcPr>
            <w:tcW w:w="1656" w:type="dxa"/>
            <w:tcBorders>
              <w:top w:val="nil"/>
              <w:left w:val="nil"/>
              <w:bottom w:val="nil"/>
              <w:right w:val="nil"/>
            </w:tcBorders>
          </w:tcPr>
          <w:p w14:paraId="1998EFF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0.00602</w:t>
            </w:r>
          </w:p>
        </w:tc>
        <w:tc>
          <w:tcPr>
            <w:tcW w:w="1656" w:type="dxa"/>
            <w:tcBorders>
              <w:top w:val="nil"/>
              <w:left w:val="nil"/>
              <w:bottom w:val="nil"/>
              <w:right w:val="nil"/>
            </w:tcBorders>
          </w:tcPr>
          <w:p w14:paraId="1B3A9B9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-0.0117</w:t>
            </w:r>
          </w:p>
        </w:tc>
        <w:tc>
          <w:tcPr>
            <w:tcW w:w="1656" w:type="dxa"/>
            <w:tcBorders>
              <w:top w:val="nil"/>
              <w:left w:val="nil"/>
              <w:bottom w:val="nil"/>
              <w:right w:val="nil"/>
            </w:tcBorders>
          </w:tcPr>
          <w:p w14:paraId="326FC6E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0.00924</w:t>
            </w:r>
          </w:p>
        </w:tc>
      </w:tr>
      <w:tr w:rsidR="00054D3B" w:rsidRPr="00DA590E" w14:paraId="269F4E17" w14:textId="77777777" w:rsidTr="00015B88">
        <w:tc>
          <w:tcPr>
            <w:tcW w:w="2136" w:type="dxa"/>
            <w:tcBorders>
              <w:top w:val="nil"/>
              <w:left w:val="nil"/>
              <w:bottom w:val="nil"/>
              <w:right w:val="nil"/>
            </w:tcBorders>
          </w:tcPr>
          <w:p w14:paraId="7D2305A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DA49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(0.43)</w:t>
            </w:r>
          </w:p>
        </w:tc>
        <w:tc>
          <w:tcPr>
            <w:tcW w:w="1656" w:type="dxa"/>
            <w:tcBorders>
              <w:top w:val="nil"/>
              <w:left w:val="nil"/>
              <w:bottom w:val="nil"/>
              <w:right w:val="nil"/>
            </w:tcBorders>
          </w:tcPr>
          <w:p w14:paraId="11BF767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(-0.85)</w:t>
            </w:r>
          </w:p>
        </w:tc>
        <w:tc>
          <w:tcPr>
            <w:tcW w:w="1656" w:type="dxa"/>
            <w:tcBorders>
              <w:top w:val="nil"/>
              <w:left w:val="nil"/>
              <w:bottom w:val="nil"/>
              <w:right w:val="nil"/>
            </w:tcBorders>
          </w:tcPr>
          <w:p w14:paraId="792F9B1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(0.18)</w:t>
            </w:r>
          </w:p>
        </w:tc>
        <w:tc>
          <w:tcPr>
            <w:tcW w:w="1656" w:type="dxa"/>
            <w:tcBorders>
              <w:top w:val="nil"/>
              <w:left w:val="nil"/>
              <w:bottom w:val="nil"/>
              <w:right w:val="nil"/>
            </w:tcBorders>
          </w:tcPr>
          <w:p w14:paraId="325EFEC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(-1.82)</w:t>
            </w:r>
          </w:p>
        </w:tc>
        <w:tc>
          <w:tcPr>
            <w:tcW w:w="1656" w:type="dxa"/>
            <w:tcBorders>
              <w:top w:val="nil"/>
              <w:left w:val="nil"/>
              <w:bottom w:val="nil"/>
              <w:right w:val="nil"/>
            </w:tcBorders>
          </w:tcPr>
          <w:p w14:paraId="0161F92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(1.67)</w:t>
            </w:r>
          </w:p>
        </w:tc>
      </w:tr>
      <w:tr w:rsidR="00054D3B" w:rsidRPr="00DA590E" w14:paraId="53D92CA4" w14:textId="77777777" w:rsidTr="00015B88">
        <w:tc>
          <w:tcPr>
            <w:tcW w:w="2136" w:type="dxa"/>
            <w:tcBorders>
              <w:top w:val="nil"/>
              <w:left w:val="nil"/>
              <w:bottom w:val="nil"/>
              <w:right w:val="nil"/>
            </w:tcBorders>
          </w:tcPr>
          <w:p w14:paraId="48839FC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96397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27CFB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597E5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1CDE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54735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159534DF" w14:textId="77777777" w:rsidTr="00015B88">
        <w:tc>
          <w:tcPr>
            <w:tcW w:w="2136" w:type="dxa"/>
            <w:tcBorders>
              <w:top w:val="nil"/>
              <w:left w:val="nil"/>
              <w:bottom w:val="nil"/>
              <w:right w:val="nil"/>
            </w:tcBorders>
          </w:tcPr>
          <w:p w14:paraId="4D92623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03CF0BF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-0.0198</w:t>
            </w:r>
          </w:p>
        </w:tc>
        <w:tc>
          <w:tcPr>
            <w:tcW w:w="1656" w:type="dxa"/>
            <w:tcBorders>
              <w:top w:val="nil"/>
              <w:left w:val="nil"/>
              <w:bottom w:val="nil"/>
              <w:right w:val="nil"/>
            </w:tcBorders>
          </w:tcPr>
          <w:p w14:paraId="390A9B6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-0.0179</w:t>
            </w:r>
          </w:p>
        </w:tc>
        <w:tc>
          <w:tcPr>
            <w:tcW w:w="1656" w:type="dxa"/>
            <w:tcBorders>
              <w:top w:val="nil"/>
              <w:left w:val="nil"/>
              <w:bottom w:val="nil"/>
              <w:right w:val="nil"/>
            </w:tcBorders>
          </w:tcPr>
          <w:p w14:paraId="66F7CF3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0.00335</w:t>
            </w:r>
          </w:p>
        </w:tc>
        <w:tc>
          <w:tcPr>
            <w:tcW w:w="1656" w:type="dxa"/>
            <w:tcBorders>
              <w:top w:val="nil"/>
              <w:left w:val="nil"/>
              <w:bottom w:val="nil"/>
              <w:right w:val="nil"/>
            </w:tcBorders>
          </w:tcPr>
          <w:p w14:paraId="4BD5A8A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0.00952</w:t>
            </w:r>
          </w:p>
        </w:tc>
        <w:tc>
          <w:tcPr>
            <w:tcW w:w="1656" w:type="dxa"/>
            <w:tcBorders>
              <w:top w:val="nil"/>
              <w:left w:val="nil"/>
              <w:bottom w:val="nil"/>
              <w:right w:val="nil"/>
            </w:tcBorders>
          </w:tcPr>
          <w:p w14:paraId="5EB30A0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0.00139</w:t>
            </w:r>
          </w:p>
        </w:tc>
      </w:tr>
      <w:tr w:rsidR="00054D3B" w:rsidRPr="00DA590E" w14:paraId="3D70FA52" w14:textId="77777777" w:rsidTr="00015B88">
        <w:tc>
          <w:tcPr>
            <w:tcW w:w="2136" w:type="dxa"/>
            <w:tcBorders>
              <w:top w:val="nil"/>
              <w:left w:val="nil"/>
              <w:bottom w:val="nil"/>
              <w:right w:val="nil"/>
            </w:tcBorders>
          </w:tcPr>
          <w:p w14:paraId="1819FF9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6E2C2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(-0.83)</w:t>
            </w:r>
          </w:p>
        </w:tc>
        <w:tc>
          <w:tcPr>
            <w:tcW w:w="1656" w:type="dxa"/>
            <w:tcBorders>
              <w:top w:val="nil"/>
              <w:left w:val="nil"/>
              <w:bottom w:val="nil"/>
              <w:right w:val="nil"/>
            </w:tcBorders>
          </w:tcPr>
          <w:p w14:paraId="759FA84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(-0.87)</w:t>
            </w:r>
          </w:p>
        </w:tc>
        <w:tc>
          <w:tcPr>
            <w:tcW w:w="1656" w:type="dxa"/>
            <w:tcBorders>
              <w:top w:val="nil"/>
              <w:left w:val="nil"/>
              <w:bottom w:val="nil"/>
              <w:right w:val="nil"/>
            </w:tcBorders>
          </w:tcPr>
          <w:p w14:paraId="0907B82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(0.13)</w:t>
            </w:r>
          </w:p>
        </w:tc>
        <w:tc>
          <w:tcPr>
            <w:tcW w:w="1656" w:type="dxa"/>
            <w:tcBorders>
              <w:top w:val="nil"/>
              <w:left w:val="nil"/>
              <w:bottom w:val="nil"/>
              <w:right w:val="nil"/>
            </w:tcBorders>
          </w:tcPr>
          <w:p w14:paraId="082FD27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(1.40)</w:t>
            </w:r>
          </w:p>
        </w:tc>
        <w:tc>
          <w:tcPr>
            <w:tcW w:w="1656" w:type="dxa"/>
            <w:tcBorders>
              <w:top w:val="nil"/>
              <w:left w:val="nil"/>
              <w:bottom w:val="nil"/>
              <w:right w:val="nil"/>
            </w:tcBorders>
          </w:tcPr>
          <w:p w14:paraId="2DA8BD4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(0.20)</w:t>
            </w:r>
          </w:p>
        </w:tc>
      </w:tr>
      <w:tr w:rsidR="00054D3B" w:rsidRPr="00DA590E" w14:paraId="33CE02F9" w14:textId="77777777" w:rsidTr="00015B88">
        <w:tc>
          <w:tcPr>
            <w:tcW w:w="2136" w:type="dxa"/>
            <w:tcBorders>
              <w:top w:val="nil"/>
              <w:left w:val="nil"/>
              <w:bottom w:val="nil"/>
              <w:right w:val="nil"/>
            </w:tcBorders>
          </w:tcPr>
          <w:p w14:paraId="323FECD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EA24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54E01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25280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D2FF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A6030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56247565" w14:textId="77777777" w:rsidTr="00015B88">
        <w:tc>
          <w:tcPr>
            <w:tcW w:w="2136" w:type="dxa"/>
            <w:tcBorders>
              <w:top w:val="nil"/>
              <w:left w:val="nil"/>
              <w:bottom w:val="nil"/>
              <w:right w:val="nil"/>
            </w:tcBorders>
          </w:tcPr>
          <w:p w14:paraId="0154DA7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DA590E">
              <w:rPr>
                <w:rFonts w:ascii="Times New Roman" w:hAnsi="Times New Roman" w:cs="Times New Roman"/>
                <w:sz w:val="16"/>
                <w:szCs w:val="16"/>
              </w:rPr>
              <w:t>L.Chinn</w:t>
            </w:r>
            <w:proofErr w:type="spellEnd"/>
            <w:r w:rsidRPr="00DA590E">
              <w:rPr>
                <w:rFonts w:ascii="Times New Roman" w:hAnsi="Times New Roman" w:cs="Times New Roman"/>
                <w:sz w:val="16"/>
                <w:szCs w:val="16"/>
              </w:rPr>
              <w:t>-Ito index, normalized</w:t>
            </w:r>
          </w:p>
        </w:tc>
        <w:tc>
          <w:tcPr>
            <w:tcW w:w="1656" w:type="dxa"/>
            <w:tcBorders>
              <w:top w:val="nil"/>
              <w:left w:val="nil"/>
              <w:bottom w:val="nil"/>
              <w:right w:val="nil"/>
            </w:tcBorders>
          </w:tcPr>
          <w:p w14:paraId="2F4E7A3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0.0345</w:t>
            </w:r>
          </w:p>
        </w:tc>
        <w:tc>
          <w:tcPr>
            <w:tcW w:w="1656" w:type="dxa"/>
            <w:tcBorders>
              <w:top w:val="nil"/>
              <w:left w:val="nil"/>
              <w:bottom w:val="nil"/>
              <w:right w:val="nil"/>
            </w:tcBorders>
          </w:tcPr>
          <w:p w14:paraId="70B3B8D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0.180</w:t>
            </w:r>
          </w:p>
        </w:tc>
        <w:tc>
          <w:tcPr>
            <w:tcW w:w="1656" w:type="dxa"/>
            <w:tcBorders>
              <w:top w:val="nil"/>
              <w:left w:val="nil"/>
              <w:bottom w:val="nil"/>
              <w:right w:val="nil"/>
            </w:tcBorders>
          </w:tcPr>
          <w:p w14:paraId="39C8120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-1.803</w:t>
            </w:r>
          </w:p>
        </w:tc>
        <w:tc>
          <w:tcPr>
            <w:tcW w:w="1656" w:type="dxa"/>
            <w:tcBorders>
              <w:top w:val="nil"/>
              <w:left w:val="nil"/>
              <w:bottom w:val="nil"/>
              <w:right w:val="nil"/>
            </w:tcBorders>
          </w:tcPr>
          <w:p w14:paraId="4B684BA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0.181</w:t>
            </w:r>
          </w:p>
        </w:tc>
        <w:tc>
          <w:tcPr>
            <w:tcW w:w="1656" w:type="dxa"/>
            <w:tcBorders>
              <w:top w:val="nil"/>
              <w:left w:val="nil"/>
              <w:bottom w:val="nil"/>
              <w:right w:val="nil"/>
            </w:tcBorders>
          </w:tcPr>
          <w:p w14:paraId="7B2BB0A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0.138</w:t>
            </w:r>
          </w:p>
        </w:tc>
      </w:tr>
      <w:tr w:rsidR="00054D3B" w:rsidRPr="00DA590E" w14:paraId="3C7F7DD4" w14:textId="77777777" w:rsidTr="00015B88">
        <w:tc>
          <w:tcPr>
            <w:tcW w:w="2136" w:type="dxa"/>
            <w:tcBorders>
              <w:top w:val="nil"/>
              <w:left w:val="nil"/>
              <w:bottom w:val="nil"/>
              <w:right w:val="nil"/>
            </w:tcBorders>
          </w:tcPr>
          <w:p w14:paraId="4FB87A3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3621C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(0.04)</w:t>
            </w:r>
          </w:p>
        </w:tc>
        <w:tc>
          <w:tcPr>
            <w:tcW w:w="1656" w:type="dxa"/>
            <w:tcBorders>
              <w:top w:val="nil"/>
              <w:left w:val="nil"/>
              <w:bottom w:val="nil"/>
              <w:right w:val="nil"/>
            </w:tcBorders>
          </w:tcPr>
          <w:p w14:paraId="7EBA517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(0.25)</w:t>
            </w:r>
          </w:p>
        </w:tc>
        <w:tc>
          <w:tcPr>
            <w:tcW w:w="1656" w:type="dxa"/>
            <w:tcBorders>
              <w:top w:val="nil"/>
              <w:left w:val="nil"/>
              <w:bottom w:val="nil"/>
              <w:right w:val="nil"/>
            </w:tcBorders>
          </w:tcPr>
          <w:p w14:paraId="4CD4266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(-1.72)</w:t>
            </w:r>
          </w:p>
        </w:tc>
        <w:tc>
          <w:tcPr>
            <w:tcW w:w="1656" w:type="dxa"/>
            <w:tcBorders>
              <w:top w:val="nil"/>
              <w:left w:val="nil"/>
              <w:bottom w:val="nil"/>
              <w:right w:val="nil"/>
            </w:tcBorders>
          </w:tcPr>
          <w:p w14:paraId="01D25E7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(0.64)</w:t>
            </w:r>
          </w:p>
        </w:tc>
        <w:tc>
          <w:tcPr>
            <w:tcW w:w="1656" w:type="dxa"/>
            <w:tcBorders>
              <w:top w:val="nil"/>
              <w:left w:val="nil"/>
              <w:bottom w:val="nil"/>
              <w:right w:val="nil"/>
            </w:tcBorders>
          </w:tcPr>
          <w:p w14:paraId="7E7DD5C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(0.68)</w:t>
            </w:r>
          </w:p>
        </w:tc>
      </w:tr>
      <w:tr w:rsidR="00054D3B" w:rsidRPr="00DA590E" w14:paraId="12E84937" w14:textId="77777777" w:rsidTr="00015B88">
        <w:tc>
          <w:tcPr>
            <w:tcW w:w="2136" w:type="dxa"/>
            <w:tcBorders>
              <w:top w:val="nil"/>
              <w:left w:val="nil"/>
              <w:bottom w:val="nil"/>
              <w:right w:val="nil"/>
            </w:tcBorders>
          </w:tcPr>
          <w:p w14:paraId="020AF78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C68A6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B93AA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C45A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D9E75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D119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518F14F9" w14:textId="77777777" w:rsidTr="00015B88">
        <w:tc>
          <w:tcPr>
            <w:tcW w:w="2136" w:type="dxa"/>
            <w:tcBorders>
              <w:top w:val="nil"/>
              <w:left w:val="nil"/>
              <w:bottom w:val="nil"/>
              <w:right w:val="nil"/>
            </w:tcBorders>
          </w:tcPr>
          <w:p w14:paraId="744D6C6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L2.Chinn-Ito index, normalized</w:t>
            </w:r>
          </w:p>
        </w:tc>
        <w:tc>
          <w:tcPr>
            <w:tcW w:w="1656" w:type="dxa"/>
            <w:tcBorders>
              <w:top w:val="nil"/>
              <w:left w:val="nil"/>
              <w:bottom w:val="nil"/>
              <w:right w:val="nil"/>
            </w:tcBorders>
          </w:tcPr>
          <w:p w14:paraId="5945098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-0.589</w:t>
            </w:r>
          </w:p>
        </w:tc>
        <w:tc>
          <w:tcPr>
            <w:tcW w:w="1656" w:type="dxa"/>
            <w:tcBorders>
              <w:top w:val="nil"/>
              <w:left w:val="nil"/>
              <w:bottom w:val="nil"/>
              <w:right w:val="nil"/>
            </w:tcBorders>
          </w:tcPr>
          <w:p w14:paraId="488A826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0.183</w:t>
            </w:r>
          </w:p>
        </w:tc>
        <w:tc>
          <w:tcPr>
            <w:tcW w:w="1656" w:type="dxa"/>
            <w:tcBorders>
              <w:top w:val="nil"/>
              <w:left w:val="nil"/>
              <w:bottom w:val="nil"/>
              <w:right w:val="nil"/>
            </w:tcBorders>
          </w:tcPr>
          <w:p w14:paraId="04B8F8B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1.252</w:t>
            </w:r>
          </w:p>
        </w:tc>
        <w:tc>
          <w:tcPr>
            <w:tcW w:w="1656" w:type="dxa"/>
            <w:tcBorders>
              <w:top w:val="nil"/>
              <w:left w:val="nil"/>
              <w:bottom w:val="nil"/>
              <w:right w:val="nil"/>
            </w:tcBorders>
          </w:tcPr>
          <w:p w14:paraId="472A5BC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-0.401</w:t>
            </w:r>
          </w:p>
        </w:tc>
        <w:tc>
          <w:tcPr>
            <w:tcW w:w="1656" w:type="dxa"/>
            <w:tcBorders>
              <w:top w:val="nil"/>
              <w:left w:val="nil"/>
              <w:bottom w:val="nil"/>
              <w:right w:val="nil"/>
            </w:tcBorders>
          </w:tcPr>
          <w:p w14:paraId="3F0F85D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-0.201</w:t>
            </w:r>
          </w:p>
        </w:tc>
      </w:tr>
      <w:tr w:rsidR="00054D3B" w:rsidRPr="00DA590E" w14:paraId="6644C1EB" w14:textId="77777777" w:rsidTr="00015B88">
        <w:tc>
          <w:tcPr>
            <w:tcW w:w="2136" w:type="dxa"/>
            <w:tcBorders>
              <w:top w:val="nil"/>
              <w:left w:val="nil"/>
              <w:bottom w:val="nil"/>
              <w:right w:val="nil"/>
            </w:tcBorders>
          </w:tcPr>
          <w:p w14:paraId="79247C4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C1B31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(-0.51)</w:t>
            </w:r>
          </w:p>
        </w:tc>
        <w:tc>
          <w:tcPr>
            <w:tcW w:w="1656" w:type="dxa"/>
            <w:tcBorders>
              <w:top w:val="nil"/>
              <w:left w:val="nil"/>
              <w:bottom w:val="nil"/>
              <w:right w:val="nil"/>
            </w:tcBorders>
          </w:tcPr>
          <w:p w14:paraId="2D009C2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(0.18)</w:t>
            </w:r>
          </w:p>
        </w:tc>
        <w:tc>
          <w:tcPr>
            <w:tcW w:w="1656" w:type="dxa"/>
            <w:tcBorders>
              <w:top w:val="nil"/>
              <w:left w:val="nil"/>
              <w:bottom w:val="nil"/>
              <w:right w:val="nil"/>
            </w:tcBorders>
          </w:tcPr>
          <w:p w14:paraId="0B7438E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(1.10)</w:t>
            </w:r>
          </w:p>
        </w:tc>
        <w:tc>
          <w:tcPr>
            <w:tcW w:w="1656" w:type="dxa"/>
            <w:tcBorders>
              <w:top w:val="nil"/>
              <w:left w:val="nil"/>
              <w:bottom w:val="nil"/>
              <w:right w:val="nil"/>
            </w:tcBorders>
          </w:tcPr>
          <w:p w14:paraId="04B6AAA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(-1.60)</w:t>
            </w:r>
          </w:p>
        </w:tc>
        <w:tc>
          <w:tcPr>
            <w:tcW w:w="1656" w:type="dxa"/>
            <w:tcBorders>
              <w:top w:val="nil"/>
              <w:left w:val="nil"/>
              <w:bottom w:val="nil"/>
              <w:right w:val="nil"/>
            </w:tcBorders>
          </w:tcPr>
          <w:p w14:paraId="6EBD111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(-1.17)</w:t>
            </w:r>
          </w:p>
        </w:tc>
      </w:tr>
      <w:tr w:rsidR="00054D3B" w:rsidRPr="00DA590E" w14:paraId="145812C1" w14:textId="77777777" w:rsidTr="00015B88">
        <w:tc>
          <w:tcPr>
            <w:tcW w:w="2136" w:type="dxa"/>
            <w:tcBorders>
              <w:top w:val="nil"/>
              <w:left w:val="nil"/>
              <w:bottom w:val="nil"/>
              <w:right w:val="nil"/>
            </w:tcBorders>
          </w:tcPr>
          <w:p w14:paraId="76D0413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63BE7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DC38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1E62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7728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0C73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7B601E13" w14:textId="77777777" w:rsidTr="00015B88">
        <w:tc>
          <w:tcPr>
            <w:tcW w:w="2136" w:type="dxa"/>
            <w:tcBorders>
              <w:top w:val="nil"/>
              <w:left w:val="nil"/>
              <w:bottom w:val="nil"/>
              <w:right w:val="nil"/>
            </w:tcBorders>
          </w:tcPr>
          <w:p w14:paraId="11D4344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L3.Chinn-Ito index, normalized</w:t>
            </w:r>
          </w:p>
        </w:tc>
        <w:tc>
          <w:tcPr>
            <w:tcW w:w="1656" w:type="dxa"/>
            <w:tcBorders>
              <w:top w:val="nil"/>
              <w:left w:val="nil"/>
              <w:bottom w:val="nil"/>
              <w:right w:val="nil"/>
            </w:tcBorders>
          </w:tcPr>
          <w:p w14:paraId="14E7650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1.625</w:t>
            </w:r>
          </w:p>
        </w:tc>
        <w:tc>
          <w:tcPr>
            <w:tcW w:w="1656" w:type="dxa"/>
            <w:tcBorders>
              <w:top w:val="nil"/>
              <w:left w:val="nil"/>
              <w:bottom w:val="nil"/>
              <w:right w:val="nil"/>
            </w:tcBorders>
          </w:tcPr>
          <w:p w14:paraId="0C1BD5C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-1.042</w:t>
            </w:r>
          </w:p>
        </w:tc>
        <w:tc>
          <w:tcPr>
            <w:tcW w:w="1656" w:type="dxa"/>
            <w:tcBorders>
              <w:top w:val="nil"/>
              <w:left w:val="nil"/>
              <w:bottom w:val="nil"/>
              <w:right w:val="nil"/>
            </w:tcBorders>
          </w:tcPr>
          <w:p w14:paraId="22E5D08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-0.810</w:t>
            </w:r>
          </w:p>
        </w:tc>
        <w:tc>
          <w:tcPr>
            <w:tcW w:w="1656" w:type="dxa"/>
            <w:tcBorders>
              <w:top w:val="nil"/>
              <w:left w:val="nil"/>
              <w:bottom w:val="nil"/>
              <w:right w:val="nil"/>
            </w:tcBorders>
          </w:tcPr>
          <w:p w14:paraId="657E51B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0.116</w:t>
            </w:r>
          </w:p>
        </w:tc>
        <w:tc>
          <w:tcPr>
            <w:tcW w:w="1656" w:type="dxa"/>
            <w:tcBorders>
              <w:top w:val="nil"/>
              <w:left w:val="nil"/>
              <w:bottom w:val="nil"/>
              <w:right w:val="nil"/>
            </w:tcBorders>
          </w:tcPr>
          <w:p w14:paraId="3A12B96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-0.175</w:t>
            </w:r>
          </w:p>
        </w:tc>
      </w:tr>
      <w:tr w:rsidR="00054D3B" w:rsidRPr="00DA590E" w14:paraId="142EF324" w14:textId="77777777" w:rsidTr="00015B88">
        <w:tc>
          <w:tcPr>
            <w:tcW w:w="2136" w:type="dxa"/>
            <w:tcBorders>
              <w:top w:val="nil"/>
              <w:left w:val="nil"/>
              <w:bottom w:val="nil"/>
              <w:right w:val="nil"/>
            </w:tcBorders>
          </w:tcPr>
          <w:p w14:paraId="316EC7C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F3B18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(1.36)</w:t>
            </w:r>
          </w:p>
        </w:tc>
        <w:tc>
          <w:tcPr>
            <w:tcW w:w="1656" w:type="dxa"/>
            <w:tcBorders>
              <w:top w:val="nil"/>
              <w:left w:val="nil"/>
              <w:bottom w:val="nil"/>
              <w:right w:val="nil"/>
            </w:tcBorders>
          </w:tcPr>
          <w:p w14:paraId="7CEF634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(-1.02)</w:t>
            </w:r>
          </w:p>
        </w:tc>
        <w:tc>
          <w:tcPr>
            <w:tcW w:w="1656" w:type="dxa"/>
            <w:tcBorders>
              <w:top w:val="nil"/>
              <w:left w:val="nil"/>
              <w:bottom w:val="nil"/>
              <w:right w:val="nil"/>
            </w:tcBorders>
          </w:tcPr>
          <w:p w14:paraId="06BFD08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(-0.89)</w:t>
            </w:r>
          </w:p>
        </w:tc>
        <w:tc>
          <w:tcPr>
            <w:tcW w:w="1656" w:type="dxa"/>
            <w:tcBorders>
              <w:top w:val="nil"/>
              <w:left w:val="nil"/>
              <w:bottom w:val="nil"/>
              <w:right w:val="nil"/>
            </w:tcBorders>
          </w:tcPr>
          <w:p w14:paraId="07B02EC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(0.47)</w:t>
            </w:r>
          </w:p>
        </w:tc>
        <w:tc>
          <w:tcPr>
            <w:tcW w:w="1656" w:type="dxa"/>
            <w:tcBorders>
              <w:top w:val="nil"/>
              <w:left w:val="nil"/>
              <w:bottom w:val="nil"/>
              <w:right w:val="nil"/>
            </w:tcBorders>
          </w:tcPr>
          <w:p w14:paraId="0CFE55D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(-1.11)</w:t>
            </w:r>
          </w:p>
        </w:tc>
      </w:tr>
      <w:tr w:rsidR="00054D3B" w:rsidRPr="00DA590E" w14:paraId="0C645231" w14:textId="77777777" w:rsidTr="00015B88">
        <w:tc>
          <w:tcPr>
            <w:tcW w:w="2136" w:type="dxa"/>
            <w:tcBorders>
              <w:top w:val="nil"/>
              <w:left w:val="nil"/>
              <w:bottom w:val="nil"/>
              <w:right w:val="nil"/>
            </w:tcBorders>
          </w:tcPr>
          <w:p w14:paraId="6832791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5CD02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A761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80DEA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B143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2A65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737127D6" w14:textId="77777777" w:rsidTr="00015B88">
        <w:tc>
          <w:tcPr>
            <w:tcW w:w="2136" w:type="dxa"/>
            <w:tcBorders>
              <w:top w:val="nil"/>
              <w:left w:val="nil"/>
              <w:bottom w:val="nil"/>
              <w:right w:val="nil"/>
            </w:tcBorders>
          </w:tcPr>
          <w:p w14:paraId="7FB1DB9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L4.Chinn-Ito index, normalized</w:t>
            </w:r>
          </w:p>
        </w:tc>
        <w:tc>
          <w:tcPr>
            <w:tcW w:w="1656" w:type="dxa"/>
            <w:tcBorders>
              <w:top w:val="nil"/>
              <w:left w:val="nil"/>
              <w:bottom w:val="nil"/>
              <w:right w:val="nil"/>
            </w:tcBorders>
          </w:tcPr>
          <w:p w14:paraId="65414B9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-0.432</w:t>
            </w:r>
          </w:p>
        </w:tc>
        <w:tc>
          <w:tcPr>
            <w:tcW w:w="1656" w:type="dxa"/>
            <w:tcBorders>
              <w:top w:val="nil"/>
              <w:left w:val="nil"/>
              <w:bottom w:val="nil"/>
              <w:right w:val="nil"/>
            </w:tcBorders>
          </w:tcPr>
          <w:p w14:paraId="14FE2B9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0.677</w:t>
            </w:r>
          </w:p>
        </w:tc>
        <w:tc>
          <w:tcPr>
            <w:tcW w:w="1656" w:type="dxa"/>
            <w:tcBorders>
              <w:top w:val="nil"/>
              <w:left w:val="nil"/>
              <w:bottom w:val="nil"/>
              <w:right w:val="nil"/>
            </w:tcBorders>
          </w:tcPr>
          <w:p w14:paraId="75DAEEC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1.367</w:t>
            </w:r>
          </w:p>
        </w:tc>
        <w:tc>
          <w:tcPr>
            <w:tcW w:w="1656" w:type="dxa"/>
            <w:tcBorders>
              <w:top w:val="nil"/>
              <w:left w:val="nil"/>
              <w:bottom w:val="nil"/>
              <w:right w:val="nil"/>
            </w:tcBorders>
          </w:tcPr>
          <w:p w14:paraId="6B067D7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0.0457</w:t>
            </w:r>
          </w:p>
        </w:tc>
        <w:tc>
          <w:tcPr>
            <w:tcW w:w="1656" w:type="dxa"/>
            <w:tcBorders>
              <w:top w:val="nil"/>
              <w:left w:val="nil"/>
              <w:bottom w:val="nil"/>
              <w:right w:val="nil"/>
            </w:tcBorders>
          </w:tcPr>
          <w:p w14:paraId="7307205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-0.0866</w:t>
            </w:r>
          </w:p>
        </w:tc>
      </w:tr>
      <w:tr w:rsidR="00054D3B" w:rsidRPr="00DA590E" w14:paraId="158E281C" w14:textId="77777777" w:rsidTr="00015B88">
        <w:tc>
          <w:tcPr>
            <w:tcW w:w="2136" w:type="dxa"/>
            <w:tcBorders>
              <w:top w:val="nil"/>
              <w:left w:val="nil"/>
              <w:bottom w:val="nil"/>
              <w:right w:val="nil"/>
            </w:tcBorders>
          </w:tcPr>
          <w:p w14:paraId="5712226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BF4F7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(-0.38)</w:t>
            </w:r>
          </w:p>
        </w:tc>
        <w:tc>
          <w:tcPr>
            <w:tcW w:w="1656" w:type="dxa"/>
            <w:tcBorders>
              <w:top w:val="nil"/>
              <w:left w:val="nil"/>
              <w:bottom w:val="nil"/>
              <w:right w:val="nil"/>
            </w:tcBorders>
          </w:tcPr>
          <w:p w14:paraId="5F57837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(0.75)</w:t>
            </w:r>
          </w:p>
        </w:tc>
        <w:tc>
          <w:tcPr>
            <w:tcW w:w="1656" w:type="dxa"/>
            <w:tcBorders>
              <w:top w:val="nil"/>
              <w:left w:val="nil"/>
              <w:bottom w:val="nil"/>
              <w:right w:val="nil"/>
            </w:tcBorders>
          </w:tcPr>
          <w:p w14:paraId="3B5AFE7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(1.46)</w:t>
            </w:r>
          </w:p>
        </w:tc>
        <w:tc>
          <w:tcPr>
            <w:tcW w:w="1656" w:type="dxa"/>
            <w:tcBorders>
              <w:top w:val="nil"/>
              <w:left w:val="nil"/>
              <w:bottom w:val="nil"/>
              <w:right w:val="nil"/>
            </w:tcBorders>
          </w:tcPr>
          <w:p w14:paraId="2CDFEDD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(0.21)</w:t>
            </w:r>
          </w:p>
        </w:tc>
        <w:tc>
          <w:tcPr>
            <w:tcW w:w="1656" w:type="dxa"/>
            <w:tcBorders>
              <w:top w:val="nil"/>
              <w:left w:val="nil"/>
              <w:bottom w:val="nil"/>
              <w:right w:val="nil"/>
            </w:tcBorders>
          </w:tcPr>
          <w:p w14:paraId="25B46B8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(-0.56)</w:t>
            </w:r>
          </w:p>
        </w:tc>
      </w:tr>
      <w:tr w:rsidR="00054D3B" w:rsidRPr="00DA590E" w14:paraId="6D889C37" w14:textId="77777777" w:rsidTr="00015B88">
        <w:tc>
          <w:tcPr>
            <w:tcW w:w="2136" w:type="dxa"/>
            <w:tcBorders>
              <w:top w:val="nil"/>
              <w:left w:val="nil"/>
              <w:bottom w:val="nil"/>
              <w:right w:val="nil"/>
            </w:tcBorders>
          </w:tcPr>
          <w:p w14:paraId="09A57CA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AB311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7EC5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82B86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E8DF0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C0A50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2ED39616" w14:textId="77777777" w:rsidTr="00015B88">
        <w:tc>
          <w:tcPr>
            <w:tcW w:w="2136" w:type="dxa"/>
            <w:tcBorders>
              <w:top w:val="nil"/>
              <w:left w:val="nil"/>
              <w:bottom w:val="nil"/>
              <w:right w:val="nil"/>
            </w:tcBorders>
          </w:tcPr>
          <w:p w14:paraId="2CDDE88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L5.Chinn-Ito index, normalized</w:t>
            </w:r>
          </w:p>
        </w:tc>
        <w:tc>
          <w:tcPr>
            <w:tcW w:w="1656" w:type="dxa"/>
            <w:tcBorders>
              <w:top w:val="nil"/>
              <w:left w:val="nil"/>
              <w:bottom w:val="nil"/>
              <w:right w:val="nil"/>
            </w:tcBorders>
          </w:tcPr>
          <w:p w14:paraId="582EA1A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0.289</w:t>
            </w:r>
          </w:p>
        </w:tc>
        <w:tc>
          <w:tcPr>
            <w:tcW w:w="1656" w:type="dxa"/>
            <w:tcBorders>
              <w:top w:val="nil"/>
              <w:left w:val="nil"/>
              <w:bottom w:val="nil"/>
              <w:right w:val="nil"/>
            </w:tcBorders>
          </w:tcPr>
          <w:p w14:paraId="0FFCE50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-0.684</w:t>
            </w:r>
          </w:p>
        </w:tc>
        <w:tc>
          <w:tcPr>
            <w:tcW w:w="1656" w:type="dxa"/>
            <w:tcBorders>
              <w:top w:val="nil"/>
              <w:left w:val="nil"/>
              <w:bottom w:val="nil"/>
              <w:right w:val="nil"/>
            </w:tcBorders>
          </w:tcPr>
          <w:p w14:paraId="73EC0BF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-1.091</w:t>
            </w:r>
          </w:p>
        </w:tc>
        <w:tc>
          <w:tcPr>
            <w:tcW w:w="1656" w:type="dxa"/>
            <w:tcBorders>
              <w:top w:val="nil"/>
              <w:left w:val="nil"/>
              <w:bottom w:val="nil"/>
              <w:right w:val="nil"/>
            </w:tcBorders>
          </w:tcPr>
          <w:p w14:paraId="4193362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0.246</w:t>
            </w:r>
          </w:p>
        </w:tc>
        <w:tc>
          <w:tcPr>
            <w:tcW w:w="1656" w:type="dxa"/>
            <w:tcBorders>
              <w:top w:val="nil"/>
              <w:left w:val="nil"/>
              <w:bottom w:val="nil"/>
              <w:right w:val="nil"/>
            </w:tcBorders>
          </w:tcPr>
          <w:p w14:paraId="47915E1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-0.00700</w:t>
            </w:r>
          </w:p>
        </w:tc>
      </w:tr>
      <w:tr w:rsidR="00054D3B" w:rsidRPr="00DA590E" w14:paraId="7EDA87AC" w14:textId="77777777" w:rsidTr="00015B88">
        <w:tc>
          <w:tcPr>
            <w:tcW w:w="2136" w:type="dxa"/>
            <w:tcBorders>
              <w:top w:val="nil"/>
              <w:left w:val="nil"/>
              <w:bottom w:val="nil"/>
              <w:right w:val="nil"/>
            </w:tcBorders>
          </w:tcPr>
          <w:p w14:paraId="06319BE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641C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(0.25)</w:t>
            </w:r>
          </w:p>
        </w:tc>
        <w:tc>
          <w:tcPr>
            <w:tcW w:w="1656" w:type="dxa"/>
            <w:tcBorders>
              <w:top w:val="nil"/>
              <w:left w:val="nil"/>
              <w:bottom w:val="nil"/>
              <w:right w:val="nil"/>
            </w:tcBorders>
          </w:tcPr>
          <w:p w14:paraId="148597B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(-1.01)</w:t>
            </w:r>
          </w:p>
        </w:tc>
        <w:tc>
          <w:tcPr>
            <w:tcW w:w="1656" w:type="dxa"/>
            <w:tcBorders>
              <w:top w:val="nil"/>
              <w:left w:val="nil"/>
              <w:bottom w:val="nil"/>
              <w:right w:val="nil"/>
            </w:tcBorders>
          </w:tcPr>
          <w:p w14:paraId="6419A14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(-1.17)</w:t>
            </w:r>
          </w:p>
        </w:tc>
        <w:tc>
          <w:tcPr>
            <w:tcW w:w="1656" w:type="dxa"/>
            <w:tcBorders>
              <w:top w:val="nil"/>
              <w:left w:val="nil"/>
              <w:bottom w:val="nil"/>
              <w:right w:val="nil"/>
            </w:tcBorders>
          </w:tcPr>
          <w:p w14:paraId="464C957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(1.11)</w:t>
            </w:r>
          </w:p>
        </w:tc>
        <w:tc>
          <w:tcPr>
            <w:tcW w:w="1656" w:type="dxa"/>
            <w:tcBorders>
              <w:top w:val="nil"/>
              <w:left w:val="nil"/>
              <w:bottom w:val="nil"/>
              <w:right w:val="nil"/>
            </w:tcBorders>
          </w:tcPr>
          <w:p w14:paraId="030F591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(-0.04)</w:t>
            </w:r>
          </w:p>
        </w:tc>
      </w:tr>
      <w:tr w:rsidR="00054D3B" w:rsidRPr="00DA590E" w14:paraId="08EB26A0" w14:textId="77777777" w:rsidTr="00015B88">
        <w:tc>
          <w:tcPr>
            <w:tcW w:w="2136" w:type="dxa"/>
            <w:tcBorders>
              <w:top w:val="nil"/>
              <w:left w:val="nil"/>
              <w:bottom w:val="nil"/>
              <w:right w:val="nil"/>
            </w:tcBorders>
          </w:tcPr>
          <w:p w14:paraId="2093BF0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475E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FB797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F37E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F52F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DE5EE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0A96F8AA" w14:textId="77777777" w:rsidTr="00015B88">
        <w:tc>
          <w:tcPr>
            <w:tcW w:w="2136" w:type="dxa"/>
            <w:tcBorders>
              <w:top w:val="nil"/>
              <w:left w:val="nil"/>
              <w:bottom w:val="nil"/>
              <w:right w:val="nil"/>
            </w:tcBorders>
          </w:tcPr>
          <w:p w14:paraId="40357AC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L6.Chinn-Ito index, normalized</w:t>
            </w:r>
          </w:p>
        </w:tc>
        <w:tc>
          <w:tcPr>
            <w:tcW w:w="1656" w:type="dxa"/>
            <w:tcBorders>
              <w:top w:val="nil"/>
              <w:left w:val="nil"/>
              <w:bottom w:val="nil"/>
              <w:right w:val="nil"/>
            </w:tcBorders>
          </w:tcPr>
          <w:p w14:paraId="5EB3F60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-0.710</w:t>
            </w:r>
          </w:p>
        </w:tc>
        <w:tc>
          <w:tcPr>
            <w:tcW w:w="1656" w:type="dxa"/>
            <w:tcBorders>
              <w:top w:val="nil"/>
              <w:left w:val="nil"/>
              <w:bottom w:val="nil"/>
              <w:right w:val="nil"/>
            </w:tcBorders>
          </w:tcPr>
          <w:p w14:paraId="38F2BDF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1.184</w:t>
            </w:r>
          </w:p>
        </w:tc>
        <w:tc>
          <w:tcPr>
            <w:tcW w:w="1656" w:type="dxa"/>
            <w:tcBorders>
              <w:top w:val="nil"/>
              <w:left w:val="nil"/>
              <w:bottom w:val="nil"/>
              <w:right w:val="nil"/>
            </w:tcBorders>
          </w:tcPr>
          <w:p w14:paraId="536F836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-0.353</w:t>
            </w:r>
          </w:p>
        </w:tc>
        <w:tc>
          <w:tcPr>
            <w:tcW w:w="1656" w:type="dxa"/>
            <w:tcBorders>
              <w:top w:val="nil"/>
              <w:left w:val="nil"/>
              <w:bottom w:val="nil"/>
              <w:right w:val="nil"/>
            </w:tcBorders>
          </w:tcPr>
          <w:p w14:paraId="780FEC5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-0.0831</w:t>
            </w:r>
          </w:p>
        </w:tc>
        <w:tc>
          <w:tcPr>
            <w:tcW w:w="1656" w:type="dxa"/>
            <w:tcBorders>
              <w:top w:val="nil"/>
              <w:left w:val="nil"/>
              <w:bottom w:val="nil"/>
              <w:right w:val="nil"/>
            </w:tcBorders>
          </w:tcPr>
          <w:p w14:paraId="15EB9A9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0.178</w:t>
            </w:r>
          </w:p>
        </w:tc>
      </w:tr>
      <w:tr w:rsidR="00054D3B" w:rsidRPr="00DA590E" w14:paraId="3533D271" w14:textId="77777777" w:rsidTr="00015B88">
        <w:tc>
          <w:tcPr>
            <w:tcW w:w="2136" w:type="dxa"/>
            <w:tcBorders>
              <w:top w:val="nil"/>
              <w:left w:val="nil"/>
              <w:bottom w:val="nil"/>
              <w:right w:val="nil"/>
            </w:tcBorders>
          </w:tcPr>
          <w:p w14:paraId="5CCE48C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C9FA6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(-0.66)</w:t>
            </w:r>
          </w:p>
        </w:tc>
        <w:tc>
          <w:tcPr>
            <w:tcW w:w="1656" w:type="dxa"/>
            <w:tcBorders>
              <w:top w:val="nil"/>
              <w:left w:val="nil"/>
              <w:bottom w:val="nil"/>
              <w:right w:val="nil"/>
            </w:tcBorders>
          </w:tcPr>
          <w:p w14:paraId="0F97A5D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(1.63)</w:t>
            </w:r>
          </w:p>
        </w:tc>
        <w:tc>
          <w:tcPr>
            <w:tcW w:w="1656" w:type="dxa"/>
            <w:tcBorders>
              <w:top w:val="nil"/>
              <w:left w:val="nil"/>
              <w:bottom w:val="nil"/>
              <w:right w:val="nil"/>
            </w:tcBorders>
          </w:tcPr>
          <w:p w14:paraId="47C22F4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(-0.34)</w:t>
            </w:r>
          </w:p>
        </w:tc>
        <w:tc>
          <w:tcPr>
            <w:tcW w:w="1656" w:type="dxa"/>
            <w:tcBorders>
              <w:top w:val="nil"/>
              <w:left w:val="nil"/>
              <w:bottom w:val="nil"/>
              <w:right w:val="nil"/>
            </w:tcBorders>
          </w:tcPr>
          <w:p w14:paraId="7F9D830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(-0.39)</w:t>
            </w:r>
          </w:p>
        </w:tc>
        <w:tc>
          <w:tcPr>
            <w:tcW w:w="1656" w:type="dxa"/>
            <w:tcBorders>
              <w:top w:val="nil"/>
              <w:left w:val="nil"/>
              <w:bottom w:val="nil"/>
              <w:right w:val="nil"/>
            </w:tcBorders>
          </w:tcPr>
          <w:p w14:paraId="58B8662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(0.99)</w:t>
            </w:r>
          </w:p>
        </w:tc>
      </w:tr>
      <w:tr w:rsidR="00054D3B" w:rsidRPr="00DA590E" w14:paraId="237FB6A8" w14:textId="77777777" w:rsidTr="00015B88">
        <w:tc>
          <w:tcPr>
            <w:tcW w:w="2136" w:type="dxa"/>
            <w:tcBorders>
              <w:top w:val="nil"/>
              <w:left w:val="nil"/>
              <w:bottom w:val="nil"/>
              <w:right w:val="nil"/>
            </w:tcBorders>
          </w:tcPr>
          <w:p w14:paraId="201CFE9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F898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2C9D8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A3D31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E679D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D0E7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3B541667" w14:textId="77777777" w:rsidTr="00015B88">
        <w:tc>
          <w:tcPr>
            <w:tcW w:w="2136" w:type="dxa"/>
            <w:tcBorders>
              <w:top w:val="nil"/>
              <w:left w:val="nil"/>
              <w:bottom w:val="nil"/>
              <w:right w:val="nil"/>
            </w:tcBorders>
          </w:tcPr>
          <w:p w14:paraId="758F07F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L7.Chinn-Ito index, normalized</w:t>
            </w:r>
          </w:p>
        </w:tc>
        <w:tc>
          <w:tcPr>
            <w:tcW w:w="1656" w:type="dxa"/>
            <w:tcBorders>
              <w:top w:val="nil"/>
              <w:left w:val="nil"/>
              <w:bottom w:val="nil"/>
              <w:right w:val="nil"/>
            </w:tcBorders>
          </w:tcPr>
          <w:p w14:paraId="0B30C29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0.192</w:t>
            </w:r>
          </w:p>
        </w:tc>
        <w:tc>
          <w:tcPr>
            <w:tcW w:w="1656" w:type="dxa"/>
            <w:tcBorders>
              <w:top w:val="nil"/>
              <w:left w:val="nil"/>
              <w:bottom w:val="nil"/>
              <w:right w:val="nil"/>
            </w:tcBorders>
          </w:tcPr>
          <w:p w14:paraId="68A6792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0.0294</w:t>
            </w:r>
          </w:p>
        </w:tc>
        <w:tc>
          <w:tcPr>
            <w:tcW w:w="1656" w:type="dxa"/>
            <w:tcBorders>
              <w:top w:val="nil"/>
              <w:left w:val="nil"/>
              <w:bottom w:val="nil"/>
              <w:right w:val="nil"/>
            </w:tcBorders>
          </w:tcPr>
          <w:p w14:paraId="55833DB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1.052</w:t>
            </w:r>
          </w:p>
        </w:tc>
        <w:tc>
          <w:tcPr>
            <w:tcW w:w="1656" w:type="dxa"/>
            <w:tcBorders>
              <w:top w:val="nil"/>
              <w:left w:val="nil"/>
              <w:bottom w:val="nil"/>
              <w:right w:val="nil"/>
            </w:tcBorders>
          </w:tcPr>
          <w:p w14:paraId="26E2655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0.0667</w:t>
            </w:r>
          </w:p>
        </w:tc>
        <w:tc>
          <w:tcPr>
            <w:tcW w:w="1656" w:type="dxa"/>
            <w:tcBorders>
              <w:top w:val="nil"/>
              <w:left w:val="nil"/>
              <w:bottom w:val="nil"/>
              <w:right w:val="nil"/>
            </w:tcBorders>
          </w:tcPr>
          <w:p w14:paraId="5655F99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0.0415</w:t>
            </w:r>
          </w:p>
        </w:tc>
      </w:tr>
      <w:tr w:rsidR="00054D3B" w:rsidRPr="00DA590E" w14:paraId="7B4CE001" w14:textId="77777777" w:rsidTr="00015B88">
        <w:tc>
          <w:tcPr>
            <w:tcW w:w="2136" w:type="dxa"/>
            <w:tcBorders>
              <w:top w:val="nil"/>
              <w:left w:val="nil"/>
              <w:bottom w:val="nil"/>
              <w:right w:val="nil"/>
            </w:tcBorders>
          </w:tcPr>
          <w:p w14:paraId="23EC486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19EB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(0.21)</w:t>
            </w:r>
          </w:p>
        </w:tc>
        <w:tc>
          <w:tcPr>
            <w:tcW w:w="1656" w:type="dxa"/>
            <w:tcBorders>
              <w:top w:val="nil"/>
              <w:left w:val="nil"/>
              <w:bottom w:val="nil"/>
              <w:right w:val="nil"/>
            </w:tcBorders>
          </w:tcPr>
          <w:p w14:paraId="65526E0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(0.03)</w:t>
            </w:r>
          </w:p>
        </w:tc>
        <w:tc>
          <w:tcPr>
            <w:tcW w:w="1656" w:type="dxa"/>
            <w:tcBorders>
              <w:top w:val="nil"/>
              <w:left w:val="nil"/>
              <w:bottom w:val="nil"/>
              <w:right w:val="nil"/>
            </w:tcBorders>
          </w:tcPr>
          <w:p w14:paraId="2654E2E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(1.03)</w:t>
            </w:r>
          </w:p>
        </w:tc>
        <w:tc>
          <w:tcPr>
            <w:tcW w:w="1656" w:type="dxa"/>
            <w:tcBorders>
              <w:top w:val="nil"/>
              <w:left w:val="nil"/>
              <w:bottom w:val="nil"/>
              <w:right w:val="nil"/>
            </w:tcBorders>
          </w:tcPr>
          <w:p w14:paraId="2192A81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(0.32)</w:t>
            </w:r>
          </w:p>
        </w:tc>
        <w:tc>
          <w:tcPr>
            <w:tcW w:w="1656" w:type="dxa"/>
            <w:tcBorders>
              <w:top w:val="nil"/>
              <w:left w:val="nil"/>
              <w:bottom w:val="nil"/>
              <w:right w:val="nil"/>
            </w:tcBorders>
          </w:tcPr>
          <w:p w14:paraId="124850B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(0.24)</w:t>
            </w:r>
          </w:p>
        </w:tc>
      </w:tr>
      <w:tr w:rsidR="00054D3B" w:rsidRPr="00DA590E" w14:paraId="6EA23D75" w14:textId="77777777" w:rsidTr="00015B88">
        <w:tc>
          <w:tcPr>
            <w:tcW w:w="2136" w:type="dxa"/>
            <w:tcBorders>
              <w:top w:val="nil"/>
              <w:left w:val="nil"/>
              <w:bottom w:val="nil"/>
              <w:right w:val="nil"/>
            </w:tcBorders>
          </w:tcPr>
          <w:p w14:paraId="4F3A85A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26BBF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062AE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A8CBE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A2B9D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C0B9B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094B07CE" w14:textId="77777777" w:rsidTr="00015B88">
        <w:tc>
          <w:tcPr>
            <w:tcW w:w="2136" w:type="dxa"/>
            <w:tcBorders>
              <w:top w:val="nil"/>
              <w:left w:val="nil"/>
              <w:bottom w:val="nil"/>
              <w:right w:val="nil"/>
            </w:tcBorders>
          </w:tcPr>
          <w:p w14:paraId="611C9B6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L8.Chinn-Ito index, normalized</w:t>
            </w:r>
          </w:p>
        </w:tc>
        <w:tc>
          <w:tcPr>
            <w:tcW w:w="1656" w:type="dxa"/>
            <w:tcBorders>
              <w:top w:val="nil"/>
              <w:left w:val="nil"/>
              <w:bottom w:val="nil"/>
              <w:right w:val="nil"/>
            </w:tcBorders>
          </w:tcPr>
          <w:p w14:paraId="2181A50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0.0108</w:t>
            </w:r>
          </w:p>
        </w:tc>
        <w:tc>
          <w:tcPr>
            <w:tcW w:w="1656" w:type="dxa"/>
            <w:tcBorders>
              <w:top w:val="nil"/>
              <w:left w:val="nil"/>
              <w:bottom w:val="nil"/>
              <w:right w:val="nil"/>
            </w:tcBorders>
          </w:tcPr>
          <w:p w14:paraId="05A5517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-0.642</w:t>
            </w:r>
          </w:p>
        </w:tc>
        <w:tc>
          <w:tcPr>
            <w:tcW w:w="1656" w:type="dxa"/>
            <w:tcBorders>
              <w:top w:val="nil"/>
              <w:left w:val="nil"/>
              <w:bottom w:val="nil"/>
              <w:right w:val="nil"/>
            </w:tcBorders>
          </w:tcPr>
          <w:p w14:paraId="3232299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-1.252</w:t>
            </w:r>
          </w:p>
        </w:tc>
        <w:tc>
          <w:tcPr>
            <w:tcW w:w="1656" w:type="dxa"/>
            <w:tcBorders>
              <w:top w:val="nil"/>
              <w:left w:val="nil"/>
              <w:bottom w:val="nil"/>
              <w:right w:val="nil"/>
            </w:tcBorders>
          </w:tcPr>
          <w:p w14:paraId="4972D2B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-0.314</w:t>
            </w:r>
          </w:p>
        </w:tc>
        <w:tc>
          <w:tcPr>
            <w:tcW w:w="1656" w:type="dxa"/>
            <w:tcBorders>
              <w:top w:val="nil"/>
              <w:left w:val="nil"/>
              <w:bottom w:val="nil"/>
              <w:right w:val="nil"/>
            </w:tcBorders>
          </w:tcPr>
          <w:p w14:paraId="550A5AD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0.164</w:t>
            </w:r>
          </w:p>
        </w:tc>
      </w:tr>
      <w:tr w:rsidR="00054D3B" w:rsidRPr="00DA590E" w14:paraId="7ADDCC57" w14:textId="77777777" w:rsidTr="00015B88">
        <w:tc>
          <w:tcPr>
            <w:tcW w:w="2136" w:type="dxa"/>
            <w:tcBorders>
              <w:top w:val="nil"/>
              <w:left w:val="nil"/>
              <w:bottom w:val="nil"/>
              <w:right w:val="nil"/>
            </w:tcBorders>
          </w:tcPr>
          <w:p w14:paraId="1E77115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E06C6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w:t>
            </w:r>
          </w:p>
        </w:tc>
        <w:tc>
          <w:tcPr>
            <w:tcW w:w="1656" w:type="dxa"/>
            <w:tcBorders>
              <w:top w:val="nil"/>
              <w:left w:val="nil"/>
              <w:bottom w:val="nil"/>
              <w:right w:val="nil"/>
            </w:tcBorders>
          </w:tcPr>
          <w:p w14:paraId="34AC722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(-0.72)</w:t>
            </w:r>
          </w:p>
        </w:tc>
        <w:tc>
          <w:tcPr>
            <w:tcW w:w="1656" w:type="dxa"/>
            <w:tcBorders>
              <w:top w:val="nil"/>
              <w:left w:val="nil"/>
              <w:bottom w:val="nil"/>
              <w:right w:val="nil"/>
            </w:tcBorders>
          </w:tcPr>
          <w:p w14:paraId="56A52DB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(-1.41)</w:t>
            </w:r>
          </w:p>
        </w:tc>
        <w:tc>
          <w:tcPr>
            <w:tcW w:w="1656" w:type="dxa"/>
            <w:tcBorders>
              <w:top w:val="nil"/>
              <w:left w:val="nil"/>
              <w:bottom w:val="nil"/>
              <w:right w:val="nil"/>
            </w:tcBorders>
          </w:tcPr>
          <w:p w14:paraId="19D7D1F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(-1.70)</w:t>
            </w:r>
          </w:p>
        </w:tc>
        <w:tc>
          <w:tcPr>
            <w:tcW w:w="1656" w:type="dxa"/>
            <w:tcBorders>
              <w:top w:val="nil"/>
              <w:left w:val="nil"/>
              <w:bottom w:val="nil"/>
              <w:right w:val="nil"/>
            </w:tcBorders>
          </w:tcPr>
          <w:p w14:paraId="079F070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(0.75)</w:t>
            </w:r>
          </w:p>
        </w:tc>
      </w:tr>
      <w:tr w:rsidR="00054D3B" w:rsidRPr="00DA590E" w14:paraId="09B42AFD" w14:textId="77777777" w:rsidTr="00015B88">
        <w:tc>
          <w:tcPr>
            <w:tcW w:w="2136" w:type="dxa"/>
            <w:tcBorders>
              <w:top w:val="nil"/>
              <w:left w:val="nil"/>
              <w:bottom w:val="nil"/>
              <w:right w:val="nil"/>
            </w:tcBorders>
          </w:tcPr>
          <w:p w14:paraId="29F5314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0141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BF58A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99FA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2F2D3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6D63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18542CA8" w14:textId="77777777" w:rsidTr="00015B88">
        <w:tc>
          <w:tcPr>
            <w:tcW w:w="2136" w:type="dxa"/>
            <w:tcBorders>
              <w:top w:val="nil"/>
              <w:left w:val="nil"/>
              <w:bottom w:val="nil"/>
              <w:right w:val="nil"/>
            </w:tcBorders>
          </w:tcPr>
          <w:p w14:paraId="5FE1E8D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L9.Chinn-Ito index, normalized</w:t>
            </w:r>
          </w:p>
        </w:tc>
        <w:tc>
          <w:tcPr>
            <w:tcW w:w="1656" w:type="dxa"/>
            <w:tcBorders>
              <w:top w:val="nil"/>
              <w:left w:val="nil"/>
              <w:bottom w:val="nil"/>
              <w:right w:val="nil"/>
            </w:tcBorders>
          </w:tcPr>
          <w:p w14:paraId="78ADDA5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-0.485</w:t>
            </w:r>
          </w:p>
        </w:tc>
        <w:tc>
          <w:tcPr>
            <w:tcW w:w="1656" w:type="dxa"/>
            <w:tcBorders>
              <w:top w:val="nil"/>
              <w:left w:val="nil"/>
              <w:bottom w:val="nil"/>
              <w:right w:val="nil"/>
            </w:tcBorders>
          </w:tcPr>
          <w:p w14:paraId="409E26D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0.293</w:t>
            </w:r>
          </w:p>
        </w:tc>
        <w:tc>
          <w:tcPr>
            <w:tcW w:w="1656" w:type="dxa"/>
            <w:tcBorders>
              <w:top w:val="nil"/>
              <w:left w:val="nil"/>
              <w:bottom w:val="nil"/>
              <w:right w:val="nil"/>
            </w:tcBorders>
          </w:tcPr>
          <w:p w14:paraId="0E446A2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0.751</w:t>
            </w:r>
          </w:p>
        </w:tc>
        <w:tc>
          <w:tcPr>
            <w:tcW w:w="1656" w:type="dxa"/>
            <w:tcBorders>
              <w:top w:val="nil"/>
              <w:left w:val="nil"/>
              <w:bottom w:val="nil"/>
              <w:right w:val="nil"/>
            </w:tcBorders>
          </w:tcPr>
          <w:p w14:paraId="71A963E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-0.0574</w:t>
            </w:r>
          </w:p>
        </w:tc>
        <w:tc>
          <w:tcPr>
            <w:tcW w:w="1656" w:type="dxa"/>
            <w:tcBorders>
              <w:top w:val="nil"/>
              <w:left w:val="nil"/>
              <w:bottom w:val="nil"/>
              <w:right w:val="nil"/>
            </w:tcBorders>
          </w:tcPr>
          <w:p w14:paraId="0A69CFC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0.171</w:t>
            </w:r>
          </w:p>
        </w:tc>
      </w:tr>
      <w:tr w:rsidR="00054D3B" w:rsidRPr="00DA590E" w14:paraId="0414A584" w14:textId="77777777" w:rsidTr="00015B88">
        <w:tc>
          <w:tcPr>
            <w:tcW w:w="2136" w:type="dxa"/>
            <w:tcBorders>
              <w:top w:val="nil"/>
              <w:left w:val="nil"/>
              <w:bottom w:val="nil"/>
              <w:right w:val="nil"/>
            </w:tcBorders>
          </w:tcPr>
          <w:p w14:paraId="7041E11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64910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(-0.57)</w:t>
            </w:r>
          </w:p>
        </w:tc>
        <w:tc>
          <w:tcPr>
            <w:tcW w:w="1656" w:type="dxa"/>
            <w:tcBorders>
              <w:top w:val="nil"/>
              <w:left w:val="nil"/>
              <w:bottom w:val="nil"/>
              <w:right w:val="nil"/>
            </w:tcBorders>
          </w:tcPr>
          <w:p w14:paraId="6F1BE45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(0.47)</w:t>
            </w:r>
          </w:p>
        </w:tc>
        <w:tc>
          <w:tcPr>
            <w:tcW w:w="1656" w:type="dxa"/>
            <w:tcBorders>
              <w:top w:val="nil"/>
              <w:left w:val="nil"/>
              <w:bottom w:val="nil"/>
              <w:right w:val="nil"/>
            </w:tcBorders>
          </w:tcPr>
          <w:p w14:paraId="1C14166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(0.91)</w:t>
            </w:r>
          </w:p>
        </w:tc>
        <w:tc>
          <w:tcPr>
            <w:tcW w:w="1656" w:type="dxa"/>
            <w:tcBorders>
              <w:top w:val="nil"/>
              <w:left w:val="nil"/>
              <w:bottom w:val="nil"/>
              <w:right w:val="nil"/>
            </w:tcBorders>
          </w:tcPr>
          <w:p w14:paraId="49AB5E6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(-0.32)</w:t>
            </w:r>
          </w:p>
        </w:tc>
        <w:tc>
          <w:tcPr>
            <w:tcW w:w="1656" w:type="dxa"/>
            <w:tcBorders>
              <w:top w:val="nil"/>
              <w:left w:val="nil"/>
              <w:bottom w:val="nil"/>
              <w:right w:val="nil"/>
            </w:tcBorders>
          </w:tcPr>
          <w:p w14:paraId="4E50929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(1.21)</w:t>
            </w:r>
          </w:p>
        </w:tc>
      </w:tr>
      <w:tr w:rsidR="00054D3B" w:rsidRPr="00DA590E" w14:paraId="4C63DA67" w14:textId="77777777" w:rsidTr="00015B88">
        <w:tc>
          <w:tcPr>
            <w:tcW w:w="2136" w:type="dxa"/>
            <w:tcBorders>
              <w:top w:val="nil"/>
              <w:left w:val="nil"/>
              <w:bottom w:val="nil"/>
              <w:right w:val="nil"/>
            </w:tcBorders>
          </w:tcPr>
          <w:p w14:paraId="271E79B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F52B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861BE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E8BDA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BFFED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9F614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79B2A1D4" w14:textId="77777777" w:rsidTr="00015B88">
        <w:tc>
          <w:tcPr>
            <w:tcW w:w="2136" w:type="dxa"/>
            <w:tcBorders>
              <w:top w:val="nil"/>
              <w:left w:val="nil"/>
              <w:bottom w:val="nil"/>
              <w:right w:val="nil"/>
            </w:tcBorders>
          </w:tcPr>
          <w:p w14:paraId="2DBE73B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L10.Chinn-Ito index, normalized</w:t>
            </w:r>
          </w:p>
        </w:tc>
        <w:tc>
          <w:tcPr>
            <w:tcW w:w="1656" w:type="dxa"/>
            <w:tcBorders>
              <w:top w:val="nil"/>
              <w:left w:val="nil"/>
              <w:bottom w:val="nil"/>
              <w:right w:val="nil"/>
            </w:tcBorders>
          </w:tcPr>
          <w:p w14:paraId="7E6911B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-0.0797</w:t>
            </w:r>
          </w:p>
        </w:tc>
        <w:tc>
          <w:tcPr>
            <w:tcW w:w="1656" w:type="dxa"/>
            <w:tcBorders>
              <w:top w:val="nil"/>
              <w:left w:val="nil"/>
              <w:bottom w:val="nil"/>
              <w:right w:val="nil"/>
            </w:tcBorders>
          </w:tcPr>
          <w:p w14:paraId="1FD946B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-0.691</w:t>
            </w:r>
          </w:p>
        </w:tc>
        <w:tc>
          <w:tcPr>
            <w:tcW w:w="1656" w:type="dxa"/>
            <w:tcBorders>
              <w:top w:val="nil"/>
              <w:left w:val="nil"/>
              <w:bottom w:val="nil"/>
              <w:right w:val="nil"/>
            </w:tcBorders>
          </w:tcPr>
          <w:p w14:paraId="6D7B8F6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0.0774</w:t>
            </w:r>
          </w:p>
        </w:tc>
        <w:tc>
          <w:tcPr>
            <w:tcW w:w="1656" w:type="dxa"/>
            <w:tcBorders>
              <w:top w:val="nil"/>
              <w:left w:val="nil"/>
              <w:bottom w:val="nil"/>
              <w:right w:val="nil"/>
            </w:tcBorders>
          </w:tcPr>
          <w:p w14:paraId="3839855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0.236</w:t>
            </w:r>
          </w:p>
        </w:tc>
        <w:tc>
          <w:tcPr>
            <w:tcW w:w="1656" w:type="dxa"/>
            <w:tcBorders>
              <w:top w:val="nil"/>
              <w:left w:val="nil"/>
              <w:bottom w:val="nil"/>
              <w:right w:val="nil"/>
            </w:tcBorders>
          </w:tcPr>
          <w:p w14:paraId="11BC23B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0.182</w:t>
            </w:r>
          </w:p>
        </w:tc>
      </w:tr>
      <w:tr w:rsidR="00054D3B" w:rsidRPr="00DA590E" w14:paraId="11B42CD3" w14:textId="77777777" w:rsidTr="00015B88">
        <w:tc>
          <w:tcPr>
            <w:tcW w:w="2136" w:type="dxa"/>
            <w:tcBorders>
              <w:top w:val="nil"/>
              <w:left w:val="nil"/>
              <w:bottom w:val="nil"/>
              <w:right w:val="nil"/>
            </w:tcBorders>
          </w:tcPr>
          <w:p w14:paraId="54F7425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9EFD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(-0.13)</w:t>
            </w:r>
          </w:p>
        </w:tc>
        <w:tc>
          <w:tcPr>
            <w:tcW w:w="1656" w:type="dxa"/>
            <w:tcBorders>
              <w:top w:val="nil"/>
              <w:left w:val="nil"/>
              <w:bottom w:val="nil"/>
              <w:right w:val="nil"/>
            </w:tcBorders>
          </w:tcPr>
          <w:p w14:paraId="7432967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(-1.34)</w:t>
            </w:r>
          </w:p>
        </w:tc>
        <w:tc>
          <w:tcPr>
            <w:tcW w:w="1656" w:type="dxa"/>
            <w:tcBorders>
              <w:top w:val="nil"/>
              <w:left w:val="nil"/>
              <w:bottom w:val="nil"/>
              <w:right w:val="nil"/>
            </w:tcBorders>
          </w:tcPr>
          <w:p w14:paraId="53C450F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(0.10)</w:t>
            </w:r>
          </w:p>
        </w:tc>
        <w:tc>
          <w:tcPr>
            <w:tcW w:w="1656" w:type="dxa"/>
            <w:tcBorders>
              <w:top w:val="nil"/>
              <w:left w:val="nil"/>
              <w:bottom w:val="nil"/>
              <w:right w:val="nil"/>
            </w:tcBorders>
          </w:tcPr>
          <w:p w14:paraId="2D63E56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(1.28)</w:t>
            </w:r>
          </w:p>
        </w:tc>
        <w:tc>
          <w:tcPr>
            <w:tcW w:w="1656" w:type="dxa"/>
            <w:tcBorders>
              <w:top w:val="nil"/>
              <w:left w:val="nil"/>
              <w:bottom w:val="nil"/>
              <w:right w:val="nil"/>
            </w:tcBorders>
          </w:tcPr>
          <w:p w14:paraId="6C659FE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(0.93)</w:t>
            </w:r>
          </w:p>
        </w:tc>
      </w:tr>
      <w:tr w:rsidR="00054D3B" w:rsidRPr="00DA590E" w14:paraId="508BF9C7" w14:textId="77777777" w:rsidTr="00015B88">
        <w:tc>
          <w:tcPr>
            <w:tcW w:w="2136" w:type="dxa"/>
            <w:tcBorders>
              <w:top w:val="nil"/>
              <w:left w:val="nil"/>
              <w:bottom w:val="nil"/>
              <w:right w:val="nil"/>
            </w:tcBorders>
          </w:tcPr>
          <w:p w14:paraId="48284E4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4FD96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54159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CC2AA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D0D6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470B5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4EC29858" w14:textId="77777777" w:rsidTr="00015B88">
        <w:tc>
          <w:tcPr>
            <w:tcW w:w="2136" w:type="dxa"/>
            <w:tcBorders>
              <w:top w:val="nil"/>
              <w:left w:val="nil"/>
              <w:bottom w:val="nil"/>
              <w:right w:val="nil"/>
            </w:tcBorders>
          </w:tcPr>
          <w:p w14:paraId="24FA1EF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DA590E">
              <w:rPr>
                <w:rFonts w:ascii="Times New Roman" w:hAnsi="Times New Roman" w:cs="Times New Roman"/>
                <w:sz w:val="16"/>
                <w:szCs w:val="16"/>
              </w:rPr>
              <w:t>L.De</w:t>
            </w:r>
            <w:proofErr w:type="spellEnd"/>
            <w:r w:rsidRPr="00DA590E">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2A828AC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0.855</w:t>
            </w:r>
          </w:p>
        </w:tc>
        <w:tc>
          <w:tcPr>
            <w:tcW w:w="1656" w:type="dxa"/>
            <w:tcBorders>
              <w:top w:val="nil"/>
              <w:left w:val="nil"/>
              <w:bottom w:val="nil"/>
              <w:right w:val="nil"/>
            </w:tcBorders>
          </w:tcPr>
          <w:p w14:paraId="6D12ABB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2.226</w:t>
            </w:r>
          </w:p>
        </w:tc>
        <w:tc>
          <w:tcPr>
            <w:tcW w:w="1656" w:type="dxa"/>
            <w:tcBorders>
              <w:top w:val="nil"/>
              <w:left w:val="nil"/>
              <w:bottom w:val="nil"/>
              <w:right w:val="nil"/>
            </w:tcBorders>
          </w:tcPr>
          <w:p w14:paraId="00535B6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2.593</w:t>
            </w:r>
          </w:p>
        </w:tc>
        <w:tc>
          <w:tcPr>
            <w:tcW w:w="1656" w:type="dxa"/>
            <w:tcBorders>
              <w:top w:val="nil"/>
              <w:left w:val="nil"/>
              <w:bottom w:val="nil"/>
              <w:right w:val="nil"/>
            </w:tcBorders>
          </w:tcPr>
          <w:p w14:paraId="18E5A3D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-0.314</w:t>
            </w:r>
          </w:p>
        </w:tc>
        <w:tc>
          <w:tcPr>
            <w:tcW w:w="1656" w:type="dxa"/>
            <w:tcBorders>
              <w:top w:val="nil"/>
              <w:left w:val="nil"/>
              <w:bottom w:val="nil"/>
              <w:right w:val="nil"/>
            </w:tcBorders>
          </w:tcPr>
          <w:p w14:paraId="3CCAE51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-0.206</w:t>
            </w:r>
          </w:p>
        </w:tc>
      </w:tr>
      <w:tr w:rsidR="00054D3B" w:rsidRPr="00DA590E" w14:paraId="759C3A28" w14:textId="77777777" w:rsidTr="00015B88">
        <w:tc>
          <w:tcPr>
            <w:tcW w:w="2136" w:type="dxa"/>
            <w:tcBorders>
              <w:top w:val="nil"/>
              <w:left w:val="nil"/>
              <w:bottom w:val="nil"/>
              <w:right w:val="nil"/>
            </w:tcBorders>
          </w:tcPr>
          <w:p w14:paraId="1A5B4BD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79A28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(0.48)</w:t>
            </w:r>
          </w:p>
        </w:tc>
        <w:tc>
          <w:tcPr>
            <w:tcW w:w="1656" w:type="dxa"/>
            <w:tcBorders>
              <w:top w:val="nil"/>
              <w:left w:val="nil"/>
              <w:bottom w:val="nil"/>
              <w:right w:val="nil"/>
            </w:tcBorders>
          </w:tcPr>
          <w:p w14:paraId="445D78C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(1.58)</w:t>
            </w:r>
          </w:p>
        </w:tc>
        <w:tc>
          <w:tcPr>
            <w:tcW w:w="1656" w:type="dxa"/>
            <w:tcBorders>
              <w:top w:val="nil"/>
              <w:left w:val="nil"/>
              <w:bottom w:val="nil"/>
              <w:right w:val="nil"/>
            </w:tcBorders>
          </w:tcPr>
          <w:p w14:paraId="50EE37D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(1.74)</w:t>
            </w:r>
          </w:p>
        </w:tc>
        <w:tc>
          <w:tcPr>
            <w:tcW w:w="1656" w:type="dxa"/>
            <w:tcBorders>
              <w:top w:val="nil"/>
              <w:left w:val="nil"/>
              <w:bottom w:val="nil"/>
              <w:right w:val="nil"/>
            </w:tcBorders>
          </w:tcPr>
          <w:p w14:paraId="5DE00D2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(-0.92)</w:t>
            </w:r>
          </w:p>
        </w:tc>
        <w:tc>
          <w:tcPr>
            <w:tcW w:w="1656" w:type="dxa"/>
            <w:tcBorders>
              <w:top w:val="nil"/>
              <w:left w:val="nil"/>
              <w:bottom w:val="nil"/>
              <w:right w:val="nil"/>
            </w:tcBorders>
          </w:tcPr>
          <w:p w14:paraId="7764EB1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(-0.97)</w:t>
            </w:r>
          </w:p>
        </w:tc>
      </w:tr>
      <w:tr w:rsidR="00054D3B" w:rsidRPr="00DA590E" w14:paraId="58D97AD9" w14:textId="77777777" w:rsidTr="00015B88">
        <w:tc>
          <w:tcPr>
            <w:tcW w:w="2136" w:type="dxa"/>
            <w:tcBorders>
              <w:top w:val="nil"/>
              <w:left w:val="nil"/>
              <w:bottom w:val="nil"/>
              <w:right w:val="nil"/>
            </w:tcBorders>
          </w:tcPr>
          <w:p w14:paraId="056FF82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8FF87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3BB03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416A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45FB5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8A11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56FDAD2F" w14:textId="77777777" w:rsidTr="00015B88">
        <w:tc>
          <w:tcPr>
            <w:tcW w:w="2136" w:type="dxa"/>
            <w:tcBorders>
              <w:top w:val="nil"/>
              <w:left w:val="nil"/>
              <w:bottom w:val="nil"/>
              <w:right w:val="nil"/>
            </w:tcBorders>
          </w:tcPr>
          <w:p w14:paraId="2A4AC23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L2.De Jure CBI * Capital Account Openness</w:t>
            </w:r>
          </w:p>
        </w:tc>
        <w:tc>
          <w:tcPr>
            <w:tcW w:w="1656" w:type="dxa"/>
            <w:tcBorders>
              <w:top w:val="nil"/>
              <w:left w:val="nil"/>
              <w:bottom w:val="nil"/>
              <w:right w:val="nil"/>
            </w:tcBorders>
          </w:tcPr>
          <w:p w14:paraId="110929E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-0.208</w:t>
            </w:r>
          </w:p>
        </w:tc>
        <w:tc>
          <w:tcPr>
            <w:tcW w:w="1656" w:type="dxa"/>
            <w:tcBorders>
              <w:top w:val="nil"/>
              <w:left w:val="nil"/>
              <w:bottom w:val="nil"/>
              <w:right w:val="nil"/>
            </w:tcBorders>
          </w:tcPr>
          <w:p w14:paraId="27990A5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-1.523</w:t>
            </w:r>
          </w:p>
        </w:tc>
        <w:tc>
          <w:tcPr>
            <w:tcW w:w="1656" w:type="dxa"/>
            <w:tcBorders>
              <w:top w:val="nil"/>
              <w:left w:val="nil"/>
              <w:bottom w:val="nil"/>
              <w:right w:val="nil"/>
            </w:tcBorders>
          </w:tcPr>
          <w:p w14:paraId="352E5E6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-1.010</w:t>
            </w:r>
          </w:p>
        </w:tc>
        <w:tc>
          <w:tcPr>
            <w:tcW w:w="1656" w:type="dxa"/>
            <w:tcBorders>
              <w:top w:val="nil"/>
              <w:left w:val="nil"/>
              <w:bottom w:val="nil"/>
              <w:right w:val="nil"/>
            </w:tcBorders>
          </w:tcPr>
          <w:p w14:paraId="4EE89B7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0.729</w:t>
            </w:r>
            <w:r w:rsidRPr="00DA590E">
              <w:rPr>
                <w:rFonts w:ascii="Times New Roman" w:hAnsi="Times New Roman" w:cs="Times New Roman"/>
                <w:sz w:val="16"/>
                <w:szCs w:val="16"/>
                <w:vertAlign w:val="superscript"/>
              </w:rPr>
              <w:t>*</w:t>
            </w:r>
          </w:p>
        </w:tc>
        <w:tc>
          <w:tcPr>
            <w:tcW w:w="1656" w:type="dxa"/>
            <w:tcBorders>
              <w:top w:val="nil"/>
              <w:left w:val="nil"/>
              <w:bottom w:val="nil"/>
              <w:right w:val="nil"/>
            </w:tcBorders>
          </w:tcPr>
          <w:p w14:paraId="4CA0FC5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0.114</w:t>
            </w:r>
          </w:p>
        </w:tc>
      </w:tr>
      <w:tr w:rsidR="00054D3B" w:rsidRPr="00DA590E" w14:paraId="47931865" w14:textId="77777777" w:rsidTr="00015B88">
        <w:tc>
          <w:tcPr>
            <w:tcW w:w="2136" w:type="dxa"/>
            <w:tcBorders>
              <w:top w:val="nil"/>
              <w:left w:val="nil"/>
              <w:bottom w:val="nil"/>
              <w:right w:val="nil"/>
            </w:tcBorders>
          </w:tcPr>
          <w:p w14:paraId="5CE9CF8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CB0D4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(-0.15)</w:t>
            </w:r>
          </w:p>
        </w:tc>
        <w:tc>
          <w:tcPr>
            <w:tcW w:w="1656" w:type="dxa"/>
            <w:tcBorders>
              <w:top w:val="nil"/>
              <w:left w:val="nil"/>
              <w:bottom w:val="nil"/>
              <w:right w:val="nil"/>
            </w:tcBorders>
          </w:tcPr>
          <w:p w14:paraId="58C99FE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(-1.09)</w:t>
            </w:r>
          </w:p>
        </w:tc>
        <w:tc>
          <w:tcPr>
            <w:tcW w:w="1656" w:type="dxa"/>
            <w:tcBorders>
              <w:top w:val="nil"/>
              <w:left w:val="nil"/>
              <w:bottom w:val="nil"/>
              <w:right w:val="nil"/>
            </w:tcBorders>
          </w:tcPr>
          <w:p w14:paraId="4A0860D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(-0.57)</w:t>
            </w:r>
          </w:p>
        </w:tc>
        <w:tc>
          <w:tcPr>
            <w:tcW w:w="1656" w:type="dxa"/>
            <w:tcBorders>
              <w:top w:val="nil"/>
              <w:left w:val="nil"/>
              <w:bottom w:val="nil"/>
              <w:right w:val="nil"/>
            </w:tcBorders>
          </w:tcPr>
          <w:p w14:paraId="3E77347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(2.12)</w:t>
            </w:r>
          </w:p>
        </w:tc>
        <w:tc>
          <w:tcPr>
            <w:tcW w:w="1656" w:type="dxa"/>
            <w:tcBorders>
              <w:top w:val="nil"/>
              <w:left w:val="nil"/>
              <w:bottom w:val="nil"/>
              <w:right w:val="nil"/>
            </w:tcBorders>
          </w:tcPr>
          <w:p w14:paraId="7E2409A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(0.39)</w:t>
            </w:r>
          </w:p>
        </w:tc>
      </w:tr>
      <w:tr w:rsidR="00054D3B" w:rsidRPr="00DA590E" w14:paraId="4EACAC0C" w14:textId="77777777" w:rsidTr="00015B88">
        <w:tc>
          <w:tcPr>
            <w:tcW w:w="2136" w:type="dxa"/>
            <w:tcBorders>
              <w:top w:val="nil"/>
              <w:left w:val="nil"/>
              <w:bottom w:val="nil"/>
              <w:right w:val="nil"/>
            </w:tcBorders>
          </w:tcPr>
          <w:p w14:paraId="711BB48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E9971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55B3C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FC1F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223DA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A4570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4647E9D3" w14:textId="77777777" w:rsidTr="00015B88">
        <w:tc>
          <w:tcPr>
            <w:tcW w:w="2136" w:type="dxa"/>
            <w:tcBorders>
              <w:top w:val="nil"/>
              <w:left w:val="nil"/>
              <w:bottom w:val="nil"/>
              <w:right w:val="nil"/>
            </w:tcBorders>
          </w:tcPr>
          <w:p w14:paraId="51511AC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L3.De Jure CBI * Capital Account Openness</w:t>
            </w:r>
          </w:p>
        </w:tc>
        <w:tc>
          <w:tcPr>
            <w:tcW w:w="1656" w:type="dxa"/>
            <w:tcBorders>
              <w:top w:val="nil"/>
              <w:left w:val="nil"/>
              <w:bottom w:val="nil"/>
              <w:right w:val="nil"/>
            </w:tcBorders>
          </w:tcPr>
          <w:p w14:paraId="2F7D3D0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-1.646</w:t>
            </w:r>
          </w:p>
        </w:tc>
        <w:tc>
          <w:tcPr>
            <w:tcW w:w="1656" w:type="dxa"/>
            <w:tcBorders>
              <w:top w:val="nil"/>
              <w:left w:val="nil"/>
              <w:bottom w:val="nil"/>
              <w:right w:val="nil"/>
            </w:tcBorders>
          </w:tcPr>
          <w:p w14:paraId="729A1AB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1.131</w:t>
            </w:r>
          </w:p>
        </w:tc>
        <w:tc>
          <w:tcPr>
            <w:tcW w:w="1656" w:type="dxa"/>
            <w:tcBorders>
              <w:top w:val="nil"/>
              <w:left w:val="nil"/>
              <w:bottom w:val="nil"/>
              <w:right w:val="nil"/>
            </w:tcBorders>
          </w:tcPr>
          <w:p w14:paraId="1D00BA8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-0.523</w:t>
            </w:r>
          </w:p>
        </w:tc>
        <w:tc>
          <w:tcPr>
            <w:tcW w:w="1656" w:type="dxa"/>
            <w:tcBorders>
              <w:top w:val="nil"/>
              <w:left w:val="nil"/>
              <w:bottom w:val="nil"/>
              <w:right w:val="nil"/>
            </w:tcBorders>
          </w:tcPr>
          <w:p w14:paraId="400075E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-0.663</w:t>
            </w:r>
          </w:p>
        </w:tc>
        <w:tc>
          <w:tcPr>
            <w:tcW w:w="1656" w:type="dxa"/>
            <w:tcBorders>
              <w:top w:val="nil"/>
              <w:left w:val="nil"/>
              <w:bottom w:val="nil"/>
              <w:right w:val="nil"/>
            </w:tcBorders>
          </w:tcPr>
          <w:p w14:paraId="6CB7125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0.531</w:t>
            </w:r>
            <w:r w:rsidRPr="00DA590E">
              <w:rPr>
                <w:rFonts w:ascii="Times New Roman" w:hAnsi="Times New Roman" w:cs="Times New Roman"/>
                <w:sz w:val="16"/>
                <w:szCs w:val="16"/>
                <w:vertAlign w:val="superscript"/>
              </w:rPr>
              <w:t>*</w:t>
            </w:r>
          </w:p>
        </w:tc>
      </w:tr>
      <w:tr w:rsidR="00054D3B" w:rsidRPr="00DA590E" w14:paraId="584C6243" w14:textId="77777777" w:rsidTr="00015B88">
        <w:tc>
          <w:tcPr>
            <w:tcW w:w="2136" w:type="dxa"/>
            <w:tcBorders>
              <w:top w:val="nil"/>
              <w:left w:val="nil"/>
              <w:bottom w:val="nil"/>
              <w:right w:val="nil"/>
            </w:tcBorders>
          </w:tcPr>
          <w:p w14:paraId="4FE2297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E27C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(-1.20)</w:t>
            </w:r>
          </w:p>
        </w:tc>
        <w:tc>
          <w:tcPr>
            <w:tcW w:w="1656" w:type="dxa"/>
            <w:tcBorders>
              <w:top w:val="nil"/>
              <w:left w:val="nil"/>
              <w:bottom w:val="nil"/>
              <w:right w:val="nil"/>
            </w:tcBorders>
          </w:tcPr>
          <w:p w14:paraId="6127E94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(0.78)</w:t>
            </w:r>
          </w:p>
        </w:tc>
        <w:tc>
          <w:tcPr>
            <w:tcW w:w="1656" w:type="dxa"/>
            <w:tcBorders>
              <w:top w:val="nil"/>
              <w:left w:val="nil"/>
              <w:bottom w:val="nil"/>
              <w:right w:val="nil"/>
            </w:tcBorders>
          </w:tcPr>
          <w:p w14:paraId="532E5F8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(-0.34)</w:t>
            </w:r>
          </w:p>
        </w:tc>
        <w:tc>
          <w:tcPr>
            <w:tcW w:w="1656" w:type="dxa"/>
            <w:tcBorders>
              <w:top w:val="nil"/>
              <w:left w:val="nil"/>
              <w:bottom w:val="nil"/>
              <w:right w:val="nil"/>
            </w:tcBorders>
          </w:tcPr>
          <w:p w14:paraId="3512AF9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(-1.90)</w:t>
            </w:r>
          </w:p>
        </w:tc>
        <w:tc>
          <w:tcPr>
            <w:tcW w:w="1656" w:type="dxa"/>
            <w:tcBorders>
              <w:top w:val="nil"/>
              <w:left w:val="nil"/>
              <w:bottom w:val="nil"/>
              <w:right w:val="nil"/>
            </w:tcBorders>
          </w:tcPr>
          <w:p w14:paraId="28E79BA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(2.15)</w:t>
            </w:r>
          </w:p>
        </w:tc>
      </w:tr>
      <w:tr w:rsidR="00054D3B" w:rsidRPr="00DA590E" w14:paraId="43739C54" w14:textId="77777777" w:rsidTr="00015B88">
        <w:tc>
          <w:tcPr>
            <w:tcW w:w="2136" w:type="dxa"/>
            <w:tcBorders>
              <w:top w:val="nil"/>
              <w:left w:val="nil"/>
              <w:bottom w:val="nil"/>
              <w:right w:val="nil"/>
            </w:tcBorders>
          </w:tcPr>
          <w:p w14:paraId="05628E7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FF405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53574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79E7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98635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27444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258D9A72" w14:textId="77777777" w:rsidTr="00015B88">
        <w:tc>
          <w:tcPr>
            <w:tcW w:w="2136" w:type="dxa"/>
            <w:tcBorders>
              <w:top w:val="nil"/>
              <w:left w:val="nil"/>
              <w:bottom w:val="nil"/>
              <w:right w:val="nil"/>
            </w:tcBorders>
          </w:tcPr>
          <w:p w14:paraId="45412D7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L4.De Jure CBI * Capital Account Openness</w:t>
            </w:r>
          </w:p>
        </w:tc>
        <w:tc>
          <w:tcPr>
            <w:tcW w:w="1656" w:type="dxa"/>
            <w:tcBorders>
              <w:top w:val="nil"/>
              <w:left w:val="nil"/>
              <w:bottom w:val="nil"/>
              <w:right w:val="nil"/>
            </w:tcBorders>
          </w:tcPr>
          <w:p w14:paraId="7079033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2.699</w:t>
            </w:r>
          </w:p>
        </w:tc>
        <w:tc>
          <w:tcPr>
            <w:tcW w:w="1656" w:type="dxa"/>
            <w:tcBorders>
              <w:top w:val="nil"/>
              <w:left w:val="nil"/>
              <w:bottom w:val="nil"/>
              <w:right w:val="nil"/>
            </w:tcBorders>
          </w:tcPr>
          <w:p w14:paraId="6D7E4E6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0.443</w:t>
            </w:r>
          </w:p>
        </w:tc>
        <w:tc>
          <w:tcPr>
            <w:tcW w:w="1656" w:type="dxa"/>
            <w:tcBorders>
              <w:top w:val="nil"/>
              <w:left w:val="nil"/>
              <w:bottom w:val="nil"/>
              <w:right w:val="nil"/>
            </w:tcBorders>
          </w:tcPr>
          <w:p w14:paraId="21924FA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-0.806</w:t>
            </w:r>
          </w:p>
        </w:tc>
        <w:tc>
          <w:tcPr>
            <w:tcW w:w="1656" w:type="dxa"/>
            <w:tcBorders>
              <w:top w:val="nil"/>
              <w:left w:val="nil"/>
              <w:bottom w:val="nil"/>
              <w:right w:val="nil"/>
            </w:tcBorders>
          </w:tcPr>
          <w:p w14:paraId="0507C21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0.171</w:t>
            </w:r>
          </w:p>
        </w:tc>
        <w:tc>
          <w:tcPr>
            <w:tcW w:w="1656" w:type="dxa"/>
            <w:tcBorders>
              <w:top w:val="nil"/>
              <w:left w:val="nil"/>
              <w:bottom w:val="nil"/>
              <w:right w:val="nil"/>
            </w:tcBorders>
          </w:tcPr>
          <w:p w14:paraId="15ACE9A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0.203</w:t>
            </w:r>
          </w:p>
        </w:tc>
      </w:tr>
      <w:tr w:rsidR="00054D3B" w:rsidRPr="00DA590E" w14:paraId="10FAD2DD" w14:textId="77777777" w:rsidTr="00015B88">
        <w:tc>
          <w:tcPr>
            <w:tcW w:w="2136" w:type="dxa"/>
            <w:tcBorders>
              <w:top w:val="nil"/>
              <w:left w:val="nil"/>
              <w:bottom w:val="nil"/>
              <w:right w:val="nil"/>
            </w:tcBorders>
          </w:tcPr>
          <w:p w14:paraId="446ABFE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5125D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(1.97)</w:t>
            </w:r>
          </w:p>
        </w:tc>
        <w:tc>
          <w:tcPr>
            <w:tcW w:w="1656" w:type="dxa"/>
            <w:tcBorders>
              <w:top w:val="nil"/>
              <w:left w:val="nil"/>
              <w:bottom w:val="nil"/>
              <w:right w:val="nil"/>
            </w:tcBorders>
          </w:tcPr>
          <w:p w14:paraId="1A25549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(0.34)</w:t>
            </w:r>
          </w:p>
        </w:tc>
        <w:tc>
          <w:tcPr>
            <w:tcW w:w="1656" w:type="dxa"/>
            <w:tcBorders>
              <w:top w:val="nil"/>
              <w:left w:val="nil"/>
              <w:bottom w:val="nil"/>
              <w:right w:val="nil"/>
            </w:tcBorders>
          </w:tcPr>
          <w:p w14:paraId="2529FFA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(-0.55)</w:t>
            </w:r>
          </w:p>
        </w:tc>
        <w:tc>
          <w:tcPr>
            <w:tcW w:w="1656" w:type="dxa"/>
            <w:tcBorders>
              <w:top w:val="nil"/>
              <w:left w:val="nil"/>
              <w:bottom w:val="nil"/>
              <w:right w:val="nil"/>
            </w:tcBorders>
          </w:tcPr>
          <w:p w14:paraId="5740FC8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(0.65)</w:t>
            </w:r>
          </w:p>
        </w:tc>
        <w:tc>
          <w:tcPr>
            <w:tcW w:w="1656" w:type="dxa"/>
            <w:tcBorders>
              <w:top w:val="nil"/>
              <w:left w:val="nil"/>
              <w:bottom w:val="nil"/>
              <w:right w:val="nil"/>
            </w:tcBorders>
          </w:tcPr>
          <w:p w14:paraId="7325ECD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(0.85)</w:t>
            </w:r>
          </w:p>
        </w:tc>
      </w:tr>
      <w:tr w:rsidR="00054D3B" w:rsidRPr="00DA590E" w14:paraId="232F861C" w14:textId="77777777" w:rsidTr="00015B88">
        <w:tc>
          <w:tcPr>
            <w:tcW w:w="2136" w:type="dxa"/>
            <w:tcBorders>
              <w:top w:val="nil"/>
              <w:left w:val="nil"/>
              <w:bottom w:val="nil"/>
              <w:right w:val="nil"/>
            </w:tcBorders>
          </w:tcPr>
          <w:p w14:paraId="01781FF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6ED24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8579D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A0B56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5B168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7B9C7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273BEBDC" w14:textId="77777777" w:rsidTr="00015B88">
        <w:tc>
          <w:tcPr>
            <w:tcW w:w="2136" w:type="dxa"/>
            <w:tcBorders>
              <w:top w:val="nil"/>
              <w:left w:val="nil"/>
              <w:bottom w:val="nil"/>
              <w:right w:val="nil"/>
            </w:tcBorders>
          </w:tcPr>
          <w:p w14:paraId="7138AF1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L5.De Jure CBI * Capital Account Openness</w:t>
            </w:r>
          </w:p>
        </w:tc>
        <w:tc>
          <w:tcPr>
            <w:tcW w:w="1656" w:type="dxa"/>
            <w:tcBorders>
              <w:top w:val="nil"/>
              <w:left w:val="nil"/>
              <w:bottom w:val="nil"/>
              <w:right w:val="nil"/>
            </w:tcBorders>
          </w:tcPr>
          <w:p w14:paraId="26A129A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-1.438</w:t>
            </w:r>
          </w:p>
        </w:tc>
        <w:tc>
          <w:tcPr>
            <w:tcW w:w="1656" w:type="dxa"/>
            <w:tcBorders>
              <w:top w:val="nil"/>
              <w:left w:val="nil"/>
              <w:bottom w:val="nil"/>
              <w:right w:val="nil"/>
            </w:tcBorders>
          </w:tcPr>
          <w:p w14:paraId="0FC76C3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0.573</w:t>
            </w:r>
          </w:p>
        </w:tc>
        <w:tc>
          <w:tcPr>
            <w:tcW w:w="1656" w:type="dxa"/>
            <w:tcBorders>
              <w:top w:val="nil"/>
              <w:left w:val="nil"/>
              <w:bottom w:val="nil"/>
              <w:right w:val="nil"/>
            </w:tcBorders>
          </w:tcPr>
          <w:p w14:paraId="708E780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0.797</w:t>
            </w:r>
          </w:p>
        </w:tc>
        <w:tc>
          <w:tcPr>
            <w:tcW w:w="1656" w:type="dxa"/>
            <w:tcBorders>
              <w:top w:val="nil"/>
              <w:left w:val="nil"/>
              <w:bottom w:val="nil"/>
              <w:right w:val="nil"/>
            </w:tcBorders>
          </w:tcPr>
          <w:p w14:paraId="24A08C4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-0.413</w:t>
            </w:r>
          </w:p>
        </w:tc>
        <w:tc>
          <w:tcPr>
            <w:tcW w:w="1656" w:type="dxa"/>
            <w:tcBorders>
              <w:top w:val="nil"/>
              <w:left w:val="nil"/>
              <w:bottom w:val="nil"/>
              <w:right w:val="nil"/>
            </w:tcBorders>
          </w:tcPr>
          <w:p w14:paraId="3E32358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0.165</w:t>
            </w:r>
          </w:p>
        </w:tc>
      </w:tr>
      <w:tr w:rsidR="00054D3B" w:rsidRPr="00DA590E" w14:paraId="6FBF28C0" w14:textId="77777777" w:rsidTr="00015B88">
        <w:tc>
          <w:tcPr>
            <w:tcW w:w="2136" w:type="dxa"/>
            <w:tcBorders>
              <w:top w:val="nil"/>
              <w:left w:val="nil"/>
              <w:bottom w:val="nil"/>
              <w:right w:val="nil"/>
            </w:tcBorders>
          </w:tcPr>
          <w:p w14:paraId="40D427C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068A0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(-0.86)</w:t>
            </w:r>
          </w:p>
        </w:tc>
        <w:tc>
          <w:tcPr>
            <w:tcW w:w="1656" w:type="dxa"/>
            <w:tcBorders>
              <w:top w:val="nil"/>
              <w:left w:val="nil"/>
              <w:bottom w:val="nil"/>
              <w:right w:val="nil"/>
            </w:tcBorders>
          </w:tcPr>
          <w:p w14:paraId="63EA2A1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(0.54)</w:t>
            </w:r>
          </w:p>
        </w:tc>
        <w:tc>
          <w:tcPr>
            <w:tcW w:w="1656" w:type="dxa"/>
            <w:tcBorders>
              <w:top w:val="nil"/>
              <w:left w:val="nil"/>
              <w:bottom w:val="nil"/>
              <w:right w:val="nil"/>
            </w:tcBorders>
          </w:tcPr>
          <w:p w14:paraId="295DEF1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(0.56)</w:t>
            </w:r>
          </w:p>
        </w:tc>
        <w:tc>
          <w:tcPr>
            <w:tcW w:w="1656" w:type="dxa"/>
            <w:tcBorders>
              <w:top w:val="nil"/>
              <w:left w:val="nil"/>
              <w:bottom w:val="nil"/>
              <w:right w:val="nil"/>
            </w:tcBorders>
          </w:tcPr>
          <w:p w14:paraId="13A99E9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(-1.67)</w:t>
            </w:r>
          </w:p>
        </w:tc>
        <w:tc>
          <w:tcPr>
            <w:tcW w:w="1656" w:type="dxa"/>
            <w:tcBorders>
              <w:top w:val="nil"/>
              <w:left w:val="nil"/>
              <w:bottom w:val="nil"/>
              <w:right w:val="nil"/>
            </w:tcBorders>
          </w:tcPr>
          <w:p w14:paraId="6D36F0C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(0.60)</w:t>
            </w:r>
          </w:p>
        </w:tc>
      </w:tr>
      <w:tr w:rsidR="00054D3B" w:rsidRPr="00DA590E" w14:paraId="0F7FA36D" w14:textId="77777777" w:rsidTr="00015B88">
        <w:tc>
          <w:tcPr>
            <w:tcW w:w="2136" w:type="dxa"/>
            <w:tcBorders>
              <w:top w:val="nil"/>
              <w:left w:val="nil"/>
              <w:bottom w:val="nil"/>
              <w:right w:val="nil"/>
            </w:tcBorders>
          </w:tcPr>
          <w:p w14:paraId="138B4BB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E41F4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905C9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3D652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F320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0F501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3831D907" w14:textId="77777777" w:rsidTr="00015B88">
        <w:tc>
          <w:tcPr>
            <w:tcW w:w="2136" w:type="dxa"/>
            <w:tcBorders>
              <w:top w:val="nil"/>
              <w:left w:val="nil"/>
              <w:bottom w:val="nil"/>
              <w:right w:val="nil"/>
            </w:tcBorders>
          </w:tcPr>
          <w:p w14:paraId="2EAD3AC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L6.De Jure CBI * Capital Account Openness</w:t>
            </w:r>
          </w:p>
        </w:tc>
        <w:tc>
          <w:tcPr>
            <w:tcW w:w="1656" w:type="dxa"/>
            <w:tcBorders>
              <w:top w:val="nil"/>
              <w:left w:val="nil"/>
              <w:bottom w:val="nil"/>
              <w:right w:val="nil"/>
            </w:tcBorders>
          </w:tcPr>
          <w:p w14:paraId="46B3D3C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0.327</w:t>
            </w:r>
          </w:p>
        </w:tc>
        <w:tc>
          <w:tcPr>
            <w:tcW w:w="1656" w:type="dxa"/>
            <w:tcBorders>
              <w:top w:val="nil"/>
              <w:left w:val="nil"/>
              <w:bottom w:val="nil"/>
              <w:right w:val="nil"/>
            </w:tcBorders>
          </w:tcPr>
          <w:p w14:paraId="7BCF848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-1.247</w:t>
            </w:r>
          </w:p>
        </w:tc>
        <w:tc>
          <w:tcPr>
            <w:tcW w:w="1656" w:type="dxa"/>
            <w:tcBorders>
              <w:top w:val="nil"/>
              <w:left w:val="nil"/>
              <w:bottom w:val="nil"/>
              <w:right w:val="nil"/>
            </w:tcBorders>
          </w:tcPr>
          <w:p w14:paraId="631D159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1.361</w:t>
            </w:r>
          </w:p>
        </w:tc>
        <w:tc>
          <w:tcPr>
            <w:tcW w:w="1656" w:type="dxa"/>
            <w:tcBorders>
              <w:top w:val="nil"/>
              <w:left w:val="nil"/>
              <w:bottom w:val="nil"/>
              <w:right w:val="nil"/>
            </w:tcBorders>
          </w:tcPr>
          <w:p w14:paraId="6DD1881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-0.0893</w:t>
            </w:r>
          </w:p>
        </w:tc>
        <w:tc>
          <w:tcPr>
            <w:tcW w:w="1656" w:type="dxa"/>
            <w:tcBorders>
              <w:top w:val="nil"/>
              <w:left w:val="nil"/>
              <w:bottom w:val="nil"/>
              <w:right w:val="nil"/>
            </w:tcBorders>
          </w:tcPr>
          <w:p w14:paraId="1A5E8C1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-0.347</w:t>
            </w:r>
          </w:p>
        </w:tc>
      </w:tr>
      <w:tr w:rsidR="00054D3B" w:rsidRPr="00DA590E" w14:paraId="3B82E167" w14:textId="77777777" w:rsidTr="00015B88">
        <w:tc>
          <w:tcPr>
            <w:tcW w:w="2136" w:type="dxa"/>
            <w:tcBorders>
              <w:top w:val="nil"/>
              <w:left w:val="nil"/>
              <w:bottom w:val="nil"/>
              <w:right w:val="nil"/>
            </w:tcBorders>
          </w:tcPr>
          <w:p w14:paraId="6B5FA6A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88341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(0.17)</w:t>
            </w:r>
          </w:p>
        </w:tc>
        <w:tc>
          <w:tcPr>
            <w:tcW w:w="1656" w:type="dxa"/>
            <w:tcBorders>
              <w:top w:val="nil"/>
              <w:left w:val="nil"/>
              <w:bottom w:val="nil"/>
              <w:right w:val="nil"/>
            </w:tcBorders>
          </w:tcPr>
          <w:p w14:paraId="3743732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(-0.93)</w:t>
            </w:r>
          </w:p>
        </w:tc>
        <w:tc>
          <w:tcPr>
            <w:tcW w:w="1656" w:type="dxa"/>
            <w:tcBorders>
              <w:top w:val="nil"/>
              <w:left w:val="nil"/>
              <w:bottom w:val="nil"/>
              <w:right w:val="nil"/>
            </w:tcBorders>
          </w:tcPr>
          <w:p w14:paraId="31A68C3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(0.75)</w:t>
            </w:r>
          </w:p>
        </w:tc>
        <w:tc>
          <w:tcPr>
            <w:tcW w:w="1656" w:type="dxa"/>
            <w:tcBorders>
              <w:top w:val="nil"/>
              <w:left w:val="nil"/>
              <w:bottom w:val="nil"/>
              <w:right w:val="nil"/>
            </w:tcBorders>
          </w:tcPr>
          <w:p w14:paraId="5D5E186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(-0.35)</w:t>
            </w:r>
          </w:p>
        </w:tc>
        <w:tc>
          <w:tcPr>
            <w:tcW w:w="1656" w:type="dxa"/>
            <w:tcBorders>
              <w:top w:val="nil"/>
              <w:left w:val="nil"/>
              <w:bottom w:val="nil"/>
              <w:right w:val="nil"/>
            </w:tcBorders>
          </w:tcPr>
          <w:p w14:paraId="7DDA51D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(-1.00)</w:t>
            </w:r>
          </w:p>
        </w:tc>
      </w:tr>
      <w:tr w:rsidR="00054D3B" w:rsidRPr="00DA590E" w14:paraId="7D5B9A5E" w14:textId="77777777" w:rsidTr="00015B88">
        <w:tc>
          <w:tcPr>
            <w:tcW w:w="2136" w:type="dxa"/>
            <w:tcBorders>
              <w:top w:val="nil"/>
              <w:left w:val="nil"/>
              <w:bottom w:val="nil"/>
              <w:right w:val="nil"/>
            </w:tcBorders>
          </w:tcPr>
          <w:p w14:paraId="270DF1B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FF471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56DAA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F135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65757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589BB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7B94A109" w14:textId="77777777" w:rsidTr="00015B88">
        <w:tc>
          <w:tcPr>
            <w:tcW w:w="2136" w:type="dxa"/>
            <w:tcBorders>
              <w:top w:val="nil"/>
              <w:left w:val="nil"/>
              <w:bottom w:val="nil"/>
              <w:right w:val="nil"/>
            </w:tcBorders>
          </w:tcPr>
          <w:p w14:paraId="3E3DF9E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L7.De Jure CBI * Capital Account Openness</w:t>
            </w:r>
          </w:p>
        </w:tc>
        <w:tc>
          <w:tcPr>
            <w:tcW w:w="1656" w:type="dxa"/>
            <w:tcBorders>
              <w:top w:val="nil"/>
              <w:left w:val="nil"/>
              <w:bottom w:val="nil"/>
              <w:right w:val="nil"/>
            </w:tcBorders>
          </w:tcPr>
          <w:p w14:paraId="6AA86F7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-0.753</w:t>
            </w:r>
          </w:p>
        </w:tc>
        <w:tc>
          <w:tcPr>
            <w:tcW w:w="1656" w:type="dxa"/>
            <w:tcBorders>
              <w:top w:val="nil"/>
              <w:left w:val="nil"/>
              <w:bottom w:val="nil"/>
              <w:right w:val="nil"/>
            </w:tcBorders>
          </w:tcPr>
          <w:p w14:paraId="5AC9786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-1.011</w:t>
            </w:r>
          </w:p>
        </w:tc>
        <w:tc>
          <w:tcPr>
            <w:tcW w:w="1656" w:type="dxa"/>
            <w:tcBorders>
              <w:top w:val="nil"/>
              <w:left w:val="nil"/>
              <w:bottom w:val="nil"/>
              <w:right w:val="nil"/>
            </w:tcBorders>
          </w:tcPr>
          <w:p w14:paraId="7E1C120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-2.329</w:t>
            </w:r>
          </w:p>
        </w:tc>
        <w:tc>
          <w:tcPr>
            <w:tcW w:w="1656" w:type="dxa"/>
            <w:tcBorders>
              <w:top w:val="nil"/>
              <w:left w:val="nil"/>
              <w:bottom w:val="nil"/>
              <w:right w:val="nil"/>
            </w:tcBorders>
          </w:tcPr>
          <w:p w14:paraId="15EB985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0.204</w:t>
            </w:r>
          </w:p>
        </w:tc>
        <w:tc>
          <w:tcPr>
            <w:tcW w:w="1656" w:type="dxa"/>
            <w:tcBorders>
              <w:top w:val="nil"/>
              <w:left w:val="nil"/>
              <w:bottom w:val="nil"/>
              <w:right w:val="nil"/>
            </w:tcBorders>
          </w:tcPr>
          <w:p w14:paraId="0A41062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0.230</w:t>
            </w:r>
          </w:p>
        </w:tc>
      </w:tr>
      <w:tr w:rsidR="00054D3B" w:rsidRPr="00DA590E" w14:paraId="2917E8D4" w14:textId="77777777" w:rsidTr="00015B88">
        <w:tc>
          <w:tcPr>
            <w:tcW w:w="2136" w:type="dxa"/>
            <w:tcBorders>
              <w:top w:val="nil"/>
              <w:left w:val="nil"/>
              <w:bottom w:val="nil"/>
              <w:right w:val="nil"/>
            </w:tcBorders>
          </w:tcPr>
          <w:p w14:paraId="0FF2C4F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7A0FF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(-0.45)</w:t>
            </w:r>
          </w:p>
        </w:tc>
        <w:tc>
          <w:tcPr>
            <w:tcW w:w="1656" w:type="dxa"/>
            <w:tcBorders>
              <w:top w:val="nil"/>
              <w:left w:val="nil"/>
              <w:bottom w:val="nil"/>
              <w:right w:val="nil"/>
            </w:tcBorders>
          </w:tcPr>
          <w:p w14:paraId="38C35C5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(-0.57)</w:t>
            </w:r>
          </w:p>
        </w:tc>
        <w:tc>
          <w:tcPr>
            <w:tcW w:w="1656" w:type="dxa"/>
            <w:tcBorders>
              <w:top w:val="nil"/>
              <w:left w:val="nil"/>
              <w:bottom w:val="nil"/>
              <w:right w:val="nil"/>
            </w:tcBorders>
          </w:tcPr>
          <w:p w14:paraId="39BA0E6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(-1.22)</w:t>
            </w:r>
          </w:p>
        </w:tc>
        <w:tc>
          <w:tcPr>
            <w:tcW w:w="1656" w:type="dxa"/>
            <w:tcBorders>
              <w:top w:val="nil"/>
              <w:left w:val="nil"/>
              <w:bottom w:val="nil"/>
              <w:right w:val="nil"/>
            </w:tcBorders>
          </w:tcPr>
          <w:p w14:paraId="31C78A5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(0.87)</w:t>
            </w:r>
          </w:p>
        </w:tc>
        <w:tc>
          <w:tcPr>
            <w:tcW w:w="1656" w:type="dxa"/>
            <w:tcBorders>
              <w:top w:val="nil"/>
              <w:left w:val="nil"/>
              <w:bottom w:val="nil"/>
              <w:right w:val="nil"/>
            </w:tcBorders>
          </w:tcPr>
          <w:p w14:paraId="4F130E4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(1.01)</w:t>
            </w:r>
          </w:p>
        </w:tc>
      </w:tr>
      <w:tr w:rsidR="00054D3B" w:rsidRPr="00DA590E" w14:paraId="230D4D44" w14:textId="77777777" w:rsidTr="00015B88">
        <w:tc>
          <w:tcPr>
            <w:tcW w:w="2136" w:type="dxa"/>
            <w:tcBorders>
              <w:top w:val="nil"/>
              <w:left w:val="nil"/>
              <w:bottom w:val="nil"/>
              <w:right w:val="nil"/>
            </w:tcBorders>
          </w:tcPr>
          <w:p w14:paraId="154BCC7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F05EC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FE44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68E8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E5C29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6782A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6DCBE341" w14:textId="77777777" w:rsidTr="00015B88">
        <w:tc>
          <w:tcPr>
            <w:tcW w:w="2136" w:type="dxa"/>
            <w:tcBorders>
              <w:top w:val="nil"/>
              <w:left w:val="nil"/>
              <w:bottom w:val="nil"/>
              <w:right w:val="nil"/>
            </w:tcBorders>
          </w:tcPr>
          <w:p w14:paraId="5059ED7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L8.De Jure CBI * Capital Account Openness</w:t>
            </w:r>
          </w:p>
        </w:tc>
        <w:tc>
          <w:tcPr>
            <w:tcW w:w="1656" w:type="dxa"/>
            <w:tcBorders>
              <w:top w:val="nil"/>
              <w:left w:val="nil"/>
              <w:bottom w:val="nil"/>
              <w:right w:val="nil"/>
            </w:tcBorders>
          </w:tcPr>
          <w:p w14:paraId="24F6C35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1.077</w:t>
            </w:r>
          </w:p>
        </w:tc>
        <w:tc>
          <w:tcPr>
            <w:tcW w:w="1656" w:type="dxa"/>
            <w:tcBorders>
              <w:top w:val="nil"/>
              <w:left w:val="nil"/>
              <w:bottom w:val="nil"/>
              <w:right w:val="nil"/>
            </w:tcBorders>
          </w:tcPr>
          <w:p w14:paraId="29AFEE4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2.472</w:t>
            </w:r>
          </w:p>
        </w:tc>
        <w:tc>
          <w:tcPr>
            <w:tcW w:w="1656" w:type="dxa"/>
            <w:tcBorders>
              <w:top w:val="nil"/>
              <w:left w:val="nil"/>
              <w:bottom w:val="nil"/>
              <w:right w:val="nil"/>
            </w:tcBorders>
          </w:tcPr>
          <w:p w14:paraId="5D54797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1.734</w:t>
            </w:r>
          </w:p>
        </w:tc>
        <w:tc>
          <w:tcPr>
            <w:tcW w:w="1656" w:type="dxa"/>
            <w:tcBorders>
              <w:top w:val="nil"/>
              <w:left w:val="nil"/>
              <w:bottom w:val="nil"/>
              <w:right w:val="nil"/>
            </w:tcBorders>
          </w:tcPr>
          <w:p w14:paraId="0CC5F25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0.337</w:t>
            </w:r>
          </w:p>
        </w:tc>
        <w:tc>
          <w:tcPr>
            <w:tcW w:w="1656" w:type="dxa"/>
            <w:tcBorders>
              <w:top w:val="nil"/>
              <w:left w:val="nil"/>
              <w:bottom w:val="nil"/>
              <w:right w:val="nil"/>
            </w:tcBorders>
          </w:tcPr>
          <w:p w14:paraId="20EE374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0.224</w:t>
            </w:r>
          </w:p>
        </w:tc>
      </w:tr>
      <w:tr w:rsidR="00054D3B" w:rsidRPr="00DA590E" w14:paraId="6D6948EB" w14:textId="77777777" w:rsidTr="00015B88">
        <w:tc>
          <w:tcPr>
            <w:tcW w:w="2136" w:type="dxa"/>
            <w:tcBorders>
              <w:top w:val="nil"/>
              <w:left w:val="nil"/>
              <w:bottom w:val="nil"/>
              <w:right w:val="nil"/>
            </w:tcBorders>
          </w:tcPr>
          <w:p w14:paraId="41DA187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A788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(0.62)</w:t>
            </w:r>
          </w:p>
        </w:tc>
        <w:tc>
          <w:tcPr>
            <w:tcW w:w="1656" w:type="dxa"/>
            <w:tcBorders>
              <w:top w:val="nil"/>
              <w:left w:val="nil"/>
              <w:bottom w:val="nil"/>
              <w:right w:val="nil"/>
            </w:tcBorders>
          </w:tcPr>
          <w:p w14:paraId="4C1FD72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(1.31)</w:t>
            </w:r>
          </w:p>
        </w:tc>
        <w:tc>
          <w:tcPr>
            <w:tcW w:w="1656" w:type="dxa"/>
            <w:tcBorders>
              <w:top w:val="nil"/>
              <w:left w:val="nil"/>
              <w:bottom w:val="nil"/>
              <w:right w:val="nil"/>
            </w:tcBorders>
          </w:tcPr>
          <w:p w14:paraId="7C8E88E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(1.02)</w:t>
            </w:r>
          </w:p>
        </w:tc>
        <w:tc>
          <w:tcPr>
            <w:tcW w:w="1656" w:type="dxa"/>
            <w:tcBorders>
              <w:top w:val="nil"/>
              <w:left w:val="nil"/>
              <w:bottom w:val="nil"/>
              <w:right w:val="nil"/>
            </w:tcBorders>
          </w:tcPr>
          <w:p w14:paraId="0327D30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(1.62)</w:t>
            </w:r>
          </w:p>
        </w:tc>
        <w:tc>
          <w:tcPr>
            <w:tcW w:w="1656" w:type="dxa"/>
            <w:tcBorders>
              <w:top w:val="nil"/>
              <w:left w:val="nil"/>
              <w:bottom w:val="nil"/>
              <w:right w:val="nil"/>
            </w:tcBorders>
          </w:tcPr>
          <w:p w14:paraId="29D8636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(0.63)</w:t>
            </w:r>
          </w:p>
        </w:tc>
      </w:tr>
      <w:tr w:rsidR="00054D3B" w:rsidRPr="00DA590E" w14:paraId="132AA4B9" w14:textId="77777777" w:rsidTr="00015B88">
        <w:tc>
          <w:tcPr>
            <w:tcW w:w="2136" w:type="dxa"/>
            <w:tcBorders>
              <w:top w:val="nil"/>
              <w:left w:val="nil"/>
              <w:bottom w:val="nil"/>
              <w:right w:val="nil"/>
            </w:tcBorders>
          </w:tcPr>
          <w:p w14:paraId="7B1F578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6EC9E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4DC1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B4BB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4BFF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6273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25E84086" w14:textId="77777777" w:rsidTr="00015B88">
        <w:tc>
          <w:tcPr>
            <w:tcW w:w="2136" w:type="dxa"/>
            <w:tcBorders>
              <w:top w:val="nil"/>
              <w:left w:val="nil"/>
              <w:bottom w:val="nil"/>
              <w:right w:val="nil"/>
            </w:tcBorders>
          </w:tcPr>
          <w:p w14:paraId="65FE14D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L9.De Jure CBI * Capital Account Openness</w:t>
            </w:r>
          </w:p>
        </w:tc>
        <w:tc>
          <w:tcPr>
            <w:tcW w:w="1656" w:type="dxa"/>
            <w:tcBorders>
              <w:top w:val="nil"/>
              <w:left w:val="nil"/>
              <w:bottom w:val="nil"/>
              <w:right w:val="nil"/>
            </w:tcBorders>
          </w:tcPr>
          <w:p w14:paraId="5F72487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0.754</w:t>
            </w:r>
          </w:p>
        </w:tc>
        <w:tc>
          <w:tcPr>
            <w:tcW w:w="1656" w:type="dxa"/>
            <w:tcBorders>
              <w:top w:val="nil"/>
              <w:left w:val="nil"/>
              <w:bottom w:val="nil"/>
              <w:right w:val="nil"/>
            </w:tcBorders>
          </w:tcPr>
          <w:p w14:paraId="3E528DD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-1.042</w:t>
            </w:r>
          </w:p>
        </w:tc>
        <w:tc>
          <w:tcPr>
            <w:tcW w:w="1656" w:type="dxa"/>
            <w:tcBorders>
              <w:top w:val="nil"/>
              <w:left w:val="nil"/>
              <w:bottom w:val="nil"/>
              <w:right w:val="nil"/>
            </w:tcBorders>
          </w:tcPr>
          <w:p w14:paraId="00193D9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-0.546</w:t>
            </w:r>
          </w:p>
        </w:tc>
        <w:tc>
          <w:tcPr>
            <w:tcW w:w="1656" w:type="dxa"/>
            <w:tcBorders>
              <w:top w:val="nil"/>
              <w:left w:val="nil"/>
              <w:bottom w:val="nil"/>
              <w:right w:val="nil"/>
            </w:tcBorders>
          </w:tcPr>
          <w:p w14:paraId="635B94D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0.0314</w:t>
            </w:r>
          </w:p>
        </w:tc>
        <w:tc>
          <w:tcPr>
            <w:tcW w:w="1656" w:type="dxa"/>
            <w:tcBorders>
              <w:top w:val="nil"/>
              <w:left w:val="nil"/>
              <w:bottom w:val="nil"/>
              <w:right w:val="nil"/>
            </w:tcBorders>
          </w:tcPr>
          <w:p w14:paraId="4B6968D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-0.114</w:t>
            </w:r>
          </w:p>
        </w:tc>
      </w:tr>
      <w:tr w:rsidR="00054D3B" w:rsidRPr="00DA590E" w14:paraId="240A7823" w14:textId="77777777" w:rsidTr="00015B88">
        <w:tc>
          <w:tcPr>
            <w:tcW w:w="2136" w:type="dxa"/>
            <w:tcBorders>
              <w:top w:val="nil"/>
              <w:left w:val="nil"/>
              <w:bottom w:val="nil"/>
              <w:right w:val="nil"/>
            </w:tcBorders>
          </w:tcPr>
          <w:p w14:paraId="5A00198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E09A3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(0.59)</w:t>
            </w:r>
          </w:p>
        </w:tc>
        <w:tc>
          <w:tcPr>
            <w:tcW w:w="1656" w:type="dxa"/>
            <w:tcBorders>
              <w:top w:val="nil"/>
              <w:left w:val="nil"/>
              <w:bottom w:val="nil"/>
              <w:right w:val="nil"/>
            </w:tcBorders>
          </w:tcPr>
          <w:p w14:paraId="538872E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(-1.02)</w:t>
            </w:r>
          </w:p>
        </w:tc>
        <w:tc>
          <w:tcPr>
            <w:tcW w:w="1656" w:type="dxa"/>
            <w:tcBorders>
              <w:top w:val="nil"/>
              <w:left w:val="nil"/>
              <w:bottom w:val="nil"/>
              <w:right w:val="nil"/>
            </w:tcBorders>
          </w:tcPr>
          <w:p w14:paraId="34AD536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(-0.45)</w:t>
            </w:r>
          </w:p>
        </w:tc>
        <w:tc>
          <w:tcPr>
            <w:tcW w:w="1656" w:type="dxa"/>
            <w:tcBorders>
              <w:top w:val="nil"/>
              <w:left w:val="nil"/>
              <w:bottom w:val="nil"/>
              <w:right w:val="nil"/>
            </w:tcBorders>
          </w:tcPr>
          <w:p w14:paraId="78663CF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(0.15)</w:t>
            </w:r>
          </w:p>
        </w:tc>
        <w:tc>
          <w:tcPr>
            <w:tcW w:w="1656" w:type="dxa"/>
            <w:tcBorders>
              <w:top w:val="nil"/>
              <w:left w:val="nil"/>
              <w:bottom w:val="nil"/>
              <w:right w:val="nil"/>
            </w:tcBorders>
          </w:tcPr>
          <w:p w14:paraId="053D845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(-0.44)</w:t>
            </w:r>
          </w:p>
        </w:tc>
      </w:tr>
      <w:tr w:rsidR="00054D3B" w:rsidRPr="00DA590E" w14:paraId="2C6CD192" w14:textId="77777777" w:rsidTr="00015B88">
        <w:tc>
          <w:tcPr>
            <w:tcW w:w="2136" w:type="dxa"/>
            <w:tcBorders>
              <w:top w:val="nil"/>
              <w:left w:val="nil"/>
              <w:bottom w:val="nil"/>
              <w:right w:val="nil"/>
            </w:tcBorders>
          </w:tcPr>
          <w:p w14:paraId="40AFA69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96BA7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7BFEE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EEF36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CB08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0DEDE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127B35F5" w14:textId="77777777" w:rsidTr="00015B88">
        <w:tc>
          <w:tcPr>
            <w:tcW w:w="2136" w:type="dxa"/>
            <w:tcBorders>
              <w:top w:val="nil"/>
              <w:left w:val="nil"/>
              <w:bottom w:val="nil"/>
              <w:right w:val="nil"/>
            </w:tcBorders>
          </w:tcPr>
          <w:p w14:paraId="65B0A44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L10.De Jure CBI * Capital Account Openness</w:t>
            </w:r>
          </w:p>
        </w:tc>
        <w:tc>
          <w:tcPr>
            <w:tcW w:w="1656" w:type="dxa"/>
            <w:tcBorders>
              <w:top w:val="nil"/>
              <w:left w:val="nil"/>
              <w:bottom w:val="nil"/>
              <w:right w:val="nil"/>
            </w:tcBorders>
          </w:tcPr>
          <w:p w14:paraId="449B3A9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-0.0228</w:t>
            </w:r>
          </w:p>
        </w:tc>
        <w:tc>
          <w:tcPr>
            <w:tcW w:w="1656" w:type="dxa"/>
            <w:tcBorders>
              <w:top w:val="nil"/>
              <w:left w:val="nil"/>
              <w:bottom w:val="nil"/>
              <w:right w:val="nil"/>
            </w:tcBorders>
          </w:tcPr>
          <w:p w14:paraId="12249EC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0.456</w:t>
            </w:r>
          </w:p>
        </w:tc>
        <w:tc>
          <w:tcPr>
            <w:tcW w:w="1656" w:type="dxa"/>
            <w:tcBorders>
              <w:top w:val="nil"/>
              <w:left w:val="nil"/>
              <w:bottom w:val="nil"/>
              <w:right w:val="nil"/>
            </w:tcBorders>
          </w:tcPr>
          <w:p w14:paraId="21EC414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-0.470</w:t>
            </w:r>
          </w:p>
        </w:tc>
        <w:tc>
          <w:tcPr>
            <w:tcW w:w="1656" w:type="dxa"/>
            <w:tcBorders>
              <w:top w:val="nil"/>
              <w:left w:val="nil"/>
              <w:bottom w:val="nil"/>
              <w:right w:val="nil"/>
            </w:tcBorders>
          </w:tcPr>
          <w:p w14:paraId="7F9082A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-0.0302</w:t>
            </w:r>
          </w:p>
        </w:tc>
        <w:tc>
          <w:tcPr>
            <w:tcW w:w="1656" w:type="dxa"/>
            <w:tcBorders>
              <w:top w:val="nil"/>
              <w:left w:val="nil"/>
              <w:bottom w:val="nil"/>
              <w:right w:val="nil"/>
            </w:tcBorders>
          </w:tcPr>
          <w:p w14:paraId="65F210C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0.260</w:t>
            </w:r>
          </w:p>
        </w:tc>
      </w:tr>
      <w:tr w:rsidR="00054D3B" w:rsidRPr="00DA590E" w14:paraId="552BCB3B" w14:textId="77777777" w:rsidTr="00015B88">
        <w:tc>
          <w:tcPr>
            <w:tcW w:w="2136" w:type="dxa"/>
            <w:tcBorders>
              <w:top w:val="nil"/>
              <w:left w:val="nil"/>
              <w:bottom w:val="nil"/>
              <w:right w:val="nil"/>
            </w:tcBorders>
          </w:tcPr>
          <w:p w14:paraId="1BD1B54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4EE6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(-0.02)</w:t>
            </w:r>
          </w:p>
        </w:tc>
        <w:tc>
          <w:tcPr>
            <w:tcW w:w="1656" w:type="dxa"/>
            <w:tcBorders>
              <w:top w:val="nil"/>
              <w:left w:val="nil"/>
              <w:bottom w:val="nil"/>
              <w:right w:val="nil"/>
            </w:tcBorders>
          </w:tcPr>
          <w:p w14:paraId="3EDB2F2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(0.47)</w:t>
            </w:r>
          </w:p>
        </w:tc>
        <w:tc>
          <w:tcPr>
            <w:tcW w:w="1656" w:type="dxa"/>
            <w:tcBorders>
              <w:top w:val="nil"/>
              <w:left w:val="nil"/>
              <w:bottom w:val="nil"/>
              <w:right w:val="nil"/>
            </w:tcBorders>
          </w:tcPr>
          <w:p w14:paraId="79ABB79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(-0.36)</w:t>
            </w:r>
          </w:p>
        </w:tc>
        <w:tc>
          <w:tcPr>
            <w:tcW w:w="1656" w:type="dxa"/>
            <w:tcBorders>
              <w:top w:val="nil"/>
              <w:left w:val="nil"/>
              <w:bottom w:val="nil"/>
              <w:right w:val="nil"/>
            </w:tcBorders>
          </w:tcPr>
          <w:p w14:paraId="4BAE007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(-0.11)</w:t>
            </w:r>
          </w:p>
        </w:tc>
        <w:tc>
          <w:tcPr>
            <w:tcW w:w="1656" w:type="dxa"/>
            <w:tcBorders>
              <w:top w:val="nil"/>
              <w:left w:val="nil"/>
              <w:bottom w:val="nil"/>
              <w:right w:val="nil"/>
            </w:tcBorders>
          </w:tcPr>
          <w:p w14:paraId="6D5446C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(0.63)</w:t>
            </w:r>
          </w:p>
        </w:tc>
      </w:tr>
      <w:tr w:rsidR="00054D3B" w:rsidRPr="00DA590E" w14:paraId="2C4E087A" w14:textId="77777777" w:rsidTr="00015B88">
        <w:tc>
          <w:tcPr>
            <w:tcW w:w="2136" w:type="dxa"/>
            <w:tcBorders>
              <w:top w:val="nil"/>
              <w:left w:val="nil"/>
              <w:bottom w:val="nil"/>
              <w:right w:val="nil"/>
            </w:tcBorders>
          </w:tcPr>
          <w:p w14:paraId="0C20845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825C7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213C8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1C134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D98B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7958B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374EAB12" w14:textId="77777777" w:rsidTr="00015B88">
        <w:tc>
          <w:tcPr>
            <w:tcW w:w="2136" w:type="dxa"/>
            <w:tcBorders>
              <w:top w:val="nil"/>
              <w:left w:val="nil"/>
              <w:bottom w:val="nil"/>
              <w:right w:val="nil"/>
            </w:tcBorders>
          </w:tcPr>
          <w:p w14:paraId="48A8048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DA590E">
              <w:rPr>
                <w:rFonts w:ascii="Times New Roman" w:hAnsi="Times New Roman" w:cs="Times New Roman"/>
                <w:sz w:val="16"/>
                <w:szCs w:val="16"/>
              </w:rPr>
              <w:t>L.More</w:t>
            </w:r>
            <w:proofErr w:type="spellEnd"/>
            <w:r w:rsidRPr="00DA590E">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70C3024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0.0648</w:t>
            </w:r>
          </w:p>
        </w:tc>
        <w:tc>
          <w:tcPr>
            <w:tcW w:w="1656" w:type="dxa"/>
            <w:tcBorders>
              <w:top w:val="nil"/>
              <w:left w:val="nil"/>
              <w:bottom w:val="nil"/>
              <w:right w:val="nil"/>
            </w:tcBorders>
          </w:tcPr>
          <w:p w14:paraId="043AC64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-0.0554</w:t>
            </w:r>
          </w:p>
        </w:tc>
        <w:tc>
          <w:tcPr>
            <w:tcW w:w="1656" w:type="dxa"/>
            <w:tcBorders>
              <w:top w:val="nil"/>
              <w:left w:val="nil"/>
              <w:bottom w:val="nil"/>
              <w:right w:val="nil"/>
            </w:tcBorders>
          </w:tcPr>
          <w:p w14:paraId="5DD4F75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0.0940</w:t>
            </w:r>
          </w:p>
        </w:tc>
        <w:tc>
          <w:tcPr>
            <w:tcW w:w="1656" w:type="dxa"/>
            <w:tcBorders>
              <w:top w:val="nil"/>
              <w:left w:val="nil"/>
              <w:bottom w:val="nil"/>
              <w:right w:val="nil"/>
            </w:tcBorders>
          </w:tcPr>
          <w:p w14:paraId="4E21C03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0.0190</w:t>
            </w:r>
          </w:p>
        </w:tc>
        <w:tc>
          <w:tcPr>
            <w:tcW w:w="1656" w:type="dxa"/>
            <w:tcBorders>
              <w:top w:val="nil"/>
              <w:left w:val="nil"/>
              <w:bottom w:val="nil"/>
              <w:right w:val="nil"/>
            </w:tcBorders>
          </w:tcPr>
          <w:p w14:paraId="7FD8B2C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-0.00267</w:t>
            </w:r>
          </w:p>
        </w:tc>
      </w:tr>
      <w:tr w:rsidR="00054D3B" w:rsidRPr="00DA590E" w14:paraId="7D3B9CBF" w14:textId="77777777" w:rsidTr="00015B88">
        <w:tc>
          <w:tcPr>
            <w:tcW w:w="2136" w:type="dxa"/>
            <w:tcBorders>
              <w:top w:val="nil"/>
              <w:left w:val="nil"/>
              <w:bottom w:val="nil"/>
              <w:right w:val="nil"/>
            </w:tcBorders>
          </w:tcPr>
          <w:p w14:paraId="6005AF4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21F32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(0.89)</w:t>
            </w:r>
          </w:p>
        </w:tc>
        <w:tc>
          <w:tcPr>
            <w:tcW w:w="1656" w:type="dxa"/>
            <w:tcBorders>
              <w:top w:val="nil"/>
              <w:left w:val="nil"/>
              <w:bottom w:val="nil"/>
              <w:right w:val="nil"/>
            </w:tcBorders>
          </w:tcPr>
          <w:p w14:paraId="127B3B5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(-1.08)</w:t>
            </w:r>
          </w:p>
        </w:tc>
        <w:tc>
          <w:tcPr>
            <w:tcW w:w="1656" w:type="dxa"/>
            <w:tcBorders>
              <w:top w:val="nil"/>
              <w:left w:val="nil"/>
              <w:bottom w:val="nil"/>
              <w:right w:val="nil"/>
            </w:tcBorders>
          </w:tcPr>
          <w:p w14:paraId="1CA0A70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(1.72)</w:t>
            </w:r>
          </w:p>
        </w:tc>
        <w:tc>
          <w:tcPr>
            <w:tcW w:w="1656" w:type="dxa"/>
            <w:tcBorders>
              <w:top w:val="nil"/>
              <w:left w:val="nil"/>
              <w:bottom w:val="nil"/>
              <w:right w:val="nil"/>
            </w:tcBorders>
          </w:tcPr>
          <w:p w14:paraId="5A34FF1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(0.99)</w:t>
            </w:r>
          </w:p>
        </w:tc>
        <w:tc>
          <w:tcPr>
            <w:tcW w:w="1656" w:type="dxa"/>
            <w:tcBorders>
              <w:top w:val="nil"/>
              <w:left w:val="nil"/>
              <w:bottom w:val="nil"/>
              <w:right w:val="nil"/>
            </w:tcBorders>
          </w:tcPr>
          <w:p w14:paraId="3E2A70F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(-0.21)</w:t>
            </w:r>
          </w:p>
        </w:tc>
      </w:tr>
      <w:tr w:rsidR="00054D3B" w:rsidRPr="00DA590E" w14:paraId="226BB0E6" w14:textId="77777777" w:rsidTr="00015B88">
        <w:tc>
          <w:tcPr>
            <w:tcW w:w="2136" w:type="dxa"/>
            <w:tcBorders>
              <w:top w:val="nil"/>
              <w:left w:val="nil"/>
              <w:bottom w:val="nil"/>
              <w:right w:val="nil"/>
            </w:tcBorders>
          </w:tcPr>
          <w:p w14:paraId="72F94B5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CD11E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3523D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AC9CD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08A9C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55B4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09CBA37B" w14:textId="77777777" w:rsidTr="00015B88">
        <w:tc>
          <w:tcPr>
            <w:tcW w:w="2136" w:type="dxa"/>
            <w:tcBorders>
              <w:top w:val="nil"/>
              <w:left w:val="nil"/>
              <w:bottom w:val="nil"/>
              <w:right w:val="nil"/>
            </w:tcBorders>
          </w:tcPr>
          <w:p w14:paraId="186E35E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L2.More Fixed Rate * Capital Account Openness</w:t>
            </w:r>
          </w:p>
        </w:tc>
        <w:tc>
          <w:tcPr>
            <w:tcW w:w="1656" w:type="dxa"/>
            <w:tcBorders>
              <w:top w:val="nil"/>
              <w:left w:val="nil"/>
              <w:bottom w:val="nil"/>
              <w:right w:val="nil"/>
            </w:tcBorders>
          </w:tcPr>
          <w:p w14:paraId="5717C52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0.0167</w:t>
            </w:r>
          </w:p>
        </w:tc>
        <w:tc>
          <w:tcPr>
            <w:tcW w:w="1656" w:type="dxa"/>
            <w:tcBorders>
              <w:top w:val="nil"/>
              <w:left w:val="nil"/>
              <w:bottom w:val="nil"/>
              <w:right w:val="nil"/>
            </w:tcBorders>
          </w:tcPr>
          <w:p w14:paraId="45F32CE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0.0520</w:t>
            </w:r>
          </w:p>
        </w:tc>
        <w:tc>
          <w:tcPr>
            <w:tcW w:w="1656" w:type="dxa"/>
            <w:tcBorders>
              <w:top w:val="nil"/>
              <w:left w:val="nil"/>
              <w:bottom w:val="nil"/>
              <w:right w:val="nil"/>
            </w:tcBorders>
          </w:tcPr>
          <w:p w14:paraId="1D0E7B8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-0.0904</w:t>
            </w:r>
          </w:p>
        </w:tc>
        <w:tc>
          <w:tcPr>
            <w:tcW w:w="1656" w:type="dxa"/>
            <w:tcBorders>
              <w:top w:val="nil"/>
              <w:left w:val="nil"/>
              <w:bottom w:val="nil"/>
              <w:right w:val="nil"/>
            </w:tcBorders>
          </w:tcPr>
          <w:p w14:paraId="4FA69DB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-0.0232</w:t>
            </w:r>
          </w:p>
        </w:tc>
        <w:tc>
          <w:tcPr>
            <w:tcW w:w="1656" w:type="dxa"/>
            <w:tcBorders>
              <w:top w:val="nil"/>
              <w:left w:val="nil"/>
              <w:bottom w:val="nil"/>
              <w:right w:val="nil"/>
            </w:tcBorders>
          </w:tcPr>
          <w:p w14:paraId="45FCAED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0.0359</w:t>
            </w:r>
            <w:r w:rsidRPr="00DA590E">
              <w:rPr>
                <w:rFonts w:ascii="Times New Roman" w:hAnsi="Times New Roman" w:cs="Times New Roman"/>
                <w:sz w:val="16"/>
                <w:szCs w:val="16"/>
                <w:vertAlign w:val="superscript"/>
              </w:rPr>
              <w:t>**</w:t>
            </w:r>
          </w:p>
        </w:tc>
      </w:tr>
      <w:tr w:rsidR="00054D3B" w:rsidRPr="00DA590E" w14:paraId="557E140B" w14:textId="77777777" w:rsidTr="00015B88">
        <w:tc>
          <w:tcPr>
            <w:tcW w:w="2136" w:type="dxa"/>
            <w:tcBorders>
              <w:top w:val="nil"/>
              <w:left w:val="nil"/>
              <w:bottom w:val="nil"/>
              <w:right w:val="nil"/>
            </w:tcBorders>
          </w:tcPr>
          <w:p w14:paraId="644B5C7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26C5E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(0.19)</w:t>
            </w:r>
          </w:p>
        </w:tc>
        <w:tc>
          <w:tcPr>
            <w:tcW w:w="1656" w:type="dxa"/>
            <w:tcBorders>
              <w:top w:val="nil"/>
              <w:left w:val="nil"/>
              <w:bottom w:val="nil"/>
              <w:right w:val="nil"/>
            </w:tcBorders>
          </w:tcPr>
          <w:p w14:paraId="7C82064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(0.81)</w:t>
            </w:r>
          </w:p>
        </w:tc>
        <w:tc>
          <w:tcPr>
            <w:tcW w:w="1656" w:type="dxa"/>
            <w:tcBorders>
              <w:top w:val="nil"/>
              <w:left w:val="nil"/>
              <w:bottom w:val="nil"/>
              <w:right w:val="nil"/>
            </w:tcBorders>
          </w:tcPr>
          <w:p w14:paraId="2336CA5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(-1.29)</w:t>
            </w:r>
          </w:p>
        </w:tc>
        <w:tc>
          <w:tcPr>
            <w:tcW w:w="1656" w:type="dxa"/>
            <w:tcBorders>
              <w:top w:val="nil"/>
              <w:left w:val="nil"/>
              <w:bottom w:val="nil"/>
              <w:right w:val="nil"/>
            </w:tcBorders>
          </w:tcPr>
          <w:p w14:paraId="07FC9C6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(-1.56)</w:t>
            </w:r>
          </w:p>
        </w:tc>
        <w:tc>
          <w:tcPr>
            <w:tcW w:w="1656" w:type="dxa"/>
            <w:tcBorders>
              <w:top w:val="nil"/>
              <w:left w:val="nil"/>
              <w:bottom w:val="nil"/>
              <w:right w:val="nil"/>
            </w:tcBorders>
          </w:tcPr>
          <w:p w14:paraId="01091BD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(2.89)</w:t>
            </w:r>
          </w:p>
        </w:tc>
      </w:tr>
      <w:tr w:rsidR="00054D3B" w:rsidRPr="00DA590E" w14:paraId="2D8EF980" w14:textId="77777777" w:rsidTr="00015B88">
        <w:tc>
          <w:tcPr>
            <w:tcW w:w="2136" w:type="dxa"/>
            <w:tcBorders>
              <w:top w:val="nil"/>
              <w:left w:val="nil"/>
              <w:bottom w:val="nil"/>
              <w:right w:val="nil"/>
            </w:tcBorders>
          </w:tcPr>
          <w:p w14:paraId="60D3DD6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E0F9C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B26D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D5D3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9D1A4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0540A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153E7124" w14:textId="77777777" w:rsidTr="00015B88">
        <w:tc>
          <w:tcPr>
            <w:tcW w:w="2136" w:type="dxa"/>
            <w:tcBorders>
              <w:top w:val="nil"/>
              <w:left w:val="nil"/>
              <w:bottom w:val="nil"/>
              <w:right w:val="nil"/>
            </w:tcBorders>
          </w:tcPr>
          <w:p w14:paraId="6106765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L3.More Fixed Rate * Capital Account Openness</w:t>
            </w:r>
          </w:p>
        </w:tc>
        <w:tc>
          <w:tcPr>
            <w:tcW w:w="1656" w:type="dxa"/>
            <w:tcBorders>
              <w:top w:val="nil"/>
              <w:left w:val="nil"/>
              <w:bottom w:val="nil"/>
              <w:right w:val="nil"/>
            </w:tcBorders>
          </w:tcPr>
          <w:p w14:paraId="4FF7F04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-0.0799</w:t>
            </w:r>
          </w:p>
        </w:tc>
        <w:tc>
          <w:tcPr>
            <w:tcW w:w="1656" w:type="dxa"/>
            <w:tcBorders>
              <w:top w:val="nil"/>
              <w:left w:val="nil"/>
              <w:bottom w:val="nil"/>
              <w:right w:val="nil"/>
            </w:tcBorders>
          </w:tcPr>
          <w:p w14:paraId="75CAB95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0.00263</w:t>
            </w:r>
          </w:p>
        </w:tc>
        <w:tc>
          <w:tcPr>
            <w:tcW w:w="1656" w:type="dxa"/>
            <w:tcBorders>
              <w:top w:val="nil"/>
              <w:left w:val="nil"/>
              <w:bottom w:val="nil"/>
              <w:right w:val="nil"/>
            </w:tcBorders>
          </w:tcPr>
          <w:p w14:paraId="7D35837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0.131</w:t>
            </w:r>
          </w:p>
        </w:tc>
        <w:tc>
          <w:tcPr>
            <w:tcW w:w="1656" w:type="dxa"/>
            <w:tcBorders>
              <w:top w:val="nil"/>
              <w:left w:val="nil"/>
              <w:bottom w:val="nil"/>
              <w:right w:val="nil"/>
            </w:tcBorders>
          </w:tcPr>
          <w:p w14:paraId="0900667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0.0363</w:t>
            </w:r>
            <w:r w:rsidRPr="00DA590E">
              <w:rPr>
                <w:rFonts w:ascii="Times New Roman" w:hAnsi="Times New Roman" w:cs="Times New Roman"/>
                <w:sz w:val="16"/>
                <w:szCs w:val="16"/>
                <w:vertAlign w:val="superscript"/>
              </w:rPr>
              <w:t>*</w:t>
            </w:r>
          </w:p>
        </w:tc>
        <w:tc>
          <w:tcPr>
            <w:tcW w:w="1656" w:type="dxa"/>
            <w:tcBorders>
              <w:top w:val="nil"/>
              <w:left w:val="nil"/>
              <w:bottom w:val="nil"/>
              <w:right w:val="nil"/>
            </w:tcBorders>
          </w:tcPr>
          <w:p w14:paraId="6F68743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-0.00778</w:t>
            </w:r>
          </w:p>
        </w:tc>
      </w:tr>
      <w:tr w:rsidR="00054D3B" w:rsidRPr="00DA590E" w14:paraId="7C2016D1" w14:textId="77777777" w:rsidTr="00015B88">
        <w:tc>
          <w:tcPr>
            <w:tcW w:w="2136" w:type="dxa"/>
            <w:tcBorders>
              <w:top w:val="nil"/>
              <w:left w:val="nil"/>
              <w:bottom w:val="nil"/>
              <w:right w:val="nil"/>
            </w:tcBorders>
          </w:tcPr>
          <w:p w14:paraId="178736F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536C4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(-0.97)</w:t>
            </w:r>
          </w:p>
        </w:tc>
        <w:tc>
          <w:tcPr>
            <w:tcW w:w="1656" w:type="dxa"/>
            <w:tcBorders>
              <w:top w:val="nil"/>
              <w:left w:val="nil"/>
              <w:bottom w:val="nil"/>
              <w:right w:val="nil"/>
            </w:tcBorders>
          </w:tcPr>
          <w:p w14:paraId="506CD60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(0.05)</w:t>
            </w:r>
          </w:p>
        </w:tc>
        <w:tc>
          <w:tcPr>
            <w:tcW w:w="1656" w:type="dxa"/>
            <w:tcBorders>
              <w:top w:val="nil"/>
              <w:left w:val="nil"/>
              <w:bottom w:val="nil"/>
              <w:right w:val="nil"/>
            </w:tcBorders>
          </w:tcPr>
          <w:p w14:paraId="7A5A966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(1.61)</w:t>
            </w:r>
          </w:p>
        </w:tc>
        <w:tc>
          <w:tcPr>
            <w:tcW w:w="1656" w:type="dxa"/>
            <w:tcBorders>
              <w:top w:val="nil"/>
              <w:left w:val="nil"/>
              <w:bottom w:val="nil"/>
              <w:right w:val="nil"/>
            </w:tcBorders>
          </w:tcPr>
          <w:p w14:paraId="0049473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(2.13)</w:t>
            </w:r>
          </w:p>
        </w:tc>
        <w:tc>
          <w:tcPr>
            <w:tcW w:w="1656" w:type="dxa"/>
            <w:tcBorders>
              <w:top w:val="nil"/>
              <w:left w:val="nil"/>
              <w:bottom w:val="nil"/>
              <w:right w:val="nil"/>
            </w:tcBorders>
          </w:tcPr>
          <w:p w14:paraId="163EA3D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(-0.64)</w:t>
            </w:r>
          </w:p>
        </w:tc>
      </w:tr>
      <w:tr w:rsidR="00054D3B" w:rsidRPr="00DA590E" w14:paraId="1BA7476B" w14:textId="77777777" w:rsidTr="00015B88">
        <w:tc>
          <w:tcPr>
            <w:tcW w:w="2136" w:type="dxa"/>
            <w:tcBorders>
              <w:top w:val="nil"/>
              <w:left w:val="nil"/>
              <w:bottom w:val="nil"/>
              <w:right w:val="nil"/>
            </w:tcBorders>
          </w:tcPr>
          <w:p w14:paraId="7618427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BAF34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12A94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F3F5A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232B9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4BC3E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7D982639" w14:textId="77777777" w:rsidTr="00015B88">
        <w:tc>
          <w:tcPr>
            <w:tcW w:w="2136" w:type="dxa"/>
            <w:tcBorders>
              <w:top w:val="nil"/>
              <w:left w:val="nil"/>
              <w:bottom w:val="nil"/>
              <w:right w:val="nil"/>
            </w:tcBorders>
          </w:tcPr>
          <w:p w14:paraId="7B6B86D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L4.More Fixed Rate * Capital Account Openness</w:t>
            </w:r>
          </w:p>
        </w:tc>
        <w:tc>
          <w:tcPr>
            <w:tcW w:w="1656" w:type="dxa"/>
            <w:tcBorders>
              <w:top w:val="nil"/>
              <w:left w:val="nil"/>
              <w:bottom w:val="nil"/>
              <w:right w:val="nil"/>
            </w:tcBorders>
          </w:tcPr>
          <w:p w14:paraId="672013E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-0.0681</w:t>
            </w:r>
          </w:p>
        </w:tc>
        <w:tc>
          <w:tcPr>
            <w:tcW w:w="1656" w:type="dxa"/>
            <w:tcBorders>
              <w:top w:val="nil"/>
              <w:left w:val="nil"/>
              <w:bottom w:val="nil"/>
              <w:right w:val="nil"/>
            </w:tcBorders>
          </w:tcPr>
          <w:p w14:paraId="54A8A19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-0.0597</w:t>
            </w:r>
          </w:p>
        </w:tc>
        <w:tc>
          <w:tcPr>
            <w:tcW w:w="1656" w:type="dxa"/>
            <w:tcBorders>
              <w:top w:val="nil"/>
              <w:left w:val="nil"/>
              <w:bottom w:val="nil"/>
              <w:right w:val="nil"/>
            </w:tcBorders>
          </w:tcPr>
          <w:p w14:paraId="644C16C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-0.0655</w:t>
            </w:r>
          </w:p>
        </w:tc>
        <w:tc>
          <w:tcPr>
            <w:tcW w:w="1656" w:type="dxa"/>
            <w:tcBorders>
              <w:top w:val="nil"/>
              <w:left w:val="nil"/>
              <w:bottom w:val="nil"/>
              <w:right w:val="nil"/>
            </w:tcBorders>
          </w:tcPr>
          <w:p w14:paraId="561323A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-0.0216</w:t>
            </w:r>
          </w:p>
        </w:tc>
        <w:tc>
          <w:tcPr>
            <w:tcW w:w="1656" w:type="dxa"/>
            <w:tcBorders>
              <w:top w:val="nil"/>
              <w:left w:val="nil"/>
              <w:bottom w:val="nil"/>
              <w:right w:val="nil"/>
            </w:tcBorders>
          </w:tcPr>
          <w:p w14:paraId="374C1A4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-0.00243</w:t>
            </w:r>
          </w:p>
        </w:tc>
      </w:tr>
      <w:tr w:rsidR="00054D3B" w:rsidRPr="00DA590E" w14:paraId="0F42085B" w14:textId="77777777" w:rsidTr="00015B88">
        <w:tc>
          <w:tcPr>
            <w:tcW w:w="2136" w:type="dxa"/>
            <w:tcBorders>
              <w:top w:val="nil"/>
              <w:left w:val="nil"/>
              <w:bottom w:val="nil"/>
              <w:right w:val="nil"/>
            </w:tcBorders>
          </w:tcPr>
          <w:p w14:paraId="50FF472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59731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(-0.98)</w:t>
            </w:r>
          </w:p>
        </w:tc>
        <w:tc>
          <w:tcPr>
            <w:tcW w:w="1656" w:type="dxa"/>
            <w:tcBorders>
              <w:top w:val="nil"/>
              <w:left w:val="nil"/>
              <w:bottom w:val="nil"/>
              <w:right w:val="nil"/>
            </w:tcBorders>
          </w:tcPr>
          <w:p w14:paraId="3EA2187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(-1.12)</w:t>
            </w:r>
          </w:p>
        </w:tc>
        <w:tc>
          <w:tcPr>
            <w:tcW w:w="1656" w:type="dxa"/>
            <w:tcBorders>
              <w:top w:val="nil"/>
              <w:left w:val="nil"/>
              <w:bottom w:val="nil"/>
              <w:right w:val="nil"/>
            </w:tcBorders>
          </w:tcPr>
          <w:p w14:paraId="6B91940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(-0.79)</w:t>
            </w:r>
          </w:p>
        </w:tc>
        <w:tc>
          <w:tcPr>
            <w:tcW w:w="1656" w:type="dxa"/>
            <w:tcBorders>
              <w:top w:val="nil"/>
              <w:left w:val="nil"/>
              <w:bottom w:val="nil"/>
              <w:right w:val="nil"/>
            </w:tcBorders>
          </w:tcPr>
          <w:p w14:paraId="4AE8A19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(-1.42)</w:t>
            </w:r>
          </w:p>
        </w:tc>
        <w:tc>
          <w:tcPr>
            <w:tcW w:w="1656" w:type="dxa"/>
            <w:tcBorders>
              <w:top w:val="nil"/>
              <w:left w:val="nil"/>
              <w:bottom w:val="nil"/>
              <w:right w:val="nil"/>
            </w:tcBorders>
          </w:tcPr>
          <w:p w14:paraId="598CF28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(-0.25)</w:t>
            </w:r>
          </w:p>
        </w:tc>
      </w:tr>
      <w:tr w:rsidR="00054D3B" w:rsidRPr="00DA590E" w14:paraId="21E1EE5F" w14:textId="77777777" w:rsidTr="00015B88">
        <w:tc>
          <w:tcPr>
            <w:tcW w:w="2136" w:type="dxa"/>
            <w:tcBorders>
              <w:top w:val="nil"/>
              <w:left w:val="nil"/>
              <w:bottom w:val="nil"/>
              <w:right w:val="nil"/>
            </w:tcBorders>
          </w:tcPr>
          <w:p w14:paraId="73474B9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2B08F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02C46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35FF8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9DDC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DCEFA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4C61D353" w14:textId="77777777" w:rsidTr="00015B88">
        <w:tc>
          <w:tcPr>
            <w:tcW w:w="2136" w:type="dxa"/>
            <w:tcBorders>
              <w:top w:val="nil"/>
              <w:left w:val="nil"/>
              <w:bottom w:val="nil"/>
              <w:right w:val="nil"/>
            </w:tcBorders>
          </w:tcPr>
          <w:p w14:paraId="7382882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L5.More Fixed Rate * Capital Account Openness</w:t>
            </w:r>
          </w:p>
        </w:tc>
        <w:tc>
          <w:tcPr>
            <w:tcW w:w="1656" w:type="dxa"/>
            <w:tcBorders>
              <w:top w:val="nil"/>
              <w:left w:val="nil"/>
              <w:bottom w:val="nil"/>
              <w:right w:val="nil"/>
            </w:tcBorders>
          </w:tcPr>
          <w:p w14:paraId="71AE319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-0.00593</w:t>
            </w:r>
          </w:p>
        </w:tc>
        <w:tc>
          <w:tcPr>
            <w:tcW w:w="1656" w:type="dxa"/>
            <w:tcBorders>
              <w:top w:val="nil"/>
              <w:left w:val="nil"/>
              <w:bottom w:val="nil"/>
              <w:right w:val="nil"/>
            </w:tcBorders>
          </w:tcPr>
          <w:p w14:paraId="42B207D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0.0508</w:t>
            </w:r>
          </w:p>
        </w:tc>
        <w:tc>
          <w:tcPr>
            <w:tcW w:w="1656" w:type="dxa"/>
            <w:tcBorders>
              <w:top w:val="nil"/>
              <w:left w:val="nil"/>
              <w:bottom w:val="nil"/>
              <w:right w:val="nil"/>
            </w:tcBorders>
          </w:tcPr>
          <w:p w14:paraId="42E27DD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-0.0880</w:t>
            </w:r>
          </w:p>
        </w:tc>
        <w:tc>
          <w:tcPr>
            <w:tcW w:w="1656" w:type="dxa"/>
            <w:tcBorders>
              <w:top w:val="nil"/>
              <w:left w:val="nil"/>
              <w:bottom w:val="nil"/>
              <w:right w:val="nil"/>
            </w:tcBorders>
          </w:tcPr>
          <w:p w14:paraId="0601B12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0.00116</w:t>
            </w:r>
          </w:p>
        </w:tc>
        <w:tc>
          <w:tcPr>
            <w:tcW w:w="1656" w:type="dxa"/>
            <w:tcBorders>
              <w:top w:val="nil"/>
              <w:left w:val="nil"/>
              <w:bottom w:val="nil"/>
              <w:right w:val="nil"/>
            </w:tcBorders>
          </w:tcPr>
          <w:p w14:paraId="09F663D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-0.0353</w:t>
            </w:r>
            <w:r w:rsidRPr="00DA590E">
              <w:rPr>
                <w:rFonts w:ascii="Times New Roman" w:hAnsi="Times New Roman" w:cs="Times New Roman"/>
                <w:sz w:val="16"/>
                <w:szCs w:val="16"/>
                <w:vertAlign w:val="superscript"/>
              </w:rPr>
              <w:t>**</w:t>
            </w:r>
          </w:p>
        </w:tc>
      </w:tr>
      <w:tr w:rsidR="00054D3B" w:rsidRPr="00DA590E" w14:paraId="3F0C108F" w14:textId="77777777" w:rsidTr="00015B88">
        <w:tc>
          <w:tcPr>
            <w:tcW w:w="2136" w:type="dxa"/>
            <w:tcBorders>
              <w:top w:val="nil"/>
              <w:left w:val="nil"/>
              <w:bottom w:val="nil"/>
              <w:right w:val="nil"/>
            </w:tcBorders>
          </w:tcPr>
          <w:p w14:paraId="5FF5004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8779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(-0.08)</w:t>
            </w:r>
          </w:p>
        </w:tc>
        <w:tc>
          <w:tcPr>
            <w:tcW w:w="1656" w:type="dxa"/>
            <w:tcBorders>
              <w:top w:val="nil"/>
              <w:left w:val="nil"/>
              <w:bottom w:val="nil"/>
              <w:right w:val="nil"/>
            </w:tcBorders>
          </w:tcPr>
          <w:p w14:paraId="26AFAC0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(0.79)</w:t>
            </w:r>
          </w:p>
        </w:tc>
        <w:tc>
          <w:tcPr>
            <w:tcW w:w="1656" w:type="dxa"/>
            <w:tcBorders>
              <w:top w:val="nil"/>
              <w:left w:val="nil"/>
              <w:bottom w:val="nil"/>
              <w:right w:val="nil"/>
            </w:tcBorders>
          </w:tcPr>
          <w:p w14:paraId="3C6649E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(-1.15)</w:t>
            </w:r>
          </w:p>
        </w:tc>
        <w:tc>
          <w:tcPr>
            <w:tcW w:w="1656" w:type="dxa"/>
            <w:tcBorders>
              <w:top w:val="nil"/>
              <w:left w:val="nil"/>
              <w:bottom w:val="nil"/>
              <w:right w:val="nil"/>
            </w:tcBorders>
          </w:tcPr>
          <w:p w14:paraId="3B2EDF5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(0.08)</w:t>
            </w:r>
          </w:p>
        </w:tc>
        <w:tc>
          <w:tcPr>
            <w:tcW w:w="1656" w:type="dxa"/>
            <w:tcBorders>
              <w:top w:val="nil"/>
              <w:left w:val="nil"/>
              <w:bottom w:val="nil"/>
              <w:right w:val="nil"/>
            </w:tcBorders>
          </w:tcPr>
          <w:p w14:paraId="103AE91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(-3.01)</w:t>
            </w:r>
          </w:p>
        </w:tc>
      </w:tr>
      <w:tr w:rsidR="00054D3B" w:rsidRPr="00DA590E" w14:paraId="15DB4D0D" w14:textId="77777777" w:rsidTr="00015B88">
        <w:tc>
          <w:tcPr>
            <w:tcW w:w="2136" w:type="dxa"/>
            <w:tcBorders>
              <w:top w:val="nil"/>
              <w:left w:val="nil"/>
              <w:bottom w:val="nil"/>
              <w:right w:val="nil"/>
            </w:tcBorders>
          </w:tcPr>
          <w:p w14:paraId="4CE4208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C1C2E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FC1A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62A4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E06EC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06E71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0891B13B" w14:textId="77777777" w:rsidTr="00015B88">
        <w:tc>
          <w:tcPr>
            <w:tcW w:w="2136" w:type="dxa"/>
            <w:tcBorders>
              <w:top w:val="nil"/>
              <w:left w:val="nil"/>
              <w:bottom w:val="nil"/>
              <w:right w:val="nil"/>
            </w:tcBorders>
          </w:tcPr>
          <w:p w14:paraId="192795F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L6.More Fixed Rate * Capital Account Openness</w:t>
            </w:r>
          </w:p>
        </w:tc>
        <w:tc>
          <w:tcPr>
            <w:tcW w:w="1656" w:type="dxa"/>
            <w:tcBorders>
              <w:top w:val="nil"/>
              <w:left w:val="nil"/>
              <w:bottom w:val="nil"/>
              <w:right w:val="nil"/>
            </w:tcBorders>
          </w:tcPr>
          <w:p w14:paraId="1EB1A91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0.138</w:t>
            </w:r>
            <w:r w:rsidRPr="00DA590E">
              <w:rPr>
                <w:rFonts w:ascii="Times New Roman" w:hAnsi="Times New Roman" w:cs="Times New Roman"/>
                <w:sz w:val="16"/>
                <w:szCs w:val="16"/>
                <w:vertAlign w:val="superscript"/>
              </w:rPr>
              <w:t>*</w:t>
            </w:r>
          </w:p>
        </w:tc>
        <w:tc>
          <w:tcPr>
            <w:tcW w:w="1656" w:type="dxa"/>
            <w:tcBorders>
              <w:top w:val="nil"/>
              <w:left w:val="nil"/>
              <w:bottom w:val="nil"/>
              <w:right w:val="nil"/>
            </w:tcBorders>
          </w:tcPr>
          <w:p w14:paraId="20B1525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-0.0307</w:t>
            </w:r>
          </w:p>
        </w:tc>
        <w:tc>
          <w:tcPr>
            <w:tcW w:w="1656" w:type="dxa"/>
            <w:tcBorders>
              <w:top w:val="nil"/>
              <w:left w:val="nil"/>
              <w:bottom w:val="nil"/>
              <w:right w:val="nil"/>
            </w:tcBorders>
          </w:tcPr>
          <w:p w14:paraId="4DB1A6A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0.149</w:t>
            </w:r>
            <w:r w:rsidRPr="00DA590E">
              <w:rPr>
                <w:rFonts w:ascii="Times New Roman" w:hAnsi="Times New Roman" w:cs="Times New Roman"/>
                <w:sz w:val="16"/>
                <w:szCs w:val="16"/>
                <w:vertAlign w:val="superscript"/>
              </w:rPr>
              <w:t>*</w:t>
            </w:r>
          </w:p>
        </w:tc>
        <w:tc>
          <w:tcPr>
            <w:tcW w:w="1656" w:type="dxa"/>
            <w:tcBorders>
              <w:top w:val="nil"/>
              <w:left w:val="nil"/>
              <w:bottom w:val="nil"/>
              <w:right w:val="nil"/>
            </w:tcBorders>
          </w:tcPr>
          <w:p w14:paraId="335351F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0.0198</w:t>
            </w:r>
          </w:p>
        </w:tc>
        <w:tc>
          <w:tcPr>
            <w:tcW w:w="1656" w:type="dxa"/>
            <w:tcBorders>
              <w:top w:val="nil"/>
              <w:left w:val="nil"/>
              <w:bottom w:val="nil"/>
              <w:right w:val="nil"/>
            </w:tcBorders>
          </w:tcPr>
          <w:p w14:paraId="1E7BA5B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0.00603</w:t>
            </w:r>
          </w:p>
        </w:tc>
      </w:tr>
      <w:tr w:rsidR="00054D3B" w:rsidRPr="00DA590E" w14:paraId="38DE170B" w14:textId="77777777" w:rsidTr="00015B88">
        <w:tc>
          <w:tcPr>
            <w:tcW w:w="2136" w:type="dxa"/>
            <w:tcBorders>
              <w:top w:val="nil"/>
              <w:left w:val="nil"/>
              <w:bottom w:val="nil"/>
              <w:right w:val="nil"/>
            </w:tcBorders>
          </w:tcPr>
          <w:p w14:paraId="5848E40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61825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(2.08)</w:t>
            </w:r>
          </w:p>
        </w:tc>
        <w:tc>
          <w:tcPr>
            <w:tcW w:w="1656" w:type="dxa"/>
            <w:tcBorders>
              <w:top w:val="nil"/>
              <w:left w:val="nil"/>
              <w:bottom w:val="nil"/>
              <w:right w:val="nil"/>
            </w:tcBorders>
          </w:tcPr>
          <w:p w14:paraId="5AD31A1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(-0.57)</w:t>
            </w:r>
          </w:p>
        </w:tc>
        <w:tc>
          <w:tcPr>
            <w:tcW w:w="1656" w:type="dxa"/>
            <w:tcBorders>
              <w:top w:val="nil"/>
              <w:left w:val="nil"/>
              <w:bottom w:val="nil"/>
              <w:right w:val="nil"/>
            </w:tcBorders>
          </w:tcPr>
          <w:p w14:paraId="6F9D3C1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(2.52)</w:t>
            </w:r>
          </w:p>
        </w:tc>
        <w:tc>
          <w:tcPr>
            <w:tcW w:w="1656" w:type="dxa"/>
            <w:tcBorders>
              <w:top w:val="nil"/>
              <w:left w:val="nil"/>
              <w:bottom w:val="nil"/>
              <w:right w:val="nil"/>
            </w:tcBorders>
          </w:tcPr>
          <w:p w14:paraId="7E167C9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(1.42)</w:t>
            </w:r>
          </w:p>
        </w:tc>
        <w:tc>
          <w:tcPr>
            <w:tcW w:w="1656" w:type="dxa"/>
            <w:tcBorders>
              <w:top w:val="nil"/>
              <w:left w:val="nil"/>
              <w:bottom w:val="nil"/>
              <w:right w:val="nil"/>
            </w:tcBorders>
          </w:tcPr>
          <w:p w14:paraId="3FB5B49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(0.55)</w:t>
            </w:r>
          </w:p>
        </w:tc>
      </w:tr>
      <w:tr w:rsidR="00054D3B" w:rsidRPr="00DA590E" w14:paraId="54E8562E" w14:textId="77777777" w:rsidTr="00015B88">
        <w:tc>
          <w:tcPr>
            <w:tcW w:w="2136" w:type="dxa"/>
            <w:tcBorders>
              <w:top w:val="nil"/>
              <w:left w:val="nil"/>
              <w:bottom w:val="nil"/>
              <w:right w:val="nil"/>
            </w:tcBorders>
          </w:tcPr>
          <w:p w14:paraId="3B26C31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16DE6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5F3D8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C96181"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AE617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DCDBC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64990D2C" w14:textId="77777777" w:rsidTr="00015B88">
        <w:tc>
          <w:tcPr>
            <w:tcW w:w="2136" w:type="dxa"/>
            <w:tcBorders>
              <w:top w:val="nil"/>
              <w:left w:val="nil"/>
              <w:bottom w:val="nil"/>
              <w:right w:val="nil"/>
            </w:tcBorders>
          </w:tcPr>
          <w:p w14:paraId="703F0A5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L7.More Fixed Rate * Capital Account Openness</w:t>
            </w:r>
          </w:p>
        </w:tc>
        <w:tc>
          <w:tcPr>
            <w:tcW w:w="1656" w:type="dxa"/>
            <w:tcBorders>
              <w:top w:val="nil"/>
              <w:left w:val="nil"/>
              <w:bottom w:val="nil"/>
              <w:right w:val="nil"/>
            </w:tcBorders>
          </w:tcPr>
          <w:p w14:paraId="3D7C671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-0.0542</w:t>
            </w:r>
          </w:p>
        </w:tc>
        <w:tc>
          <w:tcPr>
            <w:tcW w:w="1656" w:type="dxa"/>
            <w:tcBorders>
              <w:top w:val="nil"/>
              <w:left w:val="nil"/>
              <w:bottom w:val="nil"/>
              <w:right w:val="nil"/>
            </w:tcBorders>
          </w:tcPr>
          <w:p w14:paraId="688C0C9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-0.00802</w:t>
            </w:r>
          </w:p>
        </w:tc>
        <w:tc>
          <w:tcPr>
            <w:tcW w:w="1656" w:type="dxa"/>
            <w:tcBorders>
              <w:top w:val="nil"/>
              <w:left w:val="nil"/>
              <w:bottom w:val="nil"/>
              <w:right w:val="nil"/>
            </w:tcBorders>
          </w:tcPr>
          <w:p w14:paraId="5FCCB76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-0.0532</w:t>
            </w:r>
          </w:p>
        </w:tc>
        <w:tc>
          <w:tcPr>
            <w:tcW w:w="1656" w:type="dxa"/>
            <w:tcBorders>
              <w:top w:val="nil"/>
              <w:left w:val="nil"/>
              <w:bottom w:val="nil"/>
              <w:right w:val="nil"/>
            </w:tcBorders>
          </w:tcPr>
          <w:p w14:paraId="4BA4D87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-0.0218</w:t>
            </w:r>
          </w:p>
        </w:tc>
        <w:tc>
          <w:tcPr>
            <w:tcW w:w="1656" w:type="dxa"/>
            <w:tcBorders>
              <w:top w:val="nil"/>
              <w:left w:val="nil"/>
              <w:bottom w:val="nil"/>
              <w:right w:val="nil"/>
            </w:tcBorders>
          </w:tcPr>
          <w:p w14:paraId="0E1206B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-0.00451</w:t>
            </w:r>
          </w:p>
        </w:tc>
      </w:tr>
      <w:tr w:rsidR="00054D3B" w:rsidRPr="00DA590E" w14:paraId="16410144" w14:textId="77777777" w:rsidTr="00015B88">
        <w:tc>
          <w:tcPr>
            <w:tcW w:w="2136" w:type="dxa"/>
            <w:tcBorders>
              <w:top w:val="nil"/>
              <w:left w:val="nil"/>
              <w:bottom w:val="nil"/>
              <w:right w:val="nil"/>
            </w:tcBorders>
          </w:tcPr>
          <w:p w14:paraId="5E9B37A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23C37"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(-0.71)</w:t>
            </w:r>
          </w:p>
        </w:tc>
        <w:tc>
          <w:tcPr>
            <w:tcW w:w="1656" w:type="dxa"/>
            <w:tcBorders>
              <w:top w:val="nil"/>
              <w:left w:val="nil"/>
              <w:bottom w:val="nil"/>
              <w:right w:val="nil"/>
            </w:tcBorders>
          </w:tcPr>
          <w:p w14:paraId="67BCAED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(-0.16)</w:t>
            </w:r>
          </w:p>
        </w:tc>
        <w:tc>
          <w:tcPr>
            <w:tcW w:w="1656" w:type="dxa"/>
            <w:tcBorders>
              <w:top w:val="nil"/>
              <w:left w:val="nil"/>
              <w:bottom w:val="nil"/>
              <w:right w:val="nil"/>
            </w:tcBorders>
          </w:tcPr>
          <w:p w14:paraId="4C8C7C6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(-0.83)</w:t>
            </w:r>
          </w:p>
        </w:tc>
        <w:tc>
          <w:tcPr>
            <w:tcW w:w="1656" w:type="dxa"/>
            <w:tcBorders>
              <w:top w:val="nil"/>
              <w:left w:val="nil"/>
              <w:bottom w:val="nil"/>
              <w:right w:val="nil"/>
            </w:tcBorders>
          </w:tcPr>
          <w:p w14:paraId="448D060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(-1.65)</w:t>
            </w:r>
          </w:p>
        </w:tc>
        <w:tc>
          <w:tcPr>
            <w:tcW w:w="1656" w:type="dxa"/>
            <w:tcBorders>
              <w:top w:val="nil"/>
              <w:left w:val="nil"/>
              <w:bottom w:val="nil"/>
              <w:right w:val="nil"/>
            </w:tcBorders>
          </w:tcPr>
          <w:p w14:paraId="712E3F5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(-0.41)</w:t>
            </w:r>
          </w:p>
        </w:tc>
      </w:tr>
      <w:tr w:rsidR="00054D3B" w:rsidRPr="00DA590E" w14:paraId="508EE365" w14:textId="77777777" w:rsidTr="00015B88">
        <w:tc>
          <w:tcPr>
            <w:tcW w:w="2136" w:type="dxa"/>
            <w:tcBorders>
              <w:top w:val="nil"/>
              <w:left w:val="nil"/>
              <w:bottom w:val="nil"/>
              <w:right w:val="nil"/>
            </w:tcBorders>
          </w:tcPr>
          <w:p w14:paraId="56DA4F9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2B3A8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21AF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82986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E8E19"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3E42A0"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5B7FE590" w14:textId="77777777" w:rsidTr="00015B88">
        <w:tc>
          <w:tcPr>
            <w:tcW w:w="2136" w:type="dxa"/>
            <w:tcBorders>
              <w:top w:val="nil"/>
              <w:left w:val="nil"/>
              <w:bottom w:val="nil"/>
              <w:right w:val="nil"/>
            </w:tcBorders>
          </w:tcPr>
          <w:p w14:paraId="14B6696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L8.More Fixed Rate * Capital Account Openness</w:t>
            </w:r>
          </w:p>
        </w:tc>
        <w:tc>
          <w:tcPr>
            <w:tcW w:w="1656" w:type="dxa"/>
            <w:tcBorders>
              <w:top w:val="nil"/>
              <w:left w:val="nil"/>
              <w:bottom w:val="nil"/>
              <w:right w:val="nil"/>
            </w:tcBorders>
          </w:tcPr>
          <w:p w14:paraId="34F6EB8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-0.0248</w:t>
            </w:r>
          </w:p>
        </w:tc>
        <w:tc>
          <w:tcPr>
            <w:tcW w:w="1656" w:type="dxa"/>
            <w:tcBorders>
              <w:top w:val="nil"/>
              <w:left w:val="nil"/>
              <w:bottom w:val="nil"/>
              <w:right w:val="nil"/>
            </w:tcBorders>
          </w:tcPr>
          <w:p w14:paraId="7FB6D36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-0.0645</w:t>
            </w:r>
          </w:p>
        </w:tc>
        <w:tc>
          <w:tcPr>
            <w:tcW w:w="1656" w:type="dxa"/>
            <w:tcBorders>
              <w:top w:val="nil"/>
              <w:left w:val="nil"/>
              <w:bottom w:val="nil"/>
              <w:right w:val="nil"/>
            </w:tcBorders>
          </w:tcPr>
          <w:p w14:paraId="23D971E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-0.0103</w:t>
            </w:r>
          </w:p>
        </w:tc>
        <w:tc>
          <w:tcPr>
            <w:tcW w:w="1656" w:type="dxa"/>
            <w:tcBorders>
              <w:top w:val="nil"/>
              <w:left w:val="nil"/>
              <w:bottom w:val="nil"/>
              <w:right w:val="nil"/>
            </w:tcBorders>
          </w:tcPr>
          <w:p w14:paraId="67F2C5F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0.00202</w:t>
            </w:r>
          </w:p>
        </w:tc>
        <w:tc>
          <w:tcPr>
            <w:tcW w:w="1656" w:type="dxa"/>
            <w:tcBorders>
              <w:top w:val="nil"/>
              <w:left w:val="nil"/>
              <w:bottom w:val="nil"/>
              <w:right w:val="nil"/>
            </w:tcBorders>
          </w:tcPr>
          <w:p w14:paraId="67A2616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-0.0106</w:t>
            </w:r>
          </w:p>
        </w:tc>
      </w:tr>
      <w:tr w:rsidR="00054D3B" w:rsidRPr="00DA590E" w14:paraId="5EB7C515" w14:textId="77777777" w:rsidTr="00015B88">
        <w:tc>
          <w:tcPr>
            <w:tcW w:w="2136" w:type="dxa"/>
            <w:tcBorders>
              <w:top w:val="nil"/>
              <w:left w:val="nil"/>
              <w:bottom w:val="nil"/>
              <w:right w:val="nil"/>
            </w:tcBorders>
          </w:tcPr>
          <w:p w14:paraId="5496BF25"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FD59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(-0.42)</w:t>
            </w:r>
          </w:p>
        </w:tc>
        <w:tc>
          <w:tcPr>
            <w:tcW w:w="1656" w:type="dxa"/>
            <w:tcBorders>
              <w:top w:val="nil"/>
              <w:left w:val="nil"/>
              <w:bottom w:val="nil"/>
              <w:right w:val="nil"/>
            </w:tcBorders>
          </w:tcPr>
          <w:p w14:paraId="6422ECC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(-1.60)</w:t>
            </w:r>
          </w:p>
        </w:tc>
        <w:tc>
          <w:tcPr>
            <w:tcW w:w="1656" w:type="dxa"/>
            <w:tcBorders>
              <w:top w:val="nil"/>
              <w:left w:val="nil"/>
              <w:bottom w:val="nil"/>
              <w:right w:val="nil"/>
            </w:tcBorders>
          </w:tcPr>
          <w:p w14:paraId="2AE395F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(-0.15)</w:t>
            </w:r>
          </w:p>
        </w:tc>
        <w:tc>
          <w:tcPr>
            <w:tcW w:w="1656" w:type="dxa"/>
            <w:tcBorders>
              <w:top w:val="nil"/>
              <w:left w:val="nil"/>
              <w:bottom w:val="nil"/>
              <w:right w:val="nil"/>
            </w:tcBorders>
          </w:tcPr>
          <w:p w14:paraId="77FC291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(0.17)</w:t>
            </w:r>
          </w:p>
        </w:tc>
        <w:tc>
          <w:tcPr>
            <w:tcW w:w="1656" w:type="dxa"/>
            <w:tcBorders>
              <w:top w:val="nil"/>
              <w:left w:val="nil"/>
              <w:bottom w:val="nil"/>
              <w:right w:val="nil"/>
            </w:tcBorders>
          </w:tcPr>
          <w:p w14:paraId="1FC1892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(-0.81)</w:t>
            </w:r>
          </w:p>
        </w:tc>
      </w:tr>
      <w:tr w:rsidR="00054D3B" w:rsidRPr="00DA590E" w14:paraId="15846872" w14:textId="77777777" w:rsidTr="00015B88">
        <w:tc>
          <w:tcPr>
            <w:tcW w:w="2136" w:type="dxa"/>
            <w:tcBorders>
              <w:top w:val="nil"/>
              <w:left w:val="nil"/>
              <w:bottom w:val="nil"/>
              <w:right w:val="nil"/>
            </w:tcBorders>
          </w:tcPr>
          <w:p w14:paraId="4B1092A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D6798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0091E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EAE3D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2EE5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EF6862"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4BAB925D" w14:textId="77777777" w:rsidTr="00015B88">
        <w:tc>
          <w:tcPr>
            <w:tcW w:w="2136" w:type="dxa"/>
            <w:tcBorders>
              <w:top w:val="nil"/>
              <w:left w:val="nil"/>
              <w:bottom w:val="nil"/>
              <w:right w:val="nil"/>
            </w:tcBorders>
          </w:tcPr>
          <w:p w14:paraId="13A7A60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L9.More Fixed Rate * Capital Account Openness</w:t>
            </w:r>
          </w:p>
        </w:tc>
        <w:tc>
          <w:tcPr>
            <w:tcW w:w="1656" w:type="dxa"/>
            <w:tcBorders>
              <w:top w:val="nil"/>
              <w:left w:val="nil"/>
              <w:bottom w:val="nil"/>
              <w:right w:val="nil"/>
            </w:tcBorders>
          </w:tcPr>
          <w:p w14:paraId="2198E80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0.0530</w:t>
            </w:r>
          </w:p>
        </w:tc>
        <w:tc>
          <w:tcPr>
            <w:tcW w:w="1656" w:type="dxa"/>
            <w:tcBorders>
              <w:top w:val="nil"/>
              <w:left w:val="nil"/>
              <w:bottom w:val="nil"/>
              <w:right w:val="nil"/>
            </w:tcBorders>
          </w:tcPr>
          <w:p w14:paraId="020A491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0.0487</w:t>
            </w:r>
          </w:p>
        </w:tc>
        <w:tc>
          <w:tcPr>
            <w:tcW w:w="1656" w:type="dxa"/>
            <w:tcBorders>
              <w:top w:val="nil"/>
              <w:left w:val="nil"/>
              <w:bottom w:val="nil"/>
              <w:right w:val="nil"/>
            </w:tcBorders>
          </w:tcPr>
          <w:p w14:paraId="5FA1893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-0.0146</w:t>
            </w:r>
          </w:p>
        </w:tc>
        <w:tc>
          <w:tcPr>
            <w:tcW w:w="1656" w:type="dxa"/>
            <w:tcBorders>
              <w:top w:val="nil"/>
              <w:left w:val="nil"/>
              <w:bottom w:val="nil"/>
              <w:right w:val="nil"/>
            </w:tcBorders>
          </w:tcPr>
          <w:p w14:paraId="531A92E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0.00495</w:t>
            </w:r>
          </w:p>
        </w:tc>
        <w:tc>
          <w:tcPr>
            <w:tcW w:w="1656" w:type="dxa"/>
            <w:tcBorders>
              <w:top w:val="nil"/>
              <w:left w:val="nil"/>
              <w:bottom w:val="nil"/>
              <w:right w:val="nil"/>
            </w:tcBorders>
          </w:tcPr>
          <w:p w14:paraId="3D8252B4"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-0.00706</w:t>
            </w:r>
          </w:p>
        </w:tc>
      </w:tr>
      <w:tr w:rsidR="00054D3B" w:rsidRPr="00DA590E" w14:paraId="147A6658" w14:textId="77777777" w:rsidTr="00015B88">
        <w:tc>
          <w:tcPr>
            <w:tcW w:w="2136" w:type="dxa"/>
            <w:tcBorders>
              <w:top w:val="nil"/>
              <w:left w:val="nil"/>
              <w:bottom w:val="nil"/>
              <w:right w:val="nil"/>
            </w:tcBorders>
          </w:tcPr>
          <w:p w14:paraId="101AE4D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CA950D"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(0.95)</w:t>
            </w:r>
          </w:p>
        </w:tc>
        <w:tc>
          <w:tcPr>
            <w:tcW w:w="1656" w:type="dxa"/>
            <w:tcBorders>
              <w:top w:val="nil"/>
              <w:left w:val="nil"/>
              <w:bottom w:val="nil"/>
              <w:right w:val="nil"/>
            </w:tcBorders>
          </w:tcPr>
          <w:p w14:paraId="60C4F85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(1.13)</w:t>
            </w:r>
          </w:p>
        </w:tc>
        <w:tc>
          <w:tcPr>
            <w:tcW w:w="1656" w:type="dxa"/>
            <w:tcBorders>
              <w:top w:val="nil"/>
              <w:left w:val="nil"/>
              <w:bottom w:val="nil"/>
              <w:right w:val="nil"/>
            </w:tcBorders>
          </w:tcPr>
          <w:p w14:paraId="7F786C6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(-0.21)</w:t>
            </w:r>
          </w:p>
        </w:tc>
        <w:tc>
          <w:tcPr>
            <w:tcW w:w="1656" w:type="dxa"/>
            <w:tcBorders>
              <w:top w:val="nil"/>
              <w:left w:val="nil"/>
              <w:bottom w:val="nil"/>
              <w:right w:val="nil"/>
            </w:tcBorders>
          </w:tcPr>
          <w:p w14:paraId="49E4D31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(0.43)</w:t>
            </w:r>
          </w:p>
        </w:tc>
        <w:tc>
          <w:tcPr>
            <w:tcW w:w="1656" w:type="dxa"/>
            <w:tcBorders>
              <w:top w:val="nil"/>
              <w:left w:val="nil"/>
              <w:bottom w:val="nil"/>
              <w:right w:val="nil"/>
            </w:tcBorders>
          </w:tcPr>
          <w:p w14:paraId="6A81E6A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(-0.59)</w:t>
            </w:r>
          </w:p>
        </w:tc>
      </w:tr>
      <w:tr w:rsidR="00054D3B" w:rsidRPr="00DA590E" w14:paraId="6D68BB73" w14:textId="77777777" w:rsidTr="00015B88">
        <w:tc>
          <w:tcPr>
            <w:tcW w:w="2136" w:type="dxa"/>
            <w:tcBorders>
              <w:top w:val="nil"/>
              <w:left w:val="nil"/>
              <w:bottom w:val="nil"/>
              <w:right w:val="nil"/>
            </w:tcBorders>
          </w:tcPr>
          <w:p w14:paraId="36B4F0F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8E34DC"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8ECE0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83219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AD3E8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5A21B"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350AD225" w14:textId="77777777" w:rsidTr="00015B88">
        <w:tc>
          <w:tcPr>
            <w:tcW w:w="2136" w:type="dxa"/>
            <w:tcBorders>
              <w:top w:val="nil"/>
              <w:left w:val="nil"/>
              <w:bottom w:val="nil"/>
              <w:right w:val="nil"/>
            </w:tcBorders>
          </w:tcPr>
          <w:p w14:paraId="65EC1C38"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2E036A7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-0.0245</w:t>
            </w:r>
          </w:p>
        </w:tc>
        <w:tc>
          <w:tcPr>
            <w:tcW w:w="1656" w:type="dxa"/>
            <w:tcBorders>
              <w:top w:val="nil"/>
              <w:left w:val="nil"/>
              <w:bottom w:val="nil"/>
              <w:right w:val="nil"/>
            </w:tcBorders>
          </w:tcPr>
          <w:p w14:paraId="5418DE3A"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0.0574</w:t>
            </w:r>
          </w:p>
        </w:tc>
        <w:tc>
          <w:tcPr>
            <w:tcW w:w="1656" w:type="dxa"/>
            <w:tcBorders>
              <w:top w:val="nil"/>
              <w:left w:val="nil"/>
              <w:bottom w:val="nil"/>
              <w:right w:val="nil"/>
            </w:tcBorders>
          </w:tcPr>
          <w:p w14:paraId="5912465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0.0366</w:t>
            </w:r>
          </w:p>
        </w:tc>
        <w:tc>
          <w:tcPr>
            <w:tcW w:w="1656" w:type="dxa"/>
            <w:tcBorders>
              <w:top w:val="nil"/>
              <w:left w:val="nil"/>
              <w:bottom w:val="nil"/>
              <w:right w:val="nil"/>
            </w:tcBorders>
          </w:tcPr>
          <w:p w14:paraId="2D214755"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-0.0305</w:t>
            </w:r>
            <w:r w:rsidRPr="00DA590E">
              <w:rPr>
                <w:rFonts w:ascii="Times New Roman" w:hAnsi="Times New Roman" w:cs="Times New Roman"/>
                <w:sz w:val="16"/>
                <w:szCs w:val="16"/>
                <w:vertAlign w:val="superscript"/>
              </w:rPr>
              <w:t>*</w:t>
            </w:r>
          </w:p>
        </w:tc>
        <w:tc>
          <w:tcPr>
            <w:tcW w:w="1656" w:type="dxa"/>
            <w:tcBorders>
              <w:top w:val="nil"/>
              <w:left w:val="nil"/>
              <w:bottom w:val="nil"/>
              <w:right w:val="nil"/>
            </w:tcBorders>
          </w:tcPr>
          <w:p w14:paraId="70BA458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-0.00558</w:t>
            </w:r>
          </w:p>
        </w:tc>
      </w:tr>
      <w:tr w:rsidR="00054D3B" w:rsidRPr="00DA590E" w14:paraId="14F93427" w14:textId="77777777" w:rsidTr="00015B88">
        <w:tc>
          <w:tcPr>
            <w:tcW w:w="2136" w:type="dxa"/>
            <w:tcBorders>
              <w:top w:val="nil"/>
              <w:left w:val="nil"/>
              <w:bottom w:val="nil"/>
              <w:right w:val="nil"/>
            </w:tcBorders>
          </w:tcPr>
          <w:p w14:paraId="7B2C979A"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C0D7B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(-0.52)</w:t>
            </w:r>
          </w:p>
        </w:tc>
        <w:tc>
          <w:tcPr>
            <w:tcW w:w="1656" w:type="dxa"/>
            <w:tcBorders>
              <w:top w:val="nil"/>
              <w:left w:val="nil"/>
              <w:bottom w:val="nil"/>
              <w:right w:val="nil"/>
            </w:tcBorders>
          </w:tcPr>
          <w:p w14:paraId="191F9F1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(1.30)</w:t>
            </w:r>
          </w:p>
        </w:tc>
        <w:tc>
          <w:tcPr>
            <w:tcW w:w="1656" w:type="dxa"/>
            <w:tcBorders>
              <w:top w:val="nil"/>
              <w:left w:val="nil"/>
              <w:bottom w:val="nil"/>
              <w:right w:val="nil"/>
            </w:tcBorders>
          </w:tcPr>
          <w:p w14:paraId="6D27A7BF"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(0.64)</w:t>
            </w:r>
          </w:p>
        </w:tc>
        <w:tc>
          <w:tcPr>
            <w:tcW w:w="1656" w:type="dxa"/>
            <w:tcBorders>
              <w:top w:val="nil"/>
              <w:left w:val="nil"/>
              <w:bottom w:val="nil"/>
              <w:right w:val="nil"/>
            </w:tcBorders>
          </w:tcPr>
          <w:p w14:paraId="255B3B8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(-1.98)</w:t>
            </w:r>
          </w:p>
        </w:tc>
        <w:tc>
          <w:tcPr>
            <w:tcW w:w="1656" w:type="dxa"/>
            <w:tcBorders>
              <w:top w:val="nil"/>
              <w:left w:val="nil"/>
              <w:bottom w:val="nil"/>
              <w:right w:val="nil"/>
            </w:tcBorders>
          </w:tcPr>
          <w:p w14:paraId="38078EAC"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(-0.43)</w:t>
            </w:r>
          </w:p>
        </w:tc>
      </w:tr>
      <w:tr w:rsidR="00054D3B" w:rsidRPr="00DA590E" w14:paraId="712B0703" w14:textId="77777777" w:rsidTr="00015B88">
        <w:tc>
          <w:tcPr>
            <w:tcW w:w="2136" w:type="dxa"/>
            <w:tcBorders>
              <w:top w:val="nil"/>
              <w:left w:val="nil"/>
              <w:bottom w:val="nil"/>
              <w:right w:val="nil"/>
            </w:tcBorders>
          </w:tcPr>
          <w:p w14:paraId="37528393"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E7C3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00D57"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CA7D6"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CF7F6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86BC4"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r>
      <w:tr w:rsidR="00054D3B" w:rsidRPr="00DA590E" w14:paraId="3E80880F" w14:textId="77777777" w:rsidTr="00015B88">
        <w:tc>
          <w:tcPr>
            <w:tcW w:w="2136" w:type="dxa"/>
            <w:tcBorders>
              <w:top w:val="nil"/>
              <w:left w:val="nil"/>
              <w:bottom w:val="nil"/>
              <w:right w:val="nil"/>
            </w:tcBorders>
          </w:tcPr>
          <w:p w14:paraId="1AB8F50F"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Constant</w:t>
            </w:r>
          </w:p>
        </w:tc>
        <w:tc>
          <w:tcPr>
            <w:tcW w:w="1656" w:type="dxa"/>
            <w:tcBorders>
              <w:top w:val="nil"/>
              <w:left w:val="nil"/>
              <w:bottom w:val="nil"/>
              <w:right w:val="nil"/>
            </w:tcBorders>
          </w:tcPr>
          <w:p w14:paraId="449E0CF3"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1.285</w:t>
            </w:r>
            <w:r w:rsidRPr="00DA590E">
              <w:rPr>
                <w:rFonts w:ascii="Times New Roman" w:hAnsi="Times New Roman" w:cs="Times New Roman"/>
                <w:sz w:val="16"/>
                <w:szCs w:val="16"/>
                <w:vertAlign w:val="superscript"/>
              </w:rPr>
              <w:t>***</w:t>
            </w:r>
          </w:p>
        </w:tc>
        <w:tc>
          <w:tcPr>
            <w:tcW w:w="1656" w:type="dxa"/>
            <w:tcBorders>
              <w:top w:val="nil"/>
              <w:left w:val="nil"/>
              <w:bottom w:val="nil"/>
              <w:right w:val="nil"/>
            </w:tcBorders>
          </w:tcPr>
          <w:p w14:paraId="7E63B19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0.760</w:t>
            </w:r>
            <w:r w:rsidRPr="00DA590E">
              <w:rPr>
                <w:rFonts w:ascii="Times New Roman" w:hAnsi="Times New Roman" w:cs="Times New Roman"/>
                <w:sz w:val="16"/>
                <w:szCs w:val="16"/>
                <w:vertAlign w:val="superscript"/>
              </w:rPr>
              <w:t>**</w:t>
            </w:r>
          </w:p>
        </w:tc>
        <w:tc>
          <w:tcPr>
            <w:tcW w:w="1656" w:type="dxa"/>
            <w:tcBorders>
              <w:top w:val="nil"/>
              <w:left w:val="nil"/>
              <w:bottom w:val="nil"/>
              <w:right w:val="nil"/>
            </w:tcBorders>
          </w:tcPr>
          <w:p w14:paraId="51A0327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0.267</w:t>
            </w:r>
          </w:p>
        </w:tc>
        <w:tc>
          <w:tcPr>
            <w:tcW w:w="1656" w:type="dxa"/>
            <w:tcBorders>
              <w:top w:val="nil"/>
              <w:left w:val="nil"/>
              <w:bottom w:val="nil"/>
              <w:right w:val="nil"/>
            </w:tcBorders>
          </w:tcPr>
          <w:p w14:paraId="09BBCB0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0.569</w:t>
            </w:r>
            <w:r w:rsidRPr="00DA590E">
              <w:rPr>
                <w:rFonts w:ascii="Times New Roman" w:hAnsi="Times New Roman" w:cs="Times New Roman"/>
                <w:sz w:val="16"/>
                <w:szCs w:val="16"/>
                <w:vertAlign w:val="superscript"/>
              </w:rPr>
              <w:t>*</w:t>
            </w:r>
          </w:p>
        </w:tc>
        <w:tc>
          <w:tcPr>
            <w:tcW w:w="1656" w:type="dxa"/>
            <w:tcBorders>
              <w:top w:val="nil"/>
              <w:left w:val="nil"/>
              <w:bottom w:val="nil"/>
              <w:right w:val="nil"/>
            </w:tcBorders>
          </w:tcPr>
          <w:p w14:paraId="0468AB4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-0.720</w:t>
            </w:r>
            <w:r w:rsidRPr="00DA590E">
              <w:rPr>
                <w:rFonts w:ascii="Times New Roman" w:hAnsi="Times New Roman" w:cs="Times New Roman"/>
                <w:sz w:val="16"/>
                <w:szCs w:val="16"/>
                <w:vertAlign w:val="superscript"/>
              </w:rPr>
              <w:t>**</w:t>
            </w:r>
          </w:p>
        </w:tc>
      </w:tr>
      <w:tr w:rsidR="00054D3B" w:rsidRPr="00DA590E" w14:paraId="4F6BAAD9" w14:textId="77777777" w:rsidTr="00015B88">
        <w:tc>
          <w:tcPr>
            <w:tcW w:w="2136" w:type="dxa"/>
            <w:tcBorders>
              <w:top w:val="nil"/>
              <w:left w:val="nil"/>
              <w:bottom w:val="single" w:sz="4" w:space="0" w:color="auto"/>
              <w:right w:val="nil"/>
            </w:tcBorders>
          </w:tcPr>
          <w:p w14:paraId="63F06E2E"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9BFC689"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(4.06)</w:t>
            </w:r>
          </w:p>
        </w:tc>
        <w:tc>
          <w:tcPr>
            <w:tcW w:w="1656" w:type="dxa"/>
            <w:tcBorders>
              <w:top w:val="nil"/>
              <w:left w:val="nil"/>
              <w:bottom w:val="single" w:sz="4" w:space="0" w:color="auto"/>
              <w:right w:val="nil"/>
            </w:tcBorders>
          </w:tcPr>
          <w:p w14:paraId="6D3037DB"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(3.29)</w:t>
            </w:r>
          </w:p>
        </w:tc>
        <w:tc>
          <w:tcPr>
            <w:tcW w:w="1656" w:type="dxa"/>
            <w:tcBorders>
              <w:top w:val="nil"/>
              <w:left w:val="nil"/>
              <w:bottom w:val="single" w:sz="4" w:space="0" w:color="auto"/>
              <w:right w:val="nil"/>
            </w:tcBorders>
          </w:tcPr>
          <w:p w14:paraId="6DDBAE5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(0.75)</w:t>
            </w:r>
          </w:p>
        </w:tc>
        <w:tc>
          <w:tcPr>
            <w:tcW w:w="1656" w:type="dxa"/>
            <w:tcBorders>
              <w:top w:val="nil"/>
              <w:left w:val="nil"/>
              <w:bottom w:val="single" w:sz="4" w:space="0" w:color="auto"/>
              <w:right w:val="nil"/>
            </w:tcBorders>
          </w:tcPr>
          <w:p w14:paraId="1FBC1B18"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(2.02)</w:t>
            </w:r>
          </w:p>
        </w:tc>
        <w:tc>
          <w:tcPr>
            <w:tcW w:w="1656" w:type="dxa"/>
            <w:tcBorders>
              <w:top w:val="nil"/>
              <w:left w:val="nil"/>
              <w:bottom w:val="single" w:sz="4" w:space="0" w:color="auto"/>
              <w:right w:val="nil"/>
            </w:tcBorders>
          </w:tcPr>
          <w:p w14:paraId="0E683952"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(-3.14)</w:t>
            </w:r>
          </w:p>
        </w:tc>
      </w:tr>
      <w:tr w:rsidR="00054D3B" w:rsidRPr="00DA590E" w14:paraId="25FA9856" w14:textId="77777777" w:rsidTr="00015B88">
        <w:tc>
          <w:tcPr>
            <w:tcW w:w="2136" w:type="dxa"/>
            <w:tcBorders>
              <w:top w:val="nil"/>
              <w:left w:val="nil"/>
              <w:bottom w:val="single" w:sz="4" w:space="0" w:color="auto"/>
              <w:right w:val="nil"/>
            </w:tcBorders>
          </w:tcPr>
          <w:p w14:paraId="7086192D" w14:textId="77777777" w:rsidR="00054D3B" w:rsidRPr="00DA590E" w:rsidRDefault="00054D3B" w:rsidP="00015B88">
            <w:pPr>
              <w:widowControl w:val="0"/>
              <w:autoSpaceDE w:val="0"/>
              <w:autoSpaceDN w:val="0"/>
              <w:adjustRightInd w:val="0"/>
              <w:spacing w:after="0" w:line="240" w:lineRule="auto"/>
              <w:rPr>
                <w:rFonts w:ascii="Times New Roman" w:hAnsi="Times New Roman" w:cs="Times New Roman"/>
                <w:sz w:val="16"/>
                <w:szCs w:val="16"/>
              </w:rPr>
            </w:pPr>
            <w:r w:rsidRPr="00DA590E">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380C516"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5E15D30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064CAA6E"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747</w:t>
            </w:r>
          </w:p>
        </w:tc>
        <w:tc>
          <w:tcPr>
            <w:tcW w:w="1656" w:type="dxa"/>
            <w:tcBorders>
              <w:top w:val="nil"/>
              <w:left w:val="nil"/>
              <w:bottom w:val="single" w:sz="4" w:space="0" w:color="auto"/>
              <w:right w:val="nil"/>
            </w:tcBorders>
          </w:tcPr>
          <w:p w14:paraId="4632E200"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1690</w:t>
            </w:r>
          </w:p>
        </w:tc>
        <w:tc>
          <w:tcPr>
            <w:tcW w:w="1656" w:type="dxa"/>
            <w:tcBorders>
              <w:top w:val="nil"/>
              <w:left w:val="nil"/>
              <w:bottom w:val="single" w:sz="4" w:space="0" w:color="auto"/>
              <w:right w:val="nil"/>
            </w:tcBorders>
          </w:tcPr>
          <w:p w14:paraId="29150201" w14:textId="77777777" w:rsidR="00054D3B" w:rsidRPr="00DA590E" w:rsidRDefault="00054D3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A590E">
              <w:rPr>
                <w:rFonts w:ascii="Times New Roman" w:hAnsi="Times New Roman" w:cs="Times New Roman"/>
                <w:sz w:val="16"/>
                <w:szCs w:val="16"/>
              </w:rPr>
              <w:t>2442</w:t>
            </w:r>
          </w:p>
        </w:tc>
      </w:tr>
    </w:tbl>
    <w:p w14:paraId="19B2E905" w14:textId="77777777" w:rsidR="00054D3B" w:rsidRPr="00DA590E" w:rsidRDefault="00054D3B" w:rsidP="00054D3B">
      <w:pPr>
        <w:widowControl w:val="0"/>
        <w:autoSpaceDE w:val="0"/>
        <w:autoSpaceDN w:val="0"/>
        <w:adjustRightInd w:val="0"/>
        <w:spacing w:after="0" w:line="240" w:lineRule="auto"/>
        <w:rPr>
          <w:rFonts w:ascii="Times New Roman" w:hAnsi="Times New Roman" w:cs="Times New Roman"/>
          <w:sz w:val="12"/>
          <w:szCs w:val="12"/>
        </w:rPr>
      </w:pPr>
      <w:r w:rsidRPr="00DA590E">
        <w:rPr>
          <w:rFonts w:ascii="Times New Roman" w:hAnsi="Times New Roman" w:cs="Times New Roman"/>
          <w:i/>
          <w:iCs/>
          <w:sz w:val="12"/>
          <w:szCs w:val="12"/>
        </w:rPr>
        <w:t>t</w:t>
      </w:r>
      <w:r w:rsidRPr="00DA590E">
        <w:rPr>
          <w:rFonts w:ascii="Times New Roman" w:hAnsi="Times New Roman" w:cs="Times New Roman"/>
          <w:sz w:val="12"/>
          <w:szCs w:val="12"/>
        </w:rPr>
        <w:t xml:space="preserve"> statistics in parentheses</w:t>
      </w:r>
    </w:p>
    <w:p w14:paraId="7FA22D1E" w14:textId="04D7269B" w:rsidR="00054D3B" w:rsidRDefault="00054D3B" w:rsidP="00054D3B">
      <w:pPr>
        <w:widowControl w:val="0"/>
        <w:autoSpaceDE w:val="0"/>
        <w:autoSpaceDN w:val="0"/>
        <w:adjustRightInd w:val="0"/>
        <w:spacing w:after="0" w:line="240" w:lineRule="auto"/>
        <w:rPr>
          <w:rFonts w:ascii="Times New Roman" w:hAnsi="Times New Roman" w:cs="Times New Roman"/>
          <w:sz w:val="12"/>
          <w:szCs w:val="12"/>
        </w:rPr>
      </w:pPr>
      <w:r w:rsidRPr="00DA590E">
        <w:rPr>
          <w:rFonts w:ascii="Times New Roman" w:hAnsi="Times New Roman" w:cs="Times New Roman"/>
          <w:sz w:val="12"/>
          <w:szCs w:val="12"/>
          <w:vertAlign w:val="superscript"/>
        </w:rPr>
        <w:t>*</w:t>
      </w:r>
      <w:r w:rsidRPr="00DA590E">
        <w:rPr>
          <w:rFonts w:ascii="Times New Roman" w:hAnsi="Times New Roman" w:cs="Times New Roman"/>
          <w:sz w:val="12"/>
          <w:szCs w:val="12"/>
        </w:rPr>
        <w:t xml:space="preserve"> </w:t>
      </w:r>
      <w:r w:rsidRPr="00DA590E">
        <w:rPr>
          <w:rFonts w:ascii="Times New Roman" w:hAnsi="Times New Roman" w:cs="Times New Roman"/>
          <w:i/>
          <w:iCs/>
          <w:sz w:val="12"/>
          <w:szCs w:val="12"/>
        </w:rPr>
        <w:t>p</w:t>
      </w:r>
      <w:r w:rsidRPr="00DA590E">
        <w:rPr>
          <w:rFonts w:ascii="Times New Roman" w:hAnsi="Times New Roman" w:cs="Times New Roman"/>
          <w:sz w:val="12"/>
          <w:szCs w:val="12"/>
        </w:rPr>
        <w:t xml:space="preserve"> &lt; 0.05, </w:t>
      </w:r>
      <w:r w:rsidRPr="00DA590E">
        <w:rPr>
          <w:rFonts w:ascii="Times New Roman" w:hAnsi="Times New Roman" w:cs="Times New Roman"/>
          <w:sz w:val="12"/>
          <w:szCs w:val="12"/>
          <w:vertAlign w:val="superscript"/>
        </w:rPr>
        <w:t>**</w:t>
      </w:r>
      <w:r w:rsidRPr="00DA590E">
        <w:rPr>
          <w:rFonts w:ascii="Times New Roman" w:hAnsi="Times New Roman" w:cs="Times New Roman"/>
          <w:sz w:val="12"/>
          <w:szCs w:val="12"/>
        </w:rPr>
        <w:t xml:space="preserve"> </w:t>
      </w:r>
      <w:r w:rsidRPr="00DA590E">
        <w:rPr>
          <w:rFonts w:ascii="Times New Roman" w:hAnsi="Times New Roman" w:cs="Times New Roman"/>
          <w:i/>
          <w:iCs/>
          <w:sz w:val="12"/>
          <w:szCs w:val="12"/>
        </w:rPr>
        <w:t>p</w:t>
      </w:r>
      <w:r w:rsidRPr="00DA590E">
        <w:rPr>
          <w:rFonts w:ascii="Times New Roman" w:hAnsi="Times New Roman" w:cs="Times New Roman"/>
          <w:sz w:val="12"/>
          <w:szCs w:val="12"/>
        </w:rPr>
        <w:t xml:space="preserve"> &lt; 0.01, </w:t>
      </w:r>
      <w:r w:rsidRPr="00DA590E">
        <w:rPr>
          <w:rFonts w:ascii="Times New Roman" w:hAnsi="Times New Roman" w:cs="Times New Roman"/>
          <w:sz w:val="12"/>
          <w:szCs w:val="12"/>
          <w:vertAlign w:val="superscript"/>
        </w:rPr>
        <w:t>***</w:t>
      </w:r>
      <w:r w:rsidRPr="00DA590E">
        <w:rPr>
          <w:rFonts w:ascii="Times New Roman" w:hAnsi="Times New Roman" w:cs="Times New Roman"/>
          <w:sz w:val="12"/>
          <w:szCs w:val="12"/>
        </w:rPr>
        <w:t xml:space="preserve"> </w:t>
      </w:r>
      <w:r w:rsidRPr="00DA590E">
        <w:rPr>
          <w:rFonts w:ascii="Times New Roman" w:hAnsi="Times New Roman" w:cs="Times New Roman"/>
          <w:i/>
          <w:iCs/>
          <w:sz w:val="12"/>
          <w:szCs w:val="12"/>
        </w:rPr>
        <w:t>p</w:t>
      </w:r>
      <w:r w:rsidRPr="00DA590E">
        <w:rPr>
          <w:rFonts w:ascii="Times New Roman" w:hAnsi="Times New Roman" w:cs="Times New Roman"/>
          <w:sz w:val="12"/>
          <w:szCs w:val="12"/>
        </w:rPr>
        <w:t xml:space="preserve"> &lt; 0.001</w:t>
      </w:r>
    </w:p>
    <w:p w14:paraId="4CF0C141" w14:textId="77777777" w:rsidR="00013EB4" w:rsidRPr="00DA590E" w:rsidRDefault="00013EB4" w:rsidP="00054D3B">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013EB4" w:rsidRPr="00B92F9C" w14:paraId="0CE6AB0F" w14:textId="77777777" w:rsidTr="00015B88">
        <w:tc>
          <w:tcPr>
            <w:tcW w:w="2136" w:type="dxa"/>
            <w:tcBorders>
              <w:top w:val="single" w:sz="4" w:space="0" w:color="auto"/>
              <w:left w:val="nil"/>
              <w:bottom w:val="nil"/>
              <w:right w:val="nil"/>
            </w:tcBorders>
          </w:tcPr>
          <w:p w14:paraId="5478359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2AC14E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w:t>
            </w:r>
          </w:p>
        </w:tc>
        <w:tc>
          <w:tcPr>
            <w:tcW w:w="1656" w:type="dxa"/>
            <w:tcBorders>
              <w:top w:val="single" w:sz="4" w:space="0" w:color="auto"/>
              <w:left w:val="nil"/>
              <w:bottom w:val="nil"/>
              <w:right w:val="nil"/>
            </w:tcBorders>
          </w:tcPr>
          <w:p w14:paraId="3EAACD3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w:t>
            </w:r>
          </w:p>
        </w:tc>
        <w:tc>
          <w:tcPr>
            <w:tcW w:w="1656" w:type="dxa"/>
            <w:tcBorders>
              <w:top w:val="single" w:sz="4" w:space="0" w:color="auto"/>
              <w:left w:val="nil"/>
              <w:bottom w:val="nil"/>
              <w:right w:val="nil"/>
            </w:tcBorders>
          </w:tcPr>
          <w:p w14:paraId="398F950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(3)</w:t>
            </w:r>
          </w:p>
        </w:tc>
        <w:tc>
          <w:tcPr>
            <w:tcW w:w="1656" w:type="dxa"/>
            <w:tcBorders>
              <w:top w:val="single" w:sz="4" w:space="0" w:color="auto"/>
              <w:left w:val="nil"/>
              <w:bottom w:val="nil"/>
              <w:right w:val="nil"/>
            </w:tcBorders>
          </w:tcPr>
          <w:p w14:paraId="545492B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(4)</w:t>
            </w:r>
          </w:p>
        </w:tc>
        <w:tc>
          <w:tcPr>
            <w:tcW w:w="1656" w:type="dxa"/>
            <w:tcBorders>
              <w:top w:val="single" w:sz="4" w:space="0" w:color="auto"/>
              <w:left w:val="nil"/>
              <w:bottom w:val="nil"/>
              <w:right w:val="nil"/>
            </w:tcBorders>
          </w:tcPr>
          <w:p w14:paraId="4B8D75A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(5)</w:t>
            </w:r>
          </w:p>
        </w:tc>
      </w:tr>
      <w:tr w:rsidR="00013EB4" w:rsidRPr="00B92F9C" w14:paraId="6CE87F50" w14:textId="77777777" w:rsidTr="00015B88">
        <w:tc>
          <w:tcPr>
            <w:tcW w:w="2136" w:type="dxa"/>
            <w:tcBorders>
              <w:top w:val="nil"/>
              <w:left w:val="nil"/>
              <w:bottom w:val="nil"/>
              <w:right w:val="nil"/>
            </w:tcBorders>
          </w:tcPr>
          <w:p w14:paraId="083D24D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9E22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Head of Govt. Turnover</w:t>
            </w:r>
          </w:p>
        </w:tc>
        <w:tc>
          <w:tcPr>
            <w:tcW w:w="1656" w:type="dxa"/>
            <w:tcBorders>
              <w:top w:val="nil"/>
              <w:left w:val="nil"/>
              <w:bottom w:val="nil"/>
              <w:right w:val="nil"/>
            </w:tcBorders>
          </w:tcPr>
          <w:p w14:paraId="7226D56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Head of State Turnover</w:t>
            </w:r>
          </w:p>
        </w:tc>
        <w:tc>
          <w:tcPr>
            <w:tcW w:w="1656" w:type="dxa"/>
            <w:tcBorders>
              <w:top w:val="nil"/>
              <w:left w:val="nil"/>
              <w:bottom w:val="nil"/>
              <w:right w:val="nil"/>
            </w:tcBorders>
          </w:tcPr>
          <w:p w14:paraId="56D5B05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Lower House Turnover</w:t>
            </w:r>
          </w:p>
        </w:tc>
        <w:tc>
          <w:tcPr>
            <w:tcW w:w="1656" w:type="dxa"/>
            <w:tcBorders>
              <w:top w:val="nil"/>
              <w:left w:val="nil"/>
              <w:bottom w:val="nil"/>
              <w:right w:val="nil"/>
            </w:tcBorders>
          </w:tcPr>
          <w:p w14:paraId="5EDA4D2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77CF75D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Instability Event Indicator</w:t>
            </w:r>
          </w:p>
        </w:tc>
      </w:tr>
      <w:tr w:rsidR="00013EB4" w:rsidRPr="00B92F9C" w14:paraId="3ACCF277" w14:textId="77777777" w:rsidTr="00015B88">
        <w:tc>
          <w:tcPr>
            <w:tcW w:w="2136" w:type="dxa"/>
            <w:tcBorders>
              <w:top w:val="single" w:sz="4" w:space="0" w:color="auto"/>
              <w:left w:val="nil"/>
              <w:bottom w:val="nil"/>
              <w:right w:val="nil"/>
            </w:tcBorders>
          </w:tcPr>
          <w:p w14:paraId="2E69018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0D6D177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-0.0811</w:t>
            </w:r>
          </w:p>
        </w:tc>
        <w:tc>
          <w:tcPr>
            <w:tcW w:w="1656" w:type="dxa"/>
            <w:tcBorders>
              <w:top w:val="single" w:sz="4" w:space="0" w:color="auto"/>
              <w:left w:val="nil"/>
              <w:bottom w:val="nil"/>
              <w:right w:val="nil"/>
            </w:tcBorders>
          </w:tcPr>
          <w:p w14:paraId="2D2A5EF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0.0467</w:t>
            </w:r>
          </w:p>
        </w:tc>
        <w:tc>
          <w:tcPr>
            <w:tcW w:w="1656" w:type="dxa"/>
            <w:tcBorders>
              <w:top w:val="single" w:sz="4" w:space="0" w:color="auto"/>
              <w:left w:val="nil"/>
              <w:bottom w:val="nil"/>
              <w:right w:val="nil"/>
            </w:tcBorders>
          </w:tcPr>
          <w:p w14:paraId="4D89F3A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-0.124</w:t>
            </w:r>
          </w:p>
        </w:tc>
        <w:tc>
          <w:tcPr>
            <w:tcW w:w="1656" w:type="dxa"/>
            <w:tcBorders>
              <w:top w:val="single" w:sz="4" w:space="0" w:color="auto"/>
              <w:left w:val="nil"/>
              <w:bottom w:val="nil"/>
              <w:right w:val="nil"/>
            </w:tcBorders>
          </w:tcPr>
          <w:p w14:paraId="4056652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-0.0802</w:t>
            </w:r>
          </w:p>
        </w:tc>
        <w:tc>
          <w:tcPr>
            <w:tcW w:w="1656" w:type="dxa"/>
            <w:tcBorders>
              <w:top w:val="single" w:sz="4" w:space="0" w:color="auto"/>
              <w:left w:val="nil"/>
              <w:bottom w:val="nil"/>
              <w:right w:val="nil"/>
            </w:tcBorders>
          </w:tcPr>
          <w:p w14:paraId="4D7273B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0.0452</w:t>
            </w:r>
          </w:p>
        </w:tc>
      </w:tr>
      <w:tr w:rsidR="00013EB4" w:rsidRPr="00B92F9C" w14:paraId="31CCA26B" w14:textId="77777777" w:rsidTr="00015B88">
        <w:tc>
          <w:tcPr>
            <w:tcW w:w="2136" w:type="dxa"/>
            <w:tcBorders>
              <w:top w:val="nil"/>
              <w:left w:val="nil"/>
              <w:bottom w:val="nil"/>
              <w:right w:val="nil"/>
            </w:tcBorders>
          </w:tcPr>
          <w:p w14:paraId="637E9CA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D130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(-0.57)</w:t>
            </w:r>
          </w:p>
        </w:tc>
        <w:tc>
          <w:tcPr>
            <w:tcW w:w="1656" w:type="dxa"/>
            <w:tcBorders>
              <w:top w:val="nil"/>
              <w:left w:val="nil"/>
              <w:bottom w:val="nil"/>
              <w:right w:val="nil"/>
            </w:tcBorders>
          </w:tcPr>
          <w:p w14:paraId="26DEE0C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(0.37)</w:t>
            </w:r>
          </w:p>
        </w:tc>
        <w:tc>
          <w:tcPr>
            <w:tcW w:w="1656" w:type="dxa"/>
            <w:tcBorders>
              <w:top w:val="nil"/>
              <w:left w:val="nil"/>
              <w:bottom w:val="nil"/>
              <w:right w:val="nil"/>
            </w:tcBorders>
          </w:tcPr>
          <w:p w14:paraId="4F6152A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(-0.84)</w:t>
            </w:r>
          </w:p>
        </w:tc>
        <w:tc>
          <w:tcPr>
            <w:tcW w:w="1656" w:type="dxa"/>
            <w:tcBorders>
              <w:top w:val="nil"/>
              <w:left w:val="nil"/>
              <w:bottom w:val="nil"/>
              <w:right w:val="nil"/>
            </w:tcBorders>
          </w:tcPr>
          <w:p w14:paraId="63ADE61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(-1.27)</w:t>
            </w:r>
          </w:p>
        </w:tc>
        <w:tc>
          <w:tcPr>
            <w:tcW w:w="1656" w:type="dxa"/>
            <w:tcBorders>
              <w:top w:val="nil"/>
              <w:left w:val="nil"/>
              <w:bottom w:val="nil"/>
              <w:right w:val="nil"/>
            </w:tcBorders>
          </w:tcPr>
          <w:p w14:paraId="21616E2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(1.22)</w:t>
            </w:r>
          </w:p>
        </w:tc>
      </w:tr>
      <w:tr w:rsidR="00013EB4" w:rsidRPr="00B92F9C" w14:paraId="02210896" w14:textId="77777777" w:rsidTr="00015B88">
        <w:tc>
          <w:tcPr>
            <w:tcW w:w="2136" w:type="dxa"/>
            <w:tcBorders>
              <w:top w:val="nil"/>
              <w:left w:val="nil"/>
              <w:bottom w:val="nil"/>
              <w:right w:val="nil"/>
            </w:tcBorders>
          </w:tcPr>
          <w:p w14:paraId="127FB63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7D4F0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E194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2CD983"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1682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694A3"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43EC6360" w14:textId="77777777" w:rsidTr="00015B88">
        <w:tc>
          <w:tcPr>
            <w:tcW w:w="2136" w:type="dxa"/>
            <w:tcBorders>
              <w:top w:val="nil"/>
              <w:left w:val="nil"/>
              <w:bottom w:val="nil"/>
              <w:right w:val="nil"/>
            </w:tcBorders>
          </w:tcPr>
          <w:p w14:paraId="48530E0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54DEA7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-0.0283</w:t>
            </w:r>
          </w:p>
        </w:tc>
        <w:tc>
          <w:tcPr>
            <w:tcW w:w="1656" w:type="dxa"/>
            <w:tcBorders>
              <w:top w:val="nil"/>
              <w:left w:val="nil"/>
              <w:bottom w:val="nil"/>
              <w:right w:val="nil"/>
            </w:tcBorders>
          </w:tcPr>
          <w:p w14:paraId="0929233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-0.0516</w:t>
            </w:r>
            <w:r w:rsidRPr="00B92F9C">
              <w:rPr>
                <w:rFonts w:ascii="Times New Roman" w:hAnsi="Times New Roman" w:cs="Times New Roman"/>
                <w:sz w:val="16"/>
                <w:szCs w:val="16"/>
                <w:vertAlign w:val="superscript"/>
              </w:rPr>
              <w:t>*</w:t>
            </w:r>
          </w:p>
        </w:tc>
        <w:tc>
          <w:tcPr>
            <w:tcW w:w="1656" w:type="dxa"/>
            <w:tcBorders>
              <w:top w:val="nil"/>
              <w:left w:val="nil"/>
              <w:bottom w:val="nil"/>
              <w:right w:val="nil"/>
            </w:tcBorders>
          </w:tcPr>
          <w:p w14:paraId="0A37AC4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0.0269</w:t>
            </w:r>
          </w:p>
        </w:tc>
        <w:tc>
          <w:tcPr>
            <w:tcW w:w="1656" w:type="dxa"/>
            <w:tcBorders>
              <w:top w:val="nil"/>
              <w:left w:val="nil"/>
              <w:bottom w:val="nil"/>
              <w:right w:val="nil"/>
            </w:tcBorders>
          </w:tcPr>
          <w:p w14:paraId="14D7D57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0.0231</w:t>
            </w:r>
          </w:p>
        </w:tc>
        <w:tc>
          <w:tcPr>
            <w:tcW w:w="1656" w:type="dxa"/>
            <w:tcBorders>
              <w:top w:val="nil"/>
              <w:left w:val="nil"/>
              <w:bottom w:val="nil"/>
              <w:right w:val="nil"/>
            </w:tcBorders>
          </w:tcPr>
          <w:p w14:paraId="3725E5C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0.0328</w:t>
            </w:r>
            <w:r w:rsidRPr="00B92F9C">
              <w:rPr>
                <w:rFonts w:ascii="Times New Roman" w:hAnsi="Times New Roman" w:cs="Times New Roman"/>
                <w:sz w:val="16"/>
                <w:szCs w:val="16"/>
                <w:vertAlign w:val="superscript"/>
              </w:rPr>
              <w:t>**</w:t>
            </w:r>
          </w:p>
        </w:tc>
      </w:tr>
      <w:tr w:rsidR="00013EB4" w:rsidRPr="00B92F9C" w14:paraId="111B2728" w14:textId="77777777" w:rsidTr="00015B88">
        <w:tc>
          <w:tcPr>
            <w:tcW w:w="2136" w:type="dxa"/>
            <w:tcBorders>
              <w:top w:val="nil"/>
              <w:left w:val="nil"/>
              <w:bottom w:val="nil"/>
              <w:right w:val="nil"/>
            </w:tcBorders>
          </w:tcPr>
          <w:p w14:paraId="5EAD252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81E3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(-1.00)</w:t>
            </w:r>
          </w:p>
        </w:tc>
        <w:tc>
          <w:tcPr>
            <w:tcW w:w="1656" w:type="dxa"/>
            <w:tcBorders>
              <w:top w:val="nil"/>
              <w:left w:val="nil"/>
              <w:bottom w:val="nil"/>
              <w:right w:val="nil"/>
            </w:tcBorders>
          </w:tcPr>
          <w:p w14:paraId="222D03C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(-2.10)</w:t>
            </w:r>
          </w:p>
        </w:tc>
        <w:tc>
          <w:tcPr>
            <w:tcW w:w="1656" w:type="dxa"/>
            <w:tcBorders>
              <w:top w:val="nil"/>
              <w:left w:val="nil"/>
              <w:bottom w:val="nil"/>
              <w:right w:val="nil"/>
            </w:tcBorders>
          </w:tcPr>
          <w:p w14:paraId="33F66ED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(0.92)</w:t>
            </w:r>
          </w:p>
        </w:tc>
        <w:tc>
          <w:tcPr>
            <w:tcW w:w="1656" w:type="dxa"/>
            <w:tcBorders>
              <w:top w:val="nil"/>
              <w:left w:val="nil"/>
              <w:bottom w:val="nil"/>
              <w:right w:val="nil"/>
            </w:tcBorders>
          </w:tcPr>
          <w:p w14:paraId="1006F28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(1.71)</w:t>
            </w:r>
          </w:p>
        </w:tc>
        <w:tc>
          <w:tcPr>
            <w:tcW w:w="1656" w:type="dxa"/>
            <w:tcBorders>
              <w:top w:val="nil"/>
              <w:left w:val="nil"/>
              <w:bottom w:val="nil"/>
              <w:right w:val="nil"/>
            </w:tcBorders>
          </w:tcPr>
          <w:p w14:paraId="7592859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(3.23)</w:t>
            </w:r>
          </w:p>
        </w:tc>
      </w:tr>
      <w:tr w:rsidR="00013EB4" w:rsidRPr="00B92F9C" w14:paraId="48B415E6" w14:textId="77777777" w:rsidTr="00015B88">
        <w:tc>
          <w:tcPr>
            <w:tcW w:w="2136" w:type="dxa"/>
            <w:tcBorders>
              <w:top w:val="nil"/>
              <w:left w:val="nil"/>
              <w:bottom w:val="nil"/>
              <w:right w:val="nil"/>
            </w:tcBorders>
          </w:tcPr>
          <w:p w14:paraId="59B9D969"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66D9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7B2B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CF12E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15299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A7C6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3163331F" w14:textId="77777777" w:rsidTr="00015B88">
        <w:tc>
          <w:tcPr>
            <w:tcW w:w="2136" w:type="dxa"/>
            <w:tcBorders>
              <w:top w:val="nil"/>
              <w:left w:val="nil"/>
              <w:bottom w:val="nil"/>
              <w:right w:val="nil"/>
            </w:tcBorders>
          </w:tcPr>
          <w:p w14:paraId="3FB8EA2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De Facto CBI * Capital Account Openness</w:t>
            </w:r>
          </w:p>
        </w:tc>
        <w:tc>
          <w:tcPr>
            <w:tcW w:w="1656" w:type="dxa"/>
            <w:tcBorders>
              <w:top w:val="nil"/>
              <w:left w:val="nil"/>
              <w:bottom w:val="nil"/>
              <w:right w:val="nil"/>
            </w:tcBorders>
          </w:tcPr>
          <w:p w14:paraId="33FBAC9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-0.102</w:t>
            </w:r>
          </w:p>
        </w:tc>
        <w:tc>
          <w:tcPr>
            <w:tcW w:w="1656" w:type="dxa"/>
            <w:tcBorders>
              <w:top w:val="nil"/>
              <w:left w:val="nil"/>
              <w:bottom w:val="nil"/>
              <w:right w:val="nil"/>
            </w:tcBorders>
          </w:tcPr>
          <w:p w14:paraId="5918EF3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-0.0837</w:t>
            </w:r>
          </w:p>
        </w:tc>
        <w:tc>
          <w:tcPr>
            <w:tcW w:w="1656" w:type="dxa"/>
            <w:tcBorders>
              <w:top w:val="nil"/>
              <w:left w:val="nil"/>
              <w:bottom w:val="nil"/>
              <w:right w:val="nil"/>
            </w:tcBorders>
          </w:tcPr>
          <w:p w14:paraId="2C9D694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-0.319</w:t>
            </w:r>
          </w:p>
        </w:tc>
        <w:tc>
          <w:tcPr>
            <w:tcW w:w="1656" w:type="dxa"/>
            <w:tcBorders>
              <w:top w:val="nil"/>
              <w:left w:val="nil"/>
              <w:bottom w:val="nil"/>
              <w:right w:val="nil"/>
            </w:tcBorders>
          </w:tcPr>
          <w:p w14:paraId="2DDC4B9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0.131</w:t>
            </w:r>
          </w:p>
        </w:tc>
        <w:tc>
          <w:tcPr>
            <w:tcW w:w="1656" w:type="dxa"/>
            <w:tcBorders>
              <w:top w:val="nil"/>
              <w:left w:val="nil"/>
              <w:bottom w:val="nil"/>
              <w:right w:val="nil"/>
            </w:tcBorders>
          </w:tcPr>
          <w:p w14:paraId="774BC8C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-0.0782</w:t>
            </w:r>
          </w:p>
        </w:tc>
      </w:tr>
      <w:tr w:rsidR="00013EB4" w:rsidRPr="00B92F9C" w14:paraId="53468D81" w14:textId="77777777" w:rsidTr="00015B88">
        <w:tc>
          <w:tcPr>
            <w:tcW w:w="2136" w:type="dxa"/>
            <w:tcBorders>
              <w:top w:val="nil"/>
              <w:left w:val="nil"/>
              <w:bottom w:val="nil"/>
              <w:right w:val="nil"/>
            </w:tcBorders>
          </w:tcPr>
          <w:p w14:paraId="45ACED39"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5900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(-0.42)</w:t>
            </w:r>
          </w:p>
        </w:tc>
        <w:tc>
          <w:tcPr>
            <w:tcW w:w="1656" w:type="dxa"/>
            <w:tcBorders>
              <w:top w:val="nil"/>
              <w:left w:val="nil"/>
              <w:bottom w:val="nil"/>
              <w:right w:val="nil"/>
            </w:tcBorders>
          </w:tcPr>
          <w:p w14:paraId="5444359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(-0.40)</w:t>
            </w:r>
          </w:p>
        </w:tc>
        <w:tc>
          <w:tcPr>
            <w:tcW w:w="1656" w:type="dxa"/>
            <w:tcBorders>
              <w:top w:val="nil"/>
              <w:left w:val="nil"/>
              <w:bottom w:val="nil"/>
              <w:right w:val="nil"/>
            </w:tcBorders>
          </w:tcPr>
          <w:p w14:paraId="57C8A6C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(-1.25)</w:t>
            </w:r>
          </w:p>
        </w:tc>
        <w:tc>
          <w:tcPr>
            <w:tcW w:w="1656" w:type="dxa"/>
            <w:tcBorders>
              <w:top w:val="nil"/>
              <w:left w:val="nil"/>
              <w:bottom w:val="nil"/>
              <w:right w:val="nil"/>
            </w:tcBorders>
          </w:tcPr>
          <w:p w14:paraId="47B3716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(1.64)</w:t>
            </w:r>
          </w:p>
        </w:tc>
        <w:tc>
          <w:tcPr>
            <w:tcW w:w="1656" w:type="dxa"/>
            <w:tcBorders>
              <w:top w:val="nil"/>
              <w:left w:val="nil"/>
              <w:bottom w:val="nil"/>
              <w:right w:val="nil"/>
            </w:tcBorders>
          </w:tcPr>
          <w:p w14:paraId="4A12EE2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(-0.99)</w:t>
            </w:r>
          </w:p>
        </w:tc>
      </w:tr>
      <w:tr w:rsidR="00013EB4" w:rsidRPr="00B92F9C" w14:paraId="5EDC3C21" w14:textId="77777777" w:rsidTr="00015B88">
        <w:tc>
          <w:tcPr>
            <w:tcW w:w="2136" w:type="dxa"/>
            <w:tcBorders>
              <w:top w:val="nil"/>
              <w:left w:val="nil"/>
              <w:bottom w:val="nil"/>
              <w:right w:val="nil"/>
            </w:tcBorders>
          </w:tcPr>
          <w:p w14:paraId="54AF711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9185E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CA918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3E0B7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4A8DC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2DD1F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7DBE5C99" w14:textId="77777777" w:rsidTr="00015B88">
        <w:tc>
          <w:tcPr>
            <w:tcW w:w="2136" w:type="dxa"/>
            <w:tcBorders>
              <w:top w:val="nil"/>
              <w:left w:val="nil"/>
              <w:bottom w:val="nil"/>
              <w:right w:val="nil"/>
            </w:tcBorders>
          </w:tcPr>
          <w:p w14:paraId="41FBAA8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6ECB115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0.000159</w:t>
            </w:r>
          </w:p>
        </w:tc>
        <w:tc>
          <w:tcPr>
            <w:tcW w:w="1656" w:type="dxa"/>
            <w:tcBorders>
              <w:top w:val="nil"/>
              <w:left w:val="nil"/>
              <w:bottom w:val="nil"/>
              <w:right w:val="nil"/>
            </w:tcBorders>
          </w:tcPr>
          <w:p w14:paraId="7F65AEF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0.0495</w:t>
            </w:r>
          </w:p>
        </w:tc>
        <w:tc>
          <w:tcPr>
            <w:tcW w:w="1656" w:type="dxa"/>
            <w:tcBorders>
              <w:top w:val="nil"/>
              <w:left w:val="nil"/>
              <w:bottom w:val="nil"/>
              <w:right w:val="nil"/>
            </w:tcBorders>
          </w:tcPr>
          <w:p w14:paraId="7AF7258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-0.0679</w:t>
            </w:r>
          </w:p>
        </w:tc>
        <w:tc>
          <w:tcPr>
            <w:tcW w:w="1656" w:type="dxa"/>
            <w:tcBorders>
              <w:top w:val="nil"/>
              <w:left w:val="nil"/>
              <w:bottom w:val="nil"/>
              <w:right w:val="nil"/>
            </w:tcBorders>
          </w:tcPr>
          <w:p w14:paraId="7666C0F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-0.0299</w:t>
            </w:r>
          </w:p>
        </w:tc>
        <w:tc>
          <w:tcPr>
            <w:tcW w:w="1656" w:type="dxa"/>
            <w:tcBorders>
              <w:top w:val="nil"/>
              <w:left w:val="nil"/>
              <w:bottom w:val="nil"/>
              <w:right w:val="nil"/>
            </w:tcBorders>
          </w:tcPr>
          <w:p w14:paraId="5F05D4B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-0.0586</w:t>
            </w:r>
            <w:r w:rsidRPr="00B92F9C">
              <w:rPr>
                <w:rFonts w:ascii="Times New Roman" w:hAnsi="Times New Roman" w:cs="Times New Roman"/>
                <w:sz w:val="16"/>
                <w:szCs w:val="16"/>
                <w:vertAlign w:val="superscript"/>
              </w:rPr>
              <w:t>**</w:t>
            </w:r>
          </w:p>
        </w:tc>
      </w:tr>
      <w:tr w:rsidR="00013EB4" w:rsidRPr="00B92F9C" w14:paraId="4A38EB2F" w14:textId="77777777" w:rsidTr="00015B88">
        <w:tc>
          <w:tcPr>
            <w:tcW w:w="2136" w:type="dxa"/>
            <w:tcBorders>
              <w:top w:val="nil"/>
              <w:left w:val="nil"/>
              <w:bottom w:val="nil"/>
              <w:right w:val="nil"/>
            </w:tcBorders>
          </w:tcPr>
          <w:p w14:paraId="0AF35DE9"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665EB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w:t>
            </w:r>
          </w:p>
        </w:tc>
        <w:tc>
          <w:tcPr>
            <w:tcW w:w="1656" w:type="dxa"/>
            <w:tcBorders>
              <w:top w:val="nil"/>
              <w:left w:val="nil"/>
              <w:bottom w:val="nil"/>
              <w:right w:val="nil"/>
            </w:tcBorders>
          </w:tcPr>
          <w:p w14:paraId="334CF06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(1.23)</w:t>
            </w:r>
          </w:p>
        </w:tc>
        <w:tc>
          <w:tcPr>
            <w:tcW w:w="1656" w:type="dxa"/>
            <w:tcBorders>
              <w:top w:val="nil"/>
              <w:left w:val="nil"/>
              <w:bottom w:val="nil"/>
              <w:right w:val="nil"/>
            </w:tcBorders>
          </w:tcPr>
          <w:p w14:paraId="29B0137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(-1.18)</w:t>
            </w:r>
          </w:p>
        </w:tc>
        <w:tc>
          <w:tcPr>
            <w:tcW w:w="1656" w:type="dxa"/>
            <w:tcBorders>
              <w:top w:val="nil"/>
              <w:left w:val="nil"/>
              <w:bottom w:val="nil"/>
              <w:right w:val="nil"/>
            </w:tcBorders>
          </w:tcPr>
          <w:p w14:paraId="62E7607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(-1.49)</w:t>
            </w:r>
          </w:p>
        </w:tc>
        <w:tc>
          <w:tcPr>
            <w:tcW w:w="1656" w:type="dxa"/>
            <w:tcBorders>
              <w:top w:val="nil"/>
              <w:left w:val="nil"/>
              <w:bottom w:val="nil"/>
              <w:right w:val="nil"/>
            </w:tcBorders>
          </w:tcPr>
          <w:p w14:paraId="616DBEA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(-3.07)</w:t>
            </w:r>
          </w:p>
        </w:tc>
      </w:tr>
      <w:tr w:rsidR="00013EB4" w:rsidRPr="00B92F9C" w14:paraId="55AF338C" w14:textId="77777777" w:rsidTr="00015B88">
        <w:tc>
          <w:tcPr>
            <w:tcW w:w="2136" w:type="dxa"/>
            <w:tcBorders>
              <w:top w:val="nil"/>
              <w:left w:val="nil"/>
              <w:bottom w:val="nil"/>
              <w:right w:val="nil"/>
            </w:tcBorders>
          </w:tcPr>
          <w:p w14:paraId="04A338F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CD8C9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63D9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C4A19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7712D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1B844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4BCE626D" w14:textId="77777777" w:rsidTr="00015B88">
        <w:tc>
          <w:tcPr>
            <w:tcW w:w="2136" w:type="dxa"/>
            <w:tcBorders>
              <w:top w:val="nil"/>
              <w:left w:val="nil"/>
              <w:bottom w:val="nil"/>
              <w:right w:val="nil"/>
            </w:tcBorders>
          </w:tcPr>
          <w:p w14:paraId="3D5956D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Chinn-Ito index, normalized</w:t>
            </w:r>
          </w:p>
        </w:tc>
        <w:tc>
          <w:tcPr>
            <w:tcW w:w="1656" w:type="dxa"/>
            <w:tcBorders>
              <w:top w:val="nil"/>
              <w:left w:val="nil"/>
              <w:bottom w:val="nil"/>
              <w:right w:val="nil"/>
            </w:tcBorders>
          </w:tcPr>
          <w:p w14:paraId="2764DC1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0.00503</w:t>
            </w:r>
          </w:p>
        </w:tc>
        <w:tc>
          <w:tcPr>
            <w:tcW w:w="1656" w:type="dxa"/>
            <w:tcBorders>
              <w:top w:val="nil"/>
              <w:left w:val="nil"/>
              <w:bottom w:val="nil"/>
              <w:right w:val="nil"/>
            </w:tcBorders>
          </w:tcPr>
          <w:p w14:paraId="635CD08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-0.520</w:t>
            </w:r>
          </w:p>
        </w:tc>
        <w:tc>
          <w:tcPr>
            <w:tcW w:w="1656" w:type="dxa"/>
            <w:tcBorders>
              <w:top w:val="nil"/>
              <w:left w:val="nil"/>
              <w:bottom w:val="nil"/>
              <w:right w:val="nil"/>
            </w:tcBorders>
          </w:tcPr>
          <w:p w14:paraId="7AB880E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1.216</w:t>
            </w:r>
            <w:r w:rsidRPr="00B92F9C">
              <w:rPr>
                <w:rFonts w:ascii="Times New Roman" w:hAnsi="Times New Roman" w:cs="Times New Roman"/>
                <w:sz w:val="16"/>
                <w:szCs w:val="16"/>
                <w:vertAlign w:val="superscript"/>
              </w:rPr>
              <w:t>*</w:t>
            </w:r>
          </w:p>
        </w:tc>
        <w:tc>
          <w:tcPr>
            <w:tcW w:w="1656" w:type="dxa"/>
            <w:tcBorders>
              <w:top w:val="nil"/>
              <w:left w:val="nil"/>
              <w:bottom w:val="nil"/>
              <w:right w:val="nil"/>
            </w:tcBorders>
          </w:tcPr>
          <w:p w14:paraId="133681D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0.265</w:t>
            </w:r>
          </w:p>
        </w:tc>
        <w:tc>
          <w:tcPr>
            <w:tcW w:w="1656" w:type="dxa"/>
            <w:tcBorders>
              <w:top w:val="nil"/>
              <w:left w:val="nil"/>
              <w:bottom w:val="nil"/>
              <w:right w:val="nil"/>
            </w:tcBorders>
          </w:tcPr>
          <w:p w14:paraId="2D2050F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0.669</w:t>
            </w:r>
            <w:r w:rsidRPr="00B92F9C">
              <w:rPr>
                <w:rFonts w:ascii="Times New Roman" w:hAnsi="Times New Roman" w:cs="Times New Roman"/>
                <w:sz w:val="16"/>
                <w:szCs w:val="16"/>
                <w:vertAlign w:val="superscript"/>
              </w:rPr>
              <w:t>***</w:t>
            </w:r>
          </w:p>
        </w:tc>
      </w:tr>
      <w:tr w:rsidR="00013EB4" w:rsidRPr="00B92F9C" w14:paraId="1B845A2F" w14:textId="77777777" w:rsidTr="00015B88">
        <w:tc>
          <w:tcPr>
            <w:tcW w:w="2136" w:type="dxa"/>
            <w:tcBorders>
              <w:top w:val="nil"/>
              <w:left w:val="nil"/>
              <w:bottom w:val="nil"/>
              <w:right w:val="nil"/>
            </w:tcBorders>
          </w:tcPr>
          <w:p w14:paraId="47A2DBD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9BF8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w:t>
            </w:r>
          </w:p>
        </w:tc>
        <w:tc>
          <w:tcPr>
            <w:tcW w:w="1656" w:type="dxa"/>
            <w:tcBorders>
              <w:top w:val="nil"/>
              <w:left w:val="nil"/>
              <w:bottom w:val="nil"/>
              <w:right w:val="nil"/>
            </w:tcBorders>
          </w:tcPr>
          <w:p w14:paraId="359626E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(-1.20)</w:t>
            </w:r>
          </w:p>
        </w:tc>
        <w:tc>
          <w:tcPr>
            <w:tcW w:w="1656" w:type="dxa"/>
            <w:tcBorders>
              <w:top w:val="nil"/>
              <w:left w:val="nil"/>
              <w:bottom w:val="nil"/>
              <w:right w:val="nil"/>
            </w:tcBorders>
          </w:tcPr>
          <w:p w14:paraId="5C5FBCA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(2.31)</w:t>
            </w:r>
          </w:p>
        </w:tc>
        <w:tc>
          <w:tcPr>
            <w:tcW w:w="1656" w:type="dxa"/>
            <w:tcBorders>
              <w:top w:val="nil"/>
              <w:left w:val="nil"/>
              <w:bottom w:val="nil"/>
              <w:right w:val="nil"/>
            </w:tcBorders>
          </w:tcPr>
          <w:p w14:paraId="5FD5C7E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(1.32)</w:t>
            </w:r>
          </w:p>
        </w:tc>
        <w:tc>
          <w:tcPr>
            <w:tcW w:w="1656" w:type="dxa"/>
            <w:tcBorders>
              <w:top w:val="nil"/>
              <w:left w:val="nil"/>
              <w:bottom w:val="nil"/>
              <w:right w:val="nil"/>
            </w:tcBorders>
          </w:tcPr>
          <w:p w14:paraId="2762FCA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(3.46)</w:t>
            </w:r>
          </w:p>
        </w:tc>
      </w:tr>
      <w:tr w:rsidR="00013EB4" w:rsidRPr="00B92F9C" w14:paraId="39B53C0C" w14:textId="77777777" w:rsidTr="00015B88">
        <w:tc>
          <w:tcPr>
            <w:tcW w:w="2136" w:type="dxa"/>
            <w:tcBorders>
              <w:top w:val="nil"/>
              <w:left w:val="nil"/>
              <w:bottom w:val="nil"/>
              <w:right w:val="nil"/>
            </w:tcBorders>
          </w:tcPr>
          <w:p w14:paraId="3F846EA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6C62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BAD5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4C14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7E4A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7C0AC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56F1530E" w14:textId="77777777" w:rsidTr="00015B88">
        <w:tc>
          <w:tcPr>
            <w:tcW w:w="2136" w:type="dxa"/>
            <w:tcBorders>
              <w:top w:val="nil"/>
              <w:left w:val="nil"/>
              <w:bottom w:val="nil"/>
              <w:right w:val="nil"/>
            </w:tcBorders>
          </w:tcPr>
          <w:p w14:paraId="78CD591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78DFEB8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0.0579</w:t>
            </w:r>
          </w:p>
        </w:tc>
        <w:tc>
          <w:tcPr>
            <w:tcW w:w="1656" w:type="dxa"/>
            <w:tcBorders>
              <w:top w:val="nil"/>
              <w:left w:val="nil"/>
              <w:bottom w:val="nil"/>
              <w:right w:val="nil"/>
            </w:tcBorders>
          </w:tcPr>
          <w:p w14:paraId="415B4C9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0.183</w:t>
            </w:r>
          </w:p>
        </w:tc>
        <w:tc>
          <w:tcPr>
            <w:tcW w:w="1656" w:type="dxa"/>
            <w:tcBorders>
              <w:top w:val="nil"/>
              <w:left w:val="nil"/>
              <w:bottom w:val="nil"/>
              <w:right w:val="nil"/>
            </w:tcBorders>
          </w:tcPr>
          <w:p w14:paraId="66973A9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0.0246</w:t>
            </w:r>
          </w:p>
        </w:tc>
        <w:tc>
          <w:tcPr>
            <w:tcW w:w="1656" w:type="dxa"/>
            <w:tcBorders>
              <w:top w:val="nil"/>
              <w:left w:val="nil"/>
              <w:bottom w:val="nil"/>
              <w:right w:val="nil"/>
            </w:tcBorders>
          </w:tcPr>
          <w:p w14:paraId="52B0847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-0.00667</w:t>
            </w:r>
          </w:p>
        </w:tc>
        <w:tc>
          <w:tcPr>
            <w:tcW w:w="1656" w:type="dxa"/>
            <w:tcBorders>
              <w:top w:val="nil"/>
              <w:left w:val="nil"/>
              <w:bottom w:val="nil"/>
              <w:right w:val="nil"/>
            </w:tcBorders>
          </w:tcPr>
          <w:p w14:paraId="58D74EA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0.103</w:t>
            </w:r>
            <w:r w:rsidRPr="00B92F9C">
              <w:rPr>
                <w:rFonts w:ascii="Times New Roman" w:hAnsi="Times New Roman" w:cs="Times New Roman"/>
                <w:sz w:val="16"/>
                <w:szCs w:val="16"/>
                <w:vertAlign w:val="superscript"/>
              </w:rPr>
              <w:t>*</w:t>
            </w:r>
          </w:p>
        </w:tc>
      </w:tr>
      <w:tr w:rsidR="00013EB4" w:rsidRPr="00B92F9C" w14:paraId="2C825528" w14:textId="77777777" w:rsidTr="00015B88">
        <w:tc>
          <w:tcPr>
            <w:tcW w:w="2136" w:type="dxa"/>
            <w:tcBorders>
              <w:top w:val="nil"/>
              <w:left w:val="nil"/>
              <w:bottom w:val="nil"/>
              <w:right w:val="nil"/>
            </w:tcBorders>
          </w:tcPr>
          <w:p w14:paraId="030C19A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FEB4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(0.40)</w:t>
            </w:r>
          </w:p>
        </w:tc>
        <w:tc>
          <w:tcPr>
            <w:tcW w:w="1656" w:type="dxa"/>
            <w:tcBorders>
              <w:top w:val="nil"/>
              <w:left w:val="nil"/>
              <w:bottom w:val="nil"/>
              <w:right w:val="nil"/>
            </w:tcBorders>
          </w:tcPr>
          <w:p w14:paraId="6932396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(1.80)</w:t>
            </w:r>
          </w:p>
        </w:tc>
        <w:tc>
          <w:tcPr>
            <w:tcW w:w="1656" w:type="dxa"/>
            <w:tcBorders>
              <w:top w:val="nil"/>
              <w:left w:val="nil"/>
              <w:bottom w:val="nil"/>
              <w:right w:val="nil"/>
            </w:tcBorders>
          </w:tcPr>
          <w:p w14:paraId="46D0BB6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(0.17)</w:t>
            </w:r>
          </w:p>
        </w:tc>
        <w:tc>
          <w:tcPr>
            <w:tcW w:w="1656" w:type="dxa"/>
            <w:tcBorders>
              <w:top w:val="nil"/>
              <w:left w:val="nil"/>
              <w:bottom w:val="nil"/>
              <w:right w:val="nil"/>
            </w:tcBorders>
          </w:tcPr>
          <w:p w14:paraId="50B2C10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(-0.11)</w:t>
            </w:r>
          </w:p>
        </w:tc>
        <w:tc>
          <w:tcPr>
            <w:tcW w:w="1656" w:type="dxa"/>
            <w:tcBorders>
              <w:top w:val="nil"/>
              <w:left w:val="nil"/>
              <w:bottom w:val="nil"/>
              <w:right w:val="nil"/>
            </w:tcBorders>
          </w:tcPr>
          <w:p w14:paraId="74A301A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(2.51)</w:t>
            </w:r>
          </w:p>
        </w:tc>
      </w:tr>
      <w:tr w:rsidR="00013EB4" w:rsidRPr="00B92F9C" w14:paraId="4CF72CD6" w14:textId="77777777" w:rsidTr="00015B88">
        <w:tc>
          <w:tcPr>
            <w:tcW w:w="2136" w:type="dxa"/>
            <w:tcBorders>
              <w:top w:val="nil"/>
              <w:left w:val="nil"/>
              <w:bottom w:val="nil"/>
              <w:right w:val="nil"/>
            </w:tcBorders>
          </w:tcPr>
          <w:p w14:paraId="1F09A71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BE2B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164E2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C0A0F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C983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890C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7ACE6A35" w14:textId="77777777" w:rsidTr="00015B88">
        <w:tc>
          <w:tcPr>
            <w:tcW w:w="2136" w:type="dxa"/>
            <w:tcBorders>
              <w:top w:val="nil"/>
              <w:left w:val="nil"/>
              <w:bottom w:val="nil"/>
              <w:right w:val="nil"/>
            </w:tcBorders>
          </w:tcPr>
          <w:p w14:paraId="417FE1F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620C7A8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-0.0209</w:t>
            </w:r>
          </w:p>
        </w:tc>
        <w:tc>
          <w:tcPr>
            <w:tcW w:w="1656" w:type="dxa"/>
            <w:tcBorders>
              <w:top w:val="nil"/>
              <w:left w:val="nil"/>
              <w:bottom w:val="nil"/>
              <w:right w:val="nil"/>
            </w:tcBorders>
          </w:tcPr>
          <w:p w14:paraId="13C45C1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-0.0871</w:t>
            </w:r>
          </w:p>
        </w:tc>
        <w:tc>
          <w:tcPr>
            <w:tcW w:w="1656" w:type="dxa"/>
            <w:tcBorders>
              <w:top w:val="nil"/>
              <w:left w:val="nil"/>
              <w:bottom w:val="nil"/>
              <w:right w:val="nil"/>
            </w:tcBorders>
          </w:tcPr>
          <w:p w14:paraId="6F0CAA4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-0.108</w:t>
            </w:r>
          </w:p>
        </w:tc>
        <w:tc>
          <w:tcPr>
            <w:tcW w:w="1656" w:type="dxa"/>
            <w:tcBorders>
              <w:top w:val="nil"/>
              <w:left w:val="nil"/>
              <w:bottom w:val="nil"/>
              <w:right w:val="nil"/>
            </w:tcBorders>
          </w:tcPr>
          <w:p w14:paraId="53EE39A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-0.00434</w:t>
            </w:r>
          </w:p>
        </w:tc>
        <w:tc>
          <w:tcPr>
            <w:tcW w:w="1656" w:type="dxa"/>
            <w:tcBorders>
              <w:top w:val="nil"/>
              <w:left w:val="nil"/>
              <w:bottom w:val="nil"/>
              <w:right w:val="nil"/>
            </w:tcBorders>
          </w:tcPr>
          <w:p w14:paraId="75272BF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0.106</w:t>
            </w:r>
            <w:r w:rsidRPr="00B92F9C">
              <w:rPr>
                <w:rFonts w:ascii="Times New Roman" w:hAnsi="Times New Roman" w:cs="Times New Roman"/>
                <w:sz w:val="16"/>
                <w:szCs w:val="16"/>
                <w:vertAlign w:val="superscript"/>
              </w:rPr>
              <w:t>*</w:t>
            </w:r>
          </w:p>
        </w:tc>
      </w:tr>
      <w:tr w:rsidR="00013EB4" w:rsidRPr="00B92F9C" w14:paraId="3F7958D8" w14:textId="77777777" w:rsidTr="00015B88">
        <w:tc>
          <w:tcPr>
            <w:tcW w:w="2136" w:type="dxa"/>
            <w:tcBorders>
              <w:top w:val="nil"/>
              <w:left w:val="nil"/>
              <w:bottom w:val="nil"/>
              <w:right w:val="nil"/>
            </w:tcBorders>
          </w:tcPr>
          <w:p w14:paraId="5BCD7E8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7C8E1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(-0.14)</w:t>
            </w:r>
          </w:p>
        </w:tc>
        <w:tc>
          <w:tcPr>
            <w:tcW w:w="1656" w:type="dxa"/>
            <w:tcBorders>
              <w:top w:val="nil"/>
              <w:left w:val="nil"/>
              <w:bottom w:val="nil"/>
              <w:right w:val="nil"/>
            </w:tcBorders>
          </w:tcPr>
          <w:p w14:paraId="4664AC6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(-0.67)</w:t>
            </w:r>
          </w:p>
        </w:tc>
        <w:tc>
          <w:tcPr>
            <w:tcW w:w="1656" w:type="dxa"/>
            <w:tcBorders>
              <w:top w:val="nil"/>
              <w:left w:val="nil"/>
              <w:bottom w:val="nil"/>
              <w:right w:val="nil"/>
            </w:tcBorders>
          </w:tcPr>
          <w:p w14:paraId="1F37ACF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(-0.65)</w:t>
            </w:r>
          </w:p>
        </w:tc>
        <w:tc>
          <w:tcPr>
            <w:tcW w:w="1656" w:type="dxa"/>
            <w:tcBorders>
              <w:top w:val="nil"/>
              <w:left w:val="nil"/>
              <w:bottom w:val="nil"/>
              <w:right w:val="nil"/>
            </w:tcBorders>
          </w:tcPr>
          <w:p w14:paraId="35F236C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(-0.06)</w:t>
            </w:r>
          </w:p>
        </w:tc>
        <w:tc>
          <w:tcPr>
            <w:tcW w:w="1656" w:type="dxa"/>
            <w:tcBorders>
              <w:top w:val="nil"/>
              <w:left w:val="nil"/>
              <w:bottom w:val="nil"/>
              <w:right w:val="nil"/>
            </w:tcBorders>
          </w:tcPr>
          <w:p w14:paraId="282C1DA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(2.14)</w:t>
            </w:r>
          </w:p>
        </w:tc>
      </w:tr>
      <w:tr w:rsidR="00013EB4" w:rsidRPr="00B92F9C" w14:paraId="6CB6DFE5" w14:textId="77777777" w:rsidTr="00015B88">
        <w:tc>
          <w:tcPr>
            <w:tcW w:w="2136" w:type="dxa"/>
            <w:tcBorders>
              <w:top w:val="nil"/>
              <w:left w:val="nil"/>
              <w:bottom w:val="nil"/>
              <w:right w:val="nil"/>
            </w:tcBorders>
          </w:tcPr>
          <w:p w14:paraId="2D52288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925D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5CC94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A2500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E609D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1383E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4D5D6007" w14:textId="77777777" w:rsidTr="00015B88">
        <w:tc>
          <w:tcPr>
            <w:tcW w:w="2136" w:type="dxa"/>
            <w:tcBorders>
              <w:top w:val="nil"/>
              <w:left w:val="nil"/>
              <w:bottom w:val="nil"/>
              <w:right w:val="nil"/>
            </w:tcBorders>
          </w:tcPr>
          <w:p w14:paraId="3EB844E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3E37732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-0.0226</w:t>
            </w:r>
          </w:p>
        </w:tc>
        <w:tc>
          <w:tcPr>
            <w:tcW w:w="1656" w:type="dxa"/>
            <w:tcBorders>
              <w:top w:val="nil"/>
              <w:left w:val="nil"/>
              <w:bottom w:val="nil"/>
              <w:right w:val="nil"/>
            </w:tcBorders>
          </w:tcPr>
          <w:p w14:paraId="7048C1C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-0.0140</w:t>
            </w:r>
          </w:p>
        </w:tc>
        <w:tc>
          <w:tcPr>
            <w:tcW w:w="1656" w:type="dxa"/>
            <w:tcBorders>
              <w:top w:val="nil"/>
              <w:left w:val="nil"/>
              <w:bottom w:val="nil"/>
              <w:right w:val="nil"/>
            </w:tcBorders>
          </w:tcPr>
          <w:p w14:paraId="323FEF9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-0.253</w:t>
            </w:r>
          </w:p>
        </w:tc>
        <w:tc>
          <w:tcPr>
            <w:tcW w:w="1656" w:type="dxa"/>
            <w:tcBorders>
              <w:top w:val="nil"/>
              <w:left w:val="nil"/>
              <w:bottom w:val="nil"/>
              <w:right w:val="nil"/>
            </w:tcBorders>
          </w:tcPr>
          <w:p w14:paraId="59D7B2D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0.0173</w:t>
            </w:r>
          </w:p>
        </w:tc>
        <w:tc>
          <w:tcPr>
            <w:tcW w:w="1656" w:type="dxa"/>
            <w:tcBorders>
              <w:top w:val="nil"/>
              <w:left w:val="nil"/>
              <w:bottom w:val="nil"/>
              <w:right w:val="nil"/>
            </w:tcBorders>
          </w:tcPr>
          <w:p w14:paraId="42F508B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0.0891</w:t>
            </w:r>
            <w:r w:rsidRPr="00B92F9C">
              <w:rPr>
                <w:rFonts w:ascii="Times New Roman" w:hAnsi="Times New Roman" w:cs="Times New Roman"/>
                <w:sz w:val="16"/>
                <w:szCs w:val="16"/>
                <w:vertAlign w:val="superscript"/>
              </w:rPr>
              <w:t>*</w:t>
            </w:r>
          </w:p>
        </w:tc>
      </w:tr>
      <w:tr w:rsidR="00013EB4" w:rsidRPr="00B92F9C" w14:paraId="27E5A849" w14:textId="77777777" w:rsidTr="00015B88">
        <w:tc>
          <w:tcPr>
            <w:tcW w:w="2136" w:type="dxa"/>
            <w:tcBorders>
              <w:top w:val="nil"/>
              <w:left w:val="nil"/>
              <w:bottom w:val="nil"/>
              <w:right w:val="nil"/>
            </w:tcBorders>
          </w:tcPr>
          <w:p w14:paraId="1239C1D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CD172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(-0.18)</w:t>
            </w:r>
          </w:p>
        </w:tc>
        <w:tc>
          <w:tcPr>
            <w:tcW w:w="1656" w:type="dxa"/>
            <w:tcBorders>
              <w:top w:val="nil"/>
              <w:left w:val="nil"/>
              <w:bottom w:val="nil"/>
              <w:right w:val="nil"/>
            </w:tcBorders>
          </w:tcPr>
          <w:p w14:paraId="72FE6E7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(-0.13)</w:t>
            </w:r>
          </w:p>
        </w:tc>
        <w:tc>
          <w:tcPr>
            <w:tcW w:w="1656" w:type="dxa"/>
            <w:tcBorders>
              <w:top w:val="nil"/>
              <w:left w:val="nil"/>
              <w:bottom w:val="nil"/>
              <w:right w:val="nil"/>
            </w:tcBorders>
          </w:tcPr>
          <w:p w14:paraId="25E18F2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(-1.97)</w:t>
            </w:r>
          </w:p>
        </w:tc>
        <w:tc>
          <w:tcPr>
            <w:tcW w:w="1656" w:type="dxa"/>
            <w:tcBorders>
              <w:top w:val="nil"/>
              <w:left w:val="nil"/>
              <w:bottom w:val="nil"/>
              <w:right w:val="nil"/>
            </w:tcBorders>
          </w:tcPr>
          <w:p w14:paraId="593D614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(0.27)</w:t>
            </w:r>
          </w:p>
        </w:tc>
        <w:tc>
          <w:tcPr>
            <w:tcW w:w="1656" w:type="dxa"/>
            <w:tcBorders>
              <w:top w:val="nil"/>
              <w:left w:val="nil"/>
              <w:bottom w:val="nil"/>
              <w:right w:val="nil"/>
            </w:tcBorders>
          </w:tcPr>
          <w:p w14:paraId="22C9845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(2.00)</w:t>
            </w:r>
          </w:p>
        </w:tc>
      </w:tr>
      <w:tr w:rsidR="00013EB4" w:rsidRPr="00B92F9C" w14:paraId="059D08F6" w14:textId="77777777" w:rsidTr="00015B88">
        <w:tc>
          <w:tcPr>
            <w:tcW w:w="2136" w:type="dxa"/>
            <w:tcBorders>
              <w:top w:val="nil"/>
              <w:left w:val="nil"/>
              <w:bottom w:val="nil"/>
              <w:right w:val="nil"/>
            </w:tcBorders>
          </w:tcPr>
          <w:p w14:paraId="3075CD5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34DC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AEC6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AD39D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8FB21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AFC17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7009737E" w14:textId="77777777" w:rsidTr="00015B88">
        <w:tc>
          <w:tcPr>
            <w:tcW w:w="2136" w:type="dxa"/>
            <w:tcBorders>
              <w:top w:val="nil"/>
              <w:left w:val="nil"/>
              <w:bottom w:val="nil"/>
              <w:right w:val="nil"/>
            </w:tcBorders>
          </w:tcPr>
          <w:p w14:paraId="746D70F9"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2593F5B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-0.0521</w:t>
            </w:r>
          </w:p>
        </w:tc>
        <w:tc>
          <w:tcPr>
            <w:tcW w:w="1656" w:type="dxa"/>
            <w:tcBorders>
              <w:top w:val="nil"/>
              <w:left w:val="nil"/>
              <w:bottom w:val="nil"/>
              <w:right w:val="nil"/>
            </w:tcBorders>
          </w:tcPr>
          <w:p w14:paraId="3846780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-0.0743</w:t>
            </w:r>
          </w:p>
        </w:tc>
        <w:tc>
          <w:tcPr>
            <w:tcW w:w="1656" w:type="dxa"/>
            <w:tcBorders>
              <w:top w:val="nil"/>
              <w:left w:val="nil"/>
              <w:bottom w:val="nil"/>
              <w:right w:val="nil"/>
            </w:tcBorders>
          </w:tcPr>
          <w:p w14:paraId="0277526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0.228</w:t>
            </w:r>
          </w:p>
        </w:tc>
        <w:tc>
          <w:tcPr>
            <w:tcW w:w="1656" w:type="dxa"/>
            <w:tcBorders>
              <w:top w:val="nil"/>
              <w:left w:val="nil"/>
              <w:bottom w:val="nil"/>
              <w:right w:val="nil"/>
            </w:tcBorders>
          </w:tcPr>
          <w:p w14:paraId="36A0F33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0.0594</w:t>
            </w:r>
          </w:p>
        </w:tc>
        <w:tc>
          <w:tcPr>
            <w:tcW w:w="1656" w:type="dxa"/>
            <w:tcBorders>
              <w:top w:val="nil"/>
              <w:left w:val="nil"/>
              <w:bottom w:val="nil"/>
              <w:right w:val="nil"/>
            </w:tcBorders>
          </w:tcPr>
          <w:p w14:paraId="579E540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0.0838</w:t>
            </w:r>
          </w:p>
        </w:tc>
      </w:tr>
      <w:tr w:rsidR="00013EB4" w:rsidRPr="00B92F9C" w14:paraId="4321BD06" w14:textId="77777777" w:rsidTr="00015B88">
        <w:tc>
          <w:tcPr>
            <w:tcW w:w="2136" w:type="dxa"/>
            <w:tcBorders>
              <w:top w:val="nil"/>
              <w:left w:val="nil"/>
              <w:bottom w:val="nil"/>
              <w:right w:val="nil"/>
            </w:tcBorders>
          </w:tcPr>
          <w:p w14:paraId="35A08D6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5D802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(-0.43)</w:t>
            </w:r>
          </w:p>
        </w:tc>
        <w:tc>
          <w:tcPr>
            <w:tcW w:w="1656" w:type="dxa"/>
            <w:tcBorders>
              <w:top w:val="nil"/>
              <w:left w:val="nil"/>
              <w:bottom w:val="nil"/>
              <w:right w:val="nil"/>
            </w:tcBorders>
          </w:tcPr>
          <w:p w14:paraId="7D0A734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(-0.75)</w:t>
            </w:r>
          </w:p>
        </w:tc>
        <w:tc>
          <w:tcPr>
            <w:tcW w:w="1656" w:type="dxa"/>
            <w:tcBorders>
              <w:top w:val="nil"/>
              <w:left w:val="nil"/>
              <w:bottom w:val="nil"/>
              <w:right w:val="nil"/>
            </w:tcBorders>
          </w:tcPr>
          <w:p w14:paraId="14F4F7E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(1.84)</w:t>
            </w:r>
          </w:p>
        </w:tc>
        <w:tc>
          <w:tcPr>
            <w:tcW w:w="1656" w:type="dxa"/>
            <w:tcBorders>
              <w:top w:val="nil"/>
              <w:left w:val="nil"/>
              <w:bottom w:val="nil"/>
              <w:right w:val="nil"/>
            </w:tcBorders>
          </w:tcPr>
          <w:p w14:paraId="14D7510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(0.83)</w:t>
            </w:r>
          </w:p>
        </w:tc>
        <w:tc>
          <w:tcPr>
            <w:tcW w:w="1656" w:type="dxa"/>
            <w:tcBorders>
              <w:top w:val="nil"/>
              <w:left w:val="nil"/>
              <w:bottom w:val="nil"/>
              <w:right w:val="nil"/>
            </w:tcBorders>
          </w:tcPr>
          <w:p w14:paraId="234C59E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(1.84)</w:t>
            </w:r>
          </w:p>
        </w:tc>
      </w:tr>
      <w:tr w:rsidR="00013EB4" w:rsidRPr="00B92F9C" w14:paraId="1E04AAD3" w14:textId="77777777" w:rsidTr="00015B88">
        <w:tc>
          <w:tcPr>
            <w:tcW w:w="2136" w:type="dxa"/>
            <w:tcBorders>
              <w:top w:val="nil"/>
              <w:left w:val="nil"/>
              <w:bottom w:val="nil"/>
              <w:right w:val="nil"/>
            </w:tcBorders>
          </w:tcPr>
          <w:p w14:paraId="005D5B5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84AE2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A00D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DE9F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254979"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808F4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2F7D23B4" w14:textId="77777777" w:rsidTr="00015B88">
        <w:tc>
          <w:tcPr>
            <w:tcW w:w="2136" w:type="dxa"/>
            <w:tcBorders>
              <w:top w:val="nil"/>
              <w:left w:val="nil"/>
              <w:bottom w:val="nil"/>
              <w:right w:val="nil"/>
            </w:tcBorders>
          </w:tcPr>
          <w:p w14:paraId="341A1DF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68FB96B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0.152</w:t>
            </w:r>
          </w:p>
        </w:tc>
        <w:tc>
          <w:tcPr>
            <w:tcW w:w="1656" w:type="dxa"/>
            <w:tcBorders>
              <w:top w:val="nil"/>
              <w:left w:val="nil"/>
              <w:bottom w:val="nil"/>
              <w:right w:val="nil"/>
            </w:tcBorders>
          </w:tcPr>
          <w:p w14:paraId="16D1E77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-0.0236</w:t>
            </w:r>
          </w:p>
        </w:tc>
        <w:tc>
          <w:tcPr>
            <w:tcW w:w="1656" w:type="dxa"/>
            <w:tcBorders>
              <w:top w:val="nil"/>
              <w:left w:val="nil"/>
              <w:bottom w:val="nil"/>
              <w:right w:val="nil"/>
            </w:tcBorders>
          </w:tcPr>
          <w:p w14:paraId="0DA972C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0.0186</w:t>
            </w:r>
          </w:p>
        </w:tc>
        <w:tc>
          <w:tcPr>
            <w:tcW w:w="1656" w:type="dxa"/>
            <w:tcBorders>
              <w:top w:val="nil"/>
              <w:left w:val="nil"/>
              <w:bottom w:val="nil"/>
              <w:right w:val="nil"/>
            </w:tcBorders>
          </w:tcPr>
          <w:p w14:paraId="38A639F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-0.0210</w:t>
            </w:r>
          </w:p>
        </w:tc>
        <w:tc>
          <w:tcPr>
            <w:tcW w:w="1656" w:type="dxa"/>
            <w:tcBorders>
              <w:top w:val="nil"/>
              <w:left w:val="nil"/>
              <w:bottom w:val="nil"/>
              <w:right w:val="nil"/>
            </w:tcBorders>
          </w:tcPr>
          <w:p w14:paraId="5C0B104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0.116</w:t>
            </w:r>
            <w:r w:rsidRPr="00B92F9C">
              <w:rPr>
                <w:rFonts w:ascii="Times New Roman" w:hAnsi="Times New Roman" w:cs="Times New Roman"/>
                <w:sz w:val="16"/>
                <w:szCs w:val="16"/>
                <w:vertAlign w:val="superscript"/>
              </w:rPr>
              <w:t>*</w:t>
            </w:r>
          </w:p>
        </w:tc>
      </w:tr>
      <w:tr w:rsidR="00013EB4" w:rsidRPr="00B92F9C" w14:paraId="1D4A11BE" w14:textId="77777777" w:rsidTr="00015B88">
        <w:tc>
          <w:tcPr>
            <w:tcW w:w="2136" w:type="dxa"/>
            <w:tcBorders>
              <w:top w:val="nil"/>
              <w:left w:val="nil"/>
              <w:bottom w:val="nil"/>
              <w:right w:val="nil"/>
            </w:tcBorders>
          </w:tcPr>
          <w:p w14:paraId="6ECF8009"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6FDCB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(1.12)</w:t>
            </w:r>
          </w:p>
        </w:tc>
        <w:tc>
          <w:tcPr>
            <w:tcW w:w="1656" w:type="dxa"/>
            <w:tcBorders>
              <w:top w:val="nil"/>
              <w:left w:val="nil"/>
              <w:bottom w:val="nil"/>
              <w:right w:val="nil"/>
            </w:tcBorders>
          </w:tcPr>
          <w:p w14:paraId="4372633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(-0.21)</w:t>
            </w:r>
          </w:p>
        </w:tc>
        <w:tc>
          <w:tcPr>
            <w:tcW w:w="1656" w:type="dxa"/>
            <w:tcBorders>
              <w:top w:val="nil"/>
              <w:left w:val="nil"/>
              <w:bottom w:val="nil"/>
              <w:right w:val="nil"/>
            </w:tcBorders>
          </w:tcPr>
          <w:p w14:paraId="16552AE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(0.13)</w:t>
            </w:r>
          </w:p>
        </w:tc>
        <w:tc>
          <w:tcPr>
            <w:tcW w:w="1656" w:type="dxa"/>
            <w:tcBorders>
              <w:top w:val="nil"/>
              <w:left w:val="nil"/>
              <w:bottom w:val="nil"/>
              <w:right w:val="nil"/>
            </w:tcBorders>
          </w:tcPr>
          <w:p w14:paraId="5C5C4F7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(-0.32)</w:t>
            </w:r>
          </w:p>
        </w:tc>
        <w:tc>
          <w:tcPr>
            <w:tcW w:w="1656" w:type="dxa"/>
            <w:tcBorders>
              <w:top w:val="nil"/>
              <w:left w:val="nil"/>
              <w:bottom w:val="nil"/>
              <w:right w:val="nil"/>
            </w:tcBorders>
          </w:tcPr>
          <w:p w14:paraId="5C6156C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(2.29)</w:t>
            </w:r>
          </w:p>
        </w:tc>
      </w:tr>
      <w:tr w:rsidR="00013EB4" w:rsidRPr="00B92F9C" w14:paraId="1984D605" w14:textId="77777777" w:rsidTr="00015B88">
        <w:tc>
          <w:tcPr>
            <w:tcW w:w="2136" w:type="dxa"/>
            <w:tcBorders>
              <w:top w:val="nil"/>
              <w:left w:val="nil"/>
              <w:bottom w:val="nil"/>
              <w:right w:val="nil"/>
            </w:tcBorders>
          </w:tcPr>
          <w:p w14:paraId="3D97618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4E75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AB94A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7380C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20E4A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F1C7A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2A4E933B" w14:textId="77777777" w:rsidTr="00015B88">
        <w:tc>
          <w:tcPr>
            <w:tcW w:w="2136" w:type="dxa"/>
            <w:tcBorders>
              <w:top w:val="nil"/>
              <w:left w:val="nil"/>
              <w:bottom w:val="nil"/>
              <w:right w:val="nil"/>
            </w:tcBorders>
          </w:tcPr>
          <w:p w14:paraId="1813367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341D32F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-0.101</w:t>
            </w:r>
          </w:p>
        </w:tc>
        <w:tc>
          <w:tcPr>
            <w:tcW w:w="1656" w:type="dxa"/>
            <w:tcBorders>
              <w:top w:val="nil"/>
              <w:left w:val="nil"/>
              <w:bottom w:val="nil"/>
              <w:right w:val="nil"/>
            </w:tcBorders>
          </w:tcPr>
          <w:p w14:paraId="5F3A2A3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-0.0430</w:t>
            </w:r>
          </w:p>
        </w:tc>
        <w:tc>
          <w:tcPr>
            <w:tcW w:w="1656" w:type="dxa"/>
            <w:tcBorders>
              <w:top w:val="nil"/>
              <w:left w:val="nil"/>
              <w:bottom w:val="nil"/>
              <w:right w:val="nil"/>
            </w:tcBorders>
          </w:tcPr>
          <w:p w14:paraId="5572680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-0.109</w:t>
            </w:r>
          </w:p>
        </w:tc>
        <w:tc>
          <w:tcPr>
            <w:tcW w:w="1656" w:type="dxa"/>
            <w:tcBorders>
              <w:top w:val="nil"/>
              <w:left w:val="nil"/>
              <w:bottom w:val="nil"/>
              <w:right w:val="nil"/>
            </w:tcBorders>
          </w:tcPr>
          <w:p w14:paraId="210EC66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-0.0298</w:t>
            </w:r>
          </w:p>
        </w:tc>
        <w:tc>
          <w:tcPr>
            <w:tcW w:w="1656" w:type="dxa"/>
            <w:tcBorders>
              <w:top w:val="nil"/>
              <w:left w:val="nil"/>
              <w:bottom w:val="nil"/>
              <w:right w:val="nil"/>
            </w:tcBorders>
          </w:tcPr>
          <w:p w14:paraId="4EDDB3F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0.0607</w:t>
            </w:r>
          </w:p>
        </w:tc>
      </w:tr>
      <w:tr w:rsidR="00013EB4" w:rsidRPr="00B92F9C" w14:paraId="7E988722" w14:textId="77777777" w:rsidTr="00015B88">
        <w:tc>
          <w:tcPr>
            <w:tcW w:w="2136" w:type="dxa"/>
            <w:tcBorders>
              <w:top w:val="nil"/>
              <w:left w:val="nil"/>
              <w:bottom w:val="nil"/>
              <w:right w:val="nil"/>
            </w:tcBorders>
          </w:tcPr>
          <w:p w14:paraId="2372F94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D0FCA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(-0.87)</w:t>
            </w:r>
          </w:p>
        </w:tc>
        <w:tc>
          <w:tcPr>
            <w:tcW w:w="1656" w:type="dxa"/>
            <w:tcBorders>
              <w:top w:val="nil"/>
              <w:left w:val="nil"/>
              <w:bottom w:val="nil"/>
              <w:right w:val="nil"/>
            </w:tcBorders>
          </w:tcPr>
          <w:p w14:paraId="48790B1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(-0.44)</w:t>
            </w:r>
          </w:p>
        </w:tc>
        <w:tc>
          <w:tcPr>
            <w:tcW w:w="1656" w:type="dxa"/>
            <w:tcBorders>
              <w:top w:val="nil"/>
              <w:left w:val="nil"/>
              <w:bottom w:val="nil"/>
              <w:right w:val="nil"/>
            </w:tcBorders>
          </w:tcPr>
          <w:p w14:paraId="66ABB10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(-0.78)</w:t>
            </w:r>
          </w:p>
        </w:tc>
        <w:tc>
          <w:tcPr>
            <w:tcW w:w="1656" w:type="dxa"/>
            <w:tcBorders>
              <w:top w:val="nil"/>
              <w:left w:val="nil"/>
              <w:bottom w:val="nil"/>
              <w:right w:val="nil"/>
            </w:tcBorders>
          </w:tcPr>
          <w:p w14:paraId="63B2FF1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(-0.46)</w:t>
            </w:r>
          </w:p>
        </w:tc>
        <w:tc>
          <w:tcPr>
            <w:tcW w:w="1656" w:type="dxa"/>
            <w:tcBorders>
              <w:top w:val="nil"/>
              <w:left w:val="nil"/>
              <w:bottom w:val="nil"/>
              <w:right w:val="nil"/>
            </w:tcBorders>
          </w:tcPr>
          <w:p w14:paraId="64F0A28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(1.48)</w:t>
            </w:r>
          </w:p>
        </w:tc>
      </w:tr>
      <w:tr w:rsidR="00013EB4" w:rsidRPr="00B92F9C" w14:paraId="1F579D82" w14:textId="77777777" w:rsidTr="00015B88">
        <w:tc>
          <w:tcPr>
            <w:tcW w:w="2136" w:type="dxa"/>
            <w:tcBorders>
              <w:top w:val="nil"/>
              <w:left w:val="nil"/>
              <w:bottom w:val="nil"/>
              <w:right w:val="nil"/>
            </w:tcBorders>
          </w:tcPr>
          <w:p w14:paraId="3C851EF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02784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CDD1C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F594C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59C68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21E4E9"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3348356D" w14:textId="77777777" w:rsidTr="00015B88">
        <w:tc>
          <w:tcPr>
            <w:tcW w:w="2136" w:type="dxa"/>
            <w:tcBorders>
              <w:top w:val="nil"/>
              <w:left w:val="nil"/>
              <w:bottom w:val="nil"/>
              <w:right w:val="nil"/>
            </w:tcBorders>
          </w:tcPr>
          <w:p w14:paraId="7F42360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2A2088E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-0.00333</w:t>
            </w:r>
          </w:p>
        </w:tc>
        <w:tc>
          <w:tcPr>
            <w:tcW w:w="1656" w:type="dxa"/>
            <w:tcBorders>
              <w:top w:val="nil"/>
              <w:left w:val="nil"/>
              <w:bottom w:val="nil"/>
              <w:right w:val="nil"/>
            </w:tcBorders>
          </w:tcPr>
          <w:p w14:paraId="3D31139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0.107</w:t>
            </w:r>
          </w:p>
        </w:tc>
        <w:tc>
          <w:tcPr>
            <w:tcW w:w="1656" w:type="dxa"/>
            <w:tcBorders>
              <w:top w:val="nil"/>
              <w:left w:val="nil"/>
              <w:bottom w:val="nil"/>
              <w:right w:val="nil"/>
            </w:tcBorders>
          </w:tcPr>
          <w:p w14:paraId="1ECA0DA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-0.100</w:t>
            </w:r>
          </w:p>
        </w:tc>
        <w:tc>
          <w:tcPr>
            <w:tcW w:w="1656" w:type="dxa"/>
            <w:tcBorders>
              <w:top w:val="nil"/>
              <w:left w:val="nil"/>
              <w:bottom w:val="nil"/>
              <w:right w:val="nil"/>
            </w:tcBorders>
          </w:tcPr>
          <w:p w14:paraId="487AB28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-0.0643</w:t>
            </w:r>
          </w:p>
        </w:tc>
        <w:tc>
          <w:tcPr>
            <w:tcW w:w="1656" w:type="dxa"/>
            <w:tcBorders>
              <w:top w:val="nil"/>
              <w:left w:val="nil"/>
              <w:bottom w:val="nil"/>
              <w:right w:val="nil"/>
            </w:tcBorders>
          </w:tcPr>
          <w:p w14:paraId="261FF6B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0.0441</w:t>
            </w:r>
          </w:p>
        </w:tc>
      </w:tr>
      <w:tr w:rsidR="00013EB4" w:rsidRPr="00B92F9C" w14:paraId="589C174F" w14:textId="77777777" w:rsidTr="00015B88">
        <w:tc>
          <w:tcPr>
            <w:tcW w:w="2136" w:type="dxa"/>
            <w:tcBorders>
              <w:top w:val="nil"/>
              <w:left w:val="nil"/>
              <w:bottom w:val="nil"/>
              <w:right w:val="nil"/>
            </w:tcBorders>
          </w:tcPr>
          <w:p w14:paraId="74366ED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47ED1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w:t>
            </w:r>
          </w:p>
        </w:tc>
        <w:tc>
          <w:tcPr>
            <w:tcW w:w="1656" w:type="dxa"/>
            <w:tcBorders>
              <w:top w:val="nil"/>
              <w:left w:val="nil"/>
              <w:bottom w:val="nil"/>
              <w:right w:val="nil"/>
            </w:tcBorders>
          </w:tcPr>
          <w:p w14:paraId="4D5ED52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(1.31)</w:t>
            </w:r>
          </w:p>
        </w:tc>
        <w:tc>
          <w:tcPr>
            <w:tcW w:w="1656" w:type="dxa"/>
            <w:tcBorders>
              <w:top w:val="nil"/>
              <w:left w:val="nil"/>
              <w:bottom w:val="nil"/>
              <w:right w:val="nil"/>
            </w:tcBorders>
          </w:tcPr>
          <w:p w14:paraId="4A25396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(-0.59)</w:t>
            </w:r>
          </w:p>
        </w:tc>
        <w:tc>
          <w:tcPr>
            <w:tcW w:w="1656" w:type="dxa"/>
            <w:tcBorders>
              <w:top w:val="nil"/>
              <w:left w:val="nil"/>
              <w:bottom w:val="nil"/>
              <w:right w:val="nil"/>
            </w:tcBorders>
          </w:tcPr>
          <w:p w14:paraId="1117E94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(-1.12)</w:t>
            </w:r>
          </w:p>
        </w:tc>
        <w:tc>
          <w:tcPr>
            <w:tcW w:w="1656" w:type="dxa"/>
            <w:tcBorders>
              <w:top w:val="nil"/>
              <w:left w:val="nil"/>
              <w:bottom w:val="nil"/>
              <w:right w:val="nil"/>
            </w:tcBorders>
          </w:tcPr>
          <w:p w14:paraId="5D5D1FD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(1.14)</w:t>
            </w:r>
          </w:p>
        </w:tc>
      </w:tr>
      <w:tr w:rsidR="00013EB4" w:rsidRPr="00B92F9C" w14:paraId="645BDD28" w14:textId="77777777" w:rsidTr="00015B88">
        <w:tc>
          <w:tcPr>
            <w:tcW w:w="2136" w:type="dxa"/>
            <w:tcBorders>
              <w:top w:val="nil"/>
              <w:left w:val="nil"/>
              <w:bottom w:val="nil"/>
              <w:right w:val="nil"/>
            </w:tcBorders>
          </w:tcPr>
          <w:p w14:paraId="77370A1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8BE14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4DA26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5B315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7FAE3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4C54B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616BBE13" w14:textId="77777777" w:rsidTr="00015B88">
        <w:tc>
          <w:tcPr>
            <w:tcW w:w="2136" w:type="dxa"/>
            <w:tcBorders>
              <w:top w:val="nil"/>
              <w:left w:val="nil"/>
              <w:bottom w:val="nil"/>
              <w:right w:val="nil"/>
            </w:tcBorders>
          </w:tcPr>
          <w:p w14:paraId="3340231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3E8F283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0.115</w:t>
            </w:r>
          </w:p>
        </w:tc>
        <w:tc>
          <w:tcPr>
            <w:tcW w:w="1656" w:type="dxa"/>
            <w:tcBorders>
              <w:top w:val="nil"/>
              <w:left w:val="nil"/>
              <w:bottom w:val="nil"/>
              <w:right w:val="nil"/>
            </w:tcBorders>
          </w:tcPr>
          <w:p w14:paraId="150666F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0.212</w:t>
            </w:r>
            <w:r w:rsidRPr="00B92F9C">
              <w:rPr>
                <w:rFonts w:ascii="Times New Roman" w:hAnsi="Times New Roman" w:cs="Times New Roman"/>
                <w:sz w:val="16"/>
                <w:szCs w:val="16"/>
                <w:vertAlign w:val="superscript"/>
              </w:rPr>
              <w:t>*</w:t>
            </w:r>
          </w:p>
        </w:tc>
        <w:tc>
          <w:tcPr>
            <w:tcW w:w="1656" w:type="dxa"/>
            <w:tcBorders>
              <w:top w:val="nil"/>
              <w:left w:val="nil"/>
              <w:bottom w:val="nil"/>
              <w:right w:val="nil"/>
            </w:tcBorders>
          </w:tcPr>
          <w:p w14:paraId="31A84F1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-0.0559</w:t>
            </w:r>
          </w:p>
        </w:tc>
        <w:tc>
          <w:tcPr>
            <w:tcW w:w="1656" w:type="dxa"/>
            <w:tcBorders>
              <w:top w:val="nil"/>
              <w:left w:val="nil"/>
              <w:bottom w:val="nil"/>
              <w:right w:val="nil"/>
            </w:tcBorders>
          </w:tcPr>
          <w:p w14:paraId="20F01FB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-0.0709</w:t>
            </w:r>
          </w:p>
        </w:tc>
        <w:tc>
          <w:tcPr>
            <w:tcW w:w="1656" w:type="dxa"/>
            <w:tcBorders>
              <w:top w:val="nil"/>
              <w:left w:val="nil"/>
              <w:bottom w:val="nil"/>
              <w:right w:val="nil"/>
            </w:tcBorders>
          </w:tcPr>
          <w:p w14:paraId="36FEA0C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-0.0100</w:t>
            </w:r>
          </w:p>
        </w:tc>
      </w:tr>
      <w:tr w:rsidR="00013EB4" w:rsidRPr="00B92F9C" w14:paraId="21AB451A" w14:textId="77777777" w:rsidTr="00015B88">
        <w:tc>
          <w:tcPr>
            <w:tcW w:w="2136" w:type="dxa"/>
            <w:tcBorders>
              <w:top w:val="nil"/>
              <w:left w:val="nil"/>
              <w:bottom w:val="nil"/>
              <w:right w:val="nil"/>
            </w:tcBorders>
          </w:tcPr>
          <w:p w14:paraId="7D67C46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E78E8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(1.02)</w:t>
            </w:r>
          </w:p>
        </w:tc>
        <w:tc>
          <w:tcPr>
            <w:tcW w:w="1656" w:type="dxa"/>
            <w:tcBorders>
              <w:top w:val="nil"/>
              <w:left w:val="nil"/>
              <w:bottom w:val="nil"/>
              <w:right w:val="nil"/>
            </w:tcBorders>
          </w:tcPr>
          <w:p w14:paraId="1E53672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(2.21)</w:t>
            </w:r>
          </w:p>
        </w:tc>
        <w:tc>
          <w:tcPr>
            <w:tcW w:w="1656" w:type="dxa"/>
            <w:tcBorders>
              <w:top w:val="nil"/>
              <w:left w:val="nil"/>
              <w:bottom w:val="nil"/>
              <w:right w:val="nil"/>
            </w:tcBorders>
          </w:tcPr>
          <w:p w14:paraId="00A8E6B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(-0.41)</w:t>
            </w:r>
          </w:p>
        </w:tc>
        <w:tc>
          <w:tcPr>
            <w:tcW w:w="1656" w:type="dxa"/>
            <w:tcBorders>
              <w:top w:val="nil"/>
              <w:left w:val="nil"/>
              <w:bottom w:val="nil"/>
              <w:right w:val="nil"/>
            </w:tcBorders>
          </w:tcPr>
          <w:p w14:paraId="6AA6A52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(-1.26)</w:t>
            </w:r>
          </w:p>
        </w:tc>
        <w:tc>
          <w:tcPr>
            <w:tcW w:w="1656" w:type="dxa"/>
            <w:tcBorders>
              <w:top w:val="nil"/>
              <w:left w:val="nil"/>
              <w:bottom w:val="nil"/>
              <w:right w:val="nil"/>
            </w:tcBorders>
          </w:tcPr>
          <w:p w14:paraId="161AEAB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(-0.25)</w:t>
            </w:r>
          </w:p>
        </w:tc>
      </w:tr>
      <w:tr w:rsidR="00013EB4" w:rsidRPr="00B92F9C" w14:paraId="27AC5E71" w14:textId="77777777" w:rsidTr="00015B88">
        <w:tc>
          <w:tcPr>
            <w:tcW w:w="2136" w:type="dxa"/>
            <w:tcBorders>
              <w:top w:val="nil"/>
              <w:left w:val="nil"/>
              <w:bottom w:val="nil"/>
              <w:right w:val="nil"/>
            </w:tcBorders>
          </w:tcPr>
          <w:p w14:paraId="4286A90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0F15F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CA3C7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7F2AC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8E3F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D719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3A602A9F" w14:textId="77777777" w:rsidTr="00015B88">
        <w:tc>
          <w:tcPr>
            <w:tcW w:w="2136" w:type="dxa"/>
            <w:tcBorders>
              <w:top w:val="nil"/>
              <w:left w:val="nil"/>
              <w:bottom w:val="nil"/>
              <w:right w:val="nil"/>
            </w:tcBorders>
          </w:tcPr>
          <w:p w14:paraId="1AAFD6B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66CBFC4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-0.186</w:t>
            </w:r>
          </w:p>
        </w:tc>
        <w:tc>
          <w:tcPr>
            <w:tcW w:w="1656" w:type="dxa"/>
            <w:tcBorders>
              <w:top w:val="nil"/>
              <w:left w:val="nil"/>
              <w:bottom w:val="nil"/>
              <w:right w:val="nil"/>
            </w:tcBorders>
          </w:tcPr>
          <w:p w14:paraId="3A99D73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-0.0219</w:t>
            </w:r>
          </w:p>
        </w:tc>
        <w:tc>
          <w:tcPr>
            <w:tcW w:w="1656" w:type="dxa"/>
            <w:tcBorders>
              <w:top w:val="nil"/>
              <w:left w:val="nil"/>
              <w:bottom w:val="nil"/>
              <w:right w:val="nil"/>
            </w:tcBorders>
          </w:tcPr>
          <w:p w14:paraId="3AE1D48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-0.248</w:t>
            </w:r>
          </w:p>
        </w:tc>
        <w:tc>
          <w:tcPr>
            <w:tcW w:w="1656" w:type="dxa"/>
            <w:tcBorders>
              <w:top w:val="nil"/>
              <w:left w:val="nil"/>
              <w:bottom w:val="nil"/>
              <w:right w:val="nil"/>
            </w:tcBorders>
          </w:tcPr>
          <w:p w14:paraId="04A456A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-0.000451</w:t>
            </w:r>
          </w:p>
        </w:tc>
        <w:tc>
          <w:tcPr>
            <w:tcW w:w="1656" w:type="dxa"/>
            <w:tcBorders>
              <w:top w:val="nil"/>
              <w:left w:val="nil"/>
              <w:bottom w:val="nil"/>
              <w:right w:val="nil"/>
            </w:tcBorders>
          </w:tcPr>
          <w:p w14:paraId="2F9D234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-0.0264</w:t>
            </w:r>
          </w:p>
        </w:tc>
      </w:tr>
      <w:tr w:rsidR="00013EB4" w:rsidRPr="00B92F9C" w14:paraId="6204173E" w14:textId="77777777" w:rsidTr="00015B88">
        <w:tc>
          <w:tcPr>
            <w:tcW w:w="2136" w:type="dxa"/>
            <w:tcBorders>
              <w:top w:val="nil"/>
              <w:left w:val="nil"/>
              <w:bottom w:val="nil"/>
              <w:right w:val="nil"/>
            </w:tcBorders>
          </w:tcPr>
          <w:p w14:paraId="164FF3F3"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4E711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(-1.35)</w:t>
            </w:r>
          </w:p>
        </w:tc>
        <w:tc>
          <w:tcPr>
            <w:tcW w:w="1656" w:type="dxa"/>
            <w:tcBorders>
              <w:top w:val="nil"/>
              <w:left w:val="nil"/>
              <w:bottom w:val="nil"/>
              <w:right w:val="nil"/>
            </w:tcBorders>
          </w:tcPr>
          <w:p w14:paraId="20565C7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(-0.20)</w:t>
            </w:r>
          </w:p>
        </w:tc>
        <w:tc>
          <w:tcPr>
            <w:tcW w:w="1656" w:type="dxa"/>
            <w:tcBorders>
              <w:top w:val="nil"/>
              <w:left w:val="nil"/>
              <w:bottom w:val="nil"/>
              <w:right w:val="nil"/>
            </w:tcBorders>
          </w:tcPr>
          <w:p w14:paraId="2C25655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(-1.89)</w:t>
            </w:r>
          </w:p>
        </w:tc>
        <w:tc>
          <w:tcPr>
            <w:tcW w:w="1656" w:type="dxa"/>
            <w:tcBorders>
              <w:top w:val="nil"/>
              <w:left w:val="nil"/>
              <w:bottom w:val="nil"/>
              <w:right w:val="nil"/>
            </w:tcBorders>
          </w:tcPr>
          <w:p w14:paraId="31AEACD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w:t>
            </w:r>
          </w:p>
        </w:tc>
        <w:tc>
          <w:tcPr>
            <w:tcW w:w="1656" w:type="dxa"/>
            <w:tcBorders>
              <w:top w:val="nil"/>
              <w:left w:val="nil"/>
              <w:bottom w:val="nil"/>
              <w:right w:val="nil"/>
            </w:tcBorders>
          </w:tcPr>
          <w:p w14:paraId="1529072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(-0.68)</w:t>
            </w:r>
          </w:p>
        </w:tc>
      </w:tr>
      <w:tr w:rsidR="00013EB4" w:rsidRPr="00B92F9C" w14:paraId="2D86C538" w14:textId="77777777" w:rsidTr="00015B88">
        <w:tc>
          <w:tcPr>
            <w:tcW w:w="2136" w:type="dxa"/>
            <w:tcBorders>
              <w:top w:val="nil"/>
              <w:left w:val="nil"/>
              <w:bottom w:val="nil"/>
              <w:right w:val="nil"/>
            </w:tcBorders>
          </w:tcPr>
          <w:p w14:paraId="51FC889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0748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54167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EDE95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E2F1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012F7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677405A7" w14:textId="77777777" w:rsidTr="00015B88">
        <w:tc>
          <w:tcPr>
            <w:tcW w:w="2136" w:type="dxa"/>
            <w:tcBorders>
              <w:top w:val="nil"/>
              <w:left w:val="nil"/>
              <w:bottom w:val="nil"/>
              <w:right w:val="nil"/>
            </w:tcBorders>
          </w:tcPr>
          <w:p w14:paraId="2648B8C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lastRenderedPageBreak/>
              <w:t>L10.(Lack of) Irregular CB Governor Turnover (higher = more de facto CBI)</w:t>
            </w:r>
          </w:p>
        </w:tc>
        <w:tc>
          <w:tcPr>
            <w:tcW w:w="1656" w:type="dxa"/>
            <w:tcBorders>
              <w:top w:val="nil"/>
              <w:left w:val="nil"/>
              <w:bottom w:val="nil"/>
              <w:right w:val="nil"/>
            </w:tcBorders>
          </w:tcPr>
          <w:p w14:paraId="4EE5966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0.0800</w:t>
            </w:r>
          </w:p>
        </w:tc>
        <w:tc>
          <w:tcPr>
            <w:tcW w:w="1656" w:type="dxa"/>
            <w:tcBorders>
              <w:top w:val="nil"/>
              <w:left w:val="nil"/>
              <w:bottom w:val="nil"/>
              <w:right w:val="nil"/>
            </w:tcBorders>
          </w:tcPr>
          <w:p w14:paraId="58C83E7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-0.00580</w:t>
            </w:r>
          </w:p>
        </w:tc>
        <w:tc>
          <w:tcPr>
            <w:tcW w:w="1656" w:type="dxa"/>
            <w:tcBorders>
              <w:top w:val="nil"/>
              <w:left w:val="nil"/>
              <w:bottom w:val="nil"/>
              <w:right w:val="nil"/>
            </w:tcBorders>
          </w:tcPr>
          <w:p w14:paraId="151152E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-0.179</w:t>
            </w:r>
          </w:p>
        </w:tc>
        <w:tc>
          <w:tcPr>
            <w:tcW w:w="1656" w:type="dxa"/>
            <w:tcBorders>
              <w:top w:val="nil"/>
              <w:left w:val="nil"/>
              <w:bottom w:val="nil"/>
              <w:right w:val="nil"/>
            </w:tcBorders>
          </w:tcPr>
          <w:p w14:paraId="54A5D1B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-0.0592</w:t>
            </w:r>
          </w:p>
        </w:tc>
        <w:tc>
          <w:tcPr>
            <w:tcW w:w="1656" w:type="dxa"/>
            <w:tcBorders>
              <w:top w:val="nil"/>
              <w:left w:val="nil"/>
              <w:bottom w:val="nil"/>
              <w:right w:val="nil"/>
            </w:tcBorders>
          </w:tcPr>
          <w:p w14:paraId="786C227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0.0334</w:t>
            </w:r>
          </w:p>
        </w:tc>
      </w:tr>
      <w:tr w:rsidR="00013EB4" w:rsidRPr="00B92F9C" w14:paraId="1EC005FA" w14:textId="77777777" w:rsidTr="00015B88">
        <w:tc>
          <w:tcPr>
            <w:tcW w:w="2136" w:type="dxa"/>
            <w:tcBorders>
              <w:top w:val="nil"/>
              <w:left w:val="nil"/>
              <w:bottom w:val="nil"/>
              <w:right w:val="nil"/>
            </w:tcBorders>
          </w:tcPr>
          <w:p w14:paraId="6909B56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81132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(0.62)</w:t>
            </w:r>
          </w:p>
        </w:tc>
        <w:tc>
          <w:tcPr>
            <w:tcW w:w="1656" w:type="dxa"/>
            <w:tcBorders>
              <w:top w:val="nil"/>
              <w:left w:val="nil"/>
              <w:bottom w:val="nil"/>
              <w:right w:val="nil"/>
            </w:tcBorders>
          </w:tcPr>
          <w:p w14:paraId="56C9684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(-0.05)</w:t>
            </w:r>
          </w:p>
        </w:tc>
        <w:tc>
          <w:tcPr>
            <w:tcW w:w="1656" w:type="dxa"/>
            <w:tcBorders>
              <w:top w:val="nil"/>
              <w:left w:val="nil"/>
              <w:bottom w:val="nil"/>
              <w:right w:val="nil"/>
            </w:tcBorders>
          </w:tcPr>
          <w:p w14:paraId="07B18DB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(-1.26)</w:t>
            </w:r>
          </w:p>
        </w:tc>
        <w:tc>
          <w:tcPr>
            <w:tcW w:w="1656" w:type="dxa"/>
            <w:tcBorders>
              <w:top w:val="nil"/>
              <w:left w:val="nil"/>
              <w:bottom w:val="nil"/>
              <w:right w:val="nil"/>
            </w:tcBorders>
          </w:tcPr>
          <w:p w14:paraId="4195470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(-1.38)</w:t>
            </w:r>
          </w:p>
        </w:tc>
        <w:tc>
          <w:tcPr>
            <w:tcW w:w="1656" w:type="dxa"/>
            <w:tcBorders>
              <w:top w:val="nil"/>
              <w:left w:val="nil"/>
              <w:bottom w:val="nil"/>
              <w:right w:val="nil"/>
            </w:tcBorders>
          </w:tcPr>
          <w:p w14:paraId="16D2597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(1.00)</w:t>
            </w:r>
          </w:p>
        </w:tc>
      </w:tr>
      <w:tr w:rsidR="00013EB4" w:rsidRPr="00B92F9C" w14:paraId="75A01233" w14:textId="77777777" w:rsidTr="00015B88">
        <w:tc>
          <w:tcPr>
            <w:tcW w:w="2136" w:type="dxa"/>
            <w:tcBorders>
              <w:top w:val="nil"/>
              <w:left w:val="nil"/>
              <w:bottom w:val="nil"/>
              <w:right w:val="nil"/>
            </w:tcBorders>
          </w:tcPr>
          <w:p w14:paraId="47B1FB1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F9C4A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AB9E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B99379"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5B85A3"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2A1A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2BCF5E42" w14:textId="77777777" w:rsidTr="00015B88">
        <w:tc>
          <w:tcPr>
            <w:tcW w:w="2136" w:type="dxa"/>
            <w:tcBorders>
              <w:top w:val="nil"/>
              <w:left w:val="nil"/>
              <w:bottom w:val="nil"/>
              <w:right w:val="nil"/>
            </w:tcBorders>
          </w:tcPr>
          <w:p w14:paraId="18E737E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B92F9C">
              <w:rPr>
                <w:rFonts w:ascii="Times New Roman" w:hAnsi="Times New Roman" w:cs="Times New Roman"/>
                <w:sz w:val="16"/>
                <w:szCs w:val="16"/>
              </w:rPr>
              <w:t>L.Exchange</w:t>
            </w:r>
            <w:proofErr w:type="spellEnd"/>
            <w:r w:rsidRPr="00B92F9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9573DE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0.0190</w:t>
            </w:r>
          </w:p>
        </w:tc>
        <w:tc>
          <w:tcPr>
            <w:tcW w:w="1656" w:type="dxa"/>
            <w:tcBorders>
              <w:top w:val="nil"/>
              <w:left w:val="nil"/>
              <w:bottom w:val="nil"/>
              <w:right w:val="nil"/>
            </w:tcBorders>
          </w:tcPr>
          <w:p w14:paraId="22EEA33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0.0295</w:t>
            </w:r>
          </w:p>
        </w:tc>
        <w:tc>
          <w:tcPr>
            <w:tcW w:w="1656" w:type="dxa"/>
            <w:tcBorders>
              <w:top w:val="nil"/>
              <w:left w:val="nil"/>
              <w:bottom w:val="nil"/>
              <w:right w:val="nil"/>
            </w:tcBorders>
          </w:tcPr>
          <w:p w14:paraId="37F8DFE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-0.0287</w:t>
            </w:r>
          </w:p>
        </w:tc>
        <w:tc>
          <w:tcPr>
            <w:tcW w:w="1656" w:type="dxa"/>
            <w:tcBorders>
              <w:top w:val="nil"/>
              <w:left w:val="nil"/>
              <w:bottom w:val="nil"/>
              <w:right w:val="nil"/>
            </w:tcBorders>
          </w:tcPr>
          <w:p w14:paraId="61B1A59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0.00346</w:t>
            </w:r>
          </w:p>
        </w:tc>
        <w:tc>
          <w:tcPr>
            <w:tcW w:w="1656" w:type="dxa"/>
            <w:tcBorders>
              <w:top w:val="nil"/>
              <w:left w:val="nil"/>
              <w:bottom w:val="nil"/>
              <w:right w:val="nil"/>
            </w:tcBorders>
          </w:tcPr>
          <w:p w14:paraId="772A461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0.00302</w:t>
            </w:r>
          </w:p>
        </w:tc>
      </w:tr>
      <w:tr w:rsidR="00013EB4" w:rsidRPr="00B92F9C" w14:paraId="54E0CAF4" w14:textId="77777777" w:rsidTr="00015B88">
        <w:tc>
          <w:tcPr>
            <w:tcW w:w="2136" w:type="dxa"/>
            <w:tcBorders>
              <w:top w:val="nil"/>
              <w:left w:val="nil"/>
              <w:bottom w:val="nil"/>
              <w:right w:val="nil"/>
            </w:tcBorders>
          </w:tcPr>
          <w:p w14:paraId="4D5FE08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35204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(0.52)</w:t>
            </w:r>
          </w:p>
        </w:tc>
        <w:tc>
          <w:tcPr>
            <w:tcW w:w="1656" w:type="dxa"/>
            <w:tcBorders>
              <w:top w:val="nil"/>
              <w:left w:val="nil"/>
              <w:bottom w:val="nil"/>
              <w:right w:val="nil"/>
            </w:tcBorders>
          </w:tcPr>
          <w:p w14:paraId="7B2485C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(0.91)</w:t>
            </w:r>
          </w:p>
        </w:tc>
        <w:tc>
          <w:tcPr>
            <w:tcW w:w="1656" w:type="dxa"/>
            <w:tcBorders>
              <w:top w:val="nil"/>
              <w:left w:val="nil"/>
              <w:bottom w:val="nil"/>
              <w:right w:val="nil"/>
            </w:tcBorders>
          </w:tcPr>
          <w:p w14:paraId="432D2DD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(-1.08)</w:t>
            </w:r>
          </w:p>
        </w:tc>
        <w:tc>
          <w:tcPr>
            <w:tcW w:w="1656" w:type="dxa"/>
            <w:tcBorders>
              <w:top w:val="nil"/>
              <w:left w:val="nil"/>
              <w:bottom w:val="nil"/>
              <w:right w:val="nil"/>
            </w:tcBorders>
          </w:tcPr>
          <w:p w14:paraId="37443F0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(0.38)</w:t>
            </w:r>
          </w:p>
        </w:tc>
        <w:tc>
          <w:tcPr>
            <w:tcW w:w="1656" w:type="dxa"/>
            <w:tcBorders>
              <w:top w:val="nil"/>
              <w:left w:val="nil"/>
              <w:bottom w:val="nil"/>
              <w:right w:val="nil"/>
            </w:tcBorders>
          </w:tcPr>
          <w:p w14:paraId="5033235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(0.69)</w:t>
            </w:r>
          </w:p>
        </w:tc>
      </w:tr>
      <w:tr w:rsidR="00013EB4" w:rsidRPr="00B92F9C" w14:paraId="64CA2E3F" w14:textId="77777777" w:rsidTr="00015B88">
        <w:tc>
          <w:tcPr>
            <w:tcW w:w="2136" w:type="dxa"/>
            <w:tcBorders>
              <w:top w:val="nil"/>
              <w:left w:val="nil"/>
              <w:bottom w:val="nil"/>
              <w:right w:val="nil"/>
            </w:tcBorders>
          </w:tcPr>
          <w:p w14:paraId="4ED6CB8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49FE0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A387D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A03F5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ABCC5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A311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6D1515DC" w14:textId="77777777" w:rsidTr="00015B88">
        <w:tc>
          <w:tcPr>
            <w:tcW w:w="2136" w:type="dxa"/>
            <w:tcBorders>
              <w:top w:val="nil"/>
              <w:left w:val="nil"/>
              <w:bottom w:val="nil"/>
              <w:right w:val="nil"/>
            </w:tcBorders>
          </w:tcPr>
          <w:p w14:paraId="3B5D207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7EB47A6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-0.0466</w:t>
            </w:r>
          </w:p>
        </w:tc>
        <w:tc>
          <w:tcPr>
            <w:tcW w:w="1656" w:type="dxa"/>
            <w:tcBorders>
              <w:top w:val="nil"/>
              <w:left w:val="nil"/>
              <w:bottom w:val="nil"/>
              <w:right w:val="nil"/>
            </w:tcBorders>
          </w:tcPr>
          <w:p w14:paraId="6CC8D28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-0.0309</w:t>
            </w:r>
          </w:p>
        </w:tc>
        <w:tc>
          <w:tcPr>
            <w:tcW w:w="1656" w:type="dxa"/>
            <w:tcBorders>
              <w:top w:val="nil"/>
              <w:left w:val="nil"/>
              <w:bottom w:val="nil"/>
              <w:right w:val="nil"/>
            </w:tcBorders>
          </w:tcPr>
          <w:p w14:paraId="6F42654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-0.0284</w:t>
            </w:r>
          </w:p>
        </w:tc>
        <w:tc>
          <w:tcPr>
            <w:tcW w:w="1656" w:type="dxa"/>
            <w:tcBorders>
              <w:top w:val="nil"/>
              <w:left w:val="nil"/>
              <w:bottom w:val="nil"/>
              <w:right w:val="nil"/>
            </w:tcBorders>
          </w:tcPr>
          <w:p w14:paraId="613450F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0.0171</w:t>
            </w:r>
          </w:p>
        </w:tc>
        <w:tc>
          <w:tcPr>
            <w:tcW w:w="1656" w:type="dxa"/>
            <w:tcBorders>
              <w:top w:val="nil"/>
              <w:left w:val="nil"/>
              <w:bottom w:val="nil"/>
              <w:right w:val="nil"/>
            </w:tcBorders>
          </w:tcPr>
          <w:p w14:paraId="2F12535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-0.00801</w:t>
            </w:r>
            <w:r w:rsidRPr="00B92F9C">
              <w:rPr>
                <w:rFonts w:ascii="Times New Roman" w:hAnsi="Times New Roman" w:cs="Times New Roman"/>
                <w:sz w:val="16"/>
                <w:szCs w:val="16"/>
                <w:vertAlign w:val="superscript"/>
              </w:rPr>
              <w:t>*</w:t>
            </w:r>
          </w:p>
        </w:tc>
      </w:tr>
      <w:tr w:rsidR="00013EB4" w:rsidRPr="00B92F9C" w14:paraId="34BE444C" w14:textId="77777777" w:rsidTr="00015B88">
        <w:tc>
          <w:tcPr>
            <w:tcW w:w="2136" w:type="dxa"/>
            <w:tcBorders>
              <w:top w:val="nil"/>
              <w:left w:val="nil"/>
              <w:bottom w:val="nil"/>
              <w:right w:val="nil"/>
            </w:tcBorders>
          </w:tcPr>
          <w:p w14:paraId="5CF49B8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FF2E3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(-1.61)</w:t>
            </w:r>
          </w:p>
        </w:tc>
        <w:tc>
          <w:tcPr>
            <w:tcW w:w="1656" w:type="dxa"/>
            <w:tcBorders>
              <w:top w:val="nil"/>
              <w:left w:val="nil"/>
              <w:bottom w:val="nil"/>
              <w:right w:val="nil"/>
            </w:tcBorders>
          </w:tcPr>
          <w:p w14:paraId="0E9D836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(-1.21)</w:t>
            </w:r>
          </w:p>
        </w:tc>
        <w:tc>
          <w:tcPr>
            <w:tcW w:w="1656" w:type="dxa"/>
            <w:tcBorders>
              <w:top w:val="nil"/>
              <w:left w:val="nil"/>
              <w:bottom w:val="nil"/>
              <w:right w:val="nil"/>
            </w:tcBorders>
          </w:tcPr>
          <w:p w14:paraId="4BC5A99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(-1.28)</w:t>
            </w:r>
          </w:p>
        </w:tc>
        <w:tc>
          <w:tcPr>
            <w:tcW w:w="1656" w:type="dxa"/>
            <w:tcBorders>
              <w:top w:val="nil"/>
              <w:left w:val="nil"/>
              <w:bottom w:val="nil"/>
              <w:right w:val="nil"/>
            </w:tcBorders>
          </w:tcPr>
          <w:p w14:paraId="79086DD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(1.82)</w:t>
            </w:r>
          </w:p>
        </w:tc>
        <w:tc>
          <w:tcPr>
            <w:tcW w:w="1656" w:type="dxa"/>
            <w:tcBorders>
              <w:top w:val="nil"/>
              <w:left w:val="nil"/>
              <w:bottom w:val="nil"/>
              <w:right w:val="nil"/>
            </w:tcBorders>
          </w:tcPr>
          <w:p w14:paraId="536A6C0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(-1.98)</w:t>
            </w:r>
          </w:p>
        </w:tc>
      </w:tr>
      <w:tr w:rsidR="00013EB4" w:rsidRPr="00B92F9C" w14:paraId="4BCD1F66" w14:textId="77777777" w:rsidTr="00015B88">
        <w:tc>
          <w:tcPr>
            <w:tcW w:w="2136" w:type="dxa"/>
            <w:tcBorders>
              <w:top w:val="nil"/>
              <w:left w:val="nil"/>
              <w:bottom w:val="nil"/>
              <w:right w:val="nil"/>
            </w:tcBorders>
          </w:tcPr>
          <w:p w14:paraId="024EDA99"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24E1E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FADE8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37540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9E937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8CF62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5D66B30C" w14:textId="77777777" w:rsidTr="00015B88">
        <w:tc>
          <w:tcPr>
            <w:tcW w:w="2136" w:type="dxa"/>
            <w:tcBorders>
              <w:top w:val="nil"/>
              <w:left w:val="nil"/>
              <w:bottom w:val="nil"/>
              <w:right w:val="nil"/>
            </w:tcBorders>
          </w:tcPr>
          <w:p w14:paraId="173A59F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349AC86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0.0162</w:t>
            </w:r>
          </w:p>
        </w:tc>
        <w:tc>
          <w:tcPr>
            <w:tcW w:w="1656" w:type="dxa"/>
            <w:tcBorders>
              <w:top w:val="nil"/>
              <w:left w:val="nil"/>
              <w:bottom w:val="nil"/>
              <w:right w:val="nil"/>
            </w:tcBorders>
          </w:tcPr>
          <w:p w14:paraId="3107DA0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0.00251</w:t>
            </w:r>
          </w:p>
        </w:tc>
        <w:tc>
          <w:tcPr>
            <w:tcW w:w="1656" w:type="dxa"/>
            <w:tcBorders>
              <w:top w:val="nil"/>
              <w:left w:val="nil"/>
              <w:bottom w:val="nil"/>
              <w:right w:val="nil"/>
            </w:tcBorders>
          </w:tcPr>
          <w:p w14:paraId="154550D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0.0134</w:t>
            </w:r>
          </w:p>
        </w:tc>
        <w:tc>
          <w:tcPr>
            <w:tcW w:w="1656" w:type="dxa"/>
            <w:tcBorders>
              <w:top w:val="nil"/>
              <w:left w:val="nil"/>
              <w:bottom w:val="nil"/>
              <w:right w:val="nil"/>
            </w:tcBorders>
          </w:tcPr>
          <w:p w14:paraId="1F3ADDF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-0.0296</w:t>
            </w:r>
            <w:r w:rsidRPr="00B92F9C">
              <w:rPr>
                <w:rFonts w:ascii="Times New Roman" w:hAnsi="Times New Roman" w:cs="Times New Roman"/>
                <w:sz w:val="16"/>
                <w:szCs w:val="16"/>
                <w:vertAlign w:val="superscript"/>
              </w:rPr>
              <w:t>**</w:t>
            </w:r>
          </w:p>
        </w:tc>
        <w:tc>
          <w:tcPr>
            <w:tcW w:w="1656" w:type="dxa"/>
            <w:tcBorders>
              <w:top w:val="nil"/>
              <w:left w:val="nil"/>
              <w:bottom w:val="nil"/>
              <w:right w:val="nil"/>
            </w:tcBorders>
          </w:tcPr>
          <w:p w14:paraId="3062E7E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-0.00654</w:t>
            </w:r>
          </w:p>
        </w:tc>
      </w:tr>
      <w:tr w:rsidR="00013EB4" w:rsidRPr="00B92F9C" w14:paraId="4B4E24A4" w14:textId="77777777" w:rsidTr="00015B88">
        <w:tc>
          <w:tcPr>
            <w:tcW w:w="2136" w:type="dxa"/>
            <w:tcBorders>
              <w:top w:val="nil"/>
              <w:left w:val="nil"/>
              <w:bottom w:val="nil"/>
              <w:right w:val="nil"/>
            </w:tcBorders>
          </w:tcPr>
          <w:p w14:paraId="47EFCD6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8579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(0.50)</w:t>
            </w:r>
          </w:p>
        </w:tc>
        <w:tc>
          <w:tcPr>
            <w:tcW w:w="1656" w:type="dxa"/>
            <w:tcBorders>
              <w:top w:val="nil"/>
              <w:left w:val="nil"/>
              <w:bottom w:val="nil"/>
              <w:right w:val="nil"/>
            </w:tcBorders>
          </w:tcPr>
          <w:p w14:paraId="36350DE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(0.09)</w:t>
            </w:r>
          </w:p>
        </w:tc>
        <w:tc>
          <w:tcPr>
            <w:tcW w:w="1656" w:type="dxa"/>
            <w:tcBorders>
              <w:top w:val="nil"/>
              <w:left w:val="nil"/>
              <w:bottom w:val="nil"/>
              <w:right w:val="nil"/>
            </w:tcBorders>
          </w:tcPr>
          <w:p w14:paraId="2C632CC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(0.41)</w:t>
            </w:r>
          </w:p>
        </w:tc>
        <w:tc>
          <w:tcPr>
            <w:tcW w:w="1656" w:type="dxa"/>
            <w:tcBorders>
              <w:top w:val="nil"/>
              <w:left w:val="nil"/>
              <w:bottom w:val="nil"/>
              <w:right w:val="nil"/>
            </w:tcBorders>
          </w:tcPr>
          <w:p w14:paraId="73B9FB0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(-2.91)</w:t>
            </w:r>
          </w:p>
        </w:tc>
        <w:tc>
          <w:tcPr>
            <w:tcW w:w="1656" w:type="dxa"/>
            <w:tcBorders>
              <w:top w:val="nil"/>
              <w:left w:val="nil"/>
              <w:bottom w:val="nil"/>
              <w:right w:val="nil"/>
            </w:tcBorders>
          </w:tcPr>
          <w:p w14:paraId="40DF22F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(-0.91)</w:t>
            </w:r>
          </w:p>
        </w:tc>
      </w:tr>
      <w:tr w:rsidR="00013EB4" w:rsidRPr="00B92F9C" w14:paraId="3C291A16" w14:textId="77777777" w:rsidTr="00015B88">
        <w:tc>
          <w:tcPr>
            <w:tcW w:w="2136" w:type="dxa"/>
            <w:tcBorders>
              <w:top w:val="nil"/>
              <w:left w:val="nil"/>
              <w:bottom w:val="nil"/>
              <w:right w:val="nil"/>
            </w:tcBorders>
          </w:tcPr>
          <w:p w14:paraId="0FE0948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AEB69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EA30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03E6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68B2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4FE3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08EE0B27" w14:textId="77777777" w:rsidTr="00015B88">
        <w:tc>
          <w:tcPr>
            <w:tcW w:w="2136" w:type="dxa"/>
            <w:tcBorders>
              <w:top w:val="nil"/>
              <w:left w:val="nil"/>
              <w:bottom w:val="nil"/>
              <w:right w:val="nil"/>
            </w:tcBorders>
          </w:tcPr>
          <w:p w14:paraId="0FDA87E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D9B539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0.0247</w:t>
            </w:r>
          </w:p>
        </w:tc>
        <w:tc>
          <w:tcPr>
            <w:tcW w:w="1656" w:type="dxa"/>
            <w:tcBorders>
              <w:top w:val="nil"/>
              <w:left w:val="nil"/>
              <w:bottom w:val="nil"/>
              <w:right w:val="nil"/>
            </w:tcBorders>
          </w:tcPr>
          <w:p w14:paraId="5AE2E96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0.0209</w:t>
            </w:r>
          </w:p>
        </w:tc>
        <w:tc>
          <w:tcPr>
            <w:tcW w:w="1656" w:type="dxa"/>
            <w:tcBorders>
              <w:top w:val="nil"/>
              <w:left w:val="nil"/>
              <w:bottom w:val="nil"/>
              <w:right w:val="nil"/>
            </w:tcBorders>
          </w:tcPr>
          <w:p w14:paraId="4E20DF9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-0.0122</w:t>
            </w:r>
          </w:p>
        </w:tc>
        <w:tc>
          <w:tcPr>
            <w:tcW w:w="1656" w:type="dxa"/>
            <w:tcBorders>
              <w:top w:val="nil"/>
              <w:left w:val="nil"/>
              <w:bottom w:val="nil"/>
              <w:right w:val="nil"/>
            </w:tcBorders>
          </w:tcPr>
          <w:p w14:paraId="5E2DC4F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-0.00190</w:t>
            </w:r>
          </w:p>
        </w:tc>
        <w:tc>
          <w:tcPr>
            <w:tcW w:w="1656" w:type="dxa"/>
            <w:tcBorders>
              <w:top w:val="nil"/>
              <w:left w:val="nil"/>
              <w:bottom w:val="nil"/>
              <w:right w:val="nil"/>
            </w:tcBorders>
          </w:tcPr>
          <w:p w14:paraId="1CEB462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-0.00362</w:t>
            </w:r>
          </w:p>
        </w:tc>
      </w:tr>
      <w:tr w:rsidR="00013EB4" w:rsidRPr="00B92F9C" w14:paraId="4C2D84B4" w14:textId="77777777" w:rsidTr="00015B88">
        <w:tc>
          <w:tcPr>
            <w:tcW w:w="2136" w:type="dxa"/>
            <w:tcBorders>
              <w:top w:val="nil"/>
              <w:left w:val="nil"/>
              <w:bottom w:val="nil"/>
              <w:right w:val="nil"/>
            </w:tcBorders>
          </w:tcPr>
          <w:p w14:paraId="2F2E7C4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61C67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(0.81)</w:t>
            </w:r>
          </w:p>
        </w:tc>
        <w:tc>
          <w:tcPr>
            <w:tcW w:w="1656" w:type="dxa"/>
            <w:tcBorders>
              <w:top w:val="nil"/>
              <w:left w:val="nil"/>
              <w:bottom w:val="nil"/>
              <w:right w:val="nil"/>
            </w:tcBorders>
          </w:tcPr>
          <w:p w14:paraId="3306CE6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(0.77)</w:t>
            </w:r>
          </w:p>
        </w:tc>
        <w:tc>
          <w:tcPr>
            <w:tcW w:w="1656" w:type="dxa"/>
            <w:tcBorders>
              <w:top w:val="nil"/>
              <w:left w:val="nil"/>
              <w:bottom w:val="nil"/>
              <w:right w:val="nil"/>
            </w:tcBorders>
          </w:tcPr>
          <w:p w14:paraId="2729B1E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(-0.51)</w:t>
            </w:r>
          </w:p>
        </w:tc>
        <w:tc>
          <w:tcPr>
            <w:tcW w:w="1656" w:type="dxa"/>
            <w:tcBorders>
              <w:top w:val="nil"/>
              <w:left w:val="nil"/>
              <w:bottom w:val="nil"/>
              <w:right w:val="nil"/>
            </w:tcBorders>
          </w:tcPr>
          <w:p w14:paraId="059A5B9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(-0.24)</w:t>
            </w:r>
          </w:p>
        </w:tc>
        <w:tc>
          <w:tcPr>
            <w:tcW w:w="1656" w:type="dxa"/>
            <w:tcBorders>
              <w:top w:val="nil"/>
              <w:left w:val="nil"/>
              <w:bottom w:val="nil"/>
              <w:right w:val="nil"/>
            </w:tcBorders>
          </w:tcPr>
          <w:p w14:paraId="0DB74DB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(-0.79)</w:t>
            </w:r>
          </w:p>
        </w:tc>
      </w:tr>
      <w:tr w:rsidR="00013EB4" w:rsidRPr="00B92F9C" w14:paraId="5DE42BED" w14:textId="77777777" w:rsidTr="00015B88">
        <w:tc>
          <w:tcPr>
            <w:tcW w:w="2136" w:type="dxa"/>
            <w:tcBorders>
              <w:top w:val="nil"/>
              <w:left w:val="nil"/>
              <w:bottom w:val="nil"/>
              <w:right w:val="nil"/>
            </w:tcBorders>
          </w:tcPr>
          <w:p w14:paraId="0948C6B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FBD503"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27A3F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CA065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61CF4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59E64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12EC91C2" w14:textId="77777777" w:rsidTr="00015B88">
        <w:tc>
          <w:tcPr>
            <w:tcW w:w="2136" w:type="dxa"/>
            <w:tcBorders>
              <w:top w:val="nil"/>
              <w:left w:val="nil"/>
              <w:bottom w:val="nil"/>
              <w:right w:val="nil"/>
            </w:tcBorders>
          </w:tcPr>
          <w:p w14:paraId="1575FFC9"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6AE28FF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0.0155</w:t>
            </w:r>
          </w:p>
        </w:tc>
        <w:tc>
          <w:tcPr>
            <w:tcW w:w="1656" w:type="dxa"/>
            <w:tcBorders>
              <w:top w:val="nil"/>
              <w:left w:val="nil"/>
              <w:bottom w:val="nil"/>
              <w:right w:val="nil"/>
            </w:tcBorders>
          </w:tcPr>
          <w:p w14:paraId="10B90D2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-0.0173</w:t>
            </w:r>
          </w:p>
        </w:tc>
        <w:tc>
          <w:tcPr>
            <w:tcW w:w="1656" w:type="dxa"/>
            <w:tcBorders>
              <w:top w:val="nil"/>
              <w:left w:val="nil"/>
              <w:bottom w:val="nil"/>
              <w:right w:val="nil"/>
            </w:tcBorders>
          </w:tcPr>
          <w:p w14:paraId="263A941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0.0749</w:t>
            </w:r>
            <w:r w:rsidRPr="00B92F9C">
              <w:rPr>
                <w:rFonts w:ascii="Times New Roman" w:hAnsi="Times New Roman" w:cs="Times New Roman"/>
                <w:sz w:val="16"/>
                <w:szCs w:val="16"/>
                <w:vertAlign w:val="superscript"/>
              </w:rPr>
              <w:t>***</w:t>
            </w:r>
          </w:p>
        </w:tc>
        <w:tc>
          <w:tcPr>
            <w:tcW w:w="1656" w:type="dxa"/>
            <w:tcBorders>
              <w:top w:val="nil"/>
              <w:left w:val="nil"/>
              <w:bottom w:val="nil"/>
              <w:right w:val="nil"/>
            </w:tcBorders>
          </w:tcPr>
          <w:p w14:paraId="304F368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0.00230</w:t>
            </w:r>
          </w:p>
        </w:tc>
        <w:tc>
          <w:tcPr>
            <w:tcW w:w="1656" w:type="dxa"/>
            <w:tcBorders>
              <w:top w:val="nil"/>
              <w:left w:val="nil"/>
              <w:bottom w:val="nil"/>
              <w:right w:val="nil"/>
            </w:tcBorders>
          </w:tcPr>
          <w:p w14:paraId="69EBB78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0.00987</w:t>
            </w:r>
          </w:p>
        </w:tc>
      </w:tr>
      <w:tr w:rsidR="00013EB4" w:rsidRPr="00B92F9C" w14:paraId="5F469C05" w14:textId="77777777" w:rsidTr="00015B88">
        <w:tc>
          <w:tcPr>
            <w:tcW w:w="2136" w:type="dxa"/>
            <w:tcBorders>
              <w:top w:val="nil"/>
              <w:left w:val="nil"/>
              <w:bottom w:val="nil"/>
              <w:right w:val="nil"/>
            </w:tcBorders>
          </w:tcPr>
          <w:p w14:paraId="18A07F8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49B69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(0.58)</w:t>
            </w:r>
          </w:p>
        </w:tc>
        <w:tc>
          <w:tcPr>
            <w:tcW w:w="1656" w:type="dxa"/>
            <w:tcBorders>
              <w:top w:val="nil"/>
              <w:left w:val="nil"/>
              <w:bottom w:val="nil"/>
              <w:right w:val="nil"/>
            </w:tcBorders>
          </w:tcPr>
          <w:p w14:paraId="06EE701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(-0.83)</w:t>
            </w:r>
          </w:p>
        </w:tc>
        <w:tc>
          <w:tcPr>
            <w:tcW w:w="1656" w:type="dxa"/>
            <w:tcBorders>
              <w:top w:val="nil"/>
              <w:left w:val="nil"/>
              <w:bottom w:val="nil"/>
              <w:right w:val="nil"/>
            </w:tcBorders>
          </w:tcPr>
          <w:p w14:paraId="044EBC6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(4.01)</w:t>
            </w:r>
          </w:p>
        </w:tc>
        <w:tc>
          <w:tcPr>
            <w:tcW w:w="1656" w:type="dxa"/>
            <w:tcBorders>
              <w:top w:val="nil"/>
              <w:left w:val="nil"/>
              <w:bottom w:val="nil"/>
              <w:right w:val="nil"/>
            </w:tcBorders>
          </w:tcPr>
          <w:p w14:paraId="5B9FA9E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(0.30)</w:t>
            </w:r>
          </w:p>
        </w:tc>
        <w:tc>
          <w:tcPr>
            <w:tcW w:w="1656" w:type="dxa"/>
            <w:tcBorders>
              <w:top w:val="nil"/>
              <w:left w:val="nil"/>
              <w:bottom w:val="nil"/>
              <w:right w:val="nil"/>
            </w:tcBorders>
          </w:tcPr>
          <w:p w14:paraId="1745792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(1.97)</w:t>
            </w:r>
          </w:p>
        </w:tc>
      </w:tr>
      <w:tr w:rsidR="00013EB4" w:rsidRPr="00B92F9C" w14:paraId="34B1BB02" w14:textId="77777777" w:rsidTr="00015B88">
        <w:tc>
          <w:tcPr>
            <w:tcW w:w="2136" w:type="dxa"/>
            <w:tcBorders>
              <w:top w:val="nil"/>
              <w:left w:val="nil"/>
              <w:bottom w:val="nil"/>
              <w:right w:val="nil"/>
            </w:tcBorders>
          </w:tcPr>
          <w:p w14:paraId="32DC628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BBBDE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7185A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2275F3"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3A9F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6D506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27CA403A" w14:textId="77777777" w:rsidTr="00015B88">
        <w:tc>
          <w:tcPr>
            <w:tcW w:w="2136" w:type="dxa"/>
            <w:tcBorders>
              <w:top w:val="nil"/>
              <w:left w:val="nil"/>
              <w:bottom w:val="nil"/>
              <w:right w:val="nil"/>
            </w:tcBorders>
          </w:tcPr>
          <w:p w14:paraId="21601BC9"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F16C29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-0.0699</w:t>
            </w:r>
            <w:r w:rsidRPr="00B92F9C">
              <w:rPr>
                <w:rFonts w:ascii="Times New Roman" w:hAnsi="Times New Roman" w:cs="Times New Roman"/>
                <w:sz w:val="16"/>
                <w:szCs w:val="16"/>
                <w:vertAlign w:val="superscript"/>
              </w:rPr>
              <w:t>**</w:t>
            </w:r>
          </w:p>
        </w:tc>
        <w:tc>
          <w:tcPr>
            <w:tcW w:w="1656" w:type="dxa"/>
            <w:tcBorders>
              <w:top w:val="nil"/>
              <w:left w:val="nil"/>
              <w:bottom w:val="nil"/>
              <w:right w:val="nil"/>
            </w:tcBorders>
          </w:tcPr>
          <w:p w14:paraId="2734DDA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-0.0224</w:t>
            </w:r>
          </w:p>
        </w:tc>
        <w:tc>
          <w:tcPr>
            <w:tcW w:w="1656" w:type="dxa"/>
            <w:tcBorders>
              <w:top w:val="nil"/>
              <w:left w:val="nil"/>
              <w:bottom w:val="nil"/>
              <w:right w:val="nil"/>
            </w:tcBorders>
          </w:tcPr>
          <w:p w14:paraId="3227F04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-0.0895</w:t>
            </w:r>
            <w:r w:rsidRPr="00B92F9C">
              <w:rPr>
                <w:rFonts w:ascii="Times New Roman" w:hAnsi="Times New Roman" w:cs="Times New Roman"/>
                <w:sz w:val="16"/>
                <w:szCs w:val="16"/>
                <w:vertAlign w:val="superscript"/>
              </w:rPr>
              <w:t>**</w:t>
            </w:r>
          </w:p>
        </w:tc>
        <w:tc>
          <w:tcPr>
            <w:tcW w:w="1656" w:type="dxa"/>
            <w:tcBorders>
              <w:top w:val="nil"/>
              <w:left w:val="nil"/>
              <w:bottom w:val="nil"/>
              <w:right w:val="nil"/>
            </w:tcBorders>
          </w:tcPr>
          <w:p w14:paraId="413914B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0.00341</w:t>
            </w:r>
          </w:p>
        </w:tc>
        <w:tc>
          <w:tcPr>
            <w:tcW w:w="1656" w:type="dxa"/>
            <w:tcBorders>
              <w:top w:val="nil"/>
              <w:left w:val="nil"/>
              <w:bottom w:val="nil"/>
              <w:right w:val="nil"/>
            </w:tcBorders>
          </w:tcPr>
          <w:p w14:paraId="45DC197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-0.00460</w:t>
            </w:r>
          </w:p>
        </w:tc>
      </w:tr>
      <w:tr w:rsidR="00013EB4" w:rsidRPr="00B92F9C" w14:paraId="27C166AB" w14:textId="77777777" w:rsidTr="00015B88">
        <w:tc>
          <w:tcPr>
            <w:tcW w:w="2136" w:type="dxa"/>
            <w:tcBorders>
              <w:top w:val="nil"/>
              <w:left w:val="nil"/>
              <w:bottom w:val="nil"/>
              <w:right w:val="nil"/>
            </w:tcBorders>
          </w:tcPr>
          <w:p w14:paraId="150EC1E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322DD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(-3.12)</w:t>
            </w:r>
          </w:p>
        </w:tc>
        <w:tc>
          <w:tcPr>
            <w:tcW w:w="1656" w:type="dxa"/>
            <w:tcBorders>
              <w:top w:val="nil"/>
              <w:left w:val="nil"/>
              <w:bottom w:val="nil"/>
              <w:right w:val="nil"/>
            </w:tcBorders>
          </w:tcPr>
          <w:p w14:paraId="0A153FF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(-1.12)</w:t>
            </w:r>
          </w:p>
        </w:tc>
        <w:tc>
          <w:tcPr>
            <w:tcW w:w="1656" w:type="dxa"/>
            <w:tcBorders>
              <w:top w:val="nil"/>
              <w:left w:val="nil"/>
              <w:bottom w:val="nil"/>
              <w:right w:val="nil"/>
            </w:tcBorders>
          </w:tcPr>
          <w:p w14:paraId="6C42A1E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(-2.97)</w:t>
            </w:r>
          </w:p>
        </w:tc>
        <w:tc>
          <w:tcPr>
            <w:tcW w:w="1656" w:type="dxa"/>
            <w:tcBorders>
              <w:top w:val="nil"/>
              <w:left w:val="nil"/>
              <w:bottom w:val="nil"/>
              <w:right w:val="nil"/>
            </w:tcBorders>
          </w:tcPr>
          <w:p w14:paraId="5349A18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(0.50)</w:t>
            </w:r>
          </w:p>
        </w:tc>
        <w:tc>
          <w:tcPr>
            <w:tcW w:w="1656" w:type="dxa"/>
            <w:tcBorders>
              <w:top w:val="nil"/>
              <w:left w:val="nil"/>
              <w:bottom w:val="nil"/>
              <w:right w:val="nil"/>
            </w:tcBorders>
          </w:tcPr>
          <w:p w14:paraId="4AC5F7D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(-0.83)</w:t>
            </w:r>
          </w:p>
        </w:tc>
      </w:tr>
      <w:tr w:rsidR="00013EB4" w:rsidRPr="00B92F9C" w14:paraId="6B828317" w14:textId="77777777" w:rsidTr="00015B88">
        <w:tc>
          <w:tcPr>
            <w:tcW w:w="2136" w:type="dxa"/>
            <w:tcBorders>
              <w:top w:val="nil"/>
              <w:left w:val="nil"/>
              <w:bottom w:val="nil"/>
              <w:right w:val="nil"/>
            </w:tcBorders>
          </w:tcPr>
          <w:p w14:paraId="418C821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68842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A1A78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5A39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81A9C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5A191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67DA46E6" w14:textId="77777777" w:rsidTr="00015B88">
        <w:tc>
          <w:tcPr>
            <w:tcW w:w="2136" w:type="dxa"/>
            <w:tcBorders>
              <w:top w:val="nil"/>
              <w:left w:val="nil"/>
              <w:bottom w:val="nil"/>
              <w:right w:val="nil"/>
            </w:tcBorders>
          </w:tcPr>
          <w:p w14:paraId="08EBF87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5FA8222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0.0618</w:t>
            </w:r>
            <w:r w:rsidRPr="00B92F9C">
              <w:rPr>
                <w:rFonts w:ascii="Times New Roman" w:hAnsi="Times New Roman" w:cs="Times New Roman"/>
                <w:sz w:val="16"/>
                <w:szCs w:val="16"/>
                <w:vertAlign w:val="superscript"/>
              </w:rPr>
              <w:t>*</w:t>
            </w:r>
          </w:p>
        </w:tc>
        <w:tc>
          <w:tcPr>
            <w:tcW w:w="1656" w:type="dxa"/>
            <w:tcBorders>
              <w:top w:val="nil"/>
              <w:left w:val="nil"/>
              <w:bottom w:val="nil"/>
              <w:right w:val="nil"/>
            </w:tcBorders>
          </w:tcPr>
          <w:p w14:paraId="503431F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0.0378</w:t>
            </w:r>
          </w:p>
        </w:tc>
        <w:tc>
          <w:tcPr>
            <w:tcW w:w="1656" w:type="dxa"/>
            <w:tcBorders>
              <w:top w:val="nil"/>
              <w:left w:val="nil"/>
              <w:bottom w:val="nil"/>
              <w:right w:val="nil"/>
            </w:tcBorders>
          </w:tcPr>
          <w:p w14:paraId="7D6D1F0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0.0422</w:t>
            </w:r>
          </w:p>
        </w:tc>
        <w:tc>
          <w:tcPr>
            <w:tcW w:w="1656" w:type="dxa"/>
            <w:tcBorders>
              <w:top w:val="nil"/>
              <w:left w:val="nil"/>
              <w:bottom w:val="nil"/>
              <w:right w:val="nil"/>
            </w:tcBorders>
          </w:tcPr>
          <w:p w14:paraId="5E4D258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-0.00822</w:t>
            </w:r>
          </w:p>
        </w:tc>
        <w:tc>
          <w:tcPr>
            <w:tcW w:w="1656" w:type="dxa"/>
            <w:tcBorders>
              <w:top w:val="nil"/>
              <w:left w:val="nil"/>
              <w:bottom w:val="nil"/>
              <w:right w:val="nil"/>
            </w:tcBorders>
          </w:tcPr>
          <w:p w14:paraId="50A5131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-0.000822</w:t>
            </w:r>
          </w:p>
        </w:tc>
      </w:tr>
      <w:tr w:rsidR="00013EB4" w:rsidRPr="00B92F9C" w14:paraId="7009C57C" w14:textId="77777777" w:rsidTr="00015B88">
        <w:tc>
          <w:tcPr>
            <w:tcW w:w="2136" w:type="dxa"/>
            <w:tcBorders>
              <w:top w:val="nil"/>
              <w:left w:val="nil"/>
              <w:bottom w:val="nil"/>
              <w:right w:val="nil"/>
            </w:tcBorders>
          </w:tcPr>
          <w:p w14:paraId="3BDED4D3"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7726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(2.19)</w:t>
            </w:r>
          </w:p>
        </w:tc>
        <w:tc>
          <w:tcPr>
            <w:tcW w:w="1656" w:type="dxa"/>
            <w:tcBorders>
              <w:top w:val="nil"/>
              <w:left w:val="nil"/>
              <w:bottom w:val="nil"/>
              <w:right w:val="nil"/>
            </w:tcBorders>
          </w:tcPr>
          <w:p w14:paraId="430BB0E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(1.49)</w:t>
            </w:r>
          </w:p>
        </w:tc>
        <w:tc>
          <w:tcPr>
            <w:tcW w:w="1656" w:type="dxa"/>
            <w:tcBorders>
              <w:top w:val="nil"/>
              <w:left w:val="nil"/>
              <w:bottom w:val="nil"/>
              <w:right w:val="nil"/>
            </w:tcBorders>
          </w:tcPr>
          <w:p w14:paraId="328E7AA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(1.63)</w:t>
            </w:r>
          </w:p>
        </w:tc>
        <w:tc>
          <w:tcPr>
            <w:tcW w:w="1656" w:type="dxa"/>
            <w:tcBorders>
              <w:top w:val="nil"/>
              <w:left w:val="nil"/>
              <w:bottom w:val="nil"/>
              <w:right w:val="nil"/>
            </w:tcBorders>
          </w:tcPr>
          <w:p w14:paraId="1F03AE9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(-1.00)</w:t>
            </w:r>
          </w:p>
        </w:tc>
        <w:tc>
          <w:tcPr>
            <w:tcW w:w="1656" w:type="dxa"/>
            <w:tcBorders>
              <w:top w:val="nil"/>
              <w:left w:val="nil"/>
              <w:bottom w:val="nil"/>
              <w:right w:val="nil"/>
            </w:tcBorders>
          </w:tcPr>
          <w:p w14:paraId="6B4C7AA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(-0.20)</w:t>
            </w:r>
          </w:p>
        </w:tc>
      </w:tr>
      <w:tr w:rsidR="00013EB4" w:rsidRPr="00B92F9C" w14:paraId="5BF149C0" w14:textId="77777777" w:rsidTr="00015B88">
        <w:tc>
          <w:tcPr>
            <w:tcW w:w="2136" w:type="dxa"/>
            <w:tcBorders>
              <w:top w:val="nil"/>
              <w:left w:val="nil"/>
              <w:bottom w:val="nil"/>
              <w:right w:val="nil"/>
            </w:tcBorders>
          </w:tcPr>
          <w:p w14:paraId="41EA131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A581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42D0F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5830D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563AC3"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92D7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2F07163E" w14:textId="77777777" w:rsidTr="00015B88">
        <w:tc>
          <w:tcPr>
            <w:tcW w:w="2136" w:type="dxa"/>
            <w:tcBorders>
              <w:top w:val="nil"/>
              <w:left w:val="nil"/>
              <w:bottom w:val="nil"/>
              <w:right w:val="nil"/>
            </w:tcBorders>
          </w:tcPr>
          <w:p w14:paraId="52A734B3"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739D8AB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-0.0242</w:t>
            </w:r>
          </w:p>
        </w:tc>
        <w:tc>
          <w:tcPr>
            <w:tcW w:w="1656" w:type="dxa"/>
            <w:tcBorders>
              <w:top w:val="nil"/>
              <w:left w:val="nil"/>
              <w:bottom w:val="nil"/>
              <w:right w:val="nil"/>
            </w:tcBorders>
          </w:tcPr>
          <w:p w14:paraId="7DDFB0E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-0.00456</w:t>
            </w:r>
          </w:p>
        </w:tc>
        <w:tc>
          <w:tcPr>
            <w:tcW w:w="1656" w:type="dxa"/>
            <w:tcBorders>
              <w:top w:val="nil"/>
              <w:left w:val="nil"/>
              <w:bottom w:val="nil"/>
              <w:right w:val="nil"/>
            </w:tcBorders>
          </w:tcPr>
          <w:p w14:paraId="0993462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-0.0113</w:t>
            </w:r>
          </w:p>
        </w:tc>
        <w:tc>
          <w:tcPr>
            <w:tcW w:w="1656" w:type="dxa"/>
            <w:tcBorders>
              <w:top w:val="nil"/>
              <w:left w:val="nil"/>
              <w:bottom w:val="nil"/>
              <w:right w:val="nil"/>
            </w:tcBorders>
          </w:tcPr>
          <w:p w14:paraId="71F6CF6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0.00968</w:t>
            </w:r>
          </w:p>
        </w:tc>
        <w:tc>
          <w:tcPr>
            <w:tcW w:w="1656" w:type="dxa"/>
            <w:tcBorders>
              <w:top w:val="nil"/>
              <w:left w:val="nil"/>
              <w:bottom w:val="nil"/>
              <w:right w:val="nil"/>
            </w:tcBorders>
          </w:tcPr>
          <w:p w14:paraId="247EC98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-0.00291</w:t>
            </w:r>
          </w:p>
        </w:tc>
      </w:tr>
      <w:tr w:rsidR="00013EB4" w:rsidRPr="00B92F9C" w14:paraId="40A80FF5" w14:textId="77777777" w:rsidTr="00015B88">
        <w:tc>
          <w:tcPr>
            <w:tcW w:w="2136" w:type="dxa"/>
            <w:tcBorders>
              <w:top w:val="nil"/>
              <w:left w:val="nil"/>
              <w:bottom w:val="nil"/>
              <w:right w:val="nil"/>
            </w:tcBorders>
          </w:tcPr>
          <w:p w14:paraId="3DED113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9D91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(-0.84)</w:t>
            </w:r>
          </w:p>
        </w:tc>
        <w:tc>
          <w:tcPr>
            <w:tcW w:w="1656" w:type="dxa"/>
            <w:tcBorders>
              <w:top w:val="nil"/>
              <w:left w:val="nil"/>
              <w:bottom w:val="nil"/>
              <w:right w:val="nil"/>
            </w:tcBorders>
          </w:tcPr>
          <w:p w14:paraId="56C977E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(-0.22)</w:t>
            </w:r>
          </w:p>
        </w:tc>
        <w:tc>
          <w:tcPr>
            <w:tcW w:w="1656" w:type="dxa"/>
            <w:tcBorders>
              <w:top w:val="nil"/>
              <w:left w:val="nil"/>
              <w:bottom w:val="nil"/>
              <w:right w:val="nil"/>
            </w:tcBorders>
          </w:tcPr>
          <w:p w14:paraId="0A0AD0F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(-0.45)</w:t>
            </w:r>
          </w:p>
        </w:tc>
        <w:tc>
          <w:tcPr>
            <w:tcW w:w="1656" w:type="dxa"/>
            <w:tcBorders>
              <w:top w:val="nil"/>
              <w:left w:val="nil"/>
              <w:bottom w:val="nil"/>
              <w:right w:val="nil"/>
            </w:tcBorders>
          </w:tcPr>
          <w:p w14:paraId="5C00201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(1.44)</w:t>
            </w:r>
          </w:p>
        </w:tc>
        <w:tc>
          <w:tcPr>
            <w:tcW w:w="1656" w:type="dxa"/>
            <w:tcBorders>
              <w:top w:val="nil"/>
              <w:left w:val="nil"/>
              <w:bottom w:val="nil"/>
              <w:right w:val="nil"/>
            </w:tcBorders>
          </w:tcPr>
          <w:p w14:paraId="0BDD378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(-0.62)</w:t>
            </w:r>
          </w:p>
        </w:tc>
      </w:tr>
      <w:tr w:rsidR="00013EB4" w:rsidRPr="00B92F9C" w14:paraId="72AFE5DD" w14:textId="77777777" w:rsidTr="00015B88">
        <w:tc>
          <w:tcPr>
            <w:tcW w:w="2136" w:type="dxa"/>
            <w:tcBorders>
              <w:top w:val="nil"/>
              <w:left w:val="nil"/>
              <w:bottom w:val="nil"/>
              <w:right w:val="nil"/>
            </w:tcBorders>
          </w:tcPr>
          <w:p w14:paraId="0A7902A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67493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706B3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CE0B9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EE42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A2F57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6AA62BAB" w14:textId="77777777" w:rsidTr="00015B88">
        <w:tc>
          <w:tcPr>
            <w:tcW w:w="2136" w:type="dxa"/>
            <w:tcBorders>
              <w:top w:val="nil"/>
              <w:left w:val="nil"/>
              <w:bottom w:val="nil"/>
              <w:right w:val="nil"/>
            </w:tcBorders>
          </w:tcPr>
          <w:p w14:paraId="6112575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17AE128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0.00612</w:t>
            </w:r>
          </w:p>
        </w:tc>
        <w:tc>
          <w:tcPr>
            <w:tcW w:w="1656" w:type="dxa"/>
            <w:tcBorders>
              <w:top w:val="nil"/>
              <w:left w:val="nil"/>
              <w:bottom w:val="nil"/>
              <w:right w:val="nil"/>
            </w:tcBorders>
          </w:tcPr>
          <w:p w14:paraId="0C08AD8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-0.00846</w:t>
            </w:r>
          </w:p>
        </w:tc>
        <w:tc>
          <w:tcPr>
            <w:tcW w:w="1656" w:type="dxa"/>
            <w:tcBorders>
              <w:top w:val="nil"/>
              <w:left w:val="nil"/>
              <w:bottom w:val="nil"/>
              <w:right w:val="nil"/>
            </w:tcBorders>
          </w:tcPr>
          <w:p w14:paraId="43F6565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-0.00231</w:t>
            </w:r>
          </w:p>
        </w:tc>
        <w:tc>
          <w:tcPr>
            <w:tcW w:w="1656" w:type="dxa"/>
            <w:tcBorders>
              <w:top w:val="nil"/>
              <w:left w:val="nil"/>
              <w:bottom w:val="nil"/>
              <w:right w:val="nil"/>
            </w:tcBorders>
          </w:tcPr>
          <w:p w14:paraId="5C5AD47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-0.0139</w:t>
            </w:r>
          </w:p>
        </w:tc>
        <w:tc>
          <w:tcPr>
            <w:tcW w:w="1656" w:type="dxa"/>
            <w:tcBorders>
              <w:top w:val="nil"/>
              <w:left w:val="nil"/>
              <w:bottom w:val="nil"/>
              <w:right w:val="nil"/>
            </w:tcBorders>
          </w:tcPr>
          <w:p w14:paraId="2396C8E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0.00935</w:t>
            </w:r>
          </w:p>
        </w:tc>
      </w:tr>
      <w:tr w:rsidR="00013EB4" w:rsidRPr="00B92F9C" w14:paraId="6F1A0D17" w14:textId="77777777" w:rsidTr="00015B88">
        <w:tc>
          <w:tcPr>
            <w:tcW w:w="2136" w:type="dxa"/>
            <w:tcBorders>
              <w:top w:val="nil"/>
              <w:left w:val="nil"/>
              <w:bottom w:val="nil"/>
              <w:right w:val="nil"/>
            </w:tcBorders>
          </w:tcPr>
          <w:p w14:paraId="03E6329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2F7AD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(0.25)</w:t>
            </w:r>
          </w:p>
        </w:tc>
        <w:tc>
          <w:tcPr>
            <w:tcW w:w="1656" w:type="dxa"/>
            <w:tcBorders>
              <w:top w:val="nil"/>
              <w:left w:val="nil"/>
              <w:bottom w:val="nil"/>
              <w:right w:val="nil"/>
            </w:tcBorders>
          </w:tcPr>
          <w:p w14:paraId="05873AA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(-0.43)</w:t>
            </w:r>
          </w:p>
        </w:tc>
        <w:tc>
          <w:tcPr>
            <w:tcW w:w="1656" w:type="dxa"/>
            <w:tcBorders>
              <w:top w:val="nil"/>
              <w:left w:val="nil"/>
              <w:bottom w:val="nil"/>
              <w:right w:val="nil"/>
            </w:tcBorders>
          </w:tcPr>
          <w:p w14:paraId="2FE10DC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(-0.09)</w:t>
            </w:r>
          </w:p>
        </w:tc>
        <w:tc>
          <w:tcPr>
            <w:tcW w:w="1656" w:type="dxa"/>
            <w:tcBorders>
              <w:top w:val="nil"/>
              <w:left w:val="nil"/>
              <w:bottom w:val="nil"/>
              <w:right w:val="nil"/>
            </w:tcBorders>
          </w:tcPr>
          <w:p w14:paraId="67D961B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(-1.90)</w:t>
            </w:r>
          </w:p>
        </w:tc>
        <w:tc>
          <w:tcPr>
            <w:tcW w:w="1656" w:type="dxa"/>
            <w:tcBorders>
              <w:top w:val="nil"/>
              <w:left w:val="nil"/>
              <w:bottom w:val="nil"/>
              <w:right w:val="nil"/>
            </w:tcBorders>
          </w:tcPr>
          <w:p w14:paraId="19871AC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(1.93)</w:t>
            </w:r>
          </w:p>
        </w:tc>
      </w:tr>
      <w:tr w:rsidR="00013EB4" w:rsidRPr="00B92F9C" w14:paraId="76213637" w14:textId="77777777" w:rsidTr="00015B88">
        <w:tc>
          <w:tcPr>
            <w:tcW w:w="2136" w:type="dxa"/>
            <w:tcBorders>
              <w:top w:val="nil"/>
              <w:left w:val="nil"/>
              <w:bottom w:val="nil"/>
              <w:right w:val="nil"/>
            </w:tcBorders>
          </w:tcPr>
          <w:p w14:paraId="55752749"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71062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057F2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EAC59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AC13D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81157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64485CAF" w14:textId="77777777" w:rsidTr="00015B88">
        <w:tc>
          <w:tcPr>
            <w:tcW w:w="2136" w:type="dxa"/>
            <w:tcBorders>
              <w:top w:val="nil"/>
              <w:left w:val="nil"/>
              <w:bottom w:val="nil"/>
              <w:right w:val="nil"/>
            </w:tcBorders>
          </w:tcPr>
          <w:p w14:paraId="7329E0D3"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28A300C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-0.0121</w:t>
            </w:r>
          </w:p>
        </w:tc>
        <w:tc>
          <w:tcPr>
            <w:tcW w:w="1656" w:type="dxa"/>
            <w:tcBorders>
              <w:top w:val="nil"/>
              <w:left w:val="nil"/>
              <w:bottom w:val="nil"/>
              <w:right w:val="nil"/>
            </w:tcBorders>
          </w:tcPr>
          <w:p w14:paraId="1062A5F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-0.0138</w:t>
            </w:r>
          </w:p>
        </w:tc>
        <w:tc>
          <w:tcPr>
            <w:tcW w:w="1656" w:type="dxa"/>
            <w:tcBorders>
              <w:top w:val="nil"/>
              <w:left w:val="nil"/>
              <w:bottom w:val="nil"/>
              <w:right w:val="nil"/>
            </w:tcBorders>
          </w:tcPr>
          <w:p w14:paraId="3384F6D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0.0104</w:t>
            </w:r>
          </w:p>
        </w:tc>
        <w:tc>
          <w:tcPr>
            <w:tcW w:w="1656" w:type="dxa"/>
            <w:tcBorders>
              <w:top w:val="nil"/>
              <w:left w:val="nil"/>
              <w:bottom w:val="nil"/>
              <w:right w:val="nil"/>
            </w:tcBorders>
          </w:tcPr>
          <w:p w14:paraId="0EFEDD0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0.0125</w:t>
            </w:r>
            <w:r w:rsidRPr="00B92F9C">
              <w:rPr>
                <w:rFonts w:ascii="Times New Roman" w:hAnsi="Times New Roman" w:cs="Times New Roman"/>
                <w:sz w:val="16"/>
                <w:szCs w:val="16"/>
                <w:vertAlign w:val="superscript"/>
              </w:rPr>
              <w:t>*</w:t>
            </w:r>
          </w:p>
        </w:tc>
        <w:tc>
          <w:tcPr>
            <w:tcW w:w="1656" w:type="dxa"/>
            <w:tcBorders>
              <w:top w:val="nil"/>
              <w:left w:val="nil"/>
              <w:bottom w:val="nil"/>
              <w:right w:val="nil"/>
            </w:tcBorders>
          </w:tcPr>
          <w:p w14:paraId="6272AC4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0.00319</w:t>
            </w:r>
          </w:p>
        </w:tc>
      </w:tr>
      <w:tr w:rsidR="00013EB4" w:rsidRPr="00B92F9C" w14:paraId="2BD3A20A" w14:textId="77777777" w:rsidTr="00015B88">
        <w:tc>
          <w:tcPr>
            <w:tcW w:w="2136" w:type="dxa"/>
            <w:tcBorders>
              <w:top w:val="nil"/>
              <w:left w:val="nil"/>
              <w:bottom w:val="nil"/>
              <w:right w:val="nil"/>
            </w:tcBorders>
          </w:tcPr>
          <w:p w14:paraId="4718A28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20FA8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(-0.58)</w:t>
            </w:r>
          </w:p>
        </w:tc>
        <w:tc>
          <w:tcPr>
            <w:tcW w:w="1656" w:type="dxa"/>
            <w:tcBorders>
              <w:top w:val="nil"/>
              <w:left w:val="nil"/>
              <w:bottom w:val="nil"/>
              <w:right w:val="nil"/>
            </w:tcBorders>
          </w:tcPr>
          <w:p w14:paraId="6737D7D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(-0.85)</w:t>
            </w:r>
          </w:p>
        </w:tc>
        <w:tc>
          <w:tcPr>
            <w:tcW w:w="1656" w:type="dxa"/>
            <w:tcBorders>
              <w:top w:val="nil"/>
              <w:left w:val="nil"/>
              <w:bottom w:val="nil"/>
              <w:right w:val="nil"/>
            </w:tcBorders>
          </w:tcPr>
          <w:p w14:paraId="645F77C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(0.51)</w:t>
            </w:r>
          </w:p>
        </w:tc>
        <w:tc>
          <w:tcPr>
            <w:tcW w:w="1656" w:type="dxa"/>
            <w:tcBorders>
              <w:top w:val="nil"/>
              <w:left w:val="nil"/>
              <w:bottom w:val="nil"/>
              <w:right w:val="nil"/>
            </w:tcBorders>
          </w:tcPr>
          <w:p w14:paraId="3D828A4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(2.08)</w:t>
            </w:r>
          </w:p>
        </w:tc>
        <w:tc>
          <w:tcPr>
            <w:tcW w:w="1656" w:type="dxa"/>
            <w:tcBorders>
              <w:top w:val="nil"/>
              <w:left w:val="nil"/>
              <w:bottom w:val="nil"/>
              <w:right w:val="nil"/>
            </w:tcBorders>
          </w:tcPr>
          <w:p w14:paraId="5400554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(0.49)</w:t>
            </w:r>
          </w:p>
        </w:tc>
      </w:tr>
      <w:tr w:rsidR="00013EB4" w:rsidRPr="00B92F9C" w14:paraId="3D70BF3F" w14:textId="77777777" w:rsidTr="00015B88">
        <w:tc>
          <w:tcPr>
            <w:tcW w:w="2136" w:type="dxa"/>
            <w:tcBorders>
              <w:top w:val="nil"/>
              <w:left w:val="nil"/>
              <w:bottom w:val="nil"/>
              <w:right w:val="nil"/>
            </w:tcBorders>
          </w:tcPr>
          <w:p w14:paraId="70FC2409"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F554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77166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A33B33"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22B579"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98A14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046A9AD0" w14:textId="77777777" w:rsidTr="00015B88">
        <w:tc>
          <w:tcPr>
            <w:tcW w:w="2136" w:type="dxa"/>
            <w:tcBorders>
              <w:top w:val="nil"/>
              <w:left w:val="nil"/>
              <w:bottom w:val="nil"/>
              <w:right w:val="nil"/>
            </w:tcBorders>
          </w:tcPr>
          <w:p w14:paraId="2965972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B92F9C">
              <w:rPr>
                <w:rFonts w:ascii="Times New Roman" w:hAnsi="Times New Roman" w:cs="Times New Roman"/>
                <w:sz w:val="16"/>
                <w:szCs w:val="16"/>
              </w:rPr>
              <w:t>L.Chinn</w:t>
            </w:r>
            <w:proofErr w:type="spellEnd"/>
            <w:r w:rsidRPr="00B92F9C">
              <w:rPr>
                <w:rFonts w:ascii="Times New Roman" w:hAnsi="Times New Roman" w:cs="Times New Roman"/>
                <w:sz w:val="16"/>
                <w:szCs w:val="16"/>
              </w:rPr>
              <w:t>-Ito index, normalized</w:t>
            </w:r>
          </w:p>
        </w:tc>
        <w:tc>
          <w:tcPr>
            <w:tcW w:w="1656" w:type="dxa"/>
            <w:tcBorders>
              <w:top w:val="nil"/>
              <w:left w:val="nil"/>
              <w:bottom w:val="nil"/>
              <w:right w:val="nil"/>
            </w:tcBorders>
          </w:tcPr>
          <w:p w14:paraId="3965512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0.0311</w:t>
            </w:r>
          </w:p>
        </w:tc>
        <w:tc>
          <w:tcPr>
            <w:tcW w:w="1656" w:type="dxa"/>
            <w:tcBorders>
              <w:top w:val="nil"/>
              <w:left w:val="nil"/>
              <w:bottom w:val="nil"/>
              <w:right w:val="nil"/>
            </w:tcBorders>
          </w:tcPr>
          <w:p w14:paraId="7EE7C4D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0.884</w:t>
            </w:r>
          </w:p>
        </w:tc>
        <w:tc>
          <w:tcPr>
            <w:tcW w:w="1656" w:type="dxa"/>
            <w:tcBorders>
              <w:top w:val="nil"/>
              <w:left w:val="nil"/>
              <w:bottom w:val="nil"/>
              <w:right w:val="nil"/>
            </w:tcBorders>
          </w:tcPr>
          <w:p w14:paraId="1C76A33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-1.108</w:t>
            </w:r>
          </w:p>
        </w:tc>
        <w:tc>
          <w:tcPr>
            <w:tcW w:w="1656" w:type="dxa"/>
            <w:tcBorders>
              <w:top w:val="nil"/>
              <w:left w:val="nil"/>
              <w:bottom w:val="nil"/>
              <w:right w:val="nil"/>
            </w:tcBorders>
          </w:tcPr>
          <w:p w14:paraId="0E5FBF8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-0.0389</w:t>
            </w:r>
          </w:p>
        </w:tc>
        <w:tc>
          <w:tcPr>
            <w:tcW w:w="1656" w:type="dxa"/>
            <w:tcBorders>
              <w:top w:val="nil"/>
              <w:left w:val="nil"/>
              <w:bottom w:val="nil"/>
              <w:right w:val="nil"/>
            </w:tcBorders>
          </w:tcPr>
          <w:p w14:paraId="0A44973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-0.0263</w:t>
            </w:r>
          </w:p>
        </w:tc>
      </w:tr>
      <w:tr w:rsidR="00013EB4" w:rsidRPr="00B92F9C" w14:paraId="52D8543B" w14:textId="77777777" w:rsidTr="00015B88">
        <w:tc>
          <w:tcPr>
            <w:tcW w:w="2136" w:type="dxa"/>
            <w:tcBorders>
              <w:top w:val="nil"/>
              <w:left w:val="nil"/>
              <w:bottom w:val="nil"/>
              <w:right w:val="nil"/>
            </w:tcBorders>
          </w:tcPr>
          <w:p w14:paraId="08C1D20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A29CA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(0.04)</w:t>
            </w:r>
          </w:p>
        </w:tc>
        <w:tc>
          <w:tcPr>
            <w:tcW w:w="1656" w:type="dxa"/>
            <w:tcBorders>
              <w:top w:val="nil"/>
              <w:left w:val="nil"/>
              <w:bottom w:val="nil"/>
              <w:right w:val="nil"/>
            </w:tcBorders>
          </w:tcPr>
          <w:p w14:paraId="0F5F704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(1.29)</w:t>
            </w:r>
          </w:p>
        </w:tc>
        <w:tc>
          <w:tcPr>
            <w:tcW w:w="1656" w:type="dxa"/>
            <w:tcBorders>
              <w:top w:val="nil"/>
              <w:left w:val="nil"/>
              <w:bottom w:val="nil"/>
              <w:right w:val="nil"/>
            </w:tcBorders>
          </w:tcPr>
          <w:p w14:paraId="5B64336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(-1.58)</w:t>
            </w:r>
          </w:p>
        </w:tc>
        <w:tc>
          <w:tcPr>
            <w:tcW w:w="1656" w:type="dxa"/>
            <w:tcBorders>
              <w:top w:val="nil"/>
              <w:left w:val="nil"/>
              <w:bottom w:val="nil"/>
              <w:right w:val="nil"/>
            </w:tcBorders>
          </w:tcPr>
          <w:p w14:paraId="2E15EDA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(-0.21)</w:t>
            </w:r>
          </w:p>
        </w:tc>
        <w:tc>
          <w:tcPr>
            <w:tcW w:w="1656" w:type="dxa"/>
            <w:tcBorders>
              <w:top w:val="nil"/>
              <w:left w:val="nil"/>
              <w:bottom w:val="nil"/>
              <w:right w:val="nil"/>
            </w:tcBorders>
          </w:tcPr>
          <w:p w14:paraId="1A4B390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(-0.20)</w:t>
            </w:r>
          </w:p>
        </w:tc>
      </w:tr>
      <w:tr w:rsidR="00013EB4" w:rsidRPr="00B92F9C" w14:paraId="69A293BD" w14:textId="77777777" w:rsidTr="00015B88">
        <w:tc>
          <w:tcPr>
            <w:tcW w:w="2136" w:type="dxa"/>
            <w:tcBorders>
              <w:top w:val="nil"/>
              <w:left w:val="nil"/>
              <w:bottom w:val="nil"/>
              <w:right w:val="nil"/>
            </w:tcBorders>
          </w:tcPr>
          <w:p w14:paraId="5024313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81571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6B8B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1A0B0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588E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291D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5F07EE55" w14:textId="77777777" w:rsidTr="00015B88">
        <w:tc>
          <w:tcPr>
            <w:tcW w:w="2136" w:type="dxa"/>
            <w:tcBorders>
              <w:top w:val="nil"/>
              <w:left w:val="nil"/>
              <w:bottom w:val="nil"/>
              <w:right w:val="nil"/>
            </w:tcBorders>
          </w:tcPr>
          <w:p w14:paraId="1D0AAC4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L2.Chinn-Ito index, normalized</w:t>
            </w:r>
          </w:p>
        </w:tc>
        <w:tc>
          <w:tcPr>
            <w:tcW w:w="1656" w:type="dxa"/>
            <w:tcBorders>
              <w:top w:val="nil"/>
              <w:left w:val="nil"/>
              <w:bottom w:val="nil"/>
              <w:right w:val="nil"/>
            </w:tcBorders>
          </w:tcPr>
          <w:p w14:paraId="3D80DC5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-0.540</w:t>
            </w:r>
          </w:p>
        </w:tc>
        <w:tc>
          <w:tcPr>
            <w:tcW w:w="1656" w:type="dxa"/>
            <w:tcBorders>
              <w:top w:val="nil"/>
              <w:left w:val="nil"/>
              <w:bottom w:val="nil"/>
              <w:right w:val="nil"/>
            </w:tcBorders>
          </w:tcPr>
          <w:p w14:paraId="1392C63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-0.303</w:t>
            </w:r>
          </w:p>
        </w:tc>
        <w:tc>
          <w:tcPr>
            <w:tcW w:w="1656" w:type="dxa"/>
            <w:tcBorders>
              <w:top w:val="nil"/>
              <w:left w:val="nil"/>
              <w:bottom w:val="nil"/>
              <w:right w:val="nil"/>
            </w:tcBorders>
          </w:tcPr>
          <w:p w14:paraId="00C9D03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-0.182</w:t>
            </w:r>
          </w:p>
        </w:tc>
        <w:tc>
          <w:tcPr>
            <w:tcW w:w="1656" w:type="dxa"/>
            <w:tcBorders>
              <w:top w:val="nil"/>
              <w:left w:val="nil"/>
              <w:bottom w:val="nil"/>
              <w:right w:val="nil"/>
            </w:tcBorders>
          </w:tcPr>
          <w:p w14:paraId="5945B15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-0.108</w:t>
            </w:r>
          </w:p>
        </w:tc>
        <w:tc>
          <w:tcPr>
            <w:tcW w:w="1656" w:type="dxa"/>
            <w:tcBorders>
              <w:top w:val="nil"/>
              <w:left w:val="nil"/>
              <w:bottom w:val="nil"/>
              <w:right w:val="nil"/>
            </w:tcBorders>
          </w:tcPr>
          <w:p w14:paraId="61B1048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0.0354</w:t>
            </w:r>
          </w:p>
        </w:tc>
      </w:tr>
      <w:tr w:rsidR="00013EB4" w:rsidRPr="00B92F9C" w14:paraId="0AFB29B9" w14:textId="77777777" w:rsidTr="00015B88">
        <w:tc>
          <w:tcPr>
            <w:tcW w:w="2136" w:type="dxa"/>
            <w:tcBorders>
              <w:top w:val="nil"/>
              <w:left w:val="nil"/>
              <w:bottom w:val="nil"/>
              <w:right w:val="nil"/>
            </w:tcBorders>
          </w:tcPr>
          <w:p w14:paraId="4E4F28A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7F04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(-0.61)</w:t>
            </w:r>
          </w:p>
        </w:tc>
        <w:tc>
          <w:tcPr>
            <w:tcW w:w="1656" w:type="dxa"/>
            <w:tcBorders>
              <w:top w:val="nil"/>
              <w:left w:val="nil"/>
              <w:bottom w:val="nil"/>
              <w:right w:val="nil"/>
            </w:tcBorders>
          </w:tcPr>
          <w:p w14:paraId="7029AA8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(-0.43)</w:t>
            </w:r>
          </w:p>
        </w:tc>
        <w:tc>
          <w:tcPr>
            <w:tcW w:w="1656" w:type="dxa"/>
            <w:tcBorders>
              <w:top w:val="nil"/>
              <w:left w:val="nil"/>
              <w:bottom w:val="nil"/>
              <w:right w:val="nil"/>
            </w:tcBorders>
          </w:tcPr>
          <w:p w14:paraId="098116D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(-0.24)</w:t>
            </w:r>
          </w:p>
        </w:tc>
        <w:tc>
          <w:tcPr>
            <w:tcW w:w="1656" w:type="dxa"/>
            <w:tcBorders>
              <w:top w:val="nil"/>
              <w:left w:val="nil"/>
              <w:bottom w:val="nil"/>
              <w:right w:val="nil"/>
            </w:tcBorders>
          </w:tcPr>
          <w:p w14:paraId="385585A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(-0.67)</w:t>
            </w:r>
          </w:p>
        </w:tc>
        <w:tc>
          <w:tcPr>
            <w:tcW w:w="1656" w:type="dxa"/>
            <w:tcBorders>
              <w:top w:val="nil"/>
              <w:left w:val="nil"/>
              <w:bottom w:val="nil"/>
              <w:right w:val="nil"/>
            </w:tcBorders>
          </w:tcPr>
          <w:p w14:paraId="43F4375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(0.25)</w:t>
            </w:r>
          </w:p>
        </w:tc>
      </w:tr>
      <w:tr w:rsidR="00013EB4" w:rsidRPr="00B92F9C" w14:paraId="2BD3C246" w14:textId="77777777" w:rsidTr="00015B88">
        <w:tc>
          <w:tcPr>
            <w:tcW w:w="2136" w:type="dxa"/>
            <w:tcBorders>
              <w:top w:val="nil"/>
              <w:left w:val="nil"/>
              <w:bottom w:val="nil"/>
              <w:right w:val="nil"/>
            </w:tcBorders>
          </w:tcPr>
          <w:p w14:paraId="607C450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70AE1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D3FAC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4799C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E23A4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E2CCB3"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03898FC2" w14:textId="77777777" w:rsidTr="00015B88">
        <w:tc>
          <w:tcPr>
            <w:tcW w:w="2136" w:type="dxa"/>
            <w:tcBorders>
              <w:top w:val="nil"/>
              <w:left w:val="nil"/>
              <w:bottom w:val="nil"/>
              <w:right w:val="nil"/>
            </w:tcBorders>
          </w:tcPr>
          <w:p w14:paraId="75D0C9B3"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L3.Chinn-Ito index, normalized</w:t>
            </w:r>
          </w:p>
        </w:tc>
        <w:tc>
          <w:tcPr>
            <w:tcW w:w="1656" w:type="dxa"/>
            <w:tcBorders>
              <w:top w:val="nil"/>
              <w:left w:val="nil"/>
              <w:bottom w:val="nil"/>
              <w:right w:val="nil"/>
            </w:tcBorders>
          </w:tcPr>
          <w:p w14:paraId="65D6C2C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0.652</w:t>
            </w:r>
          </w:p>
        </w:tc>
        <w:tc>
          <w:tcPr>
            <w:tcW w:w="1656" w:type="dxa"/>
            <w:tcBorders>
              <w:top w:val="nil"/>
              <w:left w:val="nil"/>
              <w:bottom w:val="nil"/>
              <w:right w:val="nil"/>
            </w:tcBorders>
          </w:tcPr>
          <w:p w14:paraId="7AFC062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-0.247</w:t>
            </w:r>
          </w:p>
        </w:tc>
        <w:tc>
          <w:tcPr>
            <w:tcW w:w="1656" w:type="dxa"/>
            <w:tcBorders>
              <w:top w:val="nil"/>
              <w:left w:val="nil"/>
              <w:bottom w:val="nil"/>
              <w:right w:val="nil"/>
            </w:tcBorders>
          </w:tcPr>
          <w:p w14:paraId="3185755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0.207</w:t>
            </w:r>
          </w:p>
        </w:tc>
        <w:tc>
          <w:tcPr>
            <w:tcW w:w="1656" w:type="dxa"/>
            <w:tcBorders>
              <w:top w:val="nil"/>
              <w:left w:val="nil"/>
              <w:bottom w:val="nil"/>
              <w:right w:val="nil"/>
            </w:tcBorders>
          </w:tcPr>
          <w:p w14:paraId="67F35CA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-0.324</w:t>
            </w:r>
          </w:p>
        </w:tc>
        <w:tc>
          <w:tcPr>
            <w:tcW w:w="1656" w:type="dxa"/>
            <w:tcBorders>
              <w:top w:val="nil"/>
              <w:left w:val="nil"/>
              <w:bottom w:val="nil"/>
              <w:right w:val="nil"/>
            </w:tcBorders>
          </w:tcPr>
          <w:p w14:paraId="7E36488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0.230</w:t>
            </w:r>
          </w:p>
        </w:tc>
      </w:tr>
      <w:tr w:rsidR="00013EB4" w:rsidRPr="00B92F9C" w14:paraId="65C9BF0D" w14:textId="77777777" w:rsidTr="00015B88">
        <w:tc>
          <w:tcPr>
            <w:tcW w:w="2136" w:type="dxa"/>
            <w:tcBorders>
              <w:top w:val="nil"/>
              <w:left w:val="nil"/>
              <w:bottom w:val="nil"/>
              <w:right w:val="nil"/>
            </w:tcBorders>
          </w:tcPr>
          <w:p w14:paraId="4F5CACD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5E8F4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(0.72)</w:t>
            </w:r>
          </w:p>
        </w:tc>
        <w:tc>
          <w:tcPr>
            <w:tcW w:w="1656" w:type="dxa"/>
            <w:tcBorders>
              <w:top w:val="nil"/>
              <w:left w:val="nil"/>
              <w:bottom w:val="nil"/>
              <w:right w:val="nil"/>
            </w:tcBorders>
          </w:tcPr>
          <w:p w14:paraId="13AAE62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(-0.39)</w:t>
            </w:r>
          </w:p>
        </w:tc>
        <w:tc>
          <w:tcPr>
            <w:tcW w:w="1656" w:type="dxa"/>
            <w:tcBorders>
              <w:top w:val="nil"/>
              <w:left w:val="nil"/>
              <w:bottom w:val="nil"/>
              <w:right w:val="nil"/>
            </w:tcBorders>
          </w:tcPr>
          <w:p w14:paraId="1E4CB78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(0.29)</w:t>
            </w:r>
          </w:p>
        </w:tc>
        <w:tc>
          <w:tcPr>
            <w:tcW w:w="1656" w:type="dxa"/>
            <w:tcBorders>
              <w:top w:val="nil"/>
              <w:left w:val="nil"/>
              <w:bottom w:val="nil"/>
              <w:right w:val="nil"/>
            </w:tcBorders>
          </w:tcPr>
          <w:p w14:paraId="0029302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(-1.69)</w:t>
            </w:r>
          </w:p>
        </w:tc>
        <w:tc>
          <w:tcPr>
            <w:tcW w:w="1656" w:type="dxa"/>
            <w:tcBorders>
              <w:top w:val="nil"/>
              <w:left w:val="nil"/>
              <w:bottom w:val="nil"/>
              <w:right w:val="nil"/>
            </w:tcBorders>
          </w:tcPr>
          <w:p w14:paraId="4728080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(1.80)</w:t>
            </w:r>
          </w:p>
        </w:tc>
      </w:tr>
      <w:tr w:rsidR="00013EB4" w:rsidRPr="00B92F9C" w14:paraId="149D8601" w14:textId="77777777" w:rsidTr="00015B88">
        <w:tc>
          <w:tcPr>
            <w:tcW w:w="2136" w:type="dxa"/>
            <w:tcBorders>
              <w:top w:val="nil"/>
              <w:left w:val="nil"/>
              <w:bottom w:val="nil"/>
              <w:right w:val="nil"/>
            </w:tcBorders>
          </w:tcPr>
          <w:p w14:paraId="07B3464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9B71C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6989C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896D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1FFC2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18CDD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105383B4" w14:textId="77777777" w:rsidTr="00015B88">
        <w:tc>
          <w:tcPr>
            <w:tcW w:w="2136" w:type="dxa"/>
            <w:tcBorders>
              <w:top w:val="nil"/>
              <w:left w:val="nil"/>
              <w:bottom w:val="nil"/>
              <w:right w:val="nil"/>
            </w:tcBorders>
          </w:tcPr>
          <w:p w14:paraId="7A2A801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L4.Chinn-Ito index, normalized</w:t>
            </w:r>
          </w:p>
        </w:tc>
        <w:tc>
          <w:tcPr>
            <w:tcW w:w="1656" w:type="dxa"/>
            <w:tcBorders>
              <w:top w:val="nil"/>
              <w:left w:val="nil"/>
              <w:bottom w:val="nil"/>
              <w:right w:val="nil"/>
            </w:tcBorders>
          </w:tcPr>
          <w:p w14:paraId="4B82021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0.355</w:t>
            </w:r>
          </w:p>
        </w:tc>
        <w:tc>
          <w:tcPr>
            <w:tcW w:w="1656" w:type="dxa"/>
            <w:tcBorders>
              <w:top w:val="nil"/>
              <w:left w:val="nil"/>
              <w:bottom w:val="nil"/>
              <w:right w:val="nil"/>
            </w:tcBorders>
          </w:tcPr>
          <w:p w14:paraId="5597550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0.0983</w:t>
            </w:r>
          </w:p>
        </w:tc>
        <w:tc>
          <w:tcPr>
            <w:tcW w:w="1656" w:type="dxa"/>
            <w:tcBorders>
              <w:top w:val="nil"/>
              <w:left w:val="nil"/>
              <w:bottom w:val="nil"/>
              <w:right w:val="nil"/>
            </w:tcBorders>
          </w:tcPr>
          <w:p w14:paraId="29A575C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-0.0376</w:t>
            </w:r>
          </w:p>
        </w:tc>
        <w:tc>
          <w:tcPr>
            <w:tcW w:w="1656" w:type="dxa"/>
            <w:tcBorders>
              <w:top w:val="nil"/>
              <w:left w:val="nil"/>
              <w:bottom w:val="nil"/>
              <w:right w:val="nil"/>
            </w:tcBorders>
          </w:tcPr>
          <w:p w14:paraId="4BA4791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0.0917</w:t>
            </w:r>
          </w:p>
        </w:tc>
        <w:tc>
          <w:tcPr>
            <w:tcW w:w="1656" w:type="dxa"/>
            <w:tcBorders>
              <w:top w:val="nil"/>
              <w:left w:val="nil"/>
              <w:bottom w:val="nil"/>
              <w:right w:val="nil"/>
            </w:tcBorders>
          </w:tcPr>
          <w:p w14:paraId="7FC6FFE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0.235</w:t>
            </w:r>
          </w:p>
        </w:tc>
      </w:tr>
      <w:tr w:rsidR="00013EB4" w:rsidRPr="00B92F9C" w14:paraId="6189BB2A" w14:textId="77777777" w:rsidTr="00015B88">
        <w:tc>
          <w:tcPr>
            <w:tcW w:w="2136" w:type="dxa"/>
            <w:tcBorders>
              <w:top w:val="nil"/>
              <w:left w:val="nil"/>
              <w:bottom w:val="nil"/>
              <w:right w:val="nil"/>
            </w:tcBorders>
          </w:tcPr>
          <w:p w14:paraId="6EF05AF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DDC57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(0.49)</w:t>
            </w:r>
          </w:p>
        </w:tc>
        <w:tc>
          <w:tcPr>
            <w:tcW w:w="1656" w:type="dxa"/>
            <w:tcBorders>
              <w:top w:val="nil"/>
              <w:left w:val="nil"/>
              <w:bottom w:val="nil"/>
              <w:right w:val="nil"/>
            </w:tcBorders>
          </w:tcPr>
          <w:p w14:paraId="77EE22A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(0.17)</w:t>
            </w:r>
          </w:p>
        </w:tc>
        <w:tc>
          <w:tcPr>
            <w:tcW w:w="1656" w:type="dxa"/>
            <w:tcBorders>
              <w:top w:val="nil"/>
              <w:left w:val="nil"/>
              <w:bottom w:val="nil"/>
              <w:right w:val="nil"/>
            </w:tcBorders>
          </w:tcPr>
          <w:p w14:paraId="05B43D2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(-0.05)</w:t>
            </w:r>
          </w:p>
        </w:tc>
        <w:tc>
          <w:tcPr>
            <w:tcW w:w="1656" w:type="dxa"/>
            <w:tcBorders>
              <w:top w:val="nil"/>
              <w:left w:val="nil"/>
              <w:bottom w:val="nil"/>
              <w:right w:val="nil"/>
            </w:tcBorders>
          </w:tcPr>
          <w:p w14:paraId="6E99FA8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(0.61)</w:t>
            </w:r>
          </w:p>
        </w:tc>
        <w:tc>
          <w:tcPr>
            <w:tcW w:w="1656" w:type="dxa"/>
            <w:tcBorders>
              <w:top w:val="nil"/>
              <w:left w:val="nil"/>
              <w:bottom w:val="nil"/>
              <w:right w:val="nil"/>
            </w:tcBorders>
          </w:tcPr>
          <w:p w14:paraId="242CB0D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(1.69)</w:t>
            </w:r>
          </w:p>
        </w:tc>
      </w:tr>
      <w:tr w:rsidR="00013EB4" w:rsidRPr="00B92F9C" w14:paraId="32C5A58A" w14:textId="77777777" w:rsidTr="00015B88">
        <w:tc>
          <w:tcPr>
            <w:tcW w:w="2136" w:type="dxa"/>
            <w:tcBorders>
              <w:top w:val="nil"/>
              <w:left w:val="nil"/>
              <w:bottom w:val="nil"/>
              <w:right w:val="nil"/>
            </w:tcBorders>
          </w:tcPr>
          <w:p w14:paraId="7BDE32E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533F9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BBCAA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9CB4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D8F4A9"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2EA6E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6ADBCF62" w14:textId="77777777" w:rsidTr="00015B88">
        <w:tc>
          <w:tcPr>
            <w:tcW w:w="2136" w:type="dxa"/>
            <w:tcBorders>
              <w:top w:val="nil"/>
              <w:left w:val="nil"/>
              <w:bottom w:val="nil"/>
              <w:right w:val="nil"/>
            </w:tcBorders>
          </w:tcPr>
          <w:p w14:paraId="636C6CC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L5.Chinn-Ito index, normalized</w:t>
            </w:r>
          </w:p>
        </w:tc>
        <w:tc>
          <w:tcPr>
            <w:tcW w:w="1656" w:type="dxa"/>
            <w:tcBorders>
              <w:top w:val="nil"/>
              <w:left w:val="nil"/>
              <w:bottom w:val="nil"/>
              <w:right w:val="nil"/>
            </w:tcBorders>
          </w:tcPr>
          <w:p w14:paraId="51952F3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0.537</w:t>
            </w:r>
          </w:p>
        </w:tc>
        <w:tc>
          <w:tcPr>
            <w:tcW w:w="1656" w:type="dxa"/>
            <w:tcBorders>
              <w:top w:val="nil"/>
              <w:left w:val="nil"/>
              <w:bottom w:val="nil"/>
              <w:right w:val="nil"/>
            </w:tcBorders>
          </w:tcPr>
          <w:p w14:paraId="6340F13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0.262</w:t>
            </w:r>
          </w:p>
        </w:tc>
        <w:tc>
          <w:tcPr>
            <w:tcW w:w="1656" w:type="dxa"/>
            <w:tcBorders>
              <w:top w:val="nil"/>
              <w:left w:val="nil"/>
              <w:bottom w:val="nil"/>
              <w:right w:val="nil"/>
            </w:tcBorders>
          </w:tcPr>
          <w:p w14:paraId="4D720F6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-0.129</w:t>
            </w:r>
          </w:p>
        </w:tc>
        <w:tc>
          <w:tcPr>
            <w:tcW w:w="1656" w:type="dxa"/>
            <w:tcBorders>
              <w:top w:val="nil"/>
              <w:left w:val="nil"/>
              <w:bottom w:val="nil"/>
              <w:right w:val="nil"/>
            </w:tcBorders>
          </w:tcPr>
          <w:p w14:paraId="2BC61FD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-0.0373</w:t>
            </w:r>
          </w:p>
        </w:tc>
        <w:tc>
          <w:tcPr>
            <w:tcW w:w="1656" w:type="dxa"/>
            <w:tcBorders>
              <w:top w:val="nil"/>
              <w:left w:val="nil"/>
              <w:bottom w:val="nil"/>
              <w:right w:val="nil"/>
            </w:tcBorders>
          </w:tcPr>
          <w:p w14:paraId="6AC035C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0.163</w:t>
            </w:r>
          </w:p>
        </w:tc>
      </w:tr>
      <w:tr w:rsidR="00013EB4" w:rsidRPr="00B92F9C" w14:paraId="603F37A1" w14:textId="77777777" w:rsidTr="00015B88">
        <w:tc>
          <w:tcPr>
            <w:tcW w:w="2136" w:type="dxa"/>
            <w:tcBorders>
              <w:top w:val="nil"/>
              <w:left w:val="nil"/>
              <w:bottom w:val="nil"/>
              <w:right w:val="nil"/>
            </w:tcBorders>
          </w:tcPr>
          <w:p w14:paraId="0DAFD65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FA00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(0.74)</w:t>
            </w:r>
          </w:p>
        </w:tc>
        <w:tc>
          <w:tcPr>
            <w:tcW w:w="1656" w:type="dxa"/>
            <w:tcBorders>
              <w:top w:val="nil"/>
              <w:left w:val="nil"/>
              <w:bottom w:val="nil"/>
              <w:right w:val="nil"/>
            </w:tcBorders>
          </w:tcPr>
          <w:p w14:paraId="2B6BECA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(0.58)</w:t>
            </w:r>
          </w:p>
        </w:tc>
        <w:tc>
          <w:tcPr>
            <w:tcW w:w="1656" w:type="dxa"/>
            <w:tcBorders>
              <w:top w:val="nil"/>
              <w:left w:val="nil"/>
              <w:bottom w:val="nil"/>
              <w:right w:val="nil"/>
            </w:tcBorders>
          </w:tcPr>
          <w:p w14:paraId="666201D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(-0.19)</w:t>
            </w:r>
          </w:p>
        </w:tc>
        <w:tc>
          <w:tcPr>
            <w:tcW w:w="1656" w:type="dxa"/>
            <w:tcBorders>
              <w:top w:val="nil"/>
              <w:left w:val="nil"/>
              <w:bottom w:val="nil"/>
              <w:right w:val="nil"/>
            </w:tcBorders>
          </w:tcPr>
          <w:p w14:paraId="58EE03D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(-0.21)</w:t>
            </w:r>
          </w:p>
        </w:tc>
        <w:tc>
          <w:tcPr>
            <w:tcW w:w="1656" w:type="dxa"/>
            <w:tcBorders>
              <w:top w:val="nil"/>
              <w:left w:val="nil"/>
              <w:bottom w:val="nil"/>
              <w:right w:val="nil"/>
            </w:tcBorders>
          </w:tcPr>
          <w:p w14:paraId="3E15AA9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(1.26)</w:t>
            </w:r>
          </w:p>
        </w:tc>
      </w:tr>
      <w:tr w:rsidR="00013EB4" w:rsidRPr="00B92F9C" w14:paraId="5018F438" w14:textId="77777777" w:rsidTr="00015B88">
        <w:tc>
          <w:tcPr>
            <w:tcW w:w="2136" w:type="dxa"/>
            <w:tcBorders>
              <w:top w:val="nil"/>
              <w:left w:val="nil"/>
              <w:bottom w:val="nil"/>
              <w:right w:val="nil"/>
            </w:tcBorders>
          </w:tcPr>
          <w:p w14:paraId="7445F939"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76E27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AB24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F6B08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EF73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BFFB5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64DC8880" w14:textId="77777777" w:rsidTr="00015B88">
        <w:tc>
          <w:tcPr>
            <w:tcW w:w="2136" w:type="dxa"/>
            <w:tcBorders>
              <w:top w:val="nil"/>
              <w:left w:val="nil"/>
              <w:bottom w:val="nil"/>
              <w:right w:val="nil"/>
            </w:tcBorders>
          </w:tcPr>
          <w:p w14:paraId="685DDF1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L6.Chinn-Ito index, normalized</w:t>
            </w:r>
          </w:p>
        </w:tc>
        <w:tc>
          <w:tcPr>
            <w:tcW w:w="1656" w:type="dxa"/>
            <w:tcBorders>
              <w:top w:val="nil"/>
              <w:left w:val="nil"/>
              <w:bottom w:val="nil"/>
              <w:right w:val="nil"/>
            </w:tcBorders>
          </w:tcPr>
          <w:p w14:paraId="74451C0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-1.319</w:t>
            </w:r>
          </w:p>
        </w:tc>
        <w:tc>
          <w:tcPr>
            <w:tcW w:w="1656" w:type="dxa"/>
            <w:tcBorders>
              <w:top w:val="nil"/>
              <w:left w:val="nil"/>
              <w:bottom w:val="nil"/>
              <w:right w:val="nil"/>
            </w:tcBorders>
          </w:tcPr>
          <w:p w14:paraId="1A51E14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0.128</w:t>
            </w:r>
          </w:p>
        </w:tc>
        <w:tc>
          <w:tcPr>
            <w:tcW w:w="1656" w:type="dxa"/>
            <w:tcBorders>
              <w:top w:val="nil"/>
              <w:left w:val="nil"/>
              <w:bottom w:val="nil"/>
              <w:right w:val="nil"/>
            </w:tcBorders>
          </w:tcPr>
          <w:p w14:paraId="523B863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-0.0144</w:t>
            </w:r>
          </w:p>
        </w:tc>
        <w:tc>
          <w:tcPr>
            <w:tcW w:w="1656" w:type="dxa"/>
            <w:tcBorders>
              <w:top w:val="nil"/>
              <w:left w:val="nil"/>
              <w:bottom w:val="nil"/>
              <w:right w:val="nil"/>
            </w:tcBorders>
          </w:tcPr>
          <w:p w14:paraId="509861F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-0.0601</w:t>
            </w:r>
          </w:p>
        </w:tc>
        <w:tc>
          <w:tcPr>
            <w:tcW w:w="1656" w:type="dxa"/>
            <w:tcBorders>
              <w:top w:val="nil"/>
              <w:left w:val="nil"/>
              <w:bottom w:val="nil"/>
              <w:right w:val="nil"/>
            </w:tcBorders>
          </w:tcPr>
          <w:p w14:paraId="00F2275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0.125</w:t>
            </w:r>
          </w:p>
        </w:tc>
      </w:tr>
      <w:tr w:rsidR="00013EB4" w:rsidRPr="00B92F9C" w14:paraId="4E7D8E54" w14:textId="77777777" w:rsidTr="00015B88">
        <w:tc>
          <w:tcPr>
            <w:tcW w:w="2136" w:type="dxa"/>
            <w:tcBorders>
              <w:top w:val="nil"/>
              <w:left w:val="nil"/>
              <w:bottom w:val="nil"/>
              <w:right w:val="nil"/>
            </w:tcBorders>
          </w:tcPr>
          <w:p w14:paraId="7B6D8A69"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63E9B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(-1.68)</w:t>
            </w:r>
          </w:p>
        </w:tc>
        <w:tc>
          <w:tcPr>
            <w:tcW w:w="1656" w:type="dxa"/>
            <w:tcBorders>
              <w:top w:val="nil"/>
              <w:left w:val="nil"/>
              <w:bottom w:val="nil"/>
              <w:right w:val="nil"/>
            </w:tcBorders>
          </w:tcPr>
          <w:p w14:paraId="780ABA6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(0.21)</w:t>
            </w:r>
          </w:p>
        </w:tc>
        <w:tc>
          <w:tcPr>
            <w:tcW w:w="1656" w:type="dxa"/>
            <w:tcBorders>
              <w:top w:val="nil"/>
              <w:left w:val="nil"/>
              <w:bottom w:val="nil"/>
              <w:right w:val="nil"/>
            </w:tcBorders>
          </w:tcPr>
          <w:p w14:paraId="4E9E950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w:t>
            </w:r>
          </w:p>
        </w:tc>
        <w:tc>
          <w:tcPr>
            <w:tcW w:w="1656" w:type="dxa"/>
            <w:tcBorders>
              <w:top w:val="nil"/>
              <w:left w:val="nil"/>
              <w:bottom w:val="nil"/>
              <w:right w:val="nil"/>
            </w:tcBorders>
          </w:tcPr>
          <w:p w14:paraId="34C7243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(-0.40)</w:t>
            </w:r>
          </w:p>
        </w:tc>
        <w:tc>
          <w:tcPr>
            <w:tcW w:w="1656" w:type="dxa"/>
            <w:tcBorders>
              <w:top w:val="nil"/>
              <w:left w:val="nil"/>
              <w:bottom w:val="nil"/>
              <w:right w:val="nil"/>
            </w:tcBorders>
          </w:tcPr>
          <w:p w14:paraId="56C4946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(0.82)</w:t>
            </w:r>
          </w:p>
        </w:tc>
      </w:tr>
      <w:tr w:rsidR="00013EB4" w:rsidRPr="00B92F9C" w14:paraId="383CFE7D" w14:textId="77777777" w:rsidTr="00015B88">
        <w:tc>
          <w:tcPr>
            <w:tcW w:w="2136" w:type="dxa"/>
            <w:tcBorders>
              <w:top w:val="nil"/>
              <w:left w:val="nil"/>
              <w:bottom w:val="nil"/>
              <w:right w:val="nil"/>
            </w:tcBorders>
          </w:tcPr>
          <w:p w14:paraId="41CA09B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E3FCE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A566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818CA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DB75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6F41D3"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39C8735A" w14:textId="77777777" w:rsidTr="00015B88">
        <w:tc>
          <w:tcPr>
            <w:tcW w:w="2136" w:type="dxa"/>
            <w:tcBorders>
              <w:top w:val="nil"/>
              <w:left w:val="nil"/>
              <w:bottom w:val="nil"/>
              <w:right w:val="nil"/>
            </w:tcBorders>
          </w:tcPr>
          <w:p w14:paraId="16FBDC2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L7.Chinn-Ito index, normalized</w:t>
            </w:r>
          </w:p>
        </w:tc>
        <w:tc>
          <w:tcPr>
            <w:tcW w:w="1656" w:type="dxa"/>
            <w:tcBorders>
              <w:top w:val="nil"/>
              <w:left w:val="nil"/>
              <w:bottom w:val="nil"/>
              <w:right w:val="nil"/>
            </w:tcBorders>
          </w:tcPr>
          <w:p w14:paraId="5739765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0.490</w:t>
            </w:r>
          </w:p>
        </w:tc>
        <w:tc>
          <w:tcPr>
            <w:tcW w:w="1656" w:type="dxa"/>
            <w:tcBorders>
              <w:top w:val="nil"/>
              <w:left w:val="nil"/>
              <w:bottom w:val="nil"/>
              <w:right w:val="nil"/>
            </w:tcBorders>
          </w:tcPr>
          <w:p w14:paraId="527EE8D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-0.225</w:t>
            </w:r>
          </w:p>
        </w:tc>
        <w:tc>
          <w:tcPr>
            <w:tcW w:w="1656" w:type="dxa"/>
            <w:tcBorders>
              <w:top w:val="nil"/>
              <w:left w:val="nil"/>
              <w:bottom w:val="nil"/>
              <w:right w:val="nil"/>
            </w:tcBorders>
          </w:tcPr>
          <w:p w14:paraId="69B6464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0.391</w:t>
            </w:r>
          </w:p>
        </w:tc>
        <w:tc>
          <w:tcPr>
            <w:tcW w:w="1656" w:type="dxa"/>
            <w:tcBorders>
              <w:top w:val="nil"/>
              <w:left w:val="nil"/>
              <w:bottom w:val="nil"/>
              <w:right w:val="nil"/>
            </w:tcBorders>
          </w:tcPr>
          <w:p w14:paraId="10B3266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-0.176</w:t>
            </w:r>
          </w:p>
        </w:tc>
        <w:tc>
          <w:tcPr>
            <w:tcW w:w="1656" w:type="dxa"/>
            <w:tcBorders>
              <w:top w:val="nil"/>
              <w:left w:val="nil"/>
              <w:bottom w:val="nil"/>
              <w:right w:val="nil"/>
            </w:tcBorders>
          </w:tcPr>
          <w:p w14:paraId="43D4122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0.269</w:t>
            </w:r>
          </w:p>
        </w:tc>
      </w:tr>
      <w:tr w:rsidR="00013EB4" w:rsidRPr="00B92F9C" w14:paraId="361110C6" w14:textId="77777777" w:rsidTr="00015B88">
        <w:tc>
          <w:tcPr>
            <w:tcW w:w="2136" w:type="dxa"/>
            <w:tcBorders>
              <w:top w:val="nil"/>
              <w:left w:val="nil"/>
              <w:bottom w:val="nil"/>
              <w:right w:val="nil"/>
            </w:tcBorders>
          </w:tcPr>
          <w:p w14:paraId="59FE04B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86D4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(0.67)</w:t>
            </w:r>
          </w:p>
        </w:tc>
        <w:tc>
          <w:tcPr>
            <w:tcW w:w="1656" w:type="dxa"/>
            <w:tcBorders>
              <w:top w:val="nil"/>
              <w:left w:val="nil"/>
              <w:bottom w:val="nil"/>
              <w:right w:val="nil"/>
            </w:tcBorders>
          </w:tcPr>
          <w:p w14:paraId="3B53F8A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(-0.38)</w:t>
            </w:r>
          </w:p>
        </w:tc>
        <w:tc>
          <w:tcPr>
            <w:tcW w:w="1656" w:type="dxa"/>
            <w:tcBorders>
              <w:top w:val="nil"/>
              <w:left w:val="nil"/>
              <w:bottom w:val="nil"/>
              <w:right w:val="nil"/>
            </w:tcBorders>
          </w:tcPr>
          <w:p w14:paraId="1F76242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(0.54)</w:t>
            </w:r>
          </w:p>
        </w:tc>
        <w:tc>
          <w:tcPr>
            <w:tcW w:w="1656" w:type="dxa"/>
            <w:tcBorders>
              <w:top w:val="nil"/>
              <w:left w:val="nil"/>
              <w:bottom w:val="nil"/>
              <w:right w:val="nil"/>
            </w:tcBorders>
          </w:tcPr>
          <w:p w14:paraId="12561EE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(-1.22)</w:t>
            </w:r>
          </w:p>
        </w:tc>
        <w:tc>
          <w:tcPr>
            <w:tcW w:w="1656" w:type="dxa"/>
            <w:tcBorders>
              <w:top w:val="nil"/>
              <w:left w:val="nil"/>
              <w:bottom w:val="nil"/>
              <w:right w:val="nil"/>
            </w:tcBorders>
          </w:tcPr>
          <w:p w14:paraId="0CEB330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(1.77)</w:t>
            </w:r>
          </w:p>
        </w:tc>
      </w:tr>
      <w:tr w:rsidR="00013EB4" w:rsidRPr="00B92F9C" w14:paraId="25707F7E" w14:textId="77777777" w:rsidTr="00015B88">
        <w:tc>
          <w:tcPr>
            <w:tcW w:w="2136" w:type="dxa"/>
            <w:tcBorders>
              <w:top w:val="nil"/>
              <w:left w:val="nil"/>
              <w:bottom w:val="nil"/>
              <w:right w:val="nil"/>
            </w:tcBorders>
          </w:tcPr>
          <w:p w14:paraId="47BD3A1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B87F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BB3E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135A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B3285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097E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143F186A" w14:textId="77777777" w:rsidTr="00015B88">
        <w:tc>
          <w:tcPr>
            <w:tcW w:w="2136" w:type="dxa"/>
            <w:tcBorders>
              <w:top w:val="nil"/>
              <w:left w:val="nil"/>
              <w:bottom w:val="nil"/>
              <w:right w:val="nil"/>
            </w:tcBorders>
          </w:tcPr>
          <w:p w14:paraId="67D7C0F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L8.Chinn-Ito index, normalized</w:t>
            </w:r>
          </w:p>
        </w:tc>
        <w:tc>
          <w:tcPr>
            <w:tcW w:w="1656" w:type="dxa"/>
            <w:tcBorders>
              <w:top w:val="nil"/>
              <w:left w:val="nil"/>
              <w:bottom w:val="nil"/>
              <w:right w:val="nil"/>
            </w:tcBorders>
          </w:tcPr>
          <w:p w14:paraId="5B11B1E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0.459</w:t>
            </w:r>
          </w:p>
        </w:tc>
        <w:tc>
          <w:tcPr>
            <w:tcW w:w="1656" w:type="dxa"/>
            <w:tcBorders>
              <w:top w:val="nil"/>
              <w:left w:val="nil"/>
              <w:bottom w:val="nil"/>
              <w:right w:val="nil"/>
            </w:tcBorders>
          </w:tcPr>
          <w:p w14:paraId="50E3727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0.460</w:t>
            </w:r>
          </w:p>
        </w:tc>
        <w:tc>
          <w:tcPr>
            <w:tcW w:w="1656" w:type="dxa"/>
            <w:tcBorders>
              <w:top w:val="nil"/>
              <w:left w:val="nil"/>
              <w:bottom w:val="nil"/>
              <w:right w:val="nil"/>
            </w:tcBorders>
          </w:tcPr>
          <w:p w14:paraId="40AA2C5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-0.464</w:t>
            </w:r>
          </w:p>
        </w:tc>
        <w:tc>
          <w:tcPr>
            <w:tcW w:w="1656" w:type="dxa"/>
            <w:tcBorders>
              <w:top w:val="nil"/>
              <w:left w:val="nil"/>
              <w:bottom w:val="nil"/>
              <w:right w:val="nil"/>
            </w:tcBorders>
          </w:tcPr>
          <w:p w14:paraId="5B7511C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-0.158</w:t>
            </w:r>
          </w:p>
        </w:tc>
        <w:tc>
          <w:tcPr>
            <w:tcW w:w="1656" w:type="dxa"/>
            <w:tcBorders>
              <w:top w:val="nil"/>
              <w:left w:val="nil"/>
              <w:bottom w:val="nil"/>
              <w:right w:val="nil"/>
            </w:tcBorders>
          </w:tcPr>
          <w:p w14:paraId="3536D96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0.436</w:t>
            </w:r>
            <w:r w:rsidRPr="00B92F9C">
              <w:rPr>
                <w:rFonts w:ascii="Times New Roman" w:hAnsi="Times New Roman" w:cs="Times New Roman"/>
                <w:sz w:val="16"/>
                <w:szCs w:val="16"/>
                <w:vertAlign w:val="superscript"/>
              </w:rPr>
              <w:t>**</w:t>
            </w:r>
          </w:p>
        </w:tc>
      </w:tr>
      <w:tr w:rsidR="00013EB4" w:rsidRPr="00B92F9C" w14:paraId="51AD56D1" w14:textId="77777777" w:rsidTr="00015B88">
        <w:tc>
          <w:tcPr>
            <w:tcW w:w="2136" w:type="dxa"/>
            <w:tcBorders>
              <w:top w:val="nil"/>
              <w:left w:val="nil"/>
              <w:bottom w:val="nil"/>
              <w:right w:val="nil"/>
            </w:tcBorders>
          </w:tcPr>
          <w:p w14:paraId="539865B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83C53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(0.76)</w:t>
            </w:r>
          </w:p>
        </w:tc>
        <w:tc>
          <w:tcPr>
            <w:tcW w:w="1656" w:type="dxa"/>
            <w:tcBorders>
              <w:top w:val="nil"/>
              <w:left w:val="nil"/>
              <w:bottom w:val="nil"/>
              <w:right w:val="nil"/>
            </w:tcBorders>
          </w:tcPr>
          <w:p w14:paraId="1231F31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(0.86)</w:t>
            </w:r>
          </w:p>
        </w:tc>
        <w:tc>
          <w:tcPr>
            <w:tcW w:w="1656" w:type="dxa"/>
            <w:tcBorders>
              <w:top w:val="nil"/>
              <w:left w:val="nil"/>
              <w:bottom w:val="nil"/>
              <w:right w:val="nil"/>
            </w:tcBorders>
          </w:tcPr>
          <w:p w14:paraId="2146F1C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(-0.73)</w:t>
            </w:r>
          </w:p>
        </w:tc>
        <w:tc>
          <w:tcPr>
            <w:tcW w:w="1656" w:type="dxa"/>
            <w:tcBorders>
              <w:top w:val="nil"/>
              <w:left w:val="nil"/>
              <w:bottom w:val="nil"/>
              <w:right w:val="nil"/>
            </w:tcBorders>
          </w:tcPr>
          <w:p w14:paraId="39B70D6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(-1.19)</w:t>
            </w:r>
          </w:p>
        </w:tc>
        <w:tc>
          <w:tcPr>
            <w:tcW w:w="1656" w:type="dxa"/>
            <w:tcBorders>
              <w:top w:val="nil"/>
              <w:left w:val="nil"/>
              <w:bottom w:val="nil"/>
              <w:right w:val="nil"/>
            </w:tcBorders>
          </w:tcPr>
          <w:p w14:paraId="3E8A10A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(2.66)</w:t>
            </w:r>
          </w:p>
        </w:tc>
      </w:tr>
      <w:tr w:rsidR="00013EB4" w:rsidRPr="00B92F9C" w14:paraId="35E0675E" w14:textId="77777777" w:rsidTr="00015B88">
        <w:tc>
          <w:tcPr>
            <w:tcW w:w="2136" w:type="dxa"/>
            <w:tcBorders>
              <w:top w:val="nil"/>
              <w:left w:val="nil"/>
              <w:bottom w:val="nil"/>
              <w:right w:val="nil"/>
            </w:tcBorders>
          </w:tcPr>
          <w:p w14:paraId="01E877B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4FDD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CA3B6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56C92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F76A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27687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0D6A7347" w14:textId="77777777" w:rsidTr="00015B88">
        <w:tc>
          <w:tcPr>
            <w:tcW w:w="2136" w:type="dxa"/>
            <w:tcBorders>
              <w:top w:val="nil"/>
              <w:left w:val="nil"/>
              <w:bottom w:val="nil"/>
              <w:right w:val="nil"/>
            </w:tcBorders>
          </w:tcPr>
          <w:p w14:paraId="7CEA4BE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L9.Chinn-Ito index, normalized</w:t>
            </w:r>
          </w:p>
        </w:tc>
        <w:tc>
          <w:tcPr>
            <w:tcW w:w="1656" w:type="dxa"/>
            <w:tcBorders>
              <w:top w:val="nil"/>
              <w:left w:val="nil"/>
              <w:bottom w:val="nil"/>
              <w:right w:val="nil"/>
            </w:tcBorders>
          </w:tcPr>
          <w:p w14:paraId="436FA79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0.136</w:t>
            </w:r>
          </w:p>
        </w:tc>
        <w:tc>
          <w:tcPr>
            <w:tcW w:w="1656" w:type="dxa"/>
            <w:tcBorders>
              <w:top w:val="nil"/>
              <w:left w:val="nil"/>
              <w:bottom w:val="nil"/>
              <w:right w:val="nil"/>
            </w:tcBorders>
          </w:tcPr>
          <w:p w14:paraId="2D7CA29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0.412</w:t>
            </w:r>
          </w:p>
        </w:tc>
        <w:tc>
          <w:tcPr>
            <w:tcW w:w="1656" w:type="dxa"/>
            <w:tcBorders>
              <w:top w:val="nil"/>
              <w:left w:val="nil"/>
              <w:bottom w:val="nil"/>
              <w:right w:val="nil"/>
            </w:tcBorders>
          </w:tcPr>
          <w:p w14:paraId="217591A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0.488</w:t>
            </w:r>
          </w:p>
        </w:tc>
        <w:tc>
          <w:tcPr>
            <w:tcW w:w="1656" w:type="dxa"/>
            <w:tcBorders>
              <w:top w:val="nil"/>
              <w:left w:val="nil"/>
              <w:bottom w:val="nil"/>
              <w:right w:val="nil"/>
            </w:tcBorders>
          </w:tcPr>
          <w:p w14:paraId="3661B2F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0.0268</w:t>
            </w:r>
          </w:p>
        </w:tc>
        <w:tc>
          <w:tcPr>
            <w:tcW w:w="1656" w:type="dxa"/>
            <w:tcBorders>
              <w:top w:val="nil"/>
              <w:left w:val="nil"/>
              <w:bottom w:val="nil"/>
              <w:right w:val="nil"/>
            </w:tcBorders>
          </w:tcPr>
          <w:p w14:paraId="5D1BC53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0.156</w:t>
            </w:r>
          </w:p>
        </w:tc>
      </w:tr>
      <w:tr w:rsidR="00013EB4" w:rsidRPr="00B92F9C" w14:paraId="476D64C0" w14:textId="77777777" w:rsidTr="00015B88">
        <w:tc>
          <w:tcPr>
            <w:tcW w:w="2136" w:type="dxa"/>
            <w:tcBorders>
              <w:top w:val="nil"/>
              <w:left w:val="nil"/>
              <w:bottom w:val="nil"/>
              <w:right w:val="nil"/>
            </w:tcBorders>
          </w:tcPr>
          <w:p w14:paraId="47D5348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4CC85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(0.21)</w:t>
            </w:r>
          </w:p>
        </w:tc>
        <w:tc>
          <w:tcPr>
            <w:tcW w:w="1656" w:type="dxa"/>
            <w:tcBorders>
              <w:top w:val="nil"/>
              <w:left w:val="nil"/>
              <w:bottom w:val="nil"/>
              <w:right w:val="nil"/>
            </w:tcBorders>
          </w:tcPr>
          <w:p w14:paraId="71AE1B9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(0.87)</w:t>
            </w:r>
          </w:p>
        </w:tc>
        <w:tc>
          <w:tcPr>
            <w:tcW w:w="1656" w:type="dxa"/>
            <w:tcBorders>
              <w:top w:val="nil"/>
              <w:left w:val="nil"/>
              <w:bottom w:val="nil"/>
              <w:right w:val="nil"/>
            </w:tcBorders>
          </w:tcPr>
          <w:p w14:paraId="3F64C72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(0.84)</w:t>
            </w:r>
          </w:p>
        </w:tc>
        <w:tc>
          <w:tcPr>
            <w:tcW w:w="1656" w:type="dxa"/>
            <w:tcBorders>
              <w:top w:val="nil"/>
              <w:left w:val="nil"/>
              <w:bottom w:val="nil"/>
              <w:right w:val="nil"/>
            </w:tcBorders>
          </w:tcPr>
          <w:p w14:paraId="1839A4B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(0.22)</w:t>
            </w:r>
          </w:p>
        </w:tc>
        <w:tc>
          <w:tcPr>
            <w:tcW w:w="1656" w:type="dxa"/>
            <w:tcBorders>
              <w:top w:val="nil"/>
              <w:left w:val="nil"/>
              <w:bottom w:val="nil"/>
              <w:right w:val="nil"/>
            </w:tcBorders>
          </w:tcPr>
          <w:p w14:paraId="767025F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(1.40)</w:t>
            </w:r>
          </w:p>
        </w:tc>
      </w:tr>
      <w:tr w:rsidR="00013EB4" w:rsidRPr="00B92F9C" w14:paraId="615B5EEC" w14:textId="77777777" w:rsidTr="00015B88">
        <w:tc>
          <w:tcPr>
            <w:tcW w:w="2136" w:type="dxa"/>
            <w:tcBorders>
              <w:top w:val="nil"/>
              <w:left w:val="nil"/>
              <w:bottom w:val="nil"/>
              <w:right w:val="nil"/>
            </w:tcBorders>
          </w:tcPr>
          <w:p w14:paraId="4ABEE28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04570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8AFA5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B3875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B1DD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94C52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0A146A7C" w14:textId="77777777" w:rsidTr="00015B88">
        <w:tc>
          <w:tcPr>
            <w:tcW w:w="2136" w:type="dxa"/>
            <w:tcBorders>
              <w:top w:val="nil"/>
              <w:left w:val="nil"/>
              <w:bottom w:val="nil"/>
              <w:right w:val="nil"/>
            </w:tcBorders>
          </w:tcPr>
          <w:p w14:paraId="09557F1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L10.Chinn-Ito index, normalized</w:t>
            </w:r>
          </w:p>
        </w:tc>
        <w:tc>
          <w:tcPr>
            <w:tcW w:w="1656" w:type="dxa"/>
            <w:tcBorders>
              <w:top w:val="nil"/>
              <w:left w:val="nil"/>
              <w:bottom w:val="nil"/>
              <w:right w:val="nil"/>
            </w:tcBorders>
          </w:tcPr>
          <w:p w14:paraId="2FF8884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0.284</w:t>
            </w:r>
          </w:p>
        </w:tc>
        <w:tc>
          <w:tcPr>
            <w:tcW w:w="1656" w:type="dxa"/>
            <w:tcBorders>
              <w:top w:val="nil"/>
              <w:left w:val="nil"/>
              <w:bottom w:val="nil"/>
              <w:right w:val="nil"/>
            </w:tcBorders>
          </w:tcPr>
          <w:p w14:paraId="6C90716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-0.0287</w:t>
            </w:r>
          </w:p>
        </w:tc>
        <w:tc>
          <w:tcPr>
            <w:tcW w:w="1656" w:type="dxa"/>
            <w:tcBorders>
              <w:top w:val="nil"/>
              <w:left w:val="nil"/>
              <w:bottom w:val="nil"/>
              <w:right w:val="nil"/>
            </w:tcBorders>
          </w:tcPr>
          <w:p w14:paraId="7C5BF21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-0.143</w:t>
            </w:r>
          </w:p>
        </w:tc>
        <w:tc>
          <w:tcPr>
            <w:tcW w:w="1656" w:type="dxa"/>
            <w:tcBorders>
              <w:top w:val="nil"/>
              <w:left w:val="nil"/>
              <w:bottom w:val="nil"/>
              <w:right w:val="nil"/>
            </w:tcBorders>
          </w:tcPr>
          <w:p w14:paraId="6E63E6B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0.190</w:t>
            </w:r>
          </w:p>
        </w:tc>
        <w:tc>
          <w:tcPr>
            <w:tcW w:w="1656" w:type="dxa"/>
            <w:tcBorders>
              <w:top w:val="nil"/>
              <w:left w:val="nil"/>
              <w:bottom w:val="nil"/>
              <w:right w:val="nil"/>
            </w:tcBorders>
          </w:tcPr>
          <w:p w14:paraId="09973D3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0.426</w:t>
            </w:r>
            <w:r w:rsidRPr="00B92F9C">
              <w:rPr>
                <w:rFonts w:ascii="Times New Roman" w:hAnsi="Times New Roman" w:cs="Times New Roman"/>
                <w:sz w:val="16"/>
                <w:szCs w:val="16"/>
                <w:vertAlign w:val="superscript"/>
              </w:rPr>
              <w:t>***</w:t>
            </w:r>
          </w:p>
        </w:tc>
      </w:tr>
      <w:tr w:rsidR="00013EB4" w:rsidRPr="00B92F9C" w14:paraId="7EA5DDE0" w14:textId="77777777" w:rsidTr="00015B88">
        <w:tc>
          <w:tcPr>
            <w:tcW w:w="2136" w:type="dxa"/>
            <w:tcBorders>
              <w:top w:val="nil"/>
              <w:left w:val="nil"/>
              <w:bottom w:val="nil"/>
              <w:right w:val="nil"/>
            </w:tcBorders>
          </w:tcPr>
          <w:p w14:paraId="4C45C20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3276F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(0.65)</w:t>
            </w:r>
          </w:p>
        </w:tc>
        <w:tc>
          <w:tcPr>
            <w:tcW w:w="1656" w:type="dxa"/>
            <w:tcBorders>
              <w:top w:val="nil"/>
              <w:left w:val="nil"/>
              <w:bottom w:val="nil"/>
              <w:right w:val="nil"/>
            </w:tcBorders>
          </w:tcPr>
          <w:p w14:paraId="4A0AC07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(-0.07)</w:t>
            </w:r>
          </w:p>
        </w:tc>
        <w:tc>
          <w:tcPr>
            <w:tcW w:w="1656" w:type="dxa"/>
            <w:tcBorders>
              <w:top w:val="nil"/>
              <w:left w:val="nil"/>
              <w:bottom w:val="nil"/>
              <w:right w:val="nil"/>
            </w:tcBorders>
          </w:tcPr>
          <w:p w14:paraId="1985794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(-0.27)</w:t>
            </w:r>
          </w:p>
        </w:tc>
        <w:tc>
          <w:tcPr>
            <w:tcW w:w="1656" w:type="dxa"/>
            <w:tcBorders>
              <w:top w:val="nil"/>
              <w:left w:val="nil"/>
              <w:bottom w:val="nil"/>
              <w:right w:val="nil"/>
            </w:tcBorders>
          </w:tcPr>
          <w:p w14:paraId="308B7F6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(1.25)</w:t>
            </w:r>
          </w:p>
        </w:tc>
        <w:tc>
          <w:tcPr>
            <w:tcW w:w="1656" w:type="dxa"/>
            <w:tcBorders>
              <w:top w:val="nil"/>
              <w:left w:val="nil"/>
              <w:bottom w:val="nil"/>
              <w:right w:val="nil"/>
            </w:tcBorders>
          </w:tcPr>
          <w:p w14:paraId="72A352A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(3.44)</w:t>
            </w:r>
          </w:p>
        </w:tc>
      </w:tr>
      <w:tr w:rsidR="00013EB4" w:rsidRPr="00B92F9C" w14:paraId="35AD37DF" w14:textId="77777777" w:rsidTr="00015B88">
        <w:tc>
          <w:tcPr>
            <w:tcW w:w="2136" w:type="dxa"/>
            <w:tcBorders>
              <w:top w:val="nil"/>
              <w:left w:val="nil"/>
              <w:bottom w:val="nil"/>
              <w:right w:val="nil"/>
            </w:tcBorders>
          </w:tcPr>
          <w:p w14:paraId="3C3DD01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64C39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B1664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ACADF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9BD62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73205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0419B298" w14:textId="77777777" w:rsidTr="00015B88">
        <w:tc>
          <w:tcPr>
            <w:tcW w:w="2136" w:type="dxa"/>
            <w:tcBorders>
              <w:top w:val="nil"/>
              <w:left w:val="nil"/>
              <w:bottom w:val="nil"/>
              <w:right w:val="nil"/>
            </w:tcBorders>
          </w:tcPr>
          <w:p w14:paraId="514546A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B92F9C">
              <w:rPr>
                <w:rFonts w:ascii="Times New Roman" w:hAnsi="Times New Roman" w:cs="Times New Roman"/>
                <w:sz w:val="16"/>
                <w:szCs w:val="16"/>
              </w:rPr>
              <w:t>L.De</w:t>
            </w:r>
            <w:proofErr w:type="spellEnd"/>
            <w:r w:rsidRPr="00B92F9C">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69B4F41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-0.276</w:t>
            </w:r>
          </w:p>
        </w:tc>
        <w:tc>
          <w:tcPr>
            <w:tcW w:w="1656" w:type="dxa"/>
            <w:tcBorders>
              <w:top w:val="nil"/>
              <w:left w:val="nil"/>
              <w:bottom w:val="nil"/>
              <w:right w:val="nil"/>
            </w:tcBorders>
          </w:tcPr>
          <w:p w14:paraId="5E05451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-0.278</w:t>
            </w:r>
          </w:p>
        </w:tc>
        <w:tc>
          <w:tcPr>
            <w:tcW w:w="1656" w:type="dxa"/>
            <w:tcBorders>
              <w:top w:val="nil"/>
              <w:left w:val="nil"/>
              <w:bottom w:val="nil"/>
              <w:right w:val="nil"/>
            </w:tcBorders>
          </w:tcPr>
          <w:p w14:paraId="0B384D5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0.0498</w:t>
            </w:r>
          </w:p>
        </w:tc>
        <w:tc>
          <w:tcPr>
            <w:tcW w:w="1656" w:type="dxa"/>
            <w:tcBorders>
              <w:top w:val="nil"/>
              <w:left w:val="nil"/>
              <w:bottom w:val="nil"/>
              <w:right w:val="nil"/>
            </w:tcBorders>
          </w:tcPr>
          <w:p w14:paraId="09FAB44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0.0438</w:t>
            </w:r>
          </w:p>
        </w:tc>
        <w:tc>
          <w:tcPr>
            <w:tcW w:w="1656" w:type="dxa"/>
            <w:tcBorders>
              <w:top w:val="nil"/>
              <w:left w:val="nil"/>
              <w:bottom w:val="nil"/>
              <w:right w:val="nil"/>
            </w:tcBorders>
          </w:tcPr>
          <w:p w14:paraId="71E1F24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-0.145</w:t>
            </w:r>
          </w:p>
        </w:tc>
      </w:tr>
      <w:tr w:rsidR="00013EB4" w:rsidRPr="00B92F9C" w14:paraId="1462450C" w14:textId="77777777" w:rsidTr="00015B88">
        <w:tc>
          <w:tcPr>
            <w:tcW w:w="2136" w:type="dxa"/>
            <w:tcBorders>
              <w:top w:val="nil"/>
              <w:left w:val="nil"/>
              <w:bottom w:val="nil"/>
              <w:right w:val="nil"/>
            </w:tcBorders>
          </w:tcPr>
          <w:p w14:paraId="68E5284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478C2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(-1.11)</w:t>
            </w:r>
          </w:p>
        </w:tc>
        <w:tc>
          <w:tcPr>
            <w:tcW w:w="1656" w:type="dxa"/>
            <w:tcBorders>
              <w:top w:val="nil"/>
              <w:left w:val="nil"/>
              <w:bottom w:val="nil"/>
              <w:right w:val="nil"/>
            </w:tcBorders>
          </w:tcPr>
          <w:p w14:paraId="65D7A16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(-1.72)</w:t>
            </w:r>
          </w:p>
        </w:tc>
        <w:tc>
          <w:tcPr>
            <w:tcW w:w="1656" w:type="dxa"/>
            <w:tcBorders>
              <w:top w:val="nil"/>
              <w:left w:val="nil"/>
              <w:bottom w:val="nil"/>
              <w:right w:val="nil"/>
            </w:tcBorders>
          </w:tcPr>
          <w:p w14:paraId="1C570CD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(0.20)</w:t>
            </w:r>
          </w:p>
        </w:tc>
        <w:tc>
          <w:tcPr>
            <w:tcW w:w="1656" w:type="dxa"/>
            <w:tcBorders>
              <w:top w:val="nil"/>
              <w:left w:val="nil"/>
              <w:bottom w:val="nil"/>
              <w:right w:val="nil"/>
            </w:tcBorders>
          </w:tcPr>
          <w:p w14:paraId="529343B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(0.51)</w:t>
            </w:r>
          </w:p>
        </w:tc>
        <w:tc>
          <w:tcPr>
            <w:tcW w:w="1656" w:type="dxa"/>
            <w:tcBorders>
              <w:top w:val="nil"/>
              <w:left w:val="nil"/>
              <w:bottom w:val="nil"/>
              <w:right w:val="nil"/>
            </w:tcBorders>
          </w:tcPr>
          <w:p w14:paraId="769A314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(-1.63)</w:t>
            </w:r>
          </w:p>
        </w:tc>
      </w:tr>
      <w:tr w:rsidR="00013EB4" w:rsidRPr="00B92F9C" w14:paraId="30AB7FDD" w14:textId="77777777" w:rsidTr="00015B88">
        <w:tc>
          <w:tcPr>
            <w:tcW w:w="2136" w:type="dxa"/>
            <w:tcBorders>
              <w:top w:val="nil"/>
              <w:left w:val="nil"/>
              <w:bottom w:val="nil"/>
              <w:right w:val="nil"/>
            </w:tcBorders>
          </w:tcPr>
          <w:p w14:paraId="18FF8A6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6CFE8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6DB04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14E5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F74DA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6BB92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0D28D0B5" w14:textId="77777777" w:rsidTr="00015B88">
        <w:tc>
          <w:tcPr>
            <w:tcW w:w="2136" w:type="dxa"/>
            <w:tcBorders>
              <w:top w:val="nil"/>
              <w:left w:val="nil"/>
              <w:bottom w:val="nil"/>
              <w:right w:val="nil"/>
            </w:tcBorders>
          </w:tcPr>
          <w:p w14:paraId="3E550193"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L2.De Facto CBI * Capital Account Openness</w:t>
            </w:r>
          </w:p>
        </w:tc>
        <w:tc>
          <w:tcPr>
            <w:tcW w:w="1656" w:type="dxa"/>
            <w:tcBorders>
              <w:top w:val="nil"/>
              <w:left w:val="nil"/>
              <w:bottom w:val="nil"/>
              <w:right w:val="nil"/>
            </w:tcBorders>
          </w:tcPr>
          <w:p w14:paraId="5E2A386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-0.288</w:t>
            </w:r>
          </w:p>
        </w:tc>
        <w:tc>
          <w:tcPr>
            <w:tcW w:w="1656" w:type="dxa"/>
            <w:tcBorders>
              <w:top w:val="nil"/>
              <w:left w:val="nil"/>
              <w:bottom w:val="nil"/>
              <w:right w:val="nil"/>
            </w:tcBorders>
          </w:tcPr>
          <w:p w14:paraId="14C26C4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-0.179</w:t>
            </w:r>
          </w:p>
        </w:tc>
        <w:tc>
          <w:tcPr>
            <w:tcW w:w="1656" w:type="dxa"/>
            <w:tcBorders>
              <w:top w:val="nil"/>
              <w:left w:val="nil"/>
              <w:bottom w:val="nil"/>
              <w:right w:val="nil"/>
            </w:tcBorders>
          </w:tcPr>
          <w:p w14:paraId="01C0EE1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-0.214</w:t>
            </w:r>
          </w:p>
        </w:tc>
        <w:tc>
          <w:tcPr>
            <w:tcW w:w="1656" w:type="dxa"/>
            <w:tcBorders>
              <w:top w:val="nil"/>
              <w:left w:val="nil"/>
              <w:bottom w:val="nil"/>
              <w:right w:val="nil"/>
            </w:tcBorders>
          </w:tcPr>
          <w:p w14:paraId="617A72F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0.0443</w:t>
            </w:r>
          </w:p>
        </w:tc>
        <w:tc>
          <w:tcPr>
            <w:tcW w:w="1656" w:type="dxa"/>
            <w:tcBorders>
              <w:top w:val="nil"/>
              <w:left w:val="nil"/>
              <w:bottom w:val="nil"/>
              <w:right w:val="nil"/>
            </w:tcBorders>
          </w:tcPr>
          <w:p w14:paraId="319A728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-0.181</w:t>
            </w:r>
            <w:r w:rsidRPr="00B92F9C">
              <w:rPr>
                <w:rFonts w:ascii="Times New Roman" w:hAnsi="Times New Roman" w:cs="Times New Roman"/>
                <w:sz w:val="16"/>
                <w:szCs w:val="16"/>
                <w:vertAlign w:val="superscript"/>
              </w:rPr>
              <w:t>*</w:t>
            </w:r>
          </w:p>
        </w:tc>
      </w:tr>
      <w:tr w:rsidR="00013EB4" w:rsidRPr="00B92F9C" w14:paraId="45EBAB37" w14:textId="77777777" w:rsidTr="00015B88">
        <w:tc>
          <w:tcPr>
            <w:tcW w:w="2136" w:type="dxa"/>
            <w:tcBorders>
              <w:top w:val="nil"/>
              <w:left w:val="nil"/>
              <w:bottom w:val="nil"/>
              <w:right w:val="nil"/>
            </w:tcBorders>
          </w:tcPr>
          <w:p w14:paraId="71DB688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46B6E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(-1.10)</w:t>
            </w:r>
          </w:p>
        </w:tc>
        <w:tc>
          <w:tcPr>
            <w:tcW w:w="1656" w:type="dxa"/>
            <w:tcBorders>
              <w:top w:val="nil"/>
              <w:left w:val="nil"/>
              <w:bottom w:val="nil"/>
              <w:right w:val="nil"/>
            </w:tcBorders>
          </w:tcPr>
          <w:p w14:paraId="78E4638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(-0.84)</w:t>
            </w:r>
          </w:p>
        </w:tc>
        <w:tc>
          <w:tcPr>
            <w:tcW w:w="1656" w:type="dxa"/>
            <w:tcBorders>
              <w:top w:val="nil"/>
              <w:left w:val="nil"/>
              <w:bottom w:val="nil"/>
              <w:right w:val="nil"/>
            </w:tcBorders>
          </w:tcPr>
          <w:p w14:paraId="6CCA620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(-0.73)</w:t>
            </w:r>
          </w:p>
        </w:tc>
        <w:tc>
          <w:tcPr>
            <w:tcW w:w="1656" w:type="dxa"/>
            <w:tcBorders>
              <w:top w:val="nil"/>
              <w:left w:val="nil"/>
              <w:bottom w:val="nil"/>
              <w:right w:val="nil"/>
            </w:tcBorders>
          </w:tcPr>
          <w:p w14:paraId="2B1F33F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(0.44)</w:t>
            </w:r>
          </w:p>
        </w:tc>
        <w:tc>
          <w:tcPr>
            <w:tcW w:w="1656" w:type="dxa"/>
            <w:tcBorders>
              <w:top w:val="nil"/>
              <w:left w:val="nil"/>
              <w:bottom w:val="nil"/>
              <w:right w:val="nil"/>
            </w:tcBorders>
          </w:tcPr>
          <w:p w14:paraId="6719054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(-2.01)</w:t>
            </w:r>
          </w:p>
        </w:tc>
      </w:tr>
      <w:tr w:rsidR="00013EB4" w:rsidRPr="00B92F9C" w14:paraId="490A6568" w14:textId="77777777" w:rsidTr="00015B88">
        <w:tc>
          <w:tcPr>
            <w:tcW w:w="2136" w:type="dxa"/>
            <w:tcBorders>
              <w:top w:val="nil"/>
              <w:left w:val="nil"/>
              <w:bottom w:val="nil"/>
              <w:right w:val="nil"/>
            </w:tcBorders>
          </w:tcPr>
          <w:p w14:paraId="7D14289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65C089"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980A8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D8D72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3B60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2B453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24C76CEC" w14:textId="77777777" w:rsidTr="00015B88">
        <w:tc>
          <w:tcPr>
            <w:tcW w:w="2136" w:type="dxa"/>
            <w:tcBorders>
              <w:top w:val="nil"/>
              <w:left w:val="nil"/>
              <w:bottom w:val="nil"/>
              <w:right w:val="nil"/>
            </w:tcBorders>
          </w:tcPr>
          <w:p w14:paraId="2EE1233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L3.De Facto CBI * Capital Account Openness</w:t>
            </w:r>
          </w:p>
        </w:tc>
        <w:tc>
          <w:tcPr>
            <w:tcW w:w="1656" w:type="dxa"/>
            <w:tcBorders>
              <w:top w:val="nil"/>
              <w:left w:val="nil"/>
              <w:bottom w:val="nil"/>
              <w:right w:val="nil"/>
            </w:tcBorders>
          </w:tcPr>
          <w:p w14:paraId="0E11E0E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0.0276</w:t>
            </w:r>
          </w:p>
        </w:tc>
        <w:tc>
          <w:tcPr>
            <w:tcW w:w="1656" w:type="dxa"/>
            <w:tcBorders>
              <w:top w:val="nil"/>
              <w:left w:val="nil"/>
              <w:bottom w:val="nil"/>
              <w:right w:val="nil"/>
            </w:tcBorders>
          </w:tcPr>
          <w:p w14:paraId="5EEE06E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-0.128</w:t>
            </w:r>
          </w:p>
        </w:tc>
        <w:tc>
          <w:tcPr>
            <w:tcW w:w="1656" w:type="dxa"/>
            <w:tcBorders>
              <w:top w:val="nil"/>
              <w:left w:val="nil"/>
              <w:bottom w:val="nil"/>
              <w:right w:val="nil"/>
            </w:tcBorders>
          </w:tcPr>
          <w:p w14:paraId="6C8B0DC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0.207</w:t>
            </w:r>
          </w:p>
        </w:tc>
        <w:tc>
          <w:tcPr>
            <w:tcW w:w="1656" w:type="dxa"/>
            <w:tcBorders>
              <w:top w:val="nil"/>
              <w:left w:val="nil"/>
              <w:bottom w:val="nil"/>
              <w:right w:val="nil"/>
            </w:tcBorders>
          </w:tcPr>
          <w:p w14:paraId="2D9D5B6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0.0137</w:t>
            </w:r>
          </w:p>
        </w:tc>
        <w:tc>
          <w:tcPr>
            <w:tcW w:w="1656" w:type="dxa"/>
            <w:tcBorders>
              <w:top w:val="nil"/>
              <w:left w:val="nil"/>
              <w:bottom w:val="nil"/>
              <w:right w:val="nil"/>
            </w:tcBorders>
          </w:tcPr>
          <w:p w14:paraId="08C9121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-0.266</w:t>
            </w:r>
            <w:r w:rsidRPr="00B92F9C">
              <w:rPr>
                <w:rFonts w:ascii="Times New Roman" w:hAnsi="Times New Roman" w:cs="Times New Roman"/>
                <w:sz w:val="16"/>
                <w:szCs w:val="16"/>
                <w:vertAlign w:val="superscript"/>
              </w:rPr>
              <w:t>**</w:t>
            </w:r>
          </w:p>
        </w:tc>
      </w:tr>
      <w:tr w:rsidR="00013EB4" w:rsidRPr="00B92F9C" w14:paraId="0BF2F455" w14:textId="77777777" w:rsidTr="00015B88">
        <w:tc>
          <w:tcPr>
            <w:tcW w:w="2136" w:type="dxa"/>
            <w:tcBorders>
              <w:top w:val="nil"/>
              <w:left w:val="nil"/>
              <w:bottom w:val="nil"/>
              <w:right w:val="nil"/>
            </w:tcBorders>
          </w:tcPr>
          <w:p w14:paraId="11AA638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B97BC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(0.11)</w:t>
            </w:r>
          </w:p>
        </w:tc>
        <w:tc>
          <w:tcPr>
            <w:tcW w:w="1656" w:type="dxa"/>
            <w:tcBorders>
              <w:top w:val="nil"/>
              <w:left w:val="nil"/>
              <w:bottom w:val="nil"/>
              <w:right w:val="nil"/>
            </w:tcBorders>
          </w:tcPr>
          <w:p w14:paraId="76CD4DB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(-0.62)</w:t>
            </w:r>
          </w:p>
        </w:tc>
        <w:tc>
          <w:tcPr>
            <w:tcW w:w="1656" w:type="dxa"/>
            <w:tcBorders>
              <w:top w:val="nil"/>
              <w:left w:val="nil"/>
              <w:bottom w:val="nil"/>
              <w:right w:val="nil"/>
            </w:tcBorders>
          </w:tcPr>
          <w:p w14:paraId="3D2A4A1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(1.01)</w:t>
            </w:r>
          </w:p>
        </w:tc>
        <w:tc>
          <w:tcPr>
            <w:tcW w:w="1656" w:type="dxa"/>
            <w:tcBorders>
              <w:top w:val="nil"/>
              <w:left w:val="nil"/>
              <w:bottom w:val="nil"/>
              <w:right w:val="nil"/>
            </w:tcBorders>
          </w:tcPr>
          <w:p w14:paraId="1A68C5E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(0.13)</w:t>
            </w:r>
          </w:p>
        </w:tc>
        <w:tc>
          <w:tcPr>
            <w:tcW w:w="1656" w:type="dxa"/>
            <w:tcBorders>
              <w:top w:val="nil"/>
              <w:left w:val="nil"/>
              <w:bottom w:val="nil"/>
              <w:right w:val="nil"/>
            </w:tcBorders>
          </w:tcPr>
          <w:p w14:paraId="407CB9D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(-3.07)</w:t>
            </w:r>
          </w:p>
        </w:tc>
      </w:tr>
      <w:tr w:rsidR="00013EB4" w:rsidRPr="00B92F9C" w14:paraId="26B2CD9E" w14:textId="77777777" w:rsidTr="00015B88">
        <w:tc>
          <w:tcPr>
            <w:tcW w:w="2136" w:type="dxa"/>
            <w:tcBorders>
              <w:top w:val="nil"/>
              <w:left w:val="nil"/>
              <w:bottom w:val="nil"/>
              <w:right w:val="nil"/>
            </w:tcBorders>
          </w:tcPr>
          <w:p w14:paraId="0294185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7611E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98A38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C66B1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083CF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18564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5032AD50" w14:textId="77777777" w:rsidTr="00015B88">
        <w:tc>
          <w:tcPr>
            <w:tcW w:w="2136" w:type="dxa"/>
            <w:tcBorders>
              <w:top w:val="nil"/>
              <w:left w:val="nil"/>
              <w:bottom w:val="nil"/>
              <w:right w:val="nil"/>
            </w:tcBorders>
          </w:tcPr>
          <w:p w14:paraId="3486E87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L4.De Facto CBI * Capital Account Openness</w:t>
            </w:r>
          </w:p>
        </w:tc>
        <w:tc>
          <w:tcPr>
            <w:tcW w:w="1656" w:type="dxa"/>
            <w:tcBorders>
              <w:top w:val="nil"/>
              <w:left w:val="nil"/>
              <w:bottom w:val="nil"/>
              <w:right w:val="nil"/>
            </w:tcBorders>
          </w:tcPr>
          <w:p w14:paraId="3691BED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0.393</w:t>
            </w:r>
            <w:r w:rsidRPr="00B92F9C">
              <w:rPr>
                <w:rFonts w:ascii="Times New Roman" w:hAnsi="Times New Roman" w:cs="Times New Roman"/>
                <w:sz w:val="16"/>
                <w:szCs w:val="16"/>
                <w:vertAlign w:val="superscript"/>
              </w:rPr>
              <w:t>*</w:t>
            </w:r>
          </w:p>
        </w:tc>
        <w:tc>
          <w:tcPr>
            <w:tcW w:w="1656" w:type="dxa"/>
            <w:tcBorders>
              <w:top w:val="nil"/>
              <w:left w:val="nil"/>
              <w:bottom w:val="nil"/>
              <w:right w:val="nil"/>
            </w:tcBorders>
          </w:tcPr>
          <w:p w14:paraId="1052A66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0.197</w:t>
            </w:r>
          </w:p>
        </w:tc>
        <w:tc>
          <w:tcPr>
            <w:tcW w:w="1656" w:type="dxa"/>
            <w:tcBorders>
              <w:top w:val="nil"/>
              <w:left w:val="nil"/>
              <w:bottom w:val="nil"/>
              <w:right w:val="nil"/>
            </w:tcBorders>
          </w:tcPr>
          <w:p w14:paraId="4DC7948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-0.0797</w:t>
            </w:r>
          </w:p>
        </w:tc>
        <w:tc>
          <w:tcPr>
            <w:tcW w:w="1656" w:type="dxa"/>
            <w:tcBorders>
              <w:top w:val="nil"/>
              <w:left w:val="nil"/>
              <w:bottom w:val="nil"/>
              <w:right w:val="nil"/>
            </w:tcBorders>
          </w:tcPr>
          <w:p w14:paraId="7C995B8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-0.0259</w:t>
            </w:r>
          </w:p>
        </w:tc>
        <w:tc>
          <w:tcPr>
            <w:tcW w:w="1656" w:type="dxa"/>
            <w:tcBorders>
              <w:top w:val="nil"/>
              <w:left w:val="nil"/>
              <w:bottom w:val="nil"/>
              <w:right w:val="nil"/>
            </w:tcBorders>
          </w:tcPr>
          <w:p w14:paraId="2259202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-0.188</w:t>
            </w:r>
          </w:p>
        </w:tc>
      </w:tr>
      <w:tr w:rsidR="00013EB4" w:rsidRPr="00B92F9C" w14:paraId="1EDDD0AB" w14:textId="77777777" w:rsidTr="00015B88">
        <w:tc>
          <w:tcPr>
            <w:tcW w:w="2136" w:type="dxa"/>
            <w:tcBorders>
              <w:top w:val="nil"/>
              <w:left w:val="nil"/>
              <w:bottom w:val="nil"/>
              <w:right w:val="nil"/>
            </w:tcBorders>
          </w:tcPr>
          <w:p w14:paraId="432FC4A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83EC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(2.24)</w:t>
            </w:r>
          </w:p>
        </w:tc>
        <w:tc>
          <w:tcPr>
            <w:tcW w:w="1656" w:type="dxa"/>
            <w:tcBorders>
              <w:top w:val="nil"/>
              <w:left w:val="nil"/>
              <w:bottom w:val="nil"/>
              <w:right w:val="nil"/>
            </w:tcBorders>
          </w:tcPr>
          <w:p w14:paraId="5DACC7F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(1.22)</w:t>
            </w:r>
          </w:p>
        </w:tc>
        <w:tc>
          <w:tcPr>
            <w:tcW w:w="1656" w:type="dxa"/>
            <w:tcBorders>
              <w:top w:val="nil"/>
              <w:left w:val="nil"/>
              <w:bottom w:val="nil"/>
              <w:right w:val="nil"/>
            </w:tcBorders>
          </w:tcPr>
          <w:p w14:paraId="487FEB4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(-0.32)</w:t>
            </w:r>
          </w:p>
        </w:tc>
        <w:tc>
          <w:tcPr>
            <w:tcW w:w="1656" w:type="dxa"/>
            <w:tcBorders>
              <w:top w:val="nil"/>
              <w:left w:val="nil"/>
              <w:bottom w:val="nil"/>
              <w:right w:val="nil"/>
            </w:tcBorders>
          </w:tcPr>
          <w:p w14:paraId="6E71E47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(-0.23)</w:t>
            </w:r>
          </w:p>
        </w:tc>
        <w:tc>
          <w:tcPr>
            <w:tcW w:w="1656" w:type="dxa"/>
            <w:tcBorders>
              <w:top w:val="nil"/>
              <w:left w:val="nil"/>
              <w:bottom w:val="nil"/>
              <w:right w:val="nil"/>
            </w:tcBorders>
          </w:tcPr>
          <w:p w14:paraId="2257D6F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(-1.92)</w:t>
            </w:r>
          </w:p>
        </w:tc>
      </w:tr>
      <w:tr w:rsidR="00013EB4" w:rsidRPr="00B92F9C" w14:paraId="3D63CA9E" w14:textId="77777777" w:rsidTr="00015B88">
        <w:tc>
          <w:tcPr>
            <w:tcW w:w="2136" w:type="dxa"/>
            <w:tcBorders>
              <w:top w:val="nil"/>
              <w:left w:val="nil"/>
              <w:bottom w:val="nil"/>
              <w:right w:val="nil"/>
            </w:tcBorders>
          </w:tcPr>
          <w:p w14:paraId="3E9ADFE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8D5C9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5F05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82DBA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31748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0373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415FCB35" w14:textId="77777777" w:rsidTr="00015B88">
        <w:tc>
          <w:tcPr>
            <w:tcW w:w="2136" w:type="dxa"/>
            <w:tcBorders>
              <w:top w:val="nil"/>
              <w:left w:val="nil"/>
              <w:bottom w:val="nil"/>
              <w:right w:val="nil"/>
            </w:tcBorders>
          </w:tcPr>
          <w:p w14:paraId="3860F6B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L5.De Facto CBI * Capital Account Openness</w:t>
            </w:r>
          </w:p>
        </w:tc>
        <w:tc>
          <w:tcPr>
            <w:tcW w:w="1656" w:type="dxa"/>
            <w:tcBorders>
              <w:top w:val="nil"/>
              <w:left w:val="nil"/>
              <w:bottom w:val="nil"/>
              <w:right w:val="nil"/>
            </w:tcBorders>
          </w:tcPr>
          <w:p w14:paraId="7AE6038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-0.371</w:t>
            </w:r>
          </w:p>
        </w:tc>
        <w:tc>
          <w:tcPr>
            <w:tcW w:w="1656" w:type="dxa"/>
            <w:tcBorders>
              <w:top w:val="nil"/>
              <w:left w:val="nil"/>
              <w:bottom w:val="nil"/>
              <w:right w:val="nil"/>
            </w:tcBorders>
          </w:tcPr>
          <w:p w14:paraId="65232B1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0.0546</w:t>
            </w:r>
          </w:p>
        </w:tc>
        <w:tc>
          <w:tcPr>
            <w:tcW w:w="1656" w:type="dxa"/>
            <w:tcBorders>
              <w:top w:val="nil"/>
              <w:left w:val="nil"/>
              <w:bottom w:val="nil"/>
              <w:right w:val="nil"/>
            </w:tcBorders>
          </w:tcPr>
          <w:p w14:paraId="1138D65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0.187</w:t>
            </w:r>
          </w:p>
        </w:tc>
        <w:tc>
          <w:tcPr>
            <w:tcW w:w="1656" w:type="dxa"/>
            <w:tcBorders>
              <w:top w:val="nil"/>
              <w:left w:val="nil"/>
              <w:bottom w:val="nil"/>
              <w:right w:val="nil"/>
            </w:tcBorders>
          </w:tcPr>
          <w:p w14:paraId="4C8492C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0.0606</w:t>
            </w:r>
          </w:p>
        </w:tc>
        <w:tc>
          <w:tcPr>
            <w:tcW w:w="1656" w:type="dxa"/>
            <w:tcBorders>
              <w:top w:val="nil"/>
              <w:left w:val="nil"/>
              <w:bottom w:val="nil"/>
              <w:right w:val="nil"/>
            </w:tcBorders>
          </w:tcPr>
          <w:p w14:paraId="1500238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-0.242</w:t>
            </w:r>
            <w:r w:rsidRPr="00B92F9C">
              <w:rPr>
                <w:rFonts w:ascii="Times New Roman" w:hAnsi="Times New Roman" w:cs="Times New Roman"/>
                <w:sz w:val="16"/>
                <w:szCs w:val="16"/>
                <w:vertAlign w:val="superscript"/>
              </w:rPr>
              <w:t>*</w:t>
            </w:r>
          </w:p>
        </w:tc>
      </w:tr>
      <w:tr w:rsidR="00013EB4" w:rsidRPr="00B92F9C" w14:paraId="22B9444B" w14:textId="77777777" w:rsidTr="00015B88">
        <w:tc>
          <w:tcPr>
            <w:tcW w:w="2136" w:type="dxa"/>
            <w:tcBorders>
              <w:top w:val="nil"/>
              <w:left w:val="nil"/>
              <w:bottom w:val="nil"/>
              <w:right w:val="nil"/>
            </w:tcBorders>
          </w:tcPr>
          <w:p w14:paraId="13038FF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B5C24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(-1.58)</w:t>
            </w:r>
          </w:p>
        </w:tc>
        <w:tc>
          <w:tcPr>
            <w:tcW w:w="1656" w:type="dxa"/>
            <w:tcBorders>
              <w:top w:val="nil"/>
              <w:left w:val="nil"/>
              <w:bottom w:val="nil"/>
              <w:right w:val="nil"/>
            </w:tcBorders>
          </w:tcPr>
          <w:p w14:paraId="79EBF53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(0.30)</w:t>
            </w:r>
          </w:p>
        </w:tc>
        <w:tc>
          <w:tcPr>
            <w:tcW w:w="1656" w:type="dxa"/>
            <w:tcBorders>
              <w:top w:val="nil"/>
              <w:left w:val="nil"/>
              <w:bottom w:val="nil"/>
              <w:right w:val="nil"/>
            </w:tcBorders>
          </w:tcPr>
          <w:p w14:paraId="6C2A1DE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(0.88)</w:t>
            </w:r>
          </w:p>
        </w:tc>
        <w:tc>
          <w:tcPr>
            <w:tcW w:w="1656" w:type="dxa"/>
            <w:tcBorders>
              <w:top w:val="nil"/>
              <w:left w:val="nil"/>
              <w:bottom w:val="nil"/>
              <w:right w:val="nil"/>
            </w:tcBorders>
          </w:tcPr>
          <w:p w14:paraId="26C9533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(0.60)</w:t>
            </w:r>
          </w:p>
        </w:tc>
        <w:tc>
          <w:tcPr>
            <w:tcW w:w="1656" w:type="dxa"/>
            <w:tcBorders>
              <w:top w:val="nil"/>
              <w:left w:val="nil"/>
              <w:bottom w:val="nil"/>
              <w:right w:val="nil"/>
            </w:tcBorders>
          </w:tcPr>
          <w:p w14:paraId="148A8FB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(-2.23)</w:t>
            </w:r>
          </w:p>
        </w:tc>
      </w:tr>
      <w:tr w:rsidR="00013EB4" w:rsidRPr="00B92F9C" w14:paraId="6775BFEE" w14:textId="77777777" w:rsidTr="00015B88">
        <w:tc>
          <w:tcPr>
            <w:tcW w:w="2136" w:type="dxa"/>
            <w:tcBorders>
              <w:top w:val="nil"/>
              <w:left w:val="nil"/>
              <w:bottom w:val="nil"/>
              <w:right w:val="nil"/>
            </w:tcBorders>
          </w:tcPr>
          <w:p w14:paraId="387DA3A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FCE0B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44ACA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0986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0271B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D16753"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25630704" w14:textId="77777777" w:rsidTr="00015B88">
        <w:tc>
          <w:tcPr>
            <w:tcW w:w="2136" w:type="dxa"/>
            <w:tcBorders>
              <w:top w:val="nil"/>
              <w:left w:val="nil"/>
              <w:bottom w:val="nil"/>
              <w:right w:val="nil"/>
            </w:tcBorders>
          </w:tcPr>
          <w:p w14:paraId="2B50F31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L6.De Facto CBI * Capital Account Openness</w:t>
            </w:r>
          </w:p>
        </w:tc>
        <w:tc>
          <w:tcPr>
            <w:tcW w:w="1656" w:type="dxa"/>
            <w:tcBorders>
              <w:top w:val="nil"/>
              <w:left w:val="nil"/>
              <w:bottom w:val="nil"/>
              <w:right w:val="nil"/>
            </w:tcBorders>
          </w:tcPr>
          <w:p w14:paraId="5B89925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-0.0511</w:t>
            </w:r>
          </w:p>
        </w:tc>
        <w:tc>
          <w:tcPr>
            <w:tcW w:w="1656" w:type="dxa"/>
            <w:tcBorders>
              <w:top w:val="nil"/>
              <w:left w:val="nil"/>
              <w:bottom w:val="nil"/>
              <w:right w:val="nil"/>
            </w:tcBorders>
          </w:tcPr>
          <w:p w14:paraId="47BFF22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-0.0786</w:t>
            </w:r>
          </w:p>
        </w:tc>
        <w:tc>
          <w:tcPr>
            <w:tcW w:w="1656" w:type="dxa"/>
            <w:tcBorders>
              <w:top w:val="nil"/>
              <w:left w:val="nil"/>
              <w:bottom w:val="nil"/>
              <w:right w:val="nil"/>
            </w:tcBorders>
          </w:tcPr>
          <w:p w14:paraId="29BA17F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-0.0330</w:t>
            </w:r>
          </w:p>
        </w:tc>
        <w:tc>
          <w:tcPr>
            <w:tcW w:w="1656" w:type="dxa"/>
            <w:tcBorders>
              <w:top w:val="nil"/>
              <w:left w:val="nil"/>
              <w:bottom w:val="nil"/>
              <w:right w:val="nil"/>
            </w:tcBorders>
          </w:tcPr>
          <w:p w14:paraId="6335347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0.0607</w:t>
            </w:r>
          </w:p>
        </w:tc>
        <w:tc>
          <w:tcPr>
            <w:tcW w:w="1656" w:type="dxa"/>
            <w:tcBorders>
              <w:top w:val="nil"/>
              <w:left w:val="nil"/>
              <w:bottom w:val="nil"/>
              <w:right w:val="nil"/>
            </w:tcBorders>
          </w:tcPr>
          <w:p w14:paraId="0B2BAB9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-0.141</w:t>
            </w:r>
          </w:p>
        </w:tc>
      </w:tr>
      <w:tr w:rsidR="00013EB4" w:rsidRPr="00B92F9C" w14:paraId="5A581198" w14:textId="77777777" w:rsidTr="00015B88">
        <w:tc>
          <w:tcPr>
            <w:tcW w:w="2136" w:type="dxa"/>
            <w:tcBorders>
              <w:top w:val="nil"/>
              <w:left w:val="nil"/>
              <w:bottom w:val="nil"/>
              <w:right w:val="nil"/>
            </w:tcBorders>
          </w:tcPr>
          <w:p w14:paraId="6310F6A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3221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(-0.22)</w:t>
            </w:r>
          </w:p>
        </w:tc>
        <w:tc>
          <w:tcPr>
            <w:tcW w:w="1656" w:type="dxa"/>
            <w:tcBorders>
              <w:top w:val="nil"/>
              <w:left w:val="nil"/>
              <w:bottom w:val="nil"/>
              <w:right w:val="nil"/>
            </w:tcBorders>
          </w:tcPr>
          <w:p w14:paraId="6AD063E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(-0.46)</w:t>
            </w:r>
          </w:p>
        </w:tc>
        <w:tc>
          <w:tcPr>
            <w:tcW w:w="1656" w:type="dxa"/>
            <w:tcBorders>
              <w:top w:val="nil"/>
              <w:left w:val="nil"/>
              <w:bottom w:val="nil"/>
              <w:right w:val="nil"/>
            </w:tcBorders>
          </w:tcPr>
          <w:p w14:paraId="5795D66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(-0.12)</w:t>
            </w:r>
          </w:p>
        </w:tc>
        <w:tc>
          <w:tcPr>
            <w:tcW w:w="1656" w:type="dxa"/>
            <w:tcBorders>
              <w:top w:val="nil"/>
              <w:left w:val="nil"/>
              <w:bottom w:val="nil"/>
              <w:right w:val="nil"/>
            </w:tcBorders>
          </w:tcPr>
          <w:p w14:paraId="2A4E477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(0.66)</w:t>
            </w:r>
          </w:p>
        </w:tc>
        <w:tc>
          <w:tcPr>
            <w:tcW w:w="1656" w:type="dxa"/>
            <w:tcBorders>
              <w:top w:val="nil"/>
              <w:left w:val="nil"/>
              <w:bottom w:val="nil"/>
              <w:right w:val="nil"/>
            </w:tcBorders>
          </w:tcPr>
          <w:p w14:paraId="18178BB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(-1.51)</w:t>
            </w:r>
          </w:p>
        </w:tc>
      </w:tr>
      <w:tr w:rsidR="00013EB4" w:rsidRPr="00B92F9C" w14:paraId="26FE2639" w14:textId="77777777" w:rsidTr="00015B88">
        <w:tc>
          <w:tcPr>
            <w:tcW w:w="2136" w:type="dxa"/>
            <w:tcBorders>
              <w:top w:val="nil"/>
              <w:left w:val="nil"/>
              <w:bottom w:val="nil"/>
              <w:right w:val="nil"/>
            </w:tcBorders>
          </w:tcPr>
          <w:p w14:paraId="7FA7E8C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9B18F3"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1914B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3BB22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2E529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225AB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656AA51E" w14:textId="77777777" w:rsidTr="00015B88">
        <w:tc>
          <w:tcPr>
            <w:tcW w:w="2136" w:type="dxa"/>
            <w:tcBorders>
              <w:top w:val="nil"/>
              <w:left w:val="nil"/>
              <w:bottom w:val="nil"/>
              <w:right w:val="nil"/>
            </w:tcBorders>
          </w:tcPr>
          <w:p w14:paraId="7F0D1E1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L7.De Facto CBI * Capital Account Openness</w:t>
            </w:r>
          </w:p>
        </w:tc>
        <w:tc>
          <w:tcPr>
            <w:tcW w:w="1656" w:type="dxa"/>
            <w:tcBorders>
              <w:top w:val="nil"/>
              <w:left w:val="nil"/>
              <w:bottom w:val="nil"/>
              <w:right w:val="nil"/>
            </w:tcBorders>
          </w:tcPr>
          <w:p w14:paraId="354839D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-0.282</w:t>
            </w:r>
          </w:p>
        </w:tc>
        <w:tc>
          <w:tcPr>
            <w:tcW w:w="1656" w:type="dxa"/>
            <w:tcBorders>
              <w:top w:val="nil"/>
              <w:left w:val="nil"/>
              <w:bottom w:val="nil"/>
              <w:right w:val="nil"/>
            </w:tcBorders>
          </w:tcPr>
          <w:p w14:paraId="2EDFACB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-0.0242</w:t>
            </w:r>
          </w:p>
        </w:tc>
        <w:tc>
          <w:tcPr>
            <w:tcW w:w="1656" w:type="dxa"/>
            <w:tcBorders>
              <w:top w:val="nil"/>
              <w:left w:val="nil"/>
              <w:bottom w:val="nil"/>
              <w:right w:val="nil"/>
            </w:tcBorders>
          </w:tcPr>
          <w:p w14:paraId="55F1F0D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-0.0620</w:t>
            </w:r>
          </w:p>
        </w:tc>
        <w:tc>
          <w:tcPr>
            <w:tcW w:w="1656" w:type="dxa"/>
            <w:tcBorders>
              <w:top w:val="nil"/>
              <w:left w:val="nil"/>
              <w:bottom w:val="nil"/>
              <w:right w:val="nil"/>
            </w:tcBorders>
          </w:tcPr>
          <w:p w14:paraId="3DB1A52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0.0986</w:t>
            </w:r>
          </w:p>
        </w:tc>
        <w:tc>
          <w:tcPr>
            <w:tcW w:w="1656" w:type="dxa"/>
            <w:tcBorders>
              <w:top w:val="nil"/>
              <w:left w:val="nil"/>
              <w:bottom w:val="nil"/>
              <w:right w:val="nil"/>
            </w:tcBorders>
          </w:tcPr>
          <w:p w14:paraId="6319875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-0.0631</w:t>
            </w:r>
          </w:p>
        </w:tc>
      </w:tr>
      <w:tr w:rsidR="00013EB4" w:rsidRPr="00B92F9C" w14:paraId="35175DB1" w14:textId="77777777" w:rsidTr="00015B88">
        <w:tc>
          <w:tcPr>
            <w:tcW w:w="2136" w:type="dxa"/>
            <w:tcBorders>
              <w:top w:val="nil"/>
              <w:left w:val="nil"/>
              <w:bottom w:val="nil"/>
              <w:right w:val="nil"/>
            </w:tcBorders>
          </w:tcPr>
          <w:p w14:paraId="474D61C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D5FD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(-1.15)</w:t>
            </w:r>
          </w:p>
        </w:tc>
        <w:tc>
          <w:tcPr>
            <w:tcW w:w="1656" w:type="dxa"/>
            <w:tcBorders>
              <w:top w:val="nil"/>
              <w:left w:val="nil"/>
              <w:bottom w:val="nil"/>
              <w:right w:val="nil"/>
            </w:tcBorders>
          </w:tcPr>
          <w:p w14:paraId="5C41C22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(-0.19)</w:t>
            </w:r>
          </w:p>
        </w:tc>
        <w:tc>
          <w:tcPr>
            <w:tcW w:w="1656" w:type="dxa"/>
            <w:tcBorders>
              <w:top w:val="nil"/>
              <w:left w:val="nil"/>
              <w:bottom w:val="nil"/>
              <w:right w:val="nil"/>
            </w:tcBorders>
          </w:tcPr>
          <w:p w14:paraId="61C2E58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(-0.23)</w:t>
            </w:r>
          </w:p>
        </w:tc>
        <w:tc>
          <w:tcPr>
            <w:tcW w:w="1656" w:type="dxa"/>
            <w:tcBorders>
              <w:top w:val="nil"/>
              <w:left w:val="nil"/>
              <w:bottom w:val="nil"/>
              <w:right w:val="nil"/>
            </w:tcBorders>
          </w:tcPr>
          <w:p w14:paraId="0CEC5A3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(1.22)</w:t>
            </w:r>
          </w:p>
        </w:tc>
        <w:tc>
          <w:tcPr>
            <w:tcW w:w="1656" w:type="dxa"/>
            <w:tcBorders>
              <w:top w:val="nil"/>
              <w:left w:val="nil"/>
              <w:bottom w:val="nil"/>
              <w:right w:val="nil"/>
            </w:tcBorders>
          </w:tcPr>
          <w:p w14:paraId="624CBDB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(-0.63)</w:t>
            </w:r>
          </w:p>
        </w:tc>
      </w:tr>
      <w:tr w:rsidR="00013EB4" w:rsidRPr="00B92F9C" w14:paraId="78DE1903" w14:textId="77777777" w:rsidTr="00015B88">
        <w:tc>
          <w:tcPr>
            <w:tcW w:w="2136" w:type="dxa"/>
            <w:tcBorders>
              <w:top w:val="nil"/>
              <w:left w:val="nil"/>
              <w:bottom w:val="nil"/>
              <w:right w:val="nil"/>
            </w:tcBorders>
          </w:tcPr>
          <w:p w14:paraId="5C720FF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DB473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4772E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EE52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AB51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82AAC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705608EE" w14:textId="77777777" w:rsidTr="00015B88">
        <w:tc>
          <w:tcPr>
            <w:tcW w:w="2136" w:type="dxa"/>
            <w:tcBorders>
              <w:top w:val="nil"/>
              <w:left w:val="nil"/>
              <w:bottom w:val="nil"/>
              <w:right w:val="nil"/>
            </w:tcBorders>
          </w:tcPr>
          <w:p w14:paraId="7B7272E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L8.De Facto CBI * Capital Account Openness</w:t>
            </w:r>
          </w:p>
        </w:tc>
        <w:tc>
          <w:tcPr>
            <w:tcW w:w="1656" w:type="dxa"/>
            <w:tcBorders>
              <w:top w:val="nil"/>
              <w:left w:val="nil"/>
              <w:bottom w:val="nil"/>
              <w:right w:val="nil"/>
            </w:tcBorders>
          </w:tcPr>
          <w:p w14:paraId="70B03BE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-0.271</w:t>
            </w:r>
          </w:p>
        </w:tc>
        <w:tc>
          <w:tcPr>
            <w:tcW w:w="1656" w:type="dxa"/>
            <w:tcBorders>
              <w:top w:val="nil"/>
              <w:left w:val="nil"/>
              <w:bottom w:val="nil"/>
              <w:right w:val="nil"/>
            </w:tcBorders>
          </w:tcPr>
          <w:p w14:paraId="33F7CBB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-0.195</w:t>
            </w:r>
          </w:p>
        </w:tc>
        <w:tc>
          <w:tcPr>
            <w:tcW w:w="1656" w:type="dxa"/>
            <w:tcBorders>
              <w:top w:val="nil"/>
              <w:left w:val="nil"/>
              <w:bottom w:val="nil"/>
              <w:right w:val="nil"/>
            </w:tcBorders>
          </w:tcPr>
          <w:p w14:paraId="444FE70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-0.0227</w:t>
            </w:r>
          </w:p>
        </w:tc>
        <w:tc>
          <w:tcPr>
            <w:tcW w:w="1656" w:type="dxa"/>
            <w:tcBorders>
              <w:top w:val="nil"/>
              <w:left w:val="nil"/>
              <w:bottom w:val="nil"/>
              <w:right w:val="nil"/>
            </w:tcBorders>
          </w:tcPr>
          <w:p w14:paraId="485DE6E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0.117</w:t>
            </w:r>
          </w:p>
        </w:tc>
        <w:tc>
          <w:tcPr>
            <w:tcW w:w="1656" w:type="dxa"/>
            <w:tcBorders>
              <w:top w:val="nil"/>
              <w:left w:val="nil"/>
              <w:bottom w:val="nil"/>
              <w:right w:val="nil"/>
            </w:tcBorders>
          </w:tcPr>
          <w:p w14:paraId="557122E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-0.0779</w:t>
            </w:r>
          </w:p>
        </w:tc>
      </w:tr>
      <w:tr w:rsidR="00013EB4" w:rsidRPr="00B92F9C" w14:paraId="2A52C8E1" w14:textId="77777777" w:rsidTr="00015B88">
        <w:tc>
          <w:tcPr>
            <w:tcW w:w="2136" w:type="dxa"/>
            <w:tcBorders>
              <w:top w:val="nil"/>
              <w:left w:val="nil"/>
              <w:bottom w:val="nil"/>
              <w:right w:val="nil"/>
            </w:tcBorders>
          </w:tcPr>
          <w:p w14:paraId="2FA1980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34C3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(-0.94)</w:t>
            </w:r>
          </w:p>
        </w:tc>
        <w:tc>
          <w:tcPr>
            <w:tcW w:w="1656" w:type="dxa"/>
            <w:tcBorders>
              <w:top w:val="nil"/>
              <w:left w:val="nil"/>
              <w:bottom w:val="nil"/>
              <w:right w:val="nil"/>
            </w:tcBorders>
          </w:tcPr>
          <w:p w14:paraId="479EDE5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(-0.97)</w:t>
            </w:r>
          </w:p>
        </w:tc>
        <w:tc>
          <w:tcPr>
            <w:tcW w:w="1656" w:type="dxa"/>
            <w:tcBorders>
              <w:top w:val="nil"/>
              <w:left w:val="nil"/>
              <w:bottom w:val="nil"/>
              <w:right w:val="nil"/>
            </w:tcBorders>
          </w:tcPr>
          <w:p w14:paraId="34C4E16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(-0.10)</w:t>
            </w:r>
          </w:p>
        </w:tc>
        <w:tc>
          <w:tcPr>
            <w:tcW w:w="1656" w:type="dxa"/>
            <w:tcBorders>
              <w:top w:val="nil"/>
              <w:left w:val="nil"/>
              <w:bottom w:val="nil"/>
              <w:right w:val="nil"/>
            </w:tcBorders>
          </w:tcPr>
          <w:p w14:paraId="0008544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(1.41)</w:t>
            </w:r>
          </w:p>
        </w:tc>
        <w:tc>
          <w:tcPr>
            <w:tcW w:w="1656" w:type="dxa"/>
            <w:tcBorders>
              <w:top w:val="nil"/>
              <w:left w:val="nil"/>
              <w:bottom w:val="nil"/>
              <w:right w:val="nil"/>
            </w:tcBorders>
          </w:tcPr>
          <w:p w14:paraId="5A953D0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(-0.82)</w:t>
            </w:r>
          </w:p>
        </w:tc>
      </w:tr>
      <w:tr w:rsidR="00013EB4" w:rsidRPr="00B92F9C" w14:paraId="72EDFA31" w14:textId="77777777" w:rsidTr="00015B88">
        <w:tc>
          <w:tcPr>
            <w:tcW w:w="2136" w:type="dxa"/>
            <w:tcBorders>
              <w:top w:val="nil"/>
              <w:left w:val="nil"/>
              <w:bottom w:val="nil"/>
              <w:right w:val="nil"/>
            </w:tcBorders>
          </w:tcPr>
          <w:p w14:paraId="44F11B9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BCE82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2391D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9DAA7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A138C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CD25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456A942B" w14:textId="77777777" w:rsidTr="00015B88">
        <w:tc>
          <w:tcPr>
            <w:tcW w:w="2136" w:type="dxa"/>
            <w:tcBorders>
              <w:top w:val="nil"/>
              <w:left w:val="nil"/>
              <w:bottom w:val="nil"/>
              <w:right w:val="nil"/>
            </w:tcBorders>
          </w:tcPr>
          <w:p w14:paraId="2EA4188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L9.De Facto CBI * Capital Account Openness</w:t>
            </w:r>
          </w:p>
        </w:tc>
        <w:tc>
          <w:tcPr>
            <w:tcW w:w="1656" w:type="dxa"/>
            <w:tcBorders>
              <w:top w:val="nil"/>
              <w:left w:val="nil"/>
              <w:bottom w:val="nil"/>
              <w:right w:val="nil"/>
            </w:tcBorders>
          </w:tcPr>
          <w:p w14:paraId="684E785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0.123</w:t>
            </w:r>
          </w:p>
        </w:tc>
        <w:tc>
          <w:tcPr>
            <w:tcW w:w="1656" w:type="dxa"/>
            <w:tcBorders>
              <w:top w:val="nil"/>
              <w:left w:val="nil"/>
              <w:bottom w:val="nil"/>
              <w:right w:val="nil"/>
            </w:tcBorders>
          </w:tcPr>
          <w:p w14:paraId="256AA3E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-0.324</w:t>
            </w:r>
          </w:p>
        </w:tc>
        <w:tc>
          <w:tcPr>
            <w:tcW w:w="1656" w:type="dxa"/>
            <w:tcBorders>
              <w:top w:val="nil"/>
              <w:left w:val="nil"/>
              <w:bottom w:val="nil"/>
              <w:right w:val="nil"/>
            </w:tcBorders>
          </w:tcPr>
          <w:p w14:paraId="071DAA2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0.250</w:t>
            </w:r>
          </w:p>
        </w:tc>
        <w:tc>
          <w:tcPr>
            <w:tcW w:w="1656" w:type="dxa"/>
            <w:tcBorders>
              <w:top w:val="nil"/>
              <w:left w:val="nil"/>
              <w:bottom w:val="nil"/>
              <w:right w:val="nil"/>
            </w:tcBorders>
          </w:tcPr>
          <w:p w14:paraId="18159BF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-0.0107</w:t>
            </w:r>
          </w:p>
        </w:tc>
        <w:tc>
          <w:tcPr>
            <w:tcW w:w="1656" w:type="dxa"/>
            <w:tcBorders>
              <w:top w:val="nil"/>
              <w:left w:val="nil"/>
              <w:bottom w:val="nil"/>
              <w:right w:val="nil"/>
            </w:tcBorders>
          </w:tcPr>
          <w:p w14:paraId="100C5D7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0.000481</w:t>
            </w:r>
          </w:p>
        </w:tc>
      </w:tr>
      <w:tr w:rsidR="00013EB4" w:rsidRPr="00B92F9C" w14:paraId="49225B58" w14:textId="77777777" w:rsidTr="00015B88">
        <w:tc>
          <w:tcPr>
            <w:tcW w:w="2136" w:type="dxa"/>
            <w:tcBorders>
              <w:top w:val="nil"/>
              <w:left w:val="nil"/>
              <w:bottom w:val="nil"/>
              <w:right w:val="nil"/>
            </w:tcBorders>
          </w:tcPr>
          <w:p w14:paraId="24C30BB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A53A0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(0.46)</w:t>
            </w:r>
          </w:p>
        </w:tc>
        <w:tc>
          <w:tcPr>
            <w:tcW w:w="1656" w:type="dxa"/>
            <w:tcBorders>
              <w:top w:val="nil"/>
              <w:left w:val="nil"/>
              <w:bottom w:val="nil"/>
              <w:right w:val="nil"/>
            </w:tcBorders>
          </w:tcPr>
          <w:p w14:paraId="02AF1FF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(-1.68)</w:t>
            </w:r>
          </w:p>
        </w:tc>
        <w:tc>
          <w:tcPr>
            <w:tcW w:w="1656" w:type="dxa"/>
            <w:tcBorders>
              <w:top w:val="nil"/>
              <w:left w:val="nil"/>
              <w:bottom w:val="nil"/>
              <w:right w:val="nil"/>
            </w:tcBorders>
          </w:tcPr>
          <w:p w14:paraId="136B0EC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(1.02)</w:t>
            </w:r>
          </w:p>
        </w:tc>
        <w:tc>
          <w:tcPr>
            <w:tcW w:w="1656" w:type="dxa"/>
            <w:tcBorders>
              <w:top w:val="nil"/>
              <w:left w:val="nil"/>
              <w:bottom w:val="nil"/>
              <w:right w:val="nil"/>
            </w:tcBorders>
          </w:tcPr>
          <w:p w14:paraId="0D22579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(-0.17)</w:t>
            </w:r>
          </w:p>
        </w:tc>
        <w:tc>
          <w:tcPr>
            <w:tcW w:w="1656" w:type="dxa"/>
            <w:tcBorders>
              <w:top w:val="nil"/>
              <w:left w:val="nil"/>
              <w:bottom w:val="nil"/>
              <w:right w:val="nil"/>
            </w:tcBorders>
          </w:tcPr>
          <w:p w14:paraId="7986F2E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w:t>
            </w:r>
          </w:p>
        </w:tc>
      </w:tr>
      <w:tr w:rsidR="00013EB4" w:rsidRPr="00B92F9C" w14:paraId="4044E7B0" w14:textId="77777777" w:rsidTr="00015B88">
        <w:tc>
          <w:tcPr>
            <w:tcW w:w="2136" w:type="dxa"/>
            <w:tcBorders>
              <w:top w:val="nil"/>
              <w:left w:val="nil"/>
              <w:bottom w:val="nil"/>
              <w:right w:val="nil"/>
            </w:tcBorders>
          </w:tcPr>
          <w:p w14:paraId="4617128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2E19B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E1B9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51EA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C70D9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0666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25AD3986" w14:textId="77777777" w:rsidTr="00015B88">
        <w:tc>
          <w:tcPr>
            <w:tcW w:w="2136" w:type="dxa"/>
            <w:tcBorders>
              <w:top w:val="nil"/>
              <w:left w:val="nil"/>
              <w:bottom w:val="nil"/>
              <w:right w:val="nil"/>
            </w:tcBorders>
          </w:tcPr>
          <w:p w14:paraId="2E79313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L10.De Facto CBI * Capital Account Openness</w:t>
            </w:r>
          </w:p>
        </w:tc>
        <w:tc>
          <w:tcPr>
            <w:tcW w:w="1656" w:type="dxa"/>
            <w:tcBorders>
              <w:top w:val="nil"/>
              <w:left w:val="nil"/>
              <w:bottom w:val="nil"/>
              <w:right w:val="nil"/>
            </w:tcBorders>
          </w:tcPr>
          <w:p w14:paraId="7A61E27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-0.358</w:t>
            </w:r>
          </w:p>
        </w:tc>
        <w:tc>
          <w:tcPr>
            <w:tcW w:w="1656" w:type="dxa"/>
            <w:tcBorders>
              <w:top w:val="nil"/>
              <w:left w:val="nil"/>
              <w:bottom w:val="nil"/>
              <w:right w:val="nil"/>
            </w:tcBorders>
          </w:tcPr>
          <w:p w14:paraId="183B01F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-0.324</w:t>
            </w:r>
          </w:p>
        </w:tc>
        <w:tc>
          <w:tcPr>
            <w:tcW w:w="1656" w:type="dxa"/>
            <w:tcBorders>
              <w:top w:val="nil"/>
              <w:left w:val="nil"/>
              <w:bottom w:val="nil"/>
              <w:right w:val="nil"/>
            </w:tcBorders>
          </w:tcPr>
          <w:p w14:paraId="2AC76D3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0.111</w:t>
            </w:r>
          </w:p>
        </w:tc>
        <w:tc>
          <w:tcPr>
            <w:tcW w:w="1656" w:type="dxa"/>
            <w:tcBorders>
              <w:top w:val="nil"/>
              <w:left w:val="nil"/>
              <w:bottom w:val="nil"/>
              <w:right w:val="nil"/>
            </w:tcBorders>
          </w:tcPr>
          <w:p w14:paraId="3FB5ED4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0.115</w:t>
            </w:r>
          </w:p>
        </w:tc>
        <w:tc>
          <w:tcPr>
            <w:tcW w:w="1656" w:type="dxa"/>
            <w:tcBorders>
              <w:top w:val="nil"/>
              <w:left w:val="nil"/>
              <w:bottom w:val="nil"/>
              <w:right w:val="nil"/>
            </w:tcBorders>
          </w:tcPr>
          <w:p w14:paraId="415CF19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-0.0549</w:t>
            </w:r>
          </w:p>
        </w:tc>
      </w:tr>
      <w:tr w:rsidR="00013EB4" w:rsidRPr="00B92F9C" w14:paraId="278DAA1C" w14:textId="77777777" w:rsidTr="00015B88">
        <w:tc>
          <w:tcPr>
            <w:tcW w:w="2136" w:type="dxa"/>
            <w:tcBorders>
              <w:top w:val="nil"/>
              <w:left w:val="nil"/>
              <w:bottom w:val="nil"/>
              <w:right w:val="nil"/>
            </w:tcBorders>
          </w:tcPr>
          <w:p w14:paraId="0184935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1512E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(-1.49)</w:t>
            </w:r>
          </w:p>
        </w:tc>
        <w:tc>
          <w:tcPr>
            <w:tcW w:w="1656" w:type="dxa"/>
            <w:tcBorders>
              <w:top w:val="nil"/>
              <w:left w:val="nil"/>
              <w:bottom w:val="nil"/>
              <w:right w:val="nil"/>
            </w:tcBorders>
          </w:tcPr>
          <w:p w14:paraId="0183C8E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(-1.36)</w:t>
            </w:r>
          </w:p>
        </w:tc>
        <w:tc>
          <w:tcPr>
            <w:tcW w:w="1656" w:type="dxa"/>
            <w:tcBorders>
              <w:top w:val="nil"/>
              <w:left w:val="nil"/>
              <w:bottom w:val="nil"/>
              <w:right w:val="nil"/>
            </w:tcBorders>
          </w:tcPr>
          <w:p w14:paraId="37BFB4D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(0.43)</w:t>
            </w:r>
          </w:p>
        </w:tc>
        <w:tc>
          <w:tcPr>
            <w:tcW w:w="1656" w:type="dxa"/>
            <w:tcBorders>
              <w:top w:val="nil"/>
              <w:left w:val="nil"/>
              <w:bottom w:val="nil"/>
              <w:right w:val="nil"/>
            </w:tcBorders>
          </w:tcPr>
          <w:p w14:paraId="508A65C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(1.73)</w:t>
            </w:r>
          </w:p>
        </w:tc>
        <w:tc>
          <w:tcPr>
            <w:tcW w:w="1656" w:type="dxa"/>
            <w:tcBorders>
              <w:top w:val="nil"/>
              <w:left w:val="nil"/>
              <w:bottom w:val="nil"/>
              <w:right w:val="nil"/>
            </w:tcBorders>
          </w:tcPr>
          <w:p w14:paraId="686FE41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(-0.60)</w:t>
            </w:r>
          </w:p>
        </w:tc>
      </w:tr>
      <w:tr w:rsidR="00013EB4" w:rsidRPr="00B92F9C" w14:paraId="72EFEFEB" w14:textId="77777777" w:rsidTr="00015B88">
        <w:tc>
          <w:tcPr>
            <w:tcW w:w="2136" w:type="dxa"/>
            <w:tcBorders>
              <w:top w:val="nil"/>
              <w:left w:val="nil"/>
              <w:bottom w:val="nil"/>
              <w:right w:val="nil"/>
            </w:tcBorders>
          </w:tcPr>
          <w:p w14:paraId="00C3BBA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2DA7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832D0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2E38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F42D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38CD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10D128C8" w14:textId="77777777" w:rsidTr="00015B88">
        <w:tc>
          <w:tcPr>
            <w:tcW w:w="2136" w:type="dxa"/>
            <w:tcBorders>
              <w:top w:val="nil"/>
              <w:left w:val="nil"/>
              <w:bottom w:val="nil"/>
              <w:right w:val="nil"/>
            </w:tcBorders>
          </w:tcPr>
          <w:p w14:paraId="79D4115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B92F9C">
              <w:rPr>
                <w:rFonts w:ascii="Times New Roman" w:hAnsi="Times New Roman" w:cs="Times New Roman"/>
                <w:sz w:val="16"/>
                <w:szCs w:val="16"/>
              </w:rPr>
              <w:t>L.More</w:t>
            </w:r>
            <w:proofErr w:type="spellEnd"/>
            <w:r w:rsidRPr="00B92F9C">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57A92F8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0.0310</w:t>
            </w:r>
          </w:p>
        </w:tc>
        <w:tc>
          <w:tcPr>
            <w:tcW w:w="1656" w:type="dxa"/>
            <w:tcBorders>
              <w:top w:val="nil"/>
              <w:left w:val="nil"/>
              <w:bottom w:val="nil"/>
              <w:right w:val="nil"/>
            </w:tcBorders>
          </w:tcPr>
          <w:p w14:paraId="10907B6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-0.0424</w:t>
            </w:r>
          </w:p>
        </w:tc>
        <w:tc>
          <w:tcPr>
            <w:tcW w:w="1656" w:type="dxa"/>
            <w:tcBorders>
              <w:top w:val="nil"/>
              <w:left w:val="nil"/>
              <w:bottom w:val="nil"/>
              <w:right w:val="nil"/>
            </w:tcBorders>
          </w:tcPr>
          <w:p w14:paraId="11DAC47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0.0492</w:t>
            </w:r>
          </w:p>
        </w:tc>
        <w:tc>
          <w:tcPr>
            <w:tcW w:w="1656" w:type="dxa"/>
            <w:tcBorders>
              <w:top w:val="nil"/>
              <w:left w:val="nil"/>
              <w:bottom w:val="nil"/>
              <w:right w:val="nil"/>
            </w:tcBorders>
          </w:tcPr>
          <w:p w14:paraId="10B0870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0.0161</w:t>
            </w:r>
          </w:p>
        </w:tc>
        <w:tc>
          <w:tcPr>
            <w:tcW w:w="1656" w:type="dxa"/>
            <w:tcBorders>
              <w:top w:val="nil"/>
              <w:left w:val="nil"/>
              <w:bottom w:val="nil"/>
              <w:right w:val="nil"/>
            </w:tcBorders>
          </w:tcPr>
          <w:p w14:paraId="5F38603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0.00845</w:t>
            </w:r>
          </w:p>
        </w:tc>
      </w:tr>
      <w:tr w:rsidR="00013EB4" w:rsidRPr="00B92F9C" w14:paraId="4EB084BD" w14:textId="77777777" w:rsidTr="00015B88">
        <w:tc>
          <w:tcPr>
            <w:tcW w:w="2136" w:type="dxa"/>
            <w:tcBorders>
              <w:top w:val="nil"/>
              <w:left w:val="nil"/>
              <w:bottom w:val="nil"/>
              <w:right w:val="nil"/>
            </w:tcBorders>
          </w:tcPr>
          <w:p w14:paraId="4316369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39A9C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(0.43)</w:t>
            </w:r>
          </w:p>
        </w:tc>
        <w:tc>
          <w:tcPr>
            <w:tcW w:w="1656" w:type="dxa"/>
            <w:tcBorders>
              <w:top w:val="nil"/>
              <w:left w:val="nil"/>
              <w:bottom w:val="nil"/>
              <w:right w:val="nil"/>
            </w:tcBorders>
          </w:tcPr>
          <w:p w14:paraId="2D323BF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(-0.72)</w:t>
            </w:r>
          </w:p>
        </w:tc>
        <w:tc>
          <w:tcPr>
            <w:tcW w:w="1656" w:type="dxa"/>
            <w:tcBorders>
              <w:top w:val="nil"/>
              <w:left w:val="nil"/>
              <w:bottom w:val="nil"/>
              <w:right w:val="nil"/>
            </w:tcBorders>
          </w:tcPr>
          <w:p w14:paraId="7B3326F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(0.85)</w:t>
            </w:r>
          </w:p>
        </w:tc>
        <w:tc>
          <w:tcPr>
            <w:tcW w:w="1656" w:type="dxa"/>
            <w:tcBorders>
              <w:top w:val="nil"/>
              <w:left w:val="nil"/>
              <w:bottom w:val="nil"/>
              <w:right w:val="nil"/>
            </w:tcBorders>
          </w:tcPr>
          <w:p w14:paraId="746A4FA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(1.03)</w:t>
            </w:r>
          </w:p>
        </w:tc>
        <w:tc>
          <w:tcPr>
            <w:tcW w:w="1656" w:type="dxa"/>
            <w:tcBorders>
              <w:top w:val="nil"/>
              <w:left w:val="nil"/>
              <w:bottom w:val="nil"/>
              <w:right w:val="nil"/>
            </w:tcBorders>
          </w:tcPr>
          <w:p w14:paraId="2D7DD06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(0.74)</w:t>
            </w:r>
          </w:p>
        </w:tc>
      </w:tr>
      <w:tr w:rsidR="00013EB4" w:rsidRPr="00B92F9C" w14:paraId="576B6C8F" w14:textId="77777777" w:rsidTr="00015B88">
        <w:tc>
          <w:tcPr>
            <w:tcW w:w="2136" w:type="dxa"/>
            <w:tcBorders>
              <w:top w:val="nil"/>
              <w:left w:val="nil"/>
              <w:bottom w:val="nil"/>
              <w:right w:val="nil"/>
            </w:tcBorders>
          </w:tcPr>
          <w:p w14:paraId="64E11C8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10470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1A52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A435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6C0A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79317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5B826EF6" w14:textId="77777777" w:rsidTr="00015B88">
        <w:tc>
          <w:tcPr>
            <w:tcW w:w="2136" w:type="dxa"/>
            <w:tcBorders>
              <w:top w:val="nil"/>
              <w:left w:val="nil"/>
              <w:bottom w:val="nil"/>
              <w:right w:val="nil"/>
            </w:tcBorders>
          </w:tcPr>
          <w:p w14:paraId="4F30967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 xml:space="preserve">L2.More Fixed Rate * </w:t>
            </w:r>
            <w:r w:rsidRPr="00B92F9C">
              <w:rPr>
                <w:rFonts w:ascii="Times New Roman" w:hAnsi="Times New Roman" w:cs="Times New Roman"/>
                <w:sz w:val="16"/>
                <w:szCs w:val="16"/>
              </w:rPr>
              <w:lastRenderedPageBreak/>
              <w:t>Capital Account Openness</w:t>
            </w:r>
          </w:p>
        </w:tc>
        <w:tc>
          <w:tcPr>
            <w:tcW w:w="1656" w:type="dxa"/>
            <w:tcBorders>
              <w:top w:val="nil"/>
              <w:left w:val="nil"/>
              <w:bottom w:val="nil"/>
              <w:right w:val="nil"/>
            </w:tcBorders>
          </w:tcPr>
          <w:p w14:paraId="1609DDD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lastRenderedPageBreak/>
              <w:t>0.0671</w:t>
            </w:r>
          </w:p>
        </w:tc>
        <w:tc>
          <w:tcPr>
            <w:tcW w:w="1656" w:type="dxa"/>
            <w:tcBorders>
              <w:top w:val="nil"/>
              <w:left w:val="nil"/>
              <w:bottom w:val="nil"/>
              <w:right w:val="nil"/>
            </w:tcBorders>
          </w:tcPr>
          <w:p w14:paraId="138FCC2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0.0420</w:t>
            </w:r>
          </w:p>
        </w:tc>
        <w:tc>
          <w:tcPr>
            <w:tcW w:w="1656" w:type="dxa"/>
            <w:tcBorders>
              <w:top w:val="nil"/>
              <w:left w:val="nil"/>
              <w:bottom w:val="nil"/>
              <w:right w:val="nil"/>
            </w:tcBorders>
          </w:tcPr>
          <w:p w14:paraId="0E96FE1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0.0651</w:t>
            </w:r>
          </w:p>
        </w:tc>
        <w:tc>
          <w:tcPr>
            <w:tcW w:w="1656" w:type="dxa"/>
            <w:tcBorders>
              <w:top w:val="nil"/>
              <w:left w:val="nil"/>
              <w:bottom w:val="nil"/>
              <w:right w:val="nil"/>
            </w:tcBorders>
          </w:tcPr>
          <w:p w14:paraId="519E3B4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-0.0197</w:t>
            </w:r>
          </w:p>
        </w:tc>
        <w:tc>
          <w:tcPr>
            <w:tcW w:w="1656" w:type="dxa"/>
            <w:tcBorders>
              <w:top w:val="nil"/>
              <w:left w:val="nil"/>
              <w:bottom w:val="nil"/>
              <w:right w:val="nil"/>
            </w:tcBorders>
          </w:tcPr>
          <w:p w14:paraId="3E54EFD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0.0352</w:t>
            </w:r>
            <w:r w:rsidRPr="00B92F9C">
              <w:rPr>
                <w:rFonts w:ascii="Times New Roman" w:hAnsi="Times New Roman" w:cs="Times New Roman"/>
                <w:sz w:val="16"/>
                <w:szCs w:val="16"/>
                <w:vertAlign w:val="superscript"/>
              </w:rPr>
              <w:t>*</w:t>
            </w:r>
          </w:p>
        </w:tc>
      </w:tr>
      <w:tr w:rsidR="00013EB4" w:rsidRPr="00B92F9C" w14:paraId="4308DFB0" w14:textId="77777777" w:rsidTr="00015B88">
        <w:tc>
          <w:tcPr>
            <w:tcW w:w="2136" w:type="dxa"/>
            <w:tcBorders>
              <w:top w:val="nil"/>
              <w:left w:val="nil"/>
              <w:bottom w:val="nil"/>
              <w:right w:val="nil"/>
            </w:tcBorders>
          </w:tcPr>
          <w:p w14:paraId="35E7BB5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0BE37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(0.81)</w:t>
            </w:r>
          </w:p>
        </w:tc>
        <w:tc>
          <w:tcPr>
            <w:tcW w:w="1656" w:type="dxa"/>
            <w:tcBorders>
              <w:top w:val="nil"/>
              <w:left w:val="nil"/>
              <w:bottom w:val="nil"/>
              <w:right w:val="nil"/>
            </w:tcBorders>
          </w:tcPr>
          <w:p w14:paraId="6122D9D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(0.64)</w:t>
            </w:r>
          </w:p>
        </w:tc>
        <w:tc>
          <w:tcPr>
            <w:tcW w:w="1656" w:type="dxa"/>
            <w:tcBorders>
              <w:top w:val="nil"/>
              <w:left w:val="nil"/>
              <w:bottom w:val="nil"/>
              <w:right w:val="nil"/>
            </w:tcBorders>
          </w:tcPr>
          <w:p w14:paraId="110B3BF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(1.10)</w:t>
            </w:r>
          </w:p>
        </w:tc>
        <w:tc>
          <w:tcPr>
            <w:tcW w:w="1656" w:type="dxa"/>
            <w:tcBorders>
              <w:top w:val="nil"/>
              <w:left w:val="nil"/>
              <w:bottom w:val="nil"/>
              <w:right w:val="nil"/>
            </w:tcBorders>
          </w:tcPr>
          <w:p w14:paraId="77080AB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(-1.34)</w:t>
            </w:r>
          </w:p>
        </w:tc>
        <w:tc>
          <w:tcPr>
            <w:tcW w:w="1656" w:type="dxa"/>
            <w:tcBorders>
              <w:top w:val="nil"/>
              <w:left w:val="nil"/>
              <w:bottom w:val="nil"/>
              <w:right w:val="nil"/>
            </w:tcBorders>
          </w:tcPr>
          <w:p w14:paraId="0A8FA06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(2.48)</w:t>
            </w:r>
          </w:p>
        </w:tc>
      </w:tr>
      <w:tr w:rsidR="00013EB4" w:rsidRPr="00B92F9C" w14:paraId="1FC4FF01" w14:textId="77777777" w:rsidTr="00015B88">
        <w:tc>
          <w:tcPr>
            <w:tcW w:w="2136" w:type="dxa"/>
            <w:tcBorders>
              <w:top w:val="nil"/>
              <w:left w:val="nil"/>
              <w:bottom w:val="nil"/>
              <w:right w:val="nil"/>
            </w:tcBorders>
          </w:tcPr>
          <w:p w14:paraId="467A481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2C7C6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EA59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14321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D306E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BBD41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35F16563" w14:textId="77777777" w:rsidTr="00015B88">
        <w:tc>
          <w:tcPr>
            <w:tcW w:w="2136" w:type="dxa"/>
            <w:tcBorders>
              <w:top w:val="nil"/>
              <w:left w:val="nil"/>
              <w:bottom w:val="nil"/>
              <w:right w:val="nil"/>
            </w:tcBorders>
          </w:tcPr>
          <w:p w14:paraId="6377921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L3.More Fixed Rate * Capital Account Openness</w:t>
            </w:r>
          </w:p>
        </w:tc>
        <w:tc>
          <w:tcPr>
            <w:tcW w:w="1656" w:type="dxa"/>
            <w:tcBorders>
              <w:top w:val="nil"/>
              <w:left w:val="nil"/>
              <w:bottom w:val="nil"/>
              <w:right w:val="nil"/>
            </w:tcBorders>
          </w:tcPr>
          <w:p w14:paraId="7D2D710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-0.0687</w:t>
            </w:r>
          </w:p>
        </w:tc>
        <w:tc>
          <w:tcPr>
            <w:tcW w:w="1656" w:type="dxa"/>
            <w:tcBorders>
              <w:top w:val="nil"/>
              <w:left w:val="nil"/>
              <w:bottom w:val="nil"/>
              <w:right w:val="nil"/>
            </w:tcBorders>
          </w:tcPr>
          <w:p w14:paraId="5356C5A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0.00190</w:t>
            </w:r>
          </w:p>
        </w:tc>
        <w:tc>
          <w:tcPr>
            <w:tcW w:w="1656" w:type="dxa"/>
            <w:tcBorders>
              <w:top w:val="nil"/>
              <w:left w:val="nil"/>
              <w:bottom w:val="nil"/>
              <w:right w:val="nil"/>
            </w:tcBorders>
          </w:tcPr>
          <w:p w14:paraId="42E89D7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-0.0173</w:t>
            </w:r>
          </w:p>
        </w:tc>
        <w:tc>
          <w:tcPr>
            <w:tcW w:w="1656" w:type="dxa"/>
            <w:tcBorders>
              <w:top w:val="nil"/>
              <w:left w:val="nil"/>
              <w:bottom w:val="nil"/>
              <w:right w:val="nil"/>
            </w:tcBorders>
          </w:tcPr>
          <w:p w14:paraId="70ED87E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0.0337</w:t>
            </w:r>
            <w:r w:rsidRPr="00B92F9C">
              <w:rPr>
                <w:rFonts w:ascii="Times New Roman" w:hAnsi="Times New Roman" w:cs="Times New Roman"/>
                <w:sz w:val="16"/>
                <w:szCs w:val="16"/>
                <w:vertAlign w:val="superscript"/>
              </w:rPr>
              <w:t>*</w:t>
            </w:r>
          </w:p>
        </w:tc>
        <w:tc>
          <w:tcPr>
            <w:tcW w:w="1656" w:type="dxa"/>
            <w:tcBorders>
              <w:top w:val="nil"/>
              <w:left w:val="nil"/>
              <w:bottom w:val="nil"/>
              <w:right w:val="nil"/>
            </w:tcBorders>
          </w:tcPr>
          <w:p w14:paraId="63830F5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0.00652</w:t>
            </w:r>
          </w:p>
        </w:tc>
      </w:tr>
      <w:tr w:rsidR="00013EB4" w:rsidRPr="00B92F9C" w14:paraId="29BEFCB3" w14:textId="77777777" w:rsidTr="00015B88">
        <w:tc>
          <w:tcPr>
            <w:tcW w:w="2136" w:type="dxa"/>
            <w:tcBorders>
              <w:top w:val="nil"/>
              <w:left w:val="nil"/>
              <w:bottom w:val="nil"/>
              <w:right w:val="nil"/>
            </w:tcBorders>
          </w:tcPr>
          <w:p w14:paraId="08CB517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004B0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(-0.90)</w:t>
            </w:r>
          </w:p>
        </w:tc>
        <w:tc>
          <w:tcPr>
            <w:tcW w:w="1656" w:type="dxa"/>
            <w:tcBorders>
              <w:top w:val="nil"/>
              <w:left w:val="nil"/>
              <w:bottom w:val="nil"/>
              <w:right w:val="nil"/>
            </w:tcBorders>
          </w:tcPr>
          <w:p w14:paraId="554AD90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(0.03)</w:t>
            </w:r>
          </w:p>
        </w:tc>
        <w:tc>
          <w:tcPr>
            <w:tcW w:w="1656" w:type="dxa"/>
            <w:tcBorders>
              <w:top w:val="nil"/>
              <w:left w:val="nil"/>
              <w:bottom w:val="nil"/>
              <w:right w:val="nil"/>
            </w:tcBorders>
          </w:tcPr>
          <w:p w14:paraId="3374D60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(-0.31)</w:t>
            </w:r>
          </w:p>
        </w:tc>
        <w:tc>
          <w:tcPr>
            <w:tcW w:w="1656" w:type="dxa"/>
            <w:tcBorders>
              <w:top w:val="nil"/>
              <w:left w:val="nil"/>
              <w:bottom w:val="nil"/>
              <w:right w:val="nil"/>
            </w:tcBorders>
          </w:tcPr>
          <w:p w14:paraId="2444C23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(2.27)</w:t>
            </w:r>
          </w:p>
        </w:tc>
        <w:tc>
          <w:tcPr>
            <w:tcW w:w="1656" w:type="dxa"/>
            <w:tcBorders>
              <w:top w:val="nil"/>
              <w:left w:val="nil"/>
              <w:bottom w:val="nil"/>
              <w:right w:val="nil"/>
            </w:tcBorders>
          </w:tcPr>
          <w:p w14:paraId="7CDC47E4"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(0.60)</w:t>
            </w:r>
          </w:p>
        </w:tc>
      </w:tr>
      <w:tr w:rsidR="00013EB4" w:rsidRPr="00B92F9C" w14:paraId="18F9F239" w14:textId="77777777" w:rsidTr="00015B88">
        <w:tc>
          <w:tcPr>
            <w:tcW w:w="2136" w:type="dxa"/>
            <w:tcBorders>
              <w:top w:val="nil"/>
              <w:left w:val="nil"/>
              <w:bottom w:val="nil"/>
              <w:right w:val="nil"/>
            </w:tcBorders>
          </w:tcPr>
          <w:p w14:paraId="1EF1371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DA716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3E2BC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23431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0DD1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BE5CC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39EADB1B" w14:textId="77777777" w:rsidTr="00015B88">
        <w:tc>
          <w:tcPr>
            <w:tcW w:w="2136" w:type="dxa"/>
            <w:tcBorders>
              <w:top w:val="nil"/>
              <w:left w:val="nil"/>
              <w:bottom w:val="nil"/>
              <w:right w:val="nil"/>
            </w:tcBorders>
          </w:tcPr>
          <w:p w14:paraId="47CE237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L4.More Fixed Rate * Capital Account Openness</w:t>
            </w:r>
          </w:p>
        </w:tc>
        <w:tc>
          <w:tcPr>
            <w:tcW w:w="1656" w:type="dxa"/>
            <w:tcBorders>
              <w:top w:val="nil"/>
              <w:left w:val="nil"/>
              <w:bottom w:val="nil"/>
              <w:right w:val="nil"/>
            </w:tcBorders>
          </w:tcPr>
          <w:p w14:paraId="4A334CE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-0.0268</w:t>
            </w:r>
          </w:p>
        </w:tc>
        <w:tc>
          <w:tcPr>
            <w:tcW w:w="1656" w:type="dxa"/>
            <w:tcBorders>
              <w:top w:val="nil"/>
              <w:left w:val="nil"/>
              <w:bottom w:val="nil"/>
              <w:right w:val="nil"/>
            </w:tcBorders>
          </w:tcPr>
          <w:p w14:paraId="2D19BDA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0.0260</w:t>
            </w:r>
          </w:p>
        </w:tc>
        <w:tc>
          <w:tcPr>
            <w:tcW w:w="1656" w:type="dxa"/>
            <w:tcBorders>
              <w:top w:val="nil"/>
              <w:left w:val="nil"/>
              <w:bottom w:val="nil"/>
              <w:right w:val="nil"/>
            </w:tcBorders>
          </w:tcPr>
          <w:p w14:paraId="4F8DFFB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-0.00342</w:t>
            </w:r>
          </w:p>
        </w:tc>
        <w:tc>
          <w:tcPr>
            <w:tcW w:w="1656" w:type="dxa"/>
            <w:tcBorders>
              <w:top w:val="nil"/>
              <w:left w:val="nil"/>
              <w:bottom w:val="nil"/>
              <w:right w:val="nil"/>
            </w:tcBorders>
          </w:tcPr>
          <w:p w14:paraId="159905D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-0.00951</w:t>
            </w:r>
          </w:p>
        </w:tc>
        <w:tc>
          <w:tcPr>
            <w:tcW w:w="1656" w:type="dxa"/>
            <w:tcBorders>
              <w:top w:val="nil"/>
              <w:left w:val="nil"/>
              <w:bottom w:val="nil"/>
              <w:right w:val="nil"/>
            </w:tcBorders>
          </w:tcPr>
          <w:p w14:paraId="2A81356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-0.000891</w:t>
            </w:r>
          </w:p>
        </w:tc>
      </w:tr>
      <w:tr w:rsidR="00013EB4" w:rsidRPr="00B92F9C" w14:paraId="016DE91A" w14:textId="77777777" w:rsidTr="00015B88">
        <w:tc>
          <w:tcPr>
            <w:tcW w:w="2136" w:type="dxa"/>
            <w:tcBorders>
              <w:top w:val="nil"/>
              <w:left w:val="nil"/>
              <w:bottom w:val="nil"/>
              <w:right w:val="nil"/>
            </w:tcBorders>
          </w:tcPr>
          <w:p w14:paraId="01E46C1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1424B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(-0.41)</w:t>
            </w:r>
          </w:p>
        </w:tc>
        <w:tc>
          <w:tcPr>
            <w:tcW w:w="1656" w:type="dxa"/>
            <w:tcBorders>
              <w:top w:val="nil"/>
              <w:left w:val="nil"/>
              <w:bottom w:val="nil"/>
              <w:right w:val="nil"/>
            </w:tcBorders>
          </w:tcPr>
          <w:p w14:paraId="26D189A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(0.53)</w:t>
            </w:r>
          </w:p>
        </w:tc>
        <w:tc>
          <w:tcPr>
            <w:tcW w:w="1656" w:type="dxa"/>
            <w:tcBorders>
              <w:top w:val="nil"/>
              <w:left w:val="nil"/>
              <w:bottom w:val="nil"/>
              <w:right w:val="nil"/>
            </w:tcBorders>
          </w:tcPr>
          <w:p w14:paraId="4F9B92B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(-0.05)</w:t>
            </w:r>
          </w:p>
        </w:tc>
        <w:tc>
          <w:tcPr>
            <w:tcW w:w="1656" w:type="dxa"/>
            <w:tcBorders>
              <w:top w:val="nil"/>
              <w:left w:val="nil"/>
              <w:bottom w:val="nil"/>
              <w:right w:val="nil"/>
            </w:tcBorders>
          </w:tcPr>
          <w:p w14:paraId="1E58E47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(-0.82)</w:t>
            </w:r>
          </w:p>
        </w:tc>
        <w:tc>
          <w:tcPr>
            <w:tcW w:w="1656" w:type="dxa"/>
            <w:tcBorders>
              <w:top w:val="nil"/>
              <w:left w:val="nil"/>
              <w:bottom w:val="nil"/>
              <w:right w:val="nil"/>
            </w:tcBorders>
          </w:tcPr>
          <w:p w14:paraId="53410BC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(-0.09)</w:t>
            </w:r>
          </w:p>
        </w:tc>
      </w:tr>
      <w:tr w:rsidR="00013EB4" w:rsidRPr="00B92F9C" w14:paraId="099A9F9B" w14:textId="77777777" w:rsidTr="00015B88">
        <w:tc>
          <w:tcPr>
            <w:tcW w:w="2136" w:type="dxa"/>
            <w:tcBorders>
              <w:top w:val="nil"/>
              <w:left w:val="nil"/>
              <w:bottom w:val="nil"/>
              <w:right w:val="nil"/>
            </w:tcBorders>
          </w:tcPr>
          <w:p w14:paraId="70943E1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E182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91467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4A1DB3"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62494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A1D5F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1C321CCE" w14:textId="77777777" w:rsidTr="00015B88">
        <w:tc>
          <w:tcPr>
            <w:tcW w:w="2136" w:type="dxa"/>
            <w:tcBorders>
              <w:top w:val="nil"/>
              <w:left w:val="nil"/>
              <w:bottom w:val="nil"/>
              <w:right w:val="nil"/>
            </w:tcBorders>
          </w:tcPr>
          <w:p w14:paraId="0BE9B13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L5.More Fixed Rate * Capital Account Openness</w:t>
            </w:r>
          </w:p>
        </w:tc>
        <w:tc>
          <w:tcPr>
            <w:tcW w:w="1656" w:type="dxa"/>
            <w:tcBorders>
              <w:top w:val="nil"/>
              <w:left w:val="nil"/>
              <w:bottom w:val="nil"/>
              <w:right w:val="nil"/>
            </w:tcBorders>
          </w:tcPr>
          <w:p w14:paraId="1F411FE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-0.0639</w:t>
            </w:r>
          </w:p>
        </w:tc>
        <w:tc>
          <w:tcPr>
            <w:tcW w:w="1656" w:type="dxa"/>
            <w:tcBorders>
              <w:top w:val="nil"/>
              <w:left w:val="nil"/>
              <w:bottom w:val="nil"/>
              <w:right w:val="nil"/>
            </w:tcBorders>
          </w:tcPr>
          <w:p w14:paraId="20723B0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0.00459</w:t>
            </w:r>
          </w:p>
        </w:tc>
        <w:tc>
          <w:tcPr>
            <w:tcW w:w="1656" w:type="dxa"/>
            <w:tcBorders>
              <w:top w:val="nil"/>
              <w:left w:val="nil"/>
              <w:bottom w:val="nil"/>
              <w:right w:val="nil"/>
            </w:tcBorders>
          </w:tcPr>
          <w:p w14:paraId="594F98B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-0.0805</w:t>
            </w:r>
          </w:p>
        </w:tc>
        <w:tc>
          <w:tcPr>
            <w:tcW w:w="1656" w:type="dxa"/>
            <w:tcBorders>
              <w:top w:val="nil"/>
              <w:left w:val="nil"/>
              <w:bottom w:val="nil"/>
              <w:right w:val="nil"/>
            </w:tcBorders>
          </w:tcPr>
          <w:p w14:paraId="5DA38E0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-0.00888</w:t>
            </w:r>
          </w:p>
        </w:tc>
        <w:tc>
          <w:tcPr>
            <w:tcW w:w="1656" w:type="dxa"/>
            <w:tcBorders>
              <w:top w:val="nil"/>
              <w:left w:val="nil"/>
              <w:bottom w:val="nil"/>
              <w:right w:val="nil"/>
            </w:tcBorders>
          </w:tcPr>
          <w:p w14:paraId="668BCC8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-0.0142</w:t>
            </w:r>
          </w:p>
        </w:tc>
      </w:tr>
      <w:tr w:rsidR="00013EB4" w:rsidRPr="00B92F9C" w14:paraId="35BAE68E" w14:textId="77777777" w:rsidTr="00015B88">
        <w:tc>
          <w:tcPr>
            <w:tcW w:w="2136" w:type="dxa"/>
            <w:tcBorders>
              <w:top w:val="nil"/>
              <w:left w:val="nil"/>
              <w:bottom w:val="nil"/>
              <w:right w:val="nil"/>
            </w:tcBorders>
          </w:tcPr>
          <w:p w14:paraId="4987C26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AED9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(-0.93)</w:t>
            </w:r>
          </w:p>
        </w:tc>
        <w:tc>
          <w:tcPr>
            <w:tcW w:w="1656" w:type="dxa"/>
            <w:tcBorders>
              <w:top w:val="nil"/>
              <w:left w:val="nil"/>
              <w:bottom w:val="nil"/>
              <w:right w:val="nil"/>
            </w:tcBorders>
          </w:tcPr>
          <w:p w14:paraId="07BAC9A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(0.08)</w:t>
            </w:r>
          </w:p>
        </w:tc>
        <w:tc>
          <w:tcPr>
            <w:tcW w:w="1656" w:type="dxa"/>
            <w:tcBorders>
              <w:top w:val="nil"/>
              <w:left w:val="nil"/>
              <w:bottom w:val="nil"/>
              <w:right w:val="nil"/>
            </w:tcBorders>
          </w:tcPr>
          <w:p w14:paraId="23D7AE5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(-1.26)</w:t>
            </w:r>
          </w:p>
        </w:tc>
        <w:tc>
          <w:tcPr>
            <w:tcW w:w="1656" w:type="dxa"/>
            <w:tcBorders>
              <w:top w:val="nil"/>
              <w:left w:val="nil"/>
              <w:bottom w:val="nil"/>
              <w:right w:val="nil"/>
            </w:tcBorders>
          </w:tcPr>
          <w:p w14:paraId="2447234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(-0.83)</w:t>
            </w:r>
          </w:p>
        </w:tc>
        <w:tc>
          <w:tcPr>
            <w:tcW w:w="1656" w:type="dxa"/>
            <w:tcBorders>
              <w:top w:val="nil"/>
              <w:left w:val="nil"/>
              <w:bottom w:val="nil"/>
              <w:right w:val="nil"/>
            </w:tcBorders>
          </w:tcPr>
          <w:p w14:paraId="582244E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(-1.38)</w:t>
            </w:r>
          </w:p>
        </w:tc>
      </w:tr>
      <w:tr w:rsidR="00013EB4" w:rsidRPr="00B92F9C" w14:paraId="20607B7D" w14:textId="77777777" w:rsidTr="00015B88">
        <w:tc>
          <w:tcPr>
            <w:tcW w:w="2136" w:type="dxa"/>
            <w:tcBorders>
              <w:top w:val="nil"/>
              <w:left w:val="nil"/>
              <w:bottom w:val="nil"/>
              <w:right w:val="nil"/>
            </w:tcBorders>
          </w:tcPr>
          <w:p w14:paraId="5E2BA0B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C2539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0EAFE3"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E68F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8E7D5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C2F5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41761BF2" w14:textId="77777777" w:rsidTr="00015B88">
        <w:tc>
          <w:tcPr>
            <w:tcW w:w="2136" w:type="dxa"/>
            <w:tcBorders>
              <w:top w:val="nil"/>
              <w:left w:val="nil"/>
              <w:bottom w:val="nil"/>
              <w:right w:val="nil"/>
            </w:tcBorders>
          </w:tcPr>
          <w:p w14:paraId="306E395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L6.More Fixed Rate * Capital Account Openness</w:t>
            </w:r>
          </w:p>
        </w:tc>
        <w:tc>
          <w:tcPr>
            <w:tcW w:w="1656" w:type="dxa"/>
            <w:tcBorders>
              <w:top w:val="nil"/>
              <w:left w:val="nil"/>
              <w:bottom w:val="nil"/>
              <w:right w:val="nil"/>
            </w:tcBorders>
          </w:tcPr>
          <w:p w14:paraId="0F996FC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0.160</w:t>
            </w:r>
            <w:r w:rsidRPr="00B92F9C">
              <w:rPr>
                <w:rFonts w:ascii="Times New Roman" w:hAnsi="Times New Roman" w:cs="Times New Roman"/>
                <w:sz w:val="16"/>
                <w:szCs w:val="16"/>
                <w:vertAlign w:val="superscript"/>
              </w:rPr>
              <w:t>*</w:t>
            </w:r>
          </w:p>
        </w:tc>
        <w:tc>
          <w:tcPr>
            <w:tcW w:w="1656" w:type="dxa"/>
            <w:tcBorders>
              <w:top w:val="nil"/>
              <w:left w:val="nil"/>
              <w:bottom w:val="nil"/>
              <w:right w:val="nil"/>
            </w:tcBorders>
          </w:tcPr>
          <w:p w14:paraId="0C62FF1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-0.0346</w:t>
            </w:r>
          </w:p>
        </w:tc>
        <w:tc>
          <w:tcPr>
            <w:tcW w:w="1656" w:type="dxa"/>
            <w:tcBorders>
              <w:top w:val="nil"/>
              <w:left w:val="nil"/>
              <w:bottom w:val="nil"/>
              <w:right w:val="nil"/>
            </w:tcBorders>
          </w:tcPr>
          <w:p w14:paraId="4CE0D33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0.141</w:t>
            </w:r>
            <w:r w:rsidRPr="00B92F9C">
              <w:rPr>
                <w:rFonts w:ascii="Times New Roman" w:hAnsi="Times New Roman" w:cs="Times New Roman"/>
                <w:sz w:val="16"/>
                <w:szCs w:val="16"/>
                <w:vertAlign w:val="superscript"/>
              </w:rPr>
              <w:t>*</w:t>
            </w:r>
          </w:p>
        </w:tc>
        <w:tc>
          <w:tcPr>
            <w:tcW w:w="1656" w:type="dxa"/>
            <w:tcBorders>
              <w:top w:val="nil"/>
              <w:left w:val="nil"/>
              <w:bottom w:val="nil"/>
              <w:right w:val="nil"/>
            </w:tcBorders>
          </w:tcPr>
          <w:p w14:paraId="6814F31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0.0167</w:t>
            </w:r>
          </w:p>
        </w:tc>
        <w:tc>
          <w:tcPr>
            <w:tcW w:w="1656" w:type="dxa"/>
            <w:tcBorders>
              <w:top w:val="nil"/>
              <w:left w:val="nil"/>
              <w:bottom w:val="nil"/>
              <w:right w:val="nil"/>
            </w:tcBorders>
          </w:tcPr>
          <w:p w14:paraId="06BDFBE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0.0166</w:t>
            </w:r>
          </w:p>
        </w:tc>
      </w:tr>
      <w:tr w:rsidR="00013EB4" w:rsidRPr="00B92F9C" w14:paraId="52E300DB" w14:textId="77777777" w:rsidTr="00015B88">
        <w:tc>
          <w:tcPr>
            <w:tcW w:w="2136" w:type="dxa"/>
            <w:tcBorders>
              <w:top w:val="nil"/>
              <w:left w:val="nil"/>
              <w:bottom w:val="nil"/>
              <w:right w:val="nil"/>
            </w:tcBorders>
          </w:tcPr>
          <w:p w14:paraId="6B1AE7E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EA23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(2.35)</w:t>
            </w:r>
          </w:p>
        </w:tc>
        <w:tc>
          <w:tcPr>
            <w:tcW w:w="1656" w:type="dxa"/>
            <w:tcBorders>
              <w:top w:val="nil"/>
              <w:left w:val="nil"/>
              <w:bottom w:val="nil"/>
              <w:right w:val="nil"/>
            </w:tcBorders>
          </w:tcPr>
          <w:p w14:paraId="37E10A9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(-0.62)</w:t>
            </w:r>
          </w:p>
        </w:tc>
        <w:tc>
          <w:tcPr>
            <w:tcW w:w="1656" w:type="dxa"/>
            <w:tcBorders>
              <w:top w:val="nil"/>
              <w:left w:val="nil"/>
              <w:bottom w:val="nil"/>
              <w:right w:val="nil"/>
            </w:tcBorders>
          </w:tcPr>
          <w:p w14:paraId="4F60261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(2.25)</w:t>
            </w:r>
          </w:p>
        </w:tc>
        <w:tc>
          <w:tcPr>
            <w:tcW w:w="1656" w:type="dxa"/>
            <w:tcBorders>
              <w:top w:val="nil"/>
              <w:left w:val="nil"/>
              <w:bottom w:val="nil"/>
              <w:right w:val="nil"/>
            </w:tcBorders>
          </w:tcPr>
          <w:p w14:paraId="36A1112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(1.66)</w:t>
            </w:r>
          </w:p>
        </w:tc>
        <w:tc>
          <w:tcPr>
            <w:tcW w:w="1656" w:type="dxa"/>
            <w:tcBorders>
              <w:top w:val="nil"/>
              <w:left w:val="nil"/>
              <w:bottom w:val="nil"/>
              <w:right w:val="nil"/>
            </w:tcBorders>
          </w:tcPr>
          <w:p w14:paraId="5C1CAB4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(1.51)</w:t>
            </w:r>
          </w:p>
        </w:tc>
      </w:tr>
      <w:tr w:rsidR="00013EB4" w:rsidRPr="00B92F9C" w14:paraId="15F101C5" w14:textId="77777777" w:rsidTr="00015B88">
        <w:tc>
          <w:tcPr>
            <w:tcW w:w="2136" w:type="dxa"/>
            <w:tcBorders>
              <w:top w:val="nil"/>
              <w:left w:val="nil"/>
              <w:bottom w:val="nil"/>
              <w:right w:val="nil"/>
            </w:tcBorders>
          </w:tcPr>
          <w:p w14:paraId="69A4B16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362F6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C4853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3754E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C0745C"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3CDCD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34322356" w14:textId="77777777" w:rsidTr="00015B88">
        <w:tc>
          <w:tcPr>
            <w:tcW w:w="2136" w:type="dxa"/>
            <w:tcBorders>
              <w:top w:val="nil"/>
              <w:left w:val="nil"/>
              <w:bottom w:val="nil"/>
              <w:right w:val="nil"/>
            </w:tcBorders>
          </w:tcPr>
          <w:p w14:paraId="59DD97F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L7.More Fixed Rate * Capital Account Openness</w:t>
            </w:r>
          </w:p>
        </w:tc>
        <w:tc>
          <w:tcPr>
            <w:tcW w:w="1656" w:type="dxa"/>
            <w:tcBorders>
              <w:top w:val="nil"/>
              <w:left w:val="nil"/>
              <w:bottom w:val="nil"/>
              <w:right w:val="nil"/>
            </w:tcBorders>
          </w:tcPr>
          <w:p w14:paraId="251CB24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-0.0586</w:t>
            </w:r>
          </w:p>
        </w:tc>
        <w:tc>
          <w:tcPr>
            <w:tcW w:w="1656" w:type="dxa"/>
            <w:tcBorders>
              <w:top w:val="nil"/>
              <w:left w:val="nil"/>
              <w:bottom w:val="nil"/>
              <w:right w:val="nil"/>
            </w:tcBorders>
          </w:tcPr>
          <w:p w14:paraId="58F13BA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-0.0135</w:t>
            </w:r>
          </w:p>
        </w:tc>
        <w:tc>
          <w:tcPr>
            <w:tcW w:w="1656" w:type="dxa"/>
            <w:tcBorders>
              <w:top w:val="nil"/>
              <w:left w:val="nil"/>
              <w:bottom w:val="nil"/>
              <w:right w:val="nil"/>
            </w:tcBorders>
          </w:tcPr>
          <w:p w14:paraId="398AE71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-0.0455</w:t>
            </w:r>
          </w:p>
        </w:tc>
        <w:tc>
          <w:tcPr>
            <w:tcW w:w="1656" w:type="dxa"/>
            <w:tcBorders>
              <w:top w:val="nil"/>
              <w:left w:val="nil"/>
              <w:bottom w:val="nil"/>
              <w:right w:val="nil"/>
            </w:tcBorders>
          </w:tcPr>
          <w:p w14:paraId="20D01A4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-0.0110</w:t>
            </w:r>
          </w:p>
        </w:tc>
        <w:tc>
          <w:tcPr>
            <w:tcW w:w="1656" w:type="dxa"/>
            <w:tcBorders>
              <w:top w:val="nil"/>
              <w:left w:val="nil"/>
              <w:bottom w:val="nil"/>
              <w:right w:val="nil"/>
            </w:tcBorders>
          </w:tcPr>
          <w:p w14:paraId="6A8CBCC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-0.00402</w:t>
            </w:r>
          </w:p>
        </w:tc>
      </w:tr>
      <w:tr w:rsidR="00013EB4" w:rsidRPr="00B92F9C" w14:paraId="1E51B6B4" w14:textId="77777777" w:rsidTr="00015B88">
        <w:tc>
          <w:tcPr>
            <w:tcW w:w="2136" w:type="dxa"/>
            <w:tcBorders>
              <w:top w:val="nil"/>
              <w:left w:val="nil"/>
              <w:bottom w:val="nil"/>
              <w:right w:val="nil"/>
            </w:tcBorders>
          </w:tcPr>
          <w:p w14:paraId="0282715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41C01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(-0.92)</w:t>
            </w:r>
          </w:p>
        </w:tc>
        <w:tc>
          <w:tcPr>
            <w:tcW w:w="1656" w:type="dxa"/>
            <w:tcBorders>
              <w:top w:val="nil"/>
              <w:left w:val="nil"/>
              <w:bottom w:val="nil"/>
              <w:right w:val="nil"/>
            </w:tcBorders>
          </w:tcPr>
          <w:p w14:paraId="3272E46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(-0.26)</w:t>
            </w:r>
          </w:p>
        </w:tc>
        <w:tc>
          <w:tcPr>
            <w:tcW w:w="1656" w:type="dxa"/>
            <w:tcBorders>
              <w:top w:val="nil"/>
              <w:left w:val="nil"/>
              <w:bottom w:val="nil"/>
              <w:right w:val="nil"/>
            </w:tcBorders>
          </w:tcPr>
          <w:p w14:paraId="7CB1678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(-0.83)</w:t>
            </w:r>
          </w:p>
        </w:tc>
        <w:tc>
          <w:tcPr>
            <w:tcW w:w="1656" w:type="dxa"/>
            <w:tcBorders>
              <w:top w:val="nil"/>
              <w:left w:val="nil"/>
              <w:bottom w:val="nil"/>
              <w:right w:val="nil"/>
            </w:tcBorders>
          </w:tcPr>
          <w:p w14:paraId="3CDCDE7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(-0.91)</w:t>
            </w:r>
          </w:p>
        </w:tc>
        <w:tc>
          <w:tcPr>
            <w:tcW w:w="1656" w:type="dxa"/>
            <w:tcBorders>
              <w:top w:val="nil"/>
              <w:left w:val="nil"/>
              <w:bottom w:val="nil"/>
              <w:right w:val="nil"/>
            </w:tcBorders>
          </w:tcPr>
          <w:p w14:paraId="0050296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(-0.33)</w:t>
            </w:r>
          </w:p>
        </w:tc>
      </w:tr>
      <w:tr w:rsidR="00013EB4" w:rsidRPr="00B92F9C" w14:paraId="521571B3" w14:textId="77777777" w:rsidTr="00015B88">
        <w:tc>
          <w:tcPr>
            <w:tcW w:w="2136" w:type="dxa"/>
            <w:tcBorders>
              <w:top w:val="nil"/>
              <w:left w:val="nil"/>
              <w:bottom w:val="nil"/>
              <w:right w:val="nil"/>
            </w:tcBorders>
          </w:tcPr>
          <w:p w14:paraId="3FDAE02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D5E1F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B1B4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630687"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FE53A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C8CE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542D4D85" w14:textId="77777777" w:rsidTr="00015B88">
        <w:tc>
          <w:tcPr>
            <w:tcW w:w="2136" w:type="dxa"/>
            <w:tcBorders>
              <w:top w:val="nil"/>
              <w:left w:val="nil"/>
              <w:bottom w:val="nil"/>
              <w:right w:val="nil"/>
            </w:tcBorders>
          </w:tcPr>
          <w:p w14:paraId="1BB7B15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L8.More Fixed Rate * Capital Account Openness</w:t>
            </w:r>
          </w:p>
        </w:tc>
        <w:tc>
          <w:tcPr>
            <w:tcW w:w="1656" w:type="dxa"/>
            <w:tcBorders>
              <w:top w:val="nil"/>
              <w:left w:val="nil"/>
              <w:bottom w:val="nil"/>
              <w:right w:val="nil"/>
            </w:tcBorders>
          </w:tcPr>
          <w:p w14:paraId="711A9A1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-0.00203</w:t>
            </w:r>
          </w:p>
        </w:tc>
        <w:tc>
          <w:tcPr>
            <w:tcW w:w="1656" w:type="dxa"/>
            <w:tcBorders>
              <w:top w:val="nil"/>
              <w:left w:val="nil"/>
              <w:bottom w:val="nil"/>
              <w:right w:val="nil"/>
            </w:tcBorders>
          </w:tcPr>
          <w:p w14:paraId="24953AA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-0.0290</w:t>
            </w:r>
          </w:p>
        </w:tc>
        <w:tc>
          <w:tcPr>
            <w:tcW w:w="1656" w:type="dxa"/>
            <w:tcBorders>
              <w:top w:val="nil"/>
              <w:left w:val="nil"/>
              <w:bottom w:val="nil"/>
              <w:right w:val="nil"/>
            </w:tcBorders>
          </w:tcPr>
          <w:p w14:paraId="0BF795E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-0.0341</w:t>
            </w:r>
          </w:p>
        </w:tc>
        <w:tc>
          <w:tcPr>
            <w:tcW w:w="1656" w:type="dxa"/>
            <w:tcBorders>
              <w:top w:val="nil"/>
              <w:left w:val="nil"/>
              <w:bottom w:val="nil"/>
              <w:right w:val="nil"/>
            </w:tcBorders>
          </w:tcPr>
          <w:p w14:paraId="343E56B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-0.00741</w:t>
            </w:r>
          </w:p>
        </w:tc>
        <w:tc>
          <w:tcPr>
            <w:tcW w:w="1656" w:type="dxa"/>
            <w:tcBorders>
              <w:top w:val="nil"/>
              <w:left w:val="nil"/>
              <w:bottom w:val="nil"/>
              <w:right w:val="nil"/>
            </w:tcBorders>
          </w:tcPr>
          <w:p w14:paraId="5692AE1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-0.00839</w:t>
            </w:r>
          </w:p>
        </w:tc>
      </w:tr>
      <w:tr w:rsidR="00013EB4" w:rsidRPr="00B92F9C" w14:paraId="47CD6C91" w14:textId="77777777" w:rsidTr="00015B88">
        <w:tc>
          <w:tcPr>
            <w:tcW w:w="2136" w:type="dxa"/>
            <w:tcBorders>
              <w:top w:val="nil"/>
              <w:left w:val="nil"/>
              <w:bottom w:val="nil"/>
              <w:right w:val="nil"/>
            </w:tcBorders>
          </w:tcPr>
          <w:p w14:paraId="6903C4C0"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9FE6F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(-0.04)</w:t>
            </w:r>
          </w:p>
        </w:tc>
        <w:tc>
          <w:tcPr>
            <w:tcW w:w="1656" w:type="dxa"/>
            <w:tcBorders>
              <w:top w:val="nil"/>
              <w:left w:val="nil"/>
              <w:bottom w:val="nil"/>
              <w:right w:val="nil"/>
            </w:tcBorders>
          </w:tcPr>
          <w:p w14:paraId="216D980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(-0.62)</w:t>
            </w:r>
          </w:p>
        </w:tc>
        <w:tc>
          <w:tcPr>
            <w:tcW w:w="1656" w:type="dxa"/>
            <w:tcBorders>
              <w:top w:val="nil"/>
              <w:left w:val="nil"/>
              <w:bottom w:val="nil"/>
              <w:right w:val="nil"/>
            </w:tcBorders>
          </w:tcPr>
          <w:p w14:paraId="046E4B1E"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(-0.63)</w:t>
            </w:r>
          </w:p>
        </w:tc>
        <w:tc>
          <w:tcPr>
            <w:tcW w:w="1656" w:type="dxa"/>
            <w:tcBorders>
              <w:top w:val="nil"/>
              <w:left w:val="nil"/>
              <w:bottom w:val="nil"/>
              <w:right w:val="nil"/>
            </w:tcBorders>
          </w:tcPr>
          <w:p w14:paraId="16447A1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(-0.65)</w:t>
            </w:r>
          </w:p>
        </w:tc>
        <w:tc>
          <w:tcPr>
            <w:tcW w:w="1656" w:type="dxa"/>
            <w:tcBorders>
              <w:top w:val="nil"/>
              <w:left w:val="nil"/>
              <w:bottom w:val="nil"/>
              <w:right w:val="nil"/>
            </w:tcBorders>
          </w:tcPr>
          <w:p w14:paraId="5C0BB28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(-0.64)</w:t>
            </w:r>
          </w:p>
        </w:tc>
      </w:tr>
      <w:tr w:rsidR="00013EB4" w:rsidRPr="00B92F9C" w14:paraId="25D9C197" w14:textId="77777777" w:rsidTr="00015B88">
        <w:tc>
          <w:tcPr>
            <w:tcW w:w="2136" w:type="dxa"/>
            <w:tcBorders>
              <w:top w:val="nil"/>
              <w:left w:val="nil"/>
              <w:bottom w:val="nil"/>
              <w:right w:val="nil"/>
            </w:tcBorders>
          </w:tcPr>
          <w:p w14:paraId="2ECAC9F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B414E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91BC0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E72C8A"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A4756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3A123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7AB0A91A" w14:textId="77777777" w:rsidTr="00015B88">
        <w:tc>
          <w:tcPr>
            <w:tcW w:w="2136" w:type="dxa"/>
            <w:tcBorders>
              <w:top w:val="nil"/>
              <w:left w:val="nil"/>
              <w:bottom w:val="nil"/>
              <w:right w:val="nil"/>
            </w:tcBorders>
          </w:tcPr>
          <w:p w14:paraId="2DE4902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L9.More Fixed Rate * Capital Account Openness</w:t>
            </w:r>
          </w:p>
        </w:tc>
        <w:tc>
          <w:tcPr>
            <w:tcW w:w="1656" w:type="dxa"/>
            <w:tcBorders>
              <w:top w:val="nil"/>
              <w:left w:val="nil"/>
              <w:bottom w:val="nil"/>
              <w:right w:val="nil"/>
            </w:tcBorders>
          </w:tcPr>
          <w:p w14:paraId="347A0666"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0.0392</w:t>
            </w:r>
          </w:p>
        </w:tc>
        <w:tc>
          <w:tcPr>
            <w:tcW w:w="1656" w:type="dxa"/>
            <w:tcBorders>
              <w:top w:val="nil"/>
              <w:left w:val="nil"/>
              <w:bottom w:val="nil"/>
              <w:right w:val="nil"/>
            </w:tcBorders>
          </w:tcPr>
          <w:p w14:paraId="48544AA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0.0137</w:t>
            </w:r>
          </w:p>
        </w:tc>
        <w:tc>
          <w:tcPr>
            <w:tcW w:w="1656" w:type="dxa"/>
            <w:tcBorders>
              <w:top w:val="nil"/>
              <w:left w:val="nil"/>
              <w:bottom w:val="nil"/>
              <w:right w:val="nil"/>
            </w:tcBorders>
          </w:tcPr>
          <w:p w14:paraId="64C19D9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-0.0221</w:t>
            </w:r>
          </w:p>
        </w:tc>
        <w:tc>
          <w:tcPr>
            <w:tcW w:w="1656" w:type="dxa"/>
            <w:tcBorders>
              <w:top w:val="nil"/>
              <w:left w:val="nil"/>
              <w:bottom w:val="nil"/>
              <w:right w:val="nil"/>
            </w:tcBorders>
          </w:tcPr>
          <w:p w14:paraId="72C7CCB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0.00734</w:t>
            </w:r>
          </w:p>
        </w:tc>
        <w:tc>
          <w:tcPr>
            <w:tcW w:w="1656" w:type="dxa"/>
            <w:tcBorders>
              <w:top w:val="nil"/>
              <w:left w:val="nil"/>
              <w:bottom w:val="nil"/>
              <w:right w:val="nil"/>
            </w:tcBorders>
          </w:tcPr>
          <w:p w14:paraId="7606B73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-0.00399</w:t>
            </w:r>
          </w:p>
        </w:tc>
      </w:tr>
      <w:tr w:rsidR="00013EB4" w:rsidRPr="00B92F9C" w14:paraId="609185D7" w14:textId="77777777" w:rsidTr="00015B88">
        <w:tc>
          <w:tcPr>
            <w:tcW w:w="2136" w:type="dxa"/>
            <w:tcBorders>
              <w:top w:val="nil"/>
              <w:left w:val="nil"/>
              <w:bottom w:val="nil"/>
              <w:right w:val="nil"/>
            </w:tcBorders>
          </w:tcPr>
          <w:p w14:paraId="665433B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50FBA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(0.76)</w:t>
            </w:r>
          </w:p>
        </w:tc>
        <w:tc>
          <w:tcPr>
            <w:tcW w:w="1656" w:type="dxa"/>
            <w:tcBorders>
              <w:top w:val="nil"/>
              <w:left w:val="nil"/>
              <w:bottom w:val="nil"/>
              <w:right w:val="nil"/>
            </w:tcBorders>
          </w:tcPr>
          <w:p w14:paraId="08D2048B"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(0.33)</w:t>
            </w:r>
          </w:p>
        </w:tc>
        <w:tc>
          <w:tcPr>
            <w:tcW w:w="1656" w:type="dxa"/>
            <w:tcBorders>
              <w:top w:val="nil"/>
              <w:left w:val="nil"/>
              <w:bottom w:val="nil"/>
              <w:right w:val="nil"/>
            </w:tcBorders>
          </w:tcPr>
          <w:p w14:paraId="7C04ECA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(-0.37)</w:t>
            </w:r>
          </w:p>
        </w:tc>
        <w:tc>
          <w:tcPr>
            <w:tcW w:w="1656" w:type="dxa"/>
            <w:tcBorders>
              <w:top w:val="nil"/>
              <w:left w:val="nil"/>
              <w:bottom w:val="nil"/>
              <w:right w:val="nil"/>
            </w:tcBorders>
          </w:tcPr>
          <w:p w14:paraId="63F8EB8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(0.64)</w:t>
            </w:r>
          </w:p>
        </w:tc>
        <w:tc>
          <w:tcPr>
            <w:tcW w:w="1656" w:type="dxa"/>
            <w:tcBorders>
              <w:top w:val="nil"/>
              <w:left w:val="nil"/>
              <w:bottom w:val="nil"/>
              <w:right w:val="nil"/>
            </w:tcBorders>
          </w:tcPr>
          <w:p w14:paraId="5F6FD6D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(-0.32)</w:t>
            </w:r>
          </w:p>
        </w:tc>
      </w:tr>
      <w:tr w:rsidR="00013EB4" w:rsidRPr="00B92F9C" w14:paraId="0482DD50" w14:textId="77777777" w:rsidTr="00015B88">
        <w:tc>
          <w:tcPr>
            <w:tcW w:w="2136" w:type="dxa"/>
            <w:tcBorders>
              <w:top w:val="nil"/>
              <w:left w:val="nil"/>
              <w:bottom w:val="nil"/>
              <w:right w:val="nil"/>
            </w:tcBorders>
          </w:tcPr>
          <w:p w14:paraId="49C8687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5D660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F82CB"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9695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AB592"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949E1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51195E8F" w14:textId="77777777" w:rsidTr="00015B88">
        <w:tc>
          <w:tcPr>
            <w:tcW w:w="2136" w:type="dxa"/>
            <w:tcBorders>
              <w:top w:val="nil"/>
              <w:left w:val="nil"/>
              <w:bottom w:val="nil"/>
              <w:right w:val="nil"/>
            </w:tcBorders>
          </w:tcPr>
          <w:p w14:paraId="2B70F5A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278C7B8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-0.0385</w:t>
            </w:r>
          </w:p>
        </w:tc>
        <w:tc>
          <w:tcPr>
            <w:tcW w:w="1656" w:type="dxa"/>
            <w:tcBorders>
              <w:top w:val="nil"/>
              <w:left w:val="nil"/>
              <w:bottom w:val="nil"/>
              <w:right w:val="nil"/>
            </w:tcBorders>
          </w:tcPr>
          <w:p w14:paraId="536BD9E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0.0478</w:t>
            </w:r>
          </w:p>
        </w:tc>
        <w:tc>
          <w:tcPr>
            <w:tcW w:w="1656" w:type="dxa"/>
            <w:tcBorders>
              <w:top w:val="nil"/>
              <w:left w:val="nil"/>
              <w:bottom w:val="nil"/>
              <w:right w:val="nil"/>
            </w:tcBorders>
          </w:tcPr>
          <w:p w14:paraId="6B93A0C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0.0311</w:t>
            </w:r>
          </w:p>
        </w:tc>
        <w:tc>
          <w:tcPr>
            <w:tcW w:w="1656" w:type="dxa"/>
            <w:tcBorders>
              <w:top w:val="nil"/>
              <w:left w:val="nil"/>
              <w:bottom w:val="nil"/>
              <w:right w:val="nil"/>
            </w:tcBorders>
          </w:tcPr>
          <w:p w14:paraId="198ACF2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-0.0390</w:t>
            </w:r>
            <w:r w:rsidRPr="00B92F9C">
              <w:rPr>
                <w:rFonts w:ascii="Times New Roman" w:hAnsi="Times New Roman" w:cs="Times New Roman"/>
                <w:sz w:val="16"/>
                <w:szCs w:val="16"/>
                <w:vertAlign w:val="superscript"/>
              </w:rPr>
              <w:t>**</w:t>
            </w:r>
          </w:p>
        </w:tc>
        <w:tc>
          <w:tcPr>
            <w:tcW w:w="1656" w:type="dxa"/>
            <w:tcBorders>
              <w:top w:val="nil"/>
              <w:left w:val="nil"/>
              <w:bottom w:val="nil"/>
              <w:right w:val="nil"/>
            </w:tcBorders>
          </w:tcPr>
          <w:p w14:paraId="7D3ABAB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-0.0157</w:t>
            </w:r>
          </w:p>
        </w:tc>
      </w:tr>
      <w:tr w:rsidR="00013EB4" w:rsidRPr="00B92F9C" w14:paraId="45791266" w14:textId="77777777" w:rsidTr="00015B88">
        <w:tc>
          <w:tcPr>
            <w:tcW w:w="2136" w:type="dxa"/>
            <w:tcBorders>
              <w:top w:val="nil"/>
              <w:left w:val="nil"/>
              <w:bottom w:val="nil"/>
              <w:right w:val="nil"/>
            </w:tcBorders>
          </w:tcPr>
          <w:p w14:paraId="554D85C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1186AC"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(-0.90)</w:t>
            </w:r>
          </w:p>
        </w:tc>
        <w:tc>
          <w:tcPr>
            <w:tcW w:w="1656" w:type="dxa"/>
            <w:tcBorders>
              <w:top w:val="nil"/>
              <w:left w:val="nil"/>
              <w:bottom w:val="nil"/>
              <w:right w:val="nil"/>
            </w:tcBorders>
          </w:tcPr>
          <w:p w14:paraId="2D683F7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(1.23)</w:t>
            </w:r>
          </w:p>
        </w:tc>
        <w:tc>
          <w:tcPr>
            <w:tcW w:w="1656" w:type="dxa"/>
            <w:tcBorders>
              <w:top w:val="nil"/>
              <w:left w:val="nil"/>
              <w:bottom w:val="nil"/>
              <w:right w:val="nil"/>
            </w:tcBorders>
          </w:tcPr>
          <w:p w14:paraId="1358716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(0.59)</w:t>
            </w:r>
          </w:p>
        </w:tc>
        <w:tc>
          <w:tcPr>
            <w:tcW w:w="1656" w:type="dxa"/>
            <w:tcBorders>
              <w:top w:val="nil"/>
              <w:left w:val="nil"/>
              <w:bottom w:val="nil"/>
              <w:right w:val="nil"/>
            </w:tcBorders>
          </w:tcPr>
          <w:p w14:paraId="43046CB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(-2.72)</w:t>
            </w:r>
          </w:p>
        </w:tc>
        <w:tc>
          <w:tcPr>
            <w:tcW w:w="1656" w:type="dxa"/>
            <w:tcBorders>
              <w:top w:val="nil"/>
              <w:left w:val="nil"/>
              <w:bottom w:val="nil"/>
              <w:right w:val="nil"/>
            </w:tcBorders>
          </w:tcPr>
          <w:p w14:paraId="1BCA9313"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(-1.12)</w:t>
            </w:r>
          </w:p>
        </w:tc>
      </w:tr>
      <w:tr w:rsidR="00013EB4" w:rsidRPr="00B92F9C" w14:paraId="036F19AE" w14:textId="77777777" w:rsidTr="00015B88">
        <w:tc>
          <w:tcPr>
            <w:tcW w:w="2136" w:type="dxa"/>
            <w:tcBorders>
              <w:top w:val="nil"/>
              <w:left w:val="nil"/>
              <w:bottom w:val="nil"/>
              <w:right w:val="nil"/>
            </w:tcBorders>
          </w:tcPr>
          <w:p w14:paraId="50C3AC5E"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87FC4"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A787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BB52CD"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6474D1"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E23098"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r>
      <w:tr w:rsidR="00013EB4" w:rsidRPr="00B92F9C" w14:paraId="6B67B692" w14:textId="77777777" w:rsidTr="00015B88">
        <w:tc>
          <w:tcPr>
            <w:tcW w:w="2136" w:type="dxa"/>
            <w:tcBorders>
              <w:top w:val="nil"/>
              <w:left w:val="nil"/>
              <w:bottom w:val="nil"/>
              <w:right w:val="nil"/>
            </w:tcBorders>
          </w:tcPr>
          <w:p w14:paraId="5838CF3F"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Constant</w:t>
            </w:r>
          </w:p>
        </w:tc>
        <w:tc>
          <w:tcPr>
            <w:tcW w:w="1656" w:type="dxa"/>
            <w:tcBorders>
              <w:top w:val="nil"/>
              <w:left w:val="nil"/>
              <w:bottom w:val="nil"/>
              <w:right w:val="nil"/>
            </w:tcBorders>
          </w:tcPr>
          <w:p w14:paraId="1673961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1.023</w:t>
            </w:r>
            <w:r w:rsidRPr="00B92F9C">
              <w:rPr>
                <w:rFonts w:ascii="Times New Roman" w:hAnsi="Times New Roman" w:cs="Times New Roman"/>
                <w:sz w:val="16"/>
                <w:szCs w:val="16"/>
                <w:vertAlign w:val="superscript"/>
              </w:rPr>
              <w:t>**</w:t>
            </w:r>
          </w:p>
        </w:tc>
        <w:tc>
          <w:tcPr>
            <w:tcW w:w="1656" w:type="dxa"/>
            <w:tcBorders>
              <w:top w:val="nil"/>
              <w:left w:val="nil"/>
              <w:bottom w:val="nil"/>
              <w:right w:val="nil"/>
            </w:tcBorders>
          </w:tcPr>
          <w:p w14:paraId="6B515035"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0.513</w:t>
            </w:r>
          </w:p>
        </w:tc>
        <w:tc>
          <w:tcPr>
            <w:tcW w:w="1656" w:type="dxa"/>
            <w:tcBorders>
              <w:top w:val="nil"/>
              <w:left w:val="nil"/>
              <w:bottom w:val="nil"/>
              <w:right w:val="nil"/>
            </w:tcBorders>
          </w:tcPr>
          <w:p w14:paraId="297F046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1.347</w:t>
            </w:r>
            <w:r w:rsidRPr="00B92F9C">
              <w:rPr>
                <w:rFonts w:ascii="Times New Roman" w:hAnsi="Times New Roman" w:cs="Times New Roman"/>
                <w:sz w:val="16"/>
                <w:szCs w:val="16"/>
                <w:vertAlign w:val="superscript"/>
              </w:rPr>
              <w:t>***</w:t>
            </w:r>
          </w:p>
        </w:tc>
        <w:tc>
          <w:tcPr>
            <w:tcW w:w="1656" w:type="dxa"/>
            <w:tcBorders>
              <w:top w:val="nil"/>
              <w:left w:val="nil"/>
              <w:bottom w:val="nil"/>
              <w:right w:val="nil"/>
            </w:tcBorders>
          </w:tcPr>
          <w:p w14:paraId="08D7D24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0.0898</w:t>
            </w:r>
          </w:p>
        </w:tc>
        <w:tc>
          <w:tcPr>
            <w:tcW w:w="1656" w:type="dxa"/>
            <w:tcBorders>
              <w:top w:val="nil"/>
              <w:left w:val="nil"/>
              <w:bottom w:val="nil"/>
              <w:right w:val="nil"/>
            </w:tcBorders>
          </w:tcPr>
          <w:p w14:paraId="5AAAF437"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-0.841</w:t>
            </w:r>
            <w:r w:rsidRPr="00B92F9C">
              <w:rPr>
                <w:rFonts w:ascii="Times New Roman" w:hAnsi="Times New Roman" w:cs="Times New Roman"/>
                <w:sz w:val="16"/>
                <w:szCs w:val="16"/>
                <w:vertAlign w:val="superscript"/>
              </w:rPr>
              <w:t>**</w:t>
            </w:r>
          </w:p>
        </w:tc>
      </w:tr>
      <w:tr w:rsidR="00013EB4" w:rsidRPr="00B92F9C" w14:paraId="311F1B04" w14:textId="77777777" w:rsidTr="00015B88">
        <w:tc>
          <w:tcPr>
            <w:tcW w:w="2136" w:type="dxa"/>
            <w:tcBorders>
              <w:top w:val="nil"/>
              <w:left w:val="nil"/>
              <w:bottom w:val="single" w:sz="4" w:space="0" w:color="auto"/>
              <w:right w:val="nil"/>
            </w:tcBorders>
          </w:tcPr>
          <w:p w14:paraId="04D40205"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45E1A69"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(2.72)</w:t>
            </w:r>
          </w:p>
        </w:tc>
        <w:tc>
          <w:tcPr>
            <w:tcW w:w="1656" w:type="dxa"/>
            <w:tcBorders>
              <w:top w:val="nil"/>
              <w:left w:val="nil"/>
              <w:bottom w:val="single" w:sz="4" w:space="0" w:color="auto"/>
              <w:right w:val="nil"/>
            </w:tcBorders>
          </w:tcPr>
          <w:p w14:paraId="39280882"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(1.66)</w:t>
            </w:r>
          </w:p>
        </w:tc>
        <w:tc>
          <w:tcPr>
            <w:tcW w:w="1656" w:type="dxa"/>
            <w:tcBorders>
              <w:top w:val="nil"/>
              <w:left w:val="nil"/>
              <w:bottom w:val="single" w:sz="4" w:space="0" w:color="auto"/>
              <w:right w:val="nil"/>
            </w:tcBorders>
          </w:tcPr>
          <w:p w14:paraId="4FDB3F5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(3.43)</w:t>
            </w:r>
          </w:p>
        </w:tc>
        <w:tc>
          <w:tcPr>
            <w:tcW w:w="1656" w:type="dxa"/>
            <w:tcBorders>
              <w:top w:val="nil"/>
              <w:left w:val="nil"/>
              <w:bottom w:val="single" w:sz="4" w:space="0" w:color="auto"/>
              <w:right w:val="nil"/>
            </w:tcBorders>
          </w:tcPr>
          <w:p w14:paraId="2918C2F8"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(0.24)</w:t>
            </w:r>
          </w:p>
        </w:tc>
        <w:tc>
          <w:tcPr>
            <w:tcW w:w="1656" w:type="dxa"/>
            <w:tcBorders>
              <w:top w:val="nil"/>
              <w:left w:val="nil"/>
              <w:bottom w:val="single" w:sz="4" w:space="0" w:color="auto"/>
              <w:right w:val="nil"/>
            </w:tcBorders>
          </w:tcPr>
          <w:p w14:paraId="35FC74F1"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(-2.75)</w:t>
            </w:r>
          </w:p>
        </w:tc>
      </w:tr>
      <w:tr w:rsidR="00013EB4" w:rsidRPr="00B92F9C" w14:paraId="39A2E7FF" w14:textId="77777777" w:rsidTr="00015B88">
        <w:tc>
          <w:tcPr>
            <w:tcW w:w="2136" w:type="dxa"/>
            <w:tcBorders>
              <w:top w:val="nil"/>
              <w:left w:val="nil"/>
              <w:bottom w:val="single" w:sz="4" w:space="0" w:color="auto"/>
              <w:right w:val="nil"/>
            </w:tcBorders>
          </w:tcPr>
          <w:p w14:paraId="115C3DA6" w14:textId="77777777" w:rsidR="00013EB4" w:rsidRPr="00B92F9C" w:rsidRDefault="00013EB4" w:rsidP="00015B88">
            <w:pPr>
              <w:widowControl w:val="0"/>
              <w:autoSpaceDE w:val="0"/>
              <w:autoSpaceDN w:val="0"/>
              <w:adjustRightInd w:val="0"/>
              <w:spacing w:after="0" w:line="240" w:lineRule="auto"/>
              <w:rPr>
                <w:rFonts w:ascii="Times New Roman" w:hAnsi="Times New Roman" w:cs="Times New Roman"/>
                <w:sz w:val="16"/>
                <w:szCs w:val="16"/>
              </w:rPr>
            </w:pPr>
            <w:r w:rsidRPr="00B92F9C">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AB5D0F0"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1069</w:t>
            </w:r>
          </w:p>
        </w:tc>
        <w:tc>
          <w:tcPr>
            <w:tcW w:w="1656" w:type="dxa"/>
            <w:tcBorders>
              <w:top w:val="nil"/>
              <w:left w:val="nil"/>
              <w:bottom w:val="single" w:sz="4" w:space="0" w:color="auto"/>
              <w:right w:val="nil"/>
            </w:tcBorders>
          </w:tcPr>
          <w:p w14:paraId="4C1D538A"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1070</w:t>
            </w:r>
          </w:p>
        </w:tc>
        <w:tc>
          <w:tcPr>
            <w:tcW w:w="1656" w:type="dxa"/>
            <w:tcBorders>
              <w:top w:val="nil"/>
              <w:left w:val="nil"/>
              <w:bottom w:val="single" w:sz="4" w:space="0" w:color="auto"/>
              <w:right w:val="nil"/>
            </w:tcBorders>
          </w:tcPr>
          <w:p w14:paraId="1C1AB27F"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883</w:t>
            </w:r>
          </w:p>
        </w:tc>
        <w:tc>
          <w:tcPr>
            <w:tcW w:w="1656" w:type="dxa"/>
            <w:tcBorders>
              <w:top w:val="nil"/>
              <w:left w:val="nil"/>
              <w:bottom w:val="single" w:sz="4" w:space="0" w:color="auto"/>
              <w:right w:val="nil"/>
            </w:tcBorders>
          </w:tcPr>
          <w:p w14:paraId="473E720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2179</w:t>
            </w:r>
          </w:p>
        </w:tc>
        <w:tc>
          <w:tcPr>
            <w:tcW w:w="1656" w:type="dxa"/>
            <w:tcBorders>
              <w:top w:val="nil"/>
              <w:left w:val="nil"/>
              <w:bottom w:val="single" w:sz="4" w:space="0" w:color="auto"/>
              <w:right w:val="nil"/>
            </w:tcBorders>
          </w:tcPr>
          <w:p w14:paraId="41AA343D" w14:textId="77777777" w:rsidR="00013EB4" w:rsidRPr="00B92F9C" w:rsidRDefault="00013EB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92F9C">
              <w:rPr>
                <w:rFonts w:ascii="Times New Roman" w:hAnsi="Times New Roman" w:cs="Times New Roman"/>
                <w:sz w:val="16"/>
                <w:szCs w:val="16"/>
              </w:rPr>
              <w:t>2443</w:t>
            </w:r>
          </w:p>
        </w:tc>
      </w:tr>
    </w:tbl>
    <w:p w14:paraId="39AAE154" w14:textId="77777777" w:rsidR="00013EB4" w:rsidRPr="00B92F9C" w:rsidRDefault="00013EB4" w:rsidP="00013EB4">
      <w:pPr>
        <w:widowControl w:val="0"/>
        <w:autoSpaceDE w:val="0"/>
        <w:autoSpaceDN w:val="0"/>
        <w:adjustRightInd w:val="0"/>
        <w:spacing w:after="0" w:line="240" w:lineRule="auto"/>
        <w:rPr>
          <w:rFonts w:ascii="Times New Roman" w:hAnsi="Times New Roman" w:cs="Times New Roman"/>
          <w:sz w:val="12"/>
          <w:szCs w:val="12"/>
        </w:rPr>
      </w:pPr>
      <w:r w:rsidRPr="00B92F9C">
        <w:rPr>
          <w:rFonts w:ascii="Times New Roman" w:hAnsi="Times New Roman" w:cs="Times New Roman"/>
          <w:i/>
          <w:iCs/>
          <w:sz w:val="12"/>
          <w:szCs w:val="12"/>
        </w:rPr>
        <w:t>t</w:t>
      </w:r>
      <w:r w:rsidRPr="00B92F9C">
        <w:rPr>
          <w:rFonts w:ascii="Times New Roman" w:hAnsi="Times New Roman" w:cs="Times New Roman"/>
          <w:sz w:val="12"/>
          <w:szCs w:val="12"/>
        </w:rPr>
        <w:t xml:space="preserve"> statistics in parentheses</w:t>
      </w:r>
    </w:p>
    <w:p w14:paraId="6B931620" w14:textId="77777777" w:rsidR="00013EB4" w:rsidRPr="00B92F9C" w:rsidRDefault="00013EB4" w:rsidP="00013EB4">
      <w:pPr>
        <w:widowControl w:val="0"/>
        <w:autoSpaceDE w:val="0"/>
        <w:autoSpaceDN w:val="0"/>
        <w:adjustRightInd w:val="0"/>
        <w:spacing w:after="0" w:line="240" w:lineRule="auto"/>
        <w:rPr>
          <w:rFonts w:ascii="Times New Roman" w:hAnsi="Times New Roman" w:cs="Times New Roman"/>
          <w:sz w:val="12"/>
          <w:szCs w:val="12"/>
        </w:rPr>
      </w:pPr>
      <w:r w:rsidRPr="00B92F9C">
        <w:rPr>
          <w:rFonts w:ascii="Times New Roman" w:hAnsi="Times New Roman" w:cs="Times New Roman"/>
          <w:sz w:val="12"/>
          <w:szCs w:val="12"/>
          <w:vertAlign w:val="superscript"/>
        </w:rPr>
        <w:t>*</w:t>
      </w:r>
      <w:r w:rsidRPr="00B92F9C">
        <w:rPr>
          <w:rFonts w:ascii="Times New Roman" w:hAnsi="Times New Roman" w:cs="Times New Roman"/>
          <w:sz w:val="12"/>
          <w:szCs w:val="12"/>
        </w:rPr>
        <w:t xml:space="preserve"> </w:t>
      </w:r>
      <w:r w:rsidRPr="00B92F9C">
        <w:rPr>
          <w:rFonts w:ascii="Times New Roman" w:hAnsi="Times New Roman" w:cs="Times New Roman"/>
          <w:i/>
          <w:iCs/>
          <w:sz w:val="12"/>
          <w:szCs w:val="12"/>
        </w:rPr>
        <w:t>p</w:t>
      </w:r>
      <w:r w:rsidRPr="00B92F9C">
        <w:rPr>
          <w:rFonts w:ascii="Times New Roman" w:hAnsi="Times New Roman" w:cs="Times New Roman"/>
          <w:sz w:val="12"/>
          <w:szCs w:val="12"/>
        </w:rPr>
        <w:t xml:space="preserve"> &lt; 0.05, </w:t>
      </w:r>
      <w:r w:rsidRPr="00B92F9C">
        <w:rPr>
          <w:rFonts w:ascii="Times New Roman" w:hAnsi="Times New Roman" w:cs="Times New Roman"/>
          <w:sz w:val="12"/>
          <w:szCs w:val="12"/>
          <w:vertAlign w:val="superscript"/>
        </w:rPr>
        <w:t>**</w:t>
      </w:r>
      <w:r w:rsidRPr="00B92F9C">
        <w:rPr>
          <w:rFonts w:ascii="Times New Roman" w:hAnsi="Times New Roman" w:cs="Times New Roman"/>
          <w:sz w:val="12"/>
          <w:szCs w:val="12"/>
        </w:rPr>
        <w:t xml:space="preserve"> </w:t>
      </w:r>
      <w:r w:rsidRPr="00B92F9C">
        <w:rPr>
          <w:rFonts w:ascii="Times New Roman" w:hAnsi="Times New Roman" w:cs="Times New Roman"/>
          <w:i/>
          <w:iCs/>
          <w:sz w:val="12"/>
          <w:szCs w:val="12"/>
        </w:rPr>
        <w:t>p</w:t>
      </w:r>
      <w:r w:rsidRPr="00B92F9C">
        <w:rPr>
          <w:rFonts w:ascii="Times New Roman" w:hAnsi="Times New Roman" w:cs="Times New Roman"/>
          <w:sz w:val="12"/>
          <w:szCs w:val="12"/>
        </w:rPr>
        <w:t xml:space="preserve"> &lt; 0.01, </w:t>
      </w:r>
      <w:r w:rsidRPr="00B92F9C">
        <w:rPr>
          <w:rFonts w:ascii="Times New Roman" w:hAnsi="Times New Roman" w:cs="Times New Roman"/>
          <w:sz w:val="12"/>
          <w:szCs w:val="12"/>
          <w:vertAlign w:val="superscript"/>
        </w:rPr>
        <w:t>***</w:t>
      </w:r>
      <w:r w:rsidRPr="00B92F9C">
        <w:rPr>
          <w:rFonts w:ascii="Times New Roman" w:hAnsi="Times New Roman" w:cs="Times New Roman"/>
          <w:sz w:val="12"/>
          <w:szCs w:val="12"/>
        </w:rPr>
        <w:t xml:space="preserve"> </w:t>
      </w:r>
      <w:r w:rsidRPr="00B92F9C">
        <w:rPr>
          <w:rFonts w:ascii="Times New Roman" w:hAnsi="Times New Roman" w:cs="Times New Roman"/>
          <w:i/>
          <w:iCs/>
          <w:sz w:val="12"/>
          <w:szCs w:val="12"/>
        </w:rPr>
        <w:t>p</w:t>
      </w:r>
      <w:r w:rsidRPr="00B92F9C">
        <w:rPr>
          <w:rFonts w:ascii="Times New Roman" w:hAnsi="Times New Roman" w:cs="Times New Roman"/>
          <w:sz w:val="12"/>
          <w:szCs w:val="12"/>
        </w:rPr>
        <w:t xml:space="preserve"> &lt; 0.001</w:t>
      </w:r>
    </w:p>
    <w:p w14:paraId="04C4B5D3" w14:textId="77777777" w:rsidR="00013EB4" w:rsidRPr="00B92F9C" w:rsidRDefault="00013EB4" w:rsidP="00013EB4">
      <w:pPr>
        <w:widowControl w:val="0"/>
        <w:autoSpaceDE w:val="0"/>
        <w:autoSpaceDN w:val="0"/>
        <w:adjustRightInd w:val="0"/>
        <w:spacing w:after="0" w:line="240" w:lineRule="auto"/>
        <w:rPr>
          <w:rFonts w:ascii="Times New Roman" w:hAnsi="Times New Roman" w:cs="Times New Roman"/>
          <w:sz w:val="16"/>
          <w:szCs w:val="16"/>
        </w:rPr>
      </w:pPr>
    </w:p>
    <w:p w14:paraId="4DE6FB54" w14:textId="6C6A5891" w:rsidR="00054D3B" w:rsidRDefault="003A3222" w:rsidP="006F2982">
      <w:r>
        <w:t>Ordered logit instead?</w:t>
      </w:r>
    </w:p>
    <w:tbl>
      <w:tblPr>
        <w:tblW w:w="0" w:type="auto"/>
        <w:tblLayout w:type="fixed"/>
        <w:tblLook w:val="0000" w:firstRow="0" w:lastRow="0" w:firstColumn="0" w:lastColumn="0" w:noHBand="0" w:noVBand="0"/>
      </w:tblPr>
      <w:tblGrid>
        <w:gridCol w:w="2136"/>
        <w:gridCol w:w="1656"/>
        <w:gridCol w:w="1656"/>
        <w:gridCol w:w="1656"/>
        <w:gridCol w:w="1656"/>
      </w:tblGrid>
      <w:tr w:rsidR="003A3222" w:rsidRPr="00D00042" w14:paraId="12790DE0" w14:textId="77777777" w:rsidTr="00015B88">
        <w:tc>
          <w:tcPr>
            <w:tcW w:w="2136" w:type="dxa"/>
            <w:tcBorders>
              <w:top w:val="single" w:sz="4" w:space="0" w:color="auto"/>
              <w:left w:val="nil"/>
              <w:bottom w:val="nil"/>
              <w:right w:val="nil"/>
            </w:tcBorders>
          </w:tcPr>
          <w:p w14:paraId="687D77E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06CEC2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w:t>
            </w:r>
          </w:p>
        </w:tc>
        <w:tc>
          <w:tcPr>
            <w:tcW w:w="1656" w:type="dxa"/>
            <w:tcBorders>
              <w:top w:val="single" w:sz="4" w:space="0" w:color="auto"/>
              <w:left w:val="nil"/>
              <w:bottom w:val="nil"/>
              <w:right w:val="nil"/>
            </w:tcBorders>
          </w:tcPr>
          <w:p w14:paraId="5DAB44F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w:t>
            </w:r>
          </w:p>
        </w:tc>
        <w:tc>
          <w:tcPr>
            <w:tcW w:w="1656" w:type="dxa"/>
            <w:tcBorders>
              <w:top w:val="single" w:sz="4" w:space="0" w:color="auto"/>
              <w:left w:val="nil"/>
              <w:bottom w:val="nil"/>
              <w:right w:val="nil"/>
            </w:tcBorders>
          </w:tcPr>
          <w:p w14:paraId="0E82950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w:t>
            </w:r>
          </w:p>
        </w:tc>
        <w:tc>
          <w:tcPr>
            <w:tcW w:w="1656" w:type="dxa"/>
            <w:tcBorders>
              <w:top w:val="single" w:sz="4" w:space="0" w:color="auto"/>
              <w:left w:val="nil"/>
              <w:bottom w:val="nil"/>
              <w:right w:val="nil"/>
            </w:tcBorders>
          </w:tcPr>
          <w:p w14:paraId="429CBFD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(4)</w:t>
            </w:r>
          </w:p>
        </w:tc>
      </w:tr>
      <w:tr w:rsidR="003A3222" w:rsidRPr="00D00042" w14:paraId="290B7905" w14:textId="77777777" w:rsidTr="00015B88">
        <w:tc>
          <w:tcPr>
            <w:tcW w:w="2136" w:type="dxa"/>
            <w:tcBorders>
              <w:top w:val="nil"/>
              <w:left w:val="nil"/>
              <w:bottom w:val="nil"/>
              <w:right w:val="nil"/>
            </w:tcBorders>
          </w:tcPr>
          <w:p w14:paraId="491611A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AF43B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Head of Govt. Turnover</w:t>
            </w:r>
          </w:p>
        </w:tc>
        <w:tc>
          <w:tcPr>
            <w:tcW w:w="1656" w:type="dxa"/>
            <w:tcBorders>
              <w:top w:val="nil"/>
              <w:left w:val="nil"/>
              <w:bottom w:val="nil"/>
              <w:right w:val="nil"/>
            </w:tcBorders>
          </w:tcPr>
          <w:p w14:paraId="54C6022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Head of State Turnover</w:t>
            </w:r>
          </w:p>
        </w:tc>
        <w:tc>
          <w:tcPr>
            <w:tcW w:w="1656" w:type="dxa"/>
            <w:tcBorders>
              <w:top w:val="nil"/>
              <w:left w:val="nil"/>
              <w:bottom w:val="nil"/>
              <w:right w:val="nil"/>
            </w:tcBorders>
          </w:tcPr>
          <w:p w14:paraId="4B4E367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Lower House Turnover</w:t>
            </w:r>
          </w:p>
        </w:tc>
        <w:tc>
          <w:tcPr>
            <w:tcW w:w="1656" w:type="dxa"/>
            <w:tcBorders>
              <w:top w:val="nil"/>
              <w:left w:val="nil"/>
              <w:bottom w:val="nil"/>
              <w:right w:val="nil"/>
            </w:tcBorders>
          </w:tcPr>
          <w:p w14:paraId="128C3CF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Instability Event Indicator</w:t>
            </w:r>
          </w:p>
        </w:tc>
      </w:tr>
      <w:tr w:rsidR="003A3222" w:rsidRPr="00D00042" w14:paraId="0C10EA6C" w14:textId="77777777" w:rsidTr="00015B88">
        <w:tc>
          <w:tcPr>
            <w:tcW w:w="2136" w:type="dxa"/>
            <w:tcBorders>
              <w:top w:val="single" w:sz="4" w:space="0" w:color="auto"/>
              <w:left w:val="nil"/>
              <w:bottom w:val="nil"/>
              <w:right w:val="nil"/>
            </w:tcBorders>
          </w:tcPr>
          <w:p w14:paraId="382E6B8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67DF715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20C981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83255C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E11CDC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3A3222" w:rsidRPr="00D00042" w14:paraId="49413FA8" w14:textId="77777777" w:rsidTr="00015B88">
        <w:tc>
          <w:tcPr>
            <w:tcW w:w="2136" w:type="dxa"/>
            <w:tcBorders>
              <w:top w:val="nil"/>
              <w:left w:val="nil"/>
              <w:bottom w:val="nil"/>
              <w:right w:val="nil"/>
            </w:tcBorders>
          </w:tcPr>
          <w:p w14:paraId="7FFDE68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De Jure CBI (CNW Index)</w:t>
            </w:r>
          </w:p>
        </w:tc>
        <w:tc>
          <w:tcPr>
            <w:tcW w:w="1656" w:type="dxa"/>
            <w:tcBorders>
              <w:top w:val="nil"/>
              <w:left w:val="nil"/>
              <w:bottom w:val="nil"/>
              <w:right w:val="nil"/>
            </w:tcBorders>
          </w:tcPr>
          <w:p w14:paraId="4A80E8A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0.224</w:t>
            </w:r>
          </w:p>
        </w:tc>
        <w:tc>
          <w:tcPr>
            <w:tcW w:w="1656" w:type="dxa"/>
            <w:tcBorders>
              <w:top w:val="nil"/>
              <w:left w:val="nil"/>
              <w:bottom w:val="nil"/>
              <w:right w:val="nil"/>
            </w:tcBorders>
          </w:tcPr>
          <w:p w14:paraId="4E6B6B4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8.272</w:t>
            </w:r>
            <w:r w:rsidRPr="00D00042">
              <w:rPr>
                <w:rFonts w:ascii="Times New Roman" w:hAnsi="Times New Roman" w:cs="Times New Roman"/>
                <w:sz w:val="16"/>
                <w:szCs w:val="16"/>
                <w:vertAlign w:val="superscript"/>
              </w:rPr>
              <w:t>*</w:t>
            </w:r>
          </w:p>
        </w:tc>
        <w:tc>
          <w:tcPr>
            <w:tcW w:w="1656" w:type="dxa"/>
            <w:tcBorders>
              <w:top w:val="nil"/>
              <w:left w:val="nil"/>
              <w:bottom w:val="nil"/>
              <w:right w:val="nil"/>
            </w:tcBorders>
          </w:tcPr>
          <w:p w14:paraId="0A0027C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3.413</w:t>
            </w:r>
          </w:p>
        </w:tc>
        <w:tc>
          <w:tcPr>
            <w:tcW w:w="1656" w:type="dxa"/>
            <w:tcBorders>
              <w:top w:val="nil"/>
              <w:left w:val="nil"/>
              <w:bottom w:val="nil"/>
              <w:right w:val="nil"/>
            </w:tcBorders>
          </w:tcPr>
          <w:p w14:paraId="430245E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1.724</w:t>
            </w:r>
          </w:p>
        </w:tc>
      </w:tr>
      <w:tr w:rsidR="003A3222" w:rsidRPr="00D00042" w14:paraId="7FE43C38" w14:textId="77777777" w:rsidTr="00015B88">
        <w:tc>
          <w:tcPr>
            <w:tcW w:w="2136" w:type="dxa"/>
            <w:tcBorders>
              <w:top w:val="nil"/>
              <w:left w:val="nil"/>
              <w:bottom w:val="nil"/>
              <w:right w:val="nil"/>
            </w:tcBorders>
          </w:tcPr>
          <w:p w14:paraId="6733F07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CD64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(0.09)</w:t>
            </w:r>
          </w:p>
        </w:tc>
        <w:tc>
          <w:tcPr>
            <w:tcW w:w="1656" w:type="dxa"/>
            <w:tcBorders>
              <w:top w:val="nil"/>
              <w:left w:val="nil"/>
              <w:bottom w:val="nil"/>
              <w:right w:val="nil"/>
            </w:tcBorders>
          </w:tcPr>
          <w:p w14:paraId="71D6365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(2.46)</w:t>
            </w:r>
          </w:p>
        </w:tc>
        <w:tc>
          <w:tcPr>
            <w:tcW w:w="1656" w:type="dxa"/>
            <w:tcBorders>
              <w:top w:val="nil"/>
              <w:left w:val="nil"/>
              <w:bottom w:val="nil"/>
              <w:right w:val="nil"/>
            </w:tcBorders>
          </w:tcPr>
          <w:p w14:paraId="41EF96C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(1.04)</w:t>
            </w:r>
          </w:p>
        </w:tc>
        <w:tc>
          <w:tcPr>
            <w:tcW w:w="1656" w:type="dxa"/>
            <w:tcBorders>
              <w:top w:val="nil"/>
              <w:left w:val="nil"/>
              <w:bottom w:val="nil"/>
              <w:right w:val="nil"/>
            </w:tcBorders>
          </w:tcPr>
          <w:p w14:paraId="1F78FF3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(0.70)</w:t>
            </w:r>
          </w:p>
        </w:tc>
      </w:tr>
      <w:tr w:rsidR="003A3222" w:rsidRPr="00D00042" w14:paraId="72DE5912" w14:textId="77777777" w:rsidTr="00015B88">
        <w:tc>
          <w:tcPr>
            <w:tcW w:w="2136" w:type="dxa"/>
            <w:tcBorders>
              <w:top w:val="nil"/>
              <w:left w:val="nil"/>
              <w:bottom w:val="nil"/>
              <w:right w:val="nil"/>
            </w:tcBorders>
          </w:tcPr>
          <w:p w14:paraId="71E71C9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19F0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DDFD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00822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8E36F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0A030600" w14:textId="77777777" w:rsidTr="00015B88">
        <w:tc>
          <w:tcPr>
            <w:tcW w:w="2136" w:type="dxa"/>
            <w:tcBorders>
              <w:top w:val="nil"/>
              <w:left w:val="nil"/>
              <w:bottom w:val="nil"/>
              <w:right w:val="nil"/>
            </w:tcBorders>
          </w:tcPr>
          <w:p w14:paraId="570BF71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113B27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-0.118</w:t>
            </w:r>
          </w:p>
        </w:tc>
        <w:tc>
          <w:tcPr>
            <w:tcW w:w="1656" w:type="dxa"/>
            <w:tcBorders>
              <w:top w:val="nil"/>
              <w:left w:val="nil"/>
              <w:bottom w:val="nil"/>
              <w:right w:val="nil"/>
            </w:tcBorders>
          </w:tcPr>
          <w:p w14:paraId="6BB2F33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-0.223</w:t>
            </w:r>
          </w:p>
        </w:tc>
        <w:tc>
          <w:tcPr>
            <w:tcW w:w="1656" w:type="dxa"/>
            <w:tcBorders>
              <w:top w:val="nil"/>
              <w:left w:val="nil"/>
              <w:bottom w:val="nil"/>
              <w:right w:val="nil"/>
            </w:tcBorders>
          </w:tcPr>
          <w:p w14:paraId="4B28AF3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0.0447</w:t>
            </w:r>
          </w:p>
        </w:tc>
        <w:tc>
          <w:tcPr>
            <w:tcW w:w="1656" w:type="dxa"/>
            <w:tcBorders>
              <w:top w:val="nil"/>
              <w:left w:val="nil"/>
              <w:bottom w:val="nil"/>
              <w:right w:val="nil"/>
            </w:tcBorders>
          </w:tcPr>
          <w:p w14:paraId="72D5AAB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0.169</w:t>
            </w:r>
            <w:r w:rsidRPr="00D00042">
              <w:rPr>
                <w:rFonts w:ascii="Times New Roman" w:hAnsi="Times New Roman" w:cs="Times New Roman"/>
                <w:sz w:val="16"/>
                <w:szCs w:val="16"/>
                <w:vertAlign w:val="superscript"/>
              </w:rPr>
              <w:t>*</w:t>
            </w:r>
          </w:p>
        </w:tc>
      </w:tr>
      <w:tr w:rsidR="003A3222" w:rsidRPr="00D00042" w14:paraId="5FF83377" w14:textId="77777777" w:rsidTr="00015B88">
        <w:tc>
          <w:tcPr>
            <w:tcW w:w="2136" w:type="dxa"/>
            <w:tcBorders>
              <w:top w:val="nil"/>
              <w:left w:val="nil"/>
              <w:bottom w:val="nil"/>
              <w:right w:val="nil"/>
            </w:tcBorders>
          </w:tcPr>
          <w:p w14:paraId="3109E77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01CCA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(-1.38)</w:t>
            </w:r>
          </w:p>
        </w:tc>
        <w:tc>
          <w:tcPr>
            <w:tcW w:w="1656" w:type="dxa"/>
            <w:tcBorders>
              <w:top w:val="nil"/>
              <w:left w:val="nil"/>
              <w:bottom w:val="nil"/>
              <w:right w:val="nil"/>
            </w:tcBorders>
          </w:tcPr>
          <w:p w14:paraId="3414BEE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(-1.91)</w:t>
            </w:r>
          </w:p>
        </w:tc>
        <w:tc>
          <w:tcPr>
            <w:tcW w:w="1656" w:type="dxa"/>
            <w:tcBorders>
              <w:top w:val="nil"/>
              <w:left w:val="nil"/>
              <w:bottom w:val="nil"/>
              <w:right w:val="nil"/>
            </w:tcBorders>
          </w:tcPr>
          <w:p w14:paraId="1AED033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(0.60)</w:t>
            </w:r>
          </w:p>
        </w:tc>
        <w:tc>
          <w:tcPr>
            <w:tcW w:w="1656" w:type="dxa"/>
            <w:tcBorders>
              <w:top w:val="nil"/>
              <w:left w:val="nil"/>
              <w:bottom w:val="nil"/>
              <w:right w:val="nil"/>
            </w:tcBorders>
          </w:tcPr>
          <w:p w14:paraId="11A0C6D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(2.28)</w:t>
            </w:r>
          </w:p>
        </w:tc>
      </w:tr>
      <w:tr w:rsidR="003A3222" w:rsidRPr="00D00042" w14:paraId="1B9E415E" w14:textId="77777777" w:rsidTr="00015B88">
        <w:tc>
          <w:tcPr>
            <w:tcW w:w="2136" w:type="dxa"/>
            <w:tcBorders>
              <w:top w:val="nil"/>
              <w:left w:val="nil"/>
              <w:bottom w:val="nil"/>
              <w:right w:val="nil"/>
            </w:tcBorders>
          </w:tcPr>
          <w:p w14:paraId="4FDB398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A5C4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251F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FC34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3645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7E69404E" w14:textId="77777777" w:rsidTr="00015B88">
        <w:tc>
          <w:tcPr>
            <w:tcW w:w="2136" w:type="dxa"/>
            <w:tcBorders>
              <w:top w:val="nil"/>
              <w:left w:val="nil"/>
              <w:bottom w:val="nil"/>
              <w:right w:val="nil"/>
            </w:tcBorders>
          </w:tcPr>
          <w:p w14:paraId="213E771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Chinn-Ito index, normalized</w:t>
            </w:r>
          </w:p>
        </w:tc>
        <w:tc>
          <w:tcPr>
            <w:tcW w:w="1656" w:type="dxa"/>
            <w:tcBorders>
              <w:top w:val="nil"/>
              <w:left w:val="nil"/>
              <w:bottom w:val="nil"/>
              <w:right w:val="nil"/>
            </w:tcBorders>
          </w:tcPr>
          <w:p w14:paraId="746C3D5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-1.517</w:t>
            </w:r>
          </w:p>
        </w:tc>
        <w:tc>
          <w:tcPr>
            <w:tcW w:w="1656" w:type="dxa"/>
            <w:tcBorders>
              <w:top w:val="nil"/>
              <w:left w:val="nil"/>
              <w:bottom w:val="nil"/>
              <w:right w:val="nil"/>
            </w:tcBorders>
          </w:tcPr>
          <w:p w14:paraId="777A407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1.645</w:t>
            </w:r>
          </w:p>
        </w:tc>
        <w:tc>
          <w:tcPr>
            <w:tcW w:w="1656" w:type="dxa"/>
            <w:tcBorders>
              <w:top w:val="nil"/>
              <w:left w:val="nil"/>
              <w:bottom w:val="nil"/>
              <w:right w:val="nil"/>
            </w:tcBorders>
          </w:tcPr>
          <w:p w14:paraId="2807296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1.178</w:t>
            </w:r>
          </w:p>
        </w:tc>
        <w:tc>
          <w:tcPr>
            <w:tcW w:w="1656" w:type="dxa"/>
            <w:tcBorders>
              <w:top w:val="nil"/>
              <w:left w:val="nil"/>
              <w:bottom w:val="nil"/>
              <w:right w:val="nil"/>
            </w:tcBorders>
          </w:tcPr>
          <w:p w14:paraId="35CC6C7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3.086</w:t>
            </w:r>
          </w:p>
        </w:tc>
      </w:tr>
      <w:tr w:rsidR="003A3222" w:rsidRPr="00D00042" w14:paraId="5C69D45D" w14:textId="77777777" w:rsidTr="00015B88">
        <w:tc>
          <w:tcPr>
            <w:tcW w:w="2136" w:type="dxa"/>
            <w:tcBorders>
              <w:top w:val="nil"/>
              <w:left w:val="nil"/>
              <w:bottom w:val="nil"/>
              <w:right w:val="nil"/>
            </w:tcBorders>
          </w:tcPr>
          <w:p w14:paraId="26D4E9F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1FBB4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(-0.98)</w:t>
            </w:r>
          </w:p>
        </w:tc>
        <w:tc>
          <w:tcPr>
            <w:tcW w:w="1656" w:type="dxa"/>
            <w:tcBorders>
              <w:top w:val="nil"/>
              <w:left w:val="nil"/>
              <w:bottom w:val="nil"/>
              <w:right w:val="nil"/>
            </w:tcBorders>
          </w:tcPr>
          <w:p w14:paraId="495FC4B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(0.89)</w:t>
            </w:r>
          </w:p>
        </w:tc>
        <w:tc>
          <w:tcPr>
            <w:tcW w:w="1656" w:type="dxa"/>
            <w:tcBorders>
              <w:top w:val="nil"/>
              <w:left w:val="nil"/>
              <w:bottom w:val="nil"/>
              <w:right w:val="nil"/>
            </w:tcBorders>
          </w:tcPr>
          <w:p w14:paraId="7A0A965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(0.56)</w:t>
            </w:r>
          </w:p>
        </w:tc>
        <w:tc>
          <w:tcPr>
            <w:tcW w:w="1656" w:type="dxa"/>
            <w:tcBorders>
              <w:top w:val="nil"/>
              <w:left w:val="nil"/>
              <w:bottom w:val="nil"/>
              <w:right w:val="nil"/>
            </w:tcBorders>
          </w:tcPr>
          <w:p w14:paraId="03367D1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(1.61)</w:t>
            </w:r>
          </w:p>
        </w:tc>
      </w:tr>
      <w:tr w:rsidR="003A3222" w:rsidRPr="00D00042" w14:paraId="04F2E0AB" w14:textId="77777777" w:rsidTr="00015B88">
        <w:tc>
          <w:tcPr>
            <w:tcW w:w="2136" w:type="dxa"/>
            <w:tcBorders>
              <w:top w:val="nil"/>
              <w:left w:val="nil"/>
              <w:bottom w:val="nil"/>
              <w:right w:val="nil"/>
            </w:tcBorders>
          </w:tcPr>
          <w:p w14:paraId="6304DB0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3E4A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77A23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7507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653A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48AB1CF0" w14:textId="77777777" w:rsidTr="00015B88">
        <w:tc>
          <w:tcPr>
            <w:tcW w:w="2136" w:type="dxa"/>
            <w:tcBorders>
              <w:top w:val="nil"/>
              <w:left w:val="nil"/>
              <w:bottom w:val="nil"/>
              <w:right w:val="nil"/>
            </w:tcBorders>
          </w:tcPr>
          <w:p w14:paraId="74A1B4C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De Jure CBI * Capital Account Openness</w:t>
            </w:r>
          </w:p>
        </w:tc>
        <w:tc>
          <w:tcPr>
            <w:tcW w:w="1656" w:type="dxa"/>
            <w:tcBorders>
              <w:top w:val="nil"/>
              <w:left w:val="nil"/>
              <w:bottom w:val="nil"/>
              <w:right w:val="nil"/>
            </w:tcBorders>
          </w:tcPr>
          <w:p w14:paraId="7AA1CFA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0.523</w:t>
            </w:r>
          </w:p>
        </w:tc>
        <w:tc>
          <w:tcPr>
            <w:tcW w:w="1656" w:type="dxa"/>
            <w:tcBorders>
              <w:top w:val="nil"/>
              <w:left w:val="nil"/>
              <w:bottom w:val="nil"/>
              <w:right w:val="nil"/>
            </w:tcBorders>
          </w:tcPr>
          <w:p w14:paraId="2CA9316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-8.725</w:t>
            </w:r>
            <w:r w:rsidRPr="00D00042">
              <w:rPr>
                <w:rFonts w:ascii="Times New Roman" w:hAnsi="Times New Roman" w:cs="Times New Roman"/>
                <w:sz w:val="16"/>
                <w:szCs w:val="16"/>
                <w:vertAlign w:val="superscript"/>
              </w:rPr>
              <w:t>*</w:t>
            </w:r>
          </w:p>
        </w:tc>
        <w:tc>
          <w:tcPr>
            <w:tcW w:w="1656" w:type="dxa"/>
            <w:tcBorders>
              <w:top w:val="nil"/>
              <w:left w:val="nil"/>
              <w:bottom w:val="nil"/>
              <w:right w:val="nil"/>
            </w:tcBorders>
          </w:tcPr>
          <w:p w14:paraId="71DA467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-1.307</w:t>
            </w:r>
          </w:p>
        </w:tc>
        <w:tc>
          <w:tcPr>
            <w:tcW w:w="1656" w:type="dxa"/>
            <w:tcBorders>
              <w:top w:val="nil"/>
              <w:left w:val="nil"/>
              <w:bottom w:val="nil"/>
              <w:right w:val="nil"/>
            </w:tcBorders>
          </w:tcPr>
          <w:p w14:paraId="5DCE269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-2.001</w:t>
            </w:r>
          </w:p>
        </w:tc>
      </w:tr>
      <w:tr w:rsidR="003A3222" w:rsidRPr="00D00042" w14:paraId="44C1676D" w14:textId="77777777" w:rsidTr="00015B88">
        <w:tc>
          <w:tcPr>
            <w:tcW w:w="2136" w:type="dxa"/>
            <w:tcBorders>
              <w:top w:val="nil"/>
              <w:left w:val="nil"/>
              <w:bottom w:val="nil"/>
              <w:right w:val="nil"/>
            </w:tcBorders>
          </w:tcPr>
          <w:p w14:paraId="6781F1D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87A7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(0.17)</w:t>
            </w:r>
          </w:p>
        </w:tc>
        <w:tc>
          <w:tcPr>
            <w:tcW w:w="1656" w:type="dxa"/>
            <w:tcBorders>
              <w:top w:val="nil"/>
              <w:left w:val="nil"/>
              <w:bottom w:val="nil"/>
              <w:right w:val="nil"/>
            </w:tcBorders>
          </w:tcPr>
          <w:p w14:paraId="4EEFC0A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(-2.16)</w:t>
            </w:r>
          </w:p>
        </w:tc>
        <w:tc>
          <w:tcPr>
            <w:tcW w:w="1656" w:type="dxa"/>
            <w:tcBorders>
              <w:top w:val="nil"/>
              <w:left w:val="nil"/>
              <w:bottom w:val="nil"/>
              <w:right w:val="nil"/>
            </w:tcBorders>
          </w:tcPr>
          <w:p w14:paraId="5EBEF68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(-0.33)</w:t>
            </w:r>
          </w:p>
        </w:tc>
        <w:tc>
          <w:tcPr>
            <w:tcW w:w="1656" w:type="dxa"/>
            <w:tcBorders>
              <w:top w:val="nil"/>
              <w:left w:val="nil"/>
              <w:bottom w:val="nil"/>
              <w:right w:val="nil"/>
            </w:tcBorders>
          </w:tcPr>
          <w:p w14:paraId="5F04586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(-0.65)</w:t>
            </w:r>
          </w:p>
        </w:tc>
      </w:tr>
      <w:tr w:rsidR="003A3222" w:rsidRPr="00D00042" w14:paraId="2723E617" w14:textId="77777777" w:rsidTr="00015B88">
        <w:tc>
          <w:tcPr>
            <w:tcW w:w="2136" w:type="dxa"/>
            <w:tcBorders>
              <w:top w:val="nil"/>
              <w:left w:val="nil"/>
              <w:bottom w:val="nil"/>
              <w:right w:val="nil"/>
            </w:tcBorders>
          </w:tcPr>
          <w:p w14:paraId="4AA996E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0F727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A60DF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72064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66E9C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3BFFC7A1" w14:textId="77777777" w:rsidTr="00015B88">
        <w:tc>
          <w:tcPr>
            <w:tcW w:w="2136" w:type="dxa"/>
            <w:tcBorders>
              <w:top w:val="nil"/>
              <w:left w:val="nil"/>
              <w:bottom w:val="nil"/>
              <w:right w:val="nil"/>
            </w:tcBorders>
          </w:tcPr>
          <w:p w14:paraId="273ED5E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30A1A93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-0.00535</w:t>
            </w:r>
          </w:p>
        </w:tc>
        <w:tc>
          <w:tcPr>
            <w:tcW w:w="1656" w:type="dxa"/>
            <w:tcBorders>
              <w:top w:val="nil"/>
              <w:left w:val="nil"/>
              <w:bottom w:val="nil"/>
              <w:right w:val="nil"/>
            </w:tcBorders>
          </w:tcPr>
          <w:p w14:paraId="44E5345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0.132</w:t>
            </w:r>
          </w:p>
        </w:tc>
        <w:tc>
          <w:tcPr>
            <w:tcW w:w="1656" w:type="dxa"/>
            <w:tcBorders>
              <w:top w:val="nil"/>
              <w:left w:val="nil"/>
              <w:bottom w:val="nil"/>
              <w:right w:val="nil"/>
            </w:tcBorders>
          </w:tcPr>
          <w:p w14:paraId="2816B30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-0.121</w:t>
            </w:r>
          </w:p>
        </w:tc>
        <w:tc>
          <w:tcPr>
            <w:tcW w:w="1656" w:type="dxa"/>
            <w:tcBorders>
              <w:top w:val="nil"/>
              <w:left w:val="nil"/>
              <w:bottom w:val="nil"/>
              <w:right w:val="nil"/>
            </w:tcBorders>
          </w:tcPr>
          <w:p w14:paraId="09DE9B7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-0.335</w:t>
            </w:r>
            <w:r w:rsidRPr="00D00042">
              <w:rPr>
                <w:rFonts w:ascii="Times New Roman" w:hAnsi="Times New Roman" w:cs="Times New Roman"/>
                <w:sz w:val="16"/>
                <w:szCs w:val="16"/>
                <w:vertAlign w:val="superscript"/>
              </w:rPr>
              <w:t>*</w:t>
            </w:r>
          </w:p>
        </w:tc>
      </w:tr>
      <w:tr w:rsidR="003A3222" w:rsidRPr="00D00042" w14:paraId="5D8D977E" w14:textId="77777777" w:rsidTr="00015B88">
        <w:tc>
          <w:tcPr>
            <w:tcW w:w="2136" w:type="dxa"/>
            <w:tcBorders>
              <w:top w:val="nil"/>
              <w:left w:val="nil"/>
              <w:bottom w:val="nil"/>
              <w:right w:val="nil"/>
            </w:tcBorders>
          </w:tcPr>
          <w:p w14:paraId="5E9A2E5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F000E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(-0.04)</w:t>
            </w:r>
          </w:p>
        </w:tc>
        <w:tc>
          <w:tcPr>
            <w:tcW w:w="1656" w:type="dxa"/>
            <w:tcBorders>
              <w:top w:val="nil"/>
              <w:left w:val="nil"/>
              <w:bottom w:val="nil"/>
              <w:right w:val="nil"/>
            </w:tcBorders>
          </w:tcPr>
          <w:p w14:paraId="215F036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(0.76)</w:t>
            </w:r>
          </w:p>
        </w:tc>
        <w:tc>
          <w:tcPr>
            <w:tcW w:w="1656" w:type="dxa"/>
            <w:tcBorders>
              <w:top w:val="nil"/>
              <w:left w:val="nil"/>
              <w:bottom w:val="nil"/>
              <w:right w:val="nil"/>
            </w:tcBorders>
          </w:tcPr>
          <w:p w14:paraId="551207F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(-0.88)</w:t>
            </w:r>
          </w:p>
        </w:tc>
        <w:tc>
          <w:tcPr>
            <w:tcW w:w="1656" w:type="dxa"/>
            <w:tcBorders>
              <w:top w:val="nil"/>
              <w:left w:val="nil"/>
              <w:bottom w:val="nil"/>
              <w:right w:val="nil"/>
            </w:tcBorders>
          </w:tcPr>
          <w:p w14:paraId="2FC96DF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(-2.22)</w:t>
            </w:r>
          </w:p>
        </w:tc>
      </w:tr>
      <w:tr w:rsidR="003A3222" w:rsidRPr="00D00042" w14:paraId="49499017" w14:textId="77777777" w:rsidTr="00015B88">
        <w:tc>
          <w:tcPr>
            <w:tcW w:w="2136" w:type="dxa"/>
            <w:tcBorders>
              <w:top w:val="nil"/>
              <w:left w:val="nil"/>
              <w:bottom w:val="nil"/>
              <w:right w:val="nil"/>
            </w:tcBorders>
          </w:tcPr>
          <w:p w14:paraId="1BF99E0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3069E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5BAA5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A1D8B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4B96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282AA174" w14:textId="77777777" w:rsidTr="00015B88">
        <w:tc>
          <w:tcPr>
            <w:tcW w:w="2136" w:type="dxa"/>
            <w:tcBorders>
              <w:top w:val="nil"/>
              <w:left w:val="nil"/>
              <w:bottom w:val="nil"/>
              <w:right w:val="nil"/>
            </w:tcBorders>
          </w:tcPr>
          <w:p w14:paraId="26299CDF"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D00042">
              <w:rPr>
                <w:rFonts w:ascii="Times New Roman" w:hAnsi="Times New Roman" w:cs="Times New Roman"/>
                <w:sz w:val="16"/>
                <w:szCs w:val="16"/>
              </w:rPr>
              <w:t>L.De</w:t>
            </w:r>
            <w:proofErr w:type="spellEnd"/>
            <w:r w:rsidRPr="00D00042">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573DAA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1.523</w:t>
            </w:r>
          </w:p>
        </w:tc>
        <w:tc>
          <w:tcPr>
            <w:tcW w:w="1656" w:type="dxa"/>
            <w:tcBorders>
              <w:top w:val="nil"/>
              <w:left w:val="nil"/>
              <w:bottom w:val="nil"/>
              <w:right w:val="nil"/>
            </w:tcBorders>
          </w:tcPr>
          <w:p w14:paraId="6898D32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-4.588</w:t>
            </w:r>
          </w:p>
        </w:tc>
        <w:tc>
          <w:tcPr>
            <w:tcW w:w="1656" w:type="dxa"/>
            <w:tcBorders>
              <w:top w:val="nil"/>
              <w:left w:val="nil"/>
              <w:bottom w:val="nil"/>
              <w:right w:val="nil"/>
            </w:tcBorders>
          </w:tcPr>
          <w:p w14:paraId="49E92A6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-4.112</w:t>
            </w:r>
          </w:p>
        </w:tc>
        <w:tc>
          <w:tcPr>
            <w:tcW w:w="1656" w:type="dxa"/>
            <w:tcBorders>
              <w:top w:val="nil"/>
              <w:left w:val="nil"/>
              <w:bottom w:val="nil"/>
              <w:right w:val="nil"/>
            </w:tcBorders>
          </w:tcPr>
          <w:p w14:paraId="110C83D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1.339</w:t>
            </w:r>
          </w:p>
        </w:tc>
      </w:tr>
      <w:tr w:rsidR="003A3222" w:rsidRPr="00D00042" w14:paraId="4AE1186F" w14:textId="77777777" w:rsidTr="00015B88">
        <w:tc>
          <w:tcPr>
            <w:tcW w:w="2136" w:type="dxa"/>
            <w:tcBorders>
              <w:top w:val="nil"/>
              <w:left w:val="nil"/>
              <w:bottom w:val="nil"/>
              <w:right w:val="nil"/>
            </w:tcBorders>
          </w:tcPr>
          <w:p w14:paraId="0680AA8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1A7FD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(0.51)</w:t>
            </w:r>
          </w:p>
        </w:tc>
        <w:tc>
          <w:tcPr>
            <w:tcW w:w="1656" w:type="dxa"/>
            <w:tcBorders>
              <w:top w:val="nil"/>
              <w:left w:val="nil"/>
              <w:bottom w:val="nil"/>
              <w:right w:val="nil"/>
            </w:tcBorders>
          </w:tcPr>
          <w:p w14:paraId="40A6440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(-1.04)</w:t>
            </w:r>
          </w:p>
        </w:tc>
        <w:tc>
          <w:tcPr>
            <w:tcW w:w="1656" w:type="dxa"/>
            <w:tcBorders>
              <w:top w:val="nil"/>
              <w:left w:val="nil"/>
              <w:bottom w:val="nil"/>
              <w:right w:val="nil"/>
            </w:tcBorders>
          </w:tcPr>
          <w:p w14:paraId="458D795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(-0.99)</w:t>
            </w:r>
          </w:p>
        </w:tc>
        <w:tc>
          <w:tcPr>
            <w:tcW w:w="1656" w:type="dxa"/>
            <w:tcBorders>
              <w:top w:val="nil"/>
              <w:left w:val="nil"/>
              <w:bottom w:val="nil"/>
              <w:right w:val="nil"/>
            </w:tcBorders>
          </w:tcPr>
          <w:p w14:paraId="5F75F26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(1.07)</w:t>
            </w:r>
          </w:p>
        </w:tc>
      </w:tr>
      <w:tr w:rsidR="003A3222" w:rsidRPr="00D00042" w14:paraId="0FBED245" w14:textId="77777777" w:rsidTr="00015B88">
        <w:tc>
          <w:tcPr>
            <w:tcW w:w="2136" w:type="dxa"/>
            <w:tcBorders>
              <w:top w:val="nil"/>
              <w:left w:val="nil"/>
              <w:bottom w:val="nil"/>
              <w:right w:val="nil"/>
            </w:tcBorders>
          </w:tcPr>
          <w:p w14:paraId="38732AF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370D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4CA34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21877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5750A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2F8CB652" w14:textId="77777777" w:rsidTr="00015B88">
        <w:tc>
          <w:tcPr>
            <w:tcW w:w="2136" w:type="dxa"/>
            <w:tcBorders>
              <w:top w:val="nil"/>
              <w:left w:val="nil"/>
              <w:bottom w:val="nil"/>
              <w:right w:val="nil"/>
            </w:tcBorders>
          </w:tcPr>
          <w:p w14:paraId="2695573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 xml:space="preserve">L2.De Jure CBI (CNW </w:t>
            </w:r>
            <w:r w:rsidRPr="00D00042">
              <w:rPr>
                <w:rFonts w:ascii="Times New Roman" w:hAnsi="Times New Roman" w:cs="Times New Roman"/>
                <w:sz w:val="16"/>
                <w:szCs w:val="16"/>
              </w:rPr>
              <w:lastRenderedPageBreak/>
              <w:t>Index)</w:t>
            </w:r>
          </w:p>
        </w:tc>
        <w:tc>
          <w:tcPr>
            <w:tcW w:w="1656" w:type="dxa"/>
            <w:tcBorders>
              <w:top w:val="nil"/>
              <w:left w:val="nil"/>
              <w:bottom w:val="nil"/>
              <w:right w:val="nil"/>
            </w:tcBorders>
          </w:tcPr>
          <w:p w14:paraId="4A40A58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lastRenderedPageBreak/>
              <w:t>-3.573</w:t>
            </w:r>
          </w:p>
        </w:tc>
        <w:tc>
          <w:tcPr>
            <w:tcW w:w="1656" w:type="dxa"/>
            <w:tcBorders>
              <w:top w:val="nil"/>
              <w:left w:val="nil"/>
              <w:bottom w:val="nil"/>
              <w:right w:val="nil"/>
            </w:tcBorders>
          </w:tcPr>
          <w:p w14:paraId="2D1A711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1.523</w:t>
            </w:r>
          </w:p>
        </w:tc>
        <w:tc>
          <w:tcPr>
            <w:tcW w:w="1656" w:type="dxa"/>
            <w:tcBorders>
              <w:top w:val="nil"/>
              <w:left w:val="nil"/>
              <w:bottom w:val="nil"/>
              <w:right w:val="nil"/>
            </w:tcBorders>
          </w:tcPr>
          <w:p w14:paraId="6A70C19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2.557</w:t>
            </w:r>
          </w:p>
        </w:tc>
        <w:tc>
          <w:tcPr>
            <w:tcW w:w="1656" w:type="dxa"/>
            <w:tcBorders>
              <w:top w:val="nil"/>
              <w:left w:val="nil"/>
              <w:bottom w:val="nil"/>
              <w:right w:val="nil"/>
            </w:tcBorders>
          </w:tcPr>
          <w:p w14:paraId="02C08A7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-0.491</w:t>
            </w:r>
          </w:p>
        </w:tc>
      </w:tr>
      <w:tr w:rsidR="003A3222" w:rsidRPr="00D00042" w14:paraId="7FBE6224" w14:textId="77777777" w:rsidTr="00015B88">
        <w:tc>
          <w:tcPr>
            <w:tcW w:w="2136" w:type="dxa"/>
            <w:tcBorders>
              <w:top w:val="nil"/>
              <w:left w:val="nil"/>
              <w:bottom w:val="nil"/>
              <w:right w:val="nil"/>
            </w:tcBorders>
          </w:tcPr>
          <w:p w14:paraId="443B3F6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FB6A0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(-1.36)</w:t>
            </w:r>
          </w:p>
        </w:tc>
        <w:tc>
          <w:tcPr>
            <w:tcW w:w="1656" w:type="dxa"/>
            <w:tcBorders>
              <w:top w:val="nil"/>
              <w:left w:val="nil"/>
              <w:bottom w:val="nil"/>
              <w:right w:val="nil"/>
            </w:tcBorders>
          </w:tcPr>
          <w:p w14:paraId="5B2000D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(0.42)</w:t>
            </w:r>
          </w:p>
        </w:tc>
        <w:tc>
          <w:tcPr>
            <w:tcW w:w="1656" w:type="dxa"/>
            <w:tcBorders>
              <w:top w:val="nil"/>
              <w:left w:val="nil"/>
              <w:bottom w:val="nil"/>
              <w:right w:val="nil"/>
            </w:tcBorders>
          </w:tcPr>
          <w:p w14:paraId="75CDE21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(0.67)</w:t>
            </w:r>
          </w:p>
        </w:tc>
        <w:tc>
          <w:tcPr>
            <w:tcW w:w="1656" w:type="dxa"/>
            <w:tcBorders>
              <w:top w:val="nil"/>
              <w:left w:val="nil"/>
              <w:bottom w:val="nil"/>
              <w:right w:val="nil"/>
            </w:tcBorders>
          </w:tcPr>
          <w:p w14:paraId="76679B5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(-0.21)</w:t>
            </w:r>
          </w:p>
        </w:tc>
      </w:tr>
      <w:tr w:rsidR="003A3222" w:rsidRPr="00D00042" w14:paraId="45660243" w14:textId="77777777" w:rsidTr="00015B88">
        <w:tc>
          <w:tcPr>
            <w:tcW w:w="2136" w:type="dxa"/>
            <w:tcBorders>
              <w:top w:val="nil"/>
              <w:left w:val="nil"/>
              <w:bottom w:val="nil"/>
              <w:right w:val="nil"/>
            </w:tcBorders>
          </w:tcPr>
          <w:p w14:paraId="45C7F8B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9C4A4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A9DE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E8500F"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53F83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5BC6460B" w14:textId="77777777" w:rsidTr="00015B88">
        <w:tc>
          <w:tcPr>
            <w:tcW w:w="2136" w:type="dxa"/>
            <w:tcBorders>
              <w:top w:val="nil"/>
              <w:left w:val="nil"/>
              <w:bottom w:val="nil"/>
              <w:right w:val="nil"/>
            </w:tcBorders>
          </w:tcPr>
          <w:p w14:paraId="7571AB9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L3.De Jure CBI (CNW Index)</w:t>
            </w:r>
          </w:p>
        </w:tc>
        <w:tc>
          <w:tcPr>
            <w:tcW w:w="1656" w:type="dxa"/>
            <w:tcBorders>
              <w:top w:val="nil"/>
              <w:left w:val="nil"/>
              <w:bottom w:val="nil"/>
              <w:right w:val="nil"/>
            </w:tcBorders>
          </w:tcPr>
          <w:p w14:paraId="24D0A53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2.686</w:t>
            </w:r>
          </w:p>
        </w:tc>
        <w:tc>
          <w:tcPr>
            <w:tcW w:w="1656" w:type="dxa"/>
            <w:tcBorders>
              <w:top w:val="nil"/>
              <w:left w:val="nil"/>
              <w:bottom w:val="nil"/>
              <w:right w:val="nil"/>
            </w:tcBorders>
          </w:tcPr>
          <w:p w14:paraId="735FBF7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-6.709</w:t>
            </w:r>
          </w:p>
        </w:tc>
        <w:tc>
          <w:tcPr>
            <w:tcW w:w="1656" w:type="dxa"/>
            <w:tcBorders>
              <w:top w:val="nil"/>
              <w:left w:val="nil"/>
              <w:bottom w:val="nil"/>
              <w:right w:val="nil"/>
            </w:tcBorders>
          </w:tcPr>
          <w:p w14:paraId="3B4236A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-1.963</w:t>
            </w:r>
          </w:p>
        </w:tc>
        <w:tc>
          <w:tcPr>
            <w:tcW w:w="1656" w:type="dxa"/>
            <w:tcBorders>
              <w:top w:val="nil"/>
              <w:left w:val="nil"/>
              <w:bottom w:val="nil"/>
              <w:right w:val="nil"/>
            </w:tcBorders>
          </w:tcPr>
          <w:p w14:paraId="7637F53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1.801</w:t>
            </w:r>
          </w:p>
        </w:tc>
      </w:tr>
      <w:tr w:rsidR="003A3222" w:rsidRPr="00D00042" w14:paraId="41522814" w14:textId="77777777" w:rsidTr="00015B88">
        <w:tc>
          <w:tcPr>
            <w:tcW w:w="2136" w:type="dxa"/>
            <w:tcBorders>
              <w:top w:val="nil"/>
              <w:left w:val="nil"/>
              <w:bottom w:val="nil"/>
              <w:right w:val="nil"/>
            </w:tcBorders>
          </w:tcPr>
          <w:p w14:paraId="607A0DE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74451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(0.92)</w:t>
            </w:r>
          </w:p>
        </w:tc>
        <w:tc>
          <w:tcPr>
            <w:tcW w:w="1656" w:type="dxa"/>
            <w:tcBorders>
              <w:top w:val="nil"/>
              <w:left w:val="nil"/>
              <w:bottom w:val="nil"/>
              <w:right w:val="nil"/>
            </w:tcBorders>
          </w:tcPr>
          <w:p w14:paraId="188A511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(-1.66)</w:t>
            </w:r>
          </w:p>
        </w:tc>
        <w:tc>
          <w:tcPr>
            <w:tcW w:w="1656" w:type="dxa"/>
            <w:tcBorders>
              <w:top w:val="nil"/>
              <w:left w:val="nil"/>
              <w:bottom w:val="nil"/>
              <w:right w:val="nil"/>
            </w:tcBorders>
          </w:tcPr>
          <w:p w14:paraId="0D56279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(-0.51)</w:t>
            </w:r>
          </w:p>
        </w:tc>
        <w:tc>
          <w:tcPr>
            <w:tcW w:w="1656" w:type="dxa"/>
            <w:tcBorders>
              <w:top w:val="nil"/>
              <w:left w:val="nil"/>
              <w:bottom w:val="nil"/>
              <w:right w:val="nil"/>
            </w:tcBorders>
          </w:tcPr>
          <w:p w14:paraId="3D38A65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(1.05)</w:t>
            </w:r>
          </w:p>
        </w:tc>
      </w:tr>
      <w:tr w:rsidR="003A3222" w:rsidRPr="00D00042" w14:paraId="441EA912" w14:textId="77777777" w:rsidTr="00015B88">
        <w:tc>
          <w:tcPr>
            <w:tcW w:w="2136" w:type="dxa"/>
            <w:tcBorders>
              <w:top w:val="nil"/>
              <w:left w:val="nil"/>
              <w:bottom w:val="nil"/>
              <w:right w:val="nil"/>
            </w:tcBorders>
          </w:tcPr>
          <w:p w14:paraId="07D8644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8AD50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1C197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0A61A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50C83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1C4D4E58" w14:textId="77777777" w:rsidTr="00015B88">
        <w:tc>
          <w:tcPr>
            <w:tcW w:w="2136" w:type="dxa"/>
            <w:tcBorders>
              <w:top w:val="nil"/>
              <w:left w:val="nil"/>
              <w:bottom w:val="nil"/>
              <w:right w:val="nil"/>
            </w:tcBorders>
          </w:tcPr>
          <w:p w14:paraId="6748FA5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L4.De Jure CBI (CNW Index)</w:t>
            </w:r>
          </w:p>
        </w:tc>
        <w:tc>
          <w:tcPr>
            <w:tcW w:w="1656" w:type="dxa"/>
            <w:tcBorders>
              <w:top w:val="nil"/>
              <w:left w:val="nil"/>
              <w:bottom w:val="nil"/>
              <w:right w:val="nil"/>
            </w:tcBorders>
          </w:tcPr>
          <w:p w14:paraId="75B9D86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-1.302</w:t>
            </w:r>
          </w:p>
        </w:tc>
        <w:tc>
          <w:tcPr>
            <w:tcW w:w="1656" w:type="dxa"/>
            <w:tcBorders>
              <w:top w:val="nil"/>
              <w:left w:val="nil"/>
              <w:bottom w:val="nil"/>
              <w:right w:val="nil"/>
            </w:tcBorders>
          </w:tcPr>
          <w:p w14:paraId="75AF51E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2.465</w:t>
            </w:r>
          </w:p>
        </w:tc>
        <w:tc>
          <w:tcPr>
            <w:tcW w:w="1656" w:type="dxa"/>
            <w:tcBorders>
              <w:top w:val="nil"/>
              <w:left w:val="nil"/>
              <w:bottom w:val="nil"/>
              <w:right w:val="nil"/>
            </w:tcBorders>
          </w:tcPr>
          <w:p w14:paraId="61E652E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2.085</w:t>
            </w:r>
          </w:p>
        </w:tc>
        <w:tc>
          <w:tcPr>
            <w:tcW w:w="1656" w:type="dxa"/>
            <w:tcBorders>
              <w:top w:val="nil"/>
              <w:left w:val="nil"/>
              <w:bottom w:val="nil"/>
              <w:right w:val="nil"/>
            </w:tcBorders>
          </w:tcPr>
          <w:p w14:paraId="5C073A1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-2.256</w:t>
            </w:r>
          </w:p>
        </w:tc>
      </w:tr>
      <w:tr w:rsidR="003A3222" w:rsidRPr="00D00042" w14:paraId="2E948A3D" w14:textId="77777777" w:rsidTr="00015B88">
        <w:tc>
          <w:tcPr>
            <w:tcW w:w="2136" w:type="dxa"/>
            <w:tcBorders>
              <w:top w:val="nil"/>
              <w:left w:val="nil"/>
              <w:bottom w:val="nil"/>
              <w:right w:val="nil"/>
            </w:tcBorders>
          </w:tcPr>
          <w:p w14:paraId="5CC3375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F1FB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(-0.42)</w:t>
            </w:r>
          </w:p>
        </w:tc>
        <w:tc>
          <w:tcPr>
            <w:tcW w:w="1656" w:type="dxa"/>
            <w:tcBorders>
              <w:top w:val="nil"/>
              <w:left w:val="nil"/>
              <w:bottom w:val="nil"/>
              <w:right w:val="nil"/>
            </w:tcBorders>
          </w:tcPr>
          <w:p w14:paraId="52E03C7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(0.62)</w:t>
            </w:r>
          </w:p>
        </w:tc>
        <w:tc>
          <w:tcPr>
            <w:tcW w:w="1656" w:type="dxa"/>
            <w:tcBorders>
              <w:top w:val="nil"/>
              <w:left w:val="nil"/>
              <w:bottom w:val="nil"/>
              <w:right w:val="nil"/>
            </w:tcBorders>
          </w:tcPr>
          <w:p w14:paraId="7F7BA52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(0.50)</w:t>
            </w:r>
          </w:p>
        </w:tc>
        <w:tc>
          <w:tcPr>
            <w:tcW w:w="1656" w:type="dxa"/>
            <w:tcBorders>
              <w:top w:val="nil"/>
              <w:left w:val="nil"/>
              <w:bottom w:val="nil"/>
              <w:right w:val="nil"/>
            </w:tcBorders>
          </w:tcPr>
          <w:p w14:paraId="457B847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(-1.76)</w:t>
            </w:r>
          </w:p>
        </w:tc>
      </w:tr>
      <w:tr w:rsidR="003A3222" w:rsidRPr="00D00042" w14:paraId="617B523F" w14:textId="77777777" w:rsidTr="00015B88">
        <w:tc>
          <w:tcPr>
            <w:tcW w:w="2136" w:type="dxa"/>
            <w:tcBorders>
              <w:top w:val="nil"/>
              <w:left w:val="nil"/>
              <w:bottom w:val="nil"/>
              <w:right w:val="nil"/>
            </w:tcBorders>
          </w:tcPr>
          <w:p w14:paraId="13881FE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D91C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0F42F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898B6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B5975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43D36258" w14:textId="77777777" w:rsidTr="00015B88">
        <w:tc>
          <w:tcPr>
            <w:tcW w:w="2136" w:type="dxa"/>
            <w:tcBorders>
              <w:top w:val="nil"/>
              <w:left w:val="nil"/>
              <w:bottom w:val="nil"/>
              <w:right w:val="nil"/>
            </w:tcBorders>
          </w:tcPr>
          <w:p w14:paraId="530F27D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L5.De Jure CBI (CNW Index)</w:t>
            </w:r>
          </w:p>
        </w:tc>
        <w:tc>
          <w:tcPr>
            <w:tcW w:w="1656" w:type="dxa"/>
            <w:tcBorders>
              <w:top w:val="nil"/>
              <w:left w:val="nil"/>
              <w:bottom w:val="nil"/>
              <w:right w:val="nil"/>
            </w:tcBorders>
          </w:tcPr>
          <w:p w14:paraId="0777F44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4.002</w:t>
            </w:r>
          </w:p>
        </w:tc>
        <w:tc>
          <w:tcPr>
            <w:tcW w:w="1656" w:type="dxa"/>
            <w:tcBorders>
              <w:top w:val="nil"/>
              <w:left w:val="nil"/>
              <w:bottom w:val="nil"/>
              <w:right w:val="nil"/>
            </w:tcBorders>
          </w:tcPr>
          <w:p w14:paraId="1FE29F0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1.820</w:t>
            </w:r>
          </w:p>
        </w:tc>
        <w:tc>
          <w:tcPr>
            <w:tcW w:w="1656" w:type="dxa"/>
            <w:tcBorders>
              <w:top w:val="nil"/>
              <w:left w:val="nil"/>
              <w:bottom w:val="nil"/>
              <w:right w:val="nil"/>
            </w:tcBorders>
          </w:tcPr>
          <w:p w14:paraId="53FBD6F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-0.427</w:t>
            </w:r>
          </w:p>
        </w:tc>
        <w:tc>
          <w:tcPr>
            <w:tcW w:w="1656" w:type="dxa"/>
            <w:tcBorders>
              <w:top w:val="nil"/>
              <w:left w:val="nil"/>
              <w:bottom w:val="nil"/>
              <w:right w:val="nil"/>
            </w:tcBorders>
          </w:tcPr>
          <w:p w14:paraId="7F7197A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0.0560</w:t>
            </w:r>
          </w:p>
        </w:tc>
      </w:tr>
      <w:tr w:rsidR="003A3222" w:rsidRPr="00D00042" w14:paraId="7C55030A" w14:textId="77777777" w:rsidTr="00015B88">
        <w:tc>
          <w:tcPr>
            <w:tcW w:w="2136" w:type="dxa"/>
            <w:tcBorders>
              <w:top w:val="nil"/>
              <w:left w:val="nil"/>
              <w:bottom w:val="nil"/>
              <w:right w:val="nil"/>
            </w:tcBorders>
          </w:tcPr>
          <w:p w14:paraId="1F7095E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3265E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(1.42)</w:t>
            </w:r>
          </w:p>
        </w:tc>
        <w:tc>
          <w:tcPr>
            <w:tcW w:w="1656" w:type="dxa"/>
            <w:tcBorders>
              <w:top w:val="nil"/>
              <w:left w:val="nil"/>
              <w:bottom w:val="nil"/>
              <w:right w:val="nil"/>
            </w:tcBorders>
          </w:tcPr>
          <w:p w14:paraId="517D0DB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(0.49)</w:t>
            </w:r>
          </w:p>
        </w:tc>
        <w:tc>
          <w:tcPr>
            <w:tcW w:w="1656" w:type="dxa"/>
            <w:tcBorders>
              <w:top w:val="nil"/>
              <w:left w:val="nil"/>
              <w:bottom w:val="nil"/>
              <w:right w:val="nil"/>
            </w:tcBorders>
          </w:tcPr>
          <w:p w14:paraId="4584E0E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(-0.11)</w:t>
            </w:r>
          </w:p>
        </w:tc>
        <w:tc>
          <w:tcPr>
            <w:tcW w:w="1656" w:type="dxa"/>
            <w:tcBorders>
              <w:top w:val="nil"/>
              <w:left w:val="nil"/>
              <w:bottom w:val="nil"/>
              <w:right w:val="nil"/>
            </w:tcBorders>
          </w:tcPr>
          <w:p w14:paraId="15B5D91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(0.03)</w:t>
            </w:r>
          </w:p>
        </w:tc>
      </w:tr>
      <w:tr w:rsidR="003A3222" w:rsidRPr="00D00042" w14:paraId="4A412FA0" w14:textId="77777777" w:rsidTr="00015B88">
        <w:tc>
          <w:tcPr>
            <w:tcW w:w="2136" w:type="dxa"/>
            <w:tcBorders>
              <w:top w:val="nil"/>
              <w:left w:val="nil"/>
              <w:bottom w:val="nil"/>
              <w:right w:val="nil"/>
            </w:tcBorders>
          </w:tcPr>
          <w:p w14:paraId="64629AB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D6DAC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35B1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1A123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99CC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092CAC96" w14:textId="77777777" w:rsidTr="00015B88">
        <w:tc>
          <w:tcPr>
            <w:tcW w:w="2136" w:type="dxa"/>
            <w:tcBorders>
              <w:top w:val="nil"/>
              <w:left w:val="nil"/>
              <w:bottom w:val="nil"/>
              <w:right w:val="nil"/>
            </w:tcBorders>
          </w:tcPr>
          <w:p w14:paraId="41CCEE2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L6.De Jure CBI (CNW Index)</w:t>
            </w:r>
          </w:p>
        </w:tc>
        <w:tc>
          <w:tcPr>
            <w:tcW w:w="1656" w:type="dxa"/>
            <w:tcBorders>
              <w:top w:val="nil"/>
              <w:left w:val="nil"/>
              <w:bottom w:val="nil"/>
              <w:right w:val="nil"/>
            </w:tcBorders>
          </w:tcPr>
          <w:p w14:paraId="6DD956F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-3.392</w:t>
            </w:r>
          </w:p>
        </w:tc>
        <w:tc>
          <w:tcPr>
            <w:tcW w:w="1656" w:type="dxa"/>
            <w:tcBorders>
              <w:top w:val="nil"/>
              <w:left w:val="nil"/>
              <w:bottom w:val="nil"/>
              <w:right w:val="nil"/>
            </w:tcBorders>
          </w:tcPr>
          <w:p w14:paraId="45EAF55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2.814</w:t>
            </w:r>
          </w:p>
        </w:tc>
        <w:tc>
          <w:tcPr>
            <w:tcW w:w="1656" w:type="dxa"/>
            <w:tcBorders>
              <w:top w:val="nil"/>
              <w:left w:val="nil"/>
              <w:bottom w:val="nil"/>
              <w:right w:val="nil"/>
            </w:tcBorders>
          </w:tcPr>
          <w:p w14:paraId="61D1C9F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-1.028</w:t>
            </w:r>
          </w:p>
        </w:tc>
        <w:tc>
          <w:tcPr>
            <w:tcW w:w="1656" w:type="dxa"/>
            <w:tcBorders>
              <w:top w:val="nil"/>
              <w:left w:val="nil"/>
              <w:bottom w:val="nil"/>
              <w:right w:val="nil"/>
            </w:tcBorders>
          </w:tcPr>
          <w:p w14:paraId="483DE2A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5.443</w:t>
            </w:r>
            <w:r w:rsidRPr="00D00042">
              <w:rPr>
                <w:rFonts w:ascii="Times New Roman" w:hAnsi="Times New Roman" w:cs="Times New Roman"/>
                <w:sz w:val="16"/>
                <w:szCs w:val="16"/>
                <w:vertAlign w:val="superscript"/>
              </w:rPr>
              <w:t>*</w:t>
            </w:r>
          </w:p>
        </w:tc>
      </w:tr>
      <w:tr w:rsidR="003A3222" w:rsidRPr="00D00042" w14:paraId="55FE7E4E" w14:textId="77777777" w:rsidTr="00015B88">
        <w:tc>
          <w:tcPr>
            <w:tcW w:w="2136" w:type="dxa"/>
            <w:tcBorders>
              <w:top w:val="nil"/>
              <w:left w:val="nil"/>
              <w:bottom w:val="nil"/>
              <w:right w:val="nil"/>
            </w:tcBorders>
          </w:tcPr>
          <w:p w14:paraId="11E5A56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0708A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(-0.95)</w:t>
            </w:r>
          </w:p>
        </w:tc>
        <w:tc>
          <w:tcPr>
            <w:tcW w:w="1656" w:type="dxa"/>
            <w:tcBorders>
              <w:top w:val="nil"/>
              <w:left w:val="nil"/>
              <w:bottom w:val="nil"/>
              <w:right w:val="nil"/>
            </w:tcBorders>
          </w:tcPr>
          <w:p w14:paraId="52E3DD4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(0.69)</w:t>
            </w:r>
          </w:p>
        </w:tc>
        <w:tc>
          <w:tcPr>
            <w:tcW w:w="1656" w:type="dxa"/>
            <w:tcBorders>
              <w:top w:val="nil"/>
              <w:left w:val="nil"/>
              <w:bottom w:val="nil"/>
              <w:right w:val="nil"/>
            </w:tcBorders>
          </w:tcPr>
          <w:p w14:paraId="0AAC311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(-0.27)</w:t>
            </w:r>
          </w:p>
        </w:tc>
        <w:tc>
          <w:tcPr>
            <w:tcW w:w="1656" w:type="dxa"/>
            <w:tcBorders>
              <w:top w:val="nil"/>
              <w:left w:val="nil"/>
              <w:bottom w:val="nil"/>
              <w:right w:val="nil"/>
            </w:tcBorders>
          </w:tcPr>
          <w:p w14:paraId="0AE388A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(2.08)</w:t>
            </w:r>
          </w:p>
        </w:tc>
      </w:tr>
      <w:tr w:rsidR="003A3222" w:rsidRPr="00D00042" w14:paraId="27C12424" w14:textId="77777777" w:rsidTr="00015B88">
        <w:tc>
          <w:tcPr>
            <w:tcW w:w="2136" w:type="dxa"/>
            <w:tcBorders>
              <w:top w:val="nil"/>
              <w:left w:val="nil"/>
              <w:bottom w:val="nil"/>
              <w:right w:val="nil"/>
            </w:tcBorders>
          </w:tcPr>
          <w:p w14:paraId="1F40580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7E727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F927B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5D9C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04B3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0CADEA90" w14:textId="77777777" w:rsidTr="00015B88">
        <w:tc>
          <w:tcPr>
            <w:tcW w:w="2136" w:type="dxa"/>
            <w:tcBorders>
              <w:top w:val="nil"/>
              <w:left w:val="nil"/>
              <w:bottom w:val="nil"/>
              <w:right w:val="nil"/>
            </w:tcBorders>
          </w:tcPr>
          <w:p w14:paraId="3794394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L7.De Jure CBI (CNW Index)</w:t>
            </w:r>
          </w:p>
        </w:tc>
        <w:tc>
          <w:tcPr>
            <w:tcW w:w="1656" w:type="dxa"/>
            <w:tcBorders>
              <w:top w:val="nil"/>
              <w:left w:val="nil"/>
              <w:bottom w:val="nil"/>
              <w:right w:val="nil"/>
            </w:tcBorders>
          </w:tcPr>
          <w:p w14:paraId="4C66BF4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4.832</w:t>
            </w:r>
          </w:p>
        </w:tc>
        <w:tc>
          <w:tcPr>
            <w:tcW w:w="1656" w:type="dxa"/>
            <w:tcBorders>
              <w:top w:val="nil"/>
              <w:left w:val="nil"/>
              <w:bottom w:val="nil"/>
              <w:right w:val="nil"/>
            </w:tcBorders>
          </w:tcPr>
          <w:p w14:paraId="1CC4AFC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0.763</w:t>
            </w:r>
          </w:p>
        </w:tc>
        <w:tc>
          <w:tcPr>
            <w:tcW w:w="1656" w:type="dxa"/>
            <w:tcBorders>
              <w:top w:val="nil"/>
              <w:left w:val="nil"/>
              <w:bottom w:val="nil"/>
              <w:right w:val="nil"/>
            </w:tcBorders>
          </w:tcPr>
          <w:p w14:paraId="40984CD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5.196</w:t>
            </w:r>
          </w:p>
        </w:tc>
        <w:tc>
          <w:tcPr>
            <w:tcW w:w="1656" w:type="dxa"/>
            <w:tcBorders>
              <w:top w:val="nil"/>
              <w:left w:val="nil"/>
              <w:bottom w:val="nil"/>
              <w:right w:val="nil"/>
            </w:tcBorders>
          </w:tcPr>
          <w:p w14:paraId="2DC8D55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-0.706</w:t>
            </w:r>
          </w:p>
        </w:tc>
      </w:tr>
      <w:tr w:rsidR="003A3222" w:rsidRPr="00D00042" w14:paraId="007154FC" w14:textId="77777777" w:rsidTr="00015B88">
        <w:tc>
          <w:tcPr>
            <w:tcW w:w="2136" w:type="dxa"/>
            <w:tcBorders>
              <w:top w:val="nil"/>
              <w:left w:val="nil"/>
              <w:bottom w:val="nil"/>
              <w:right w:val="nil"/>
            </w:tcBorders>
          </w:tcPr>
          <w:p w14:paraId="070C5C6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07BF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(1.33)</w:t>
            </w:r>
          </w:p>
        </w:tc>
        <w:tc>
          <w:tcPr>
            <w:tcW w:w="1656" w:type="dxa"/>
            <w:tcBorders>
              <w:top w:val="nil"/>
              <w:left w:val="nil"/>
              <w:bottom w:val="nil"/>
              <w:right w:val="nil"/>
            </w:tcBorders>
          </w:tcPr>
          <w:p w14:paraId="44E1335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(0.16)</w:t>
            </w:r>
          </w:p>
        </w:tc>
        <w:tc>
          <w:tcPr>
            <w:tcW w:w="1656" w:type="dxa"/>
            <w:tcBorders>
              <w:top w:val="nil"/>
              <w:left w:val="nil"/>
              <w:bottom w:val="nil"/>
              <w:right w:val="nil"/>
            </w:tcBorders>
          </w:tcPr>
          <w:p w14:paraId="0E7C2ED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(1.33)</w:t>
            </w:r>
          </w:p>
        </w:tc>
        <w:tc>
          <w:tcPr>
            <w:tcW w:w="1656" w:type="dxa"/>
            <w:tcBorders>
              <w:top w:val="nil"/>
              <w:left w:val="nil"/>
              <w:bottom w:val="nil"/>
              <w:right w:val="nil"/>
            </w:tcBorders>
          </w:tcPr>
          <w:p w14:paraId="4D1D848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(-0.55)</w:t>
            </w:r>
          </w:p>
        </w:tc>
      </w:tr>
      <w:tr w:rsidR="003A3222" w:rsidRPr="00D00042" w14:paraId="703CDA99" w14:textId="77777777" w:rsidTr="00015B88">
        <w:tc>
          <w:tcPr>
            <w:tcW w:w="2136" w:type="dxa"/>
            <w:tcBorders>
              <w:top w:val="nil"/>
              <w:left w:val="nil"/>
              <w:bottom w:val="nil"/>
              <w:right w:val="nil"/>
            </w:tcBorders>
          </w:tcPr>
          <w:p w14:paraId="16D5EE4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233CD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E1CCA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75CC6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2F222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1C1BC144" w14:textId="77777777" w:rsidTr="00015B88">
        <w:tc>
          <w:tcPr>
            <w:tcW w:w="2136" w:type="dxa"/>
            <w:tcBorders>
              <w:top w:val="nil"/>
              <w:left w:val="nil"/>
              <w:bottom w:val="nil"/>
              <w:right w:val="nil"/>
            </w:tcBorders>
          </w:tcPr>
          <w:p w14:paraId="699B098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L8.De Jure CBI (CNW Index)</w:t>
            </w:r>
          </w:p>
        </w:tc>
        <w:tc>
          <w:tcPr>
            <w:tcW w:w="1656" w:type="dxa"/>
            <w:tcBorders>
              <w:top w:val="nil"/>
              <w:left w:val="nil"/>
              <w:bottom w:val="nil"/>
              <w:right w:val="nil"/>
            </w:tcBorders>
          </w:tcPr>
          <w:p w14:paraId="7BC97A3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-7.101</w:t>
            </w:r>
          </w:p>
        </w:tc>
        <w:tc>
          <w:tcPr>
            <w:tcW w:w="1656" w:type="dxa"/>
            <w:tcBorders>
              <w:top w:val="nil"/>
              <w:left w:val="nil"/>
              <w:bottom w:val="nil"/>
              <w:right w:val="nil"/>
            </w:tcBorders>
          </w:tcPr>
          <w:p w14:paraId="7B63CCE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-6.027</w:t>
            </w:r>
          </w:p>
        </w:tc>
        <w:tc>
          <w:tcPr>
            <w:tcW w:w="1656" w:type="dxa"/>
            <w:tcBorders>
              <w:top w:val="nil"/>
              <w:left w:val="nil"/>
              <w:bottom w:val="nil"/>
              <w:right w:val="nil"/>
            </w:tcBorders>
          </w:tcPr>
          <w:p w14:paraId="3EB8AA3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-3.146</w:t>
            </w:r>
          </w:p>
        </w:tc>
        <w:tc>
          <w:tcPr>
            <w:tcW w:w="1656" w:type="dxa"/>
            <w:tcBorders>
              <w:top w:val="nil"/>
              <w:left w:val="nil"/>
              <w:bottom w:val="nil"/>
              <w:right w:val="nil"/>
            </w:tcBorders>
          </w:tcPr>
          <w:p w14:paraId="4D67A46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3.249</w:t>
            </w:r>
          </w:p>
        </w:tc>
      </w:tr>
      <w:tr w:rsidR="003A3222" w:rsidRPr="00D00042" w14:paraId="512A59B4" w14:textId="77777777" w:rsidTr="00015B88">
        <w:tc>
          <w:tcPr>
            <w:tcW w:w="2136" w:type="dxa"/>
            <w:tcBorders>
              <w:top w:val="nil"/>
              <w:left w:val="nil"/>
              <w:bottom w:val="nil"/>
              <w:right w:val="nil"/>
            </w:tcBorders>
          </w:tcPr>
          <w:p w14:paraId="6FD2151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80B0F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(-1.79)</w:t>
            </w:r>
          </w:p>
        </w:tc>
        <w:tc>
          <w:tcPr>
            <w:tcW w:w="1656" w:type="dxa"/>
            <w:tcBorders>
              <w:top w:val="nil"/>
              <w:left w:val="nil"/>
              <w:bottom w:val="nil"/>
              <w:right w:val="nil"/>
            </w:tcBorders>
          </w:tcPr>
          <w:p w14:paraId="091276E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(-0.97)</w:t>
            </w:r>
          </w:p>
        </w:tc>
        <w:tc>
          <w:tcPr>
            <w:tcW w:w="1656" w:type="dxa"/>
            <w:tcBorders>
              <w:top w:val="nil"/>
              <w:left w:val="nil"/>
              <w:bottom w:val="nil"/>
              <w:right w:val="nil"/>
            </w:tcBorders>
          </w:tcPr>
          <w:p w14:paraId="2468877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(-0.97)</w:t>
            </w:r>
          </w:p>
        </w:tc>
        <w:tc>
          <w:tcPr>
            <w:tcW w:w="1656" w:type="dxa"/>
            <w:tcBorders>
              <w:top w:val="nil"/>
              <w:left w:val="nil"/>
              <w:bottom w:val="nil"/>
              <w:right w:val="nil"/>
            </w:tcBorders>
          </w:tcPr>
          <w:p w14:paraId="59208F6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(0.96)</w:t>
            </w:r>
          </w:p>
        </w:tc>
      </w:tr>
      <w:tr w:rsidR="003A3222" w:rsidRPr="00D00042" w14:paraId="430D8765" w14:textId="77777777" w:rsidTr="00015B88">
        <w:tc>
          <w:tcPr>
            <w:tcW w:w="2136" w:type="dxa"/>
            <w:tcBorders>
              <w:top w:val="nil"/>
              <w:left w:val="nil"/>
              <w:bottom w:val="nil"/>
              <w:right w:val="nil"/>
            </w:tcBorders>
          </w:tcPr>
          <w:p w14:paraId="60C02ED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D125B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A1189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8AE9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EEC5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112FB2B1" w14:textId="77777777" w:rsidTr="00015B88">
        <w:tc>
          <w:tcPr>
            <w:tcW w:w="2136" w:type="dxa"/>
            <w:tcBorders>
              <w:top w:val="nil"/>
              <w:left w:val="nil"/>
              <w:bottom w:val="nil"/>
              <w:right w:val="nil"/>
            </w:tcBorders>
          </w:tcPr>
          <w:p w14:paraId="790FF39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L9.De Jure CBI (CNW Index)</w:t>
            </w:r>
          </w:p>
        </w:tc>
        <w:tc>
          <w:tcPr>
            <w:tcW w:w="1656" w:type="dxa"/>
            <w:tcBorders>
              <w:top w:val="nil"/>
              <w:left w:val="nil"/>
              <w:bottom w:val="nil"/>
              <w:right w:val="nil"/>
            </w:tcBorders>
          </w:tcPr>
          <w:p w14:paraId="7401207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-0.709</w:t>
            </w:r>
          </w:p>
        </w:tc>
        <w:tc>
          <w:tcPr>
            <w:tcW w:w="1656" w:type="dxa"/>
            <w:tcBorders>
              <w:top w:val="nil"/>
              <w:left w:val="nil"/>
              <w:bottom w:val="nil"/>
              <w:right w:val="nil"/>
            </w:tcBorders>
          </w:tcPr>
          <w:p w14:paraId="6A47D7B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4.921</w:t>
            </w:r>
          </w:p>
        </w:tc>
        <w:tc>
          <w:tcPr>
            <w:tcW w:w="1656" w:type="dxa"/>
            <w:tcBorders>
              <w:top w:val="nil"/>
              <w:left w:val="nil"/>
              <w:bottom w:val="nil"/>
              <w:right w:val="nil"/>
            </w:tcBorders>
          </w:tcPr>
          <w:p w14:paraId="612C4B6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-3.256</w:t>
            </w:r>
          </w:p>
        </w:tc>
        <w:tc>
          <w:tcPr>
            <w:tcW w:w="1656" w:type="dxa"/>
            <w:tcBorders>
              <w:top w:val="nil"/>
              <w:left w:val="nil"/>
              <w:bottom w:val="nil"/>
              <w:right w:val="nil"/>
            </w:tcBorders>
          </w:tcPr>
          <w:p w14:paraId="7B55447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3.957</w:t>
            </w:r>
          </w:p>
        </w:tc>
      </w:tr>
      <w:tr w:rsidR="003A3222" w:rsidRPr="00D00042" w14:paraId="7DFCAC50" w14:textId="77777777" w:rsidTr="00015B88">
        <w:tc>
          <w:tcPr>
            <w:tcW w:w="2136" w:type="dxa"/>
            <w:tcBorders>
              <w:top w:val="nil"/>
              <w:left w:val="nil"/>
              <w:bottom w:val="nil"/>
              <w:right w:val="nil"/>
            </w:tcBorders>
          </w:tcPr>
          <w:p w14:paraId="6DE6EBB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EDCD4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(-0.22)</w:t>
            </w:r>
          </w:p>
        </w:tc>
        <w:tc>
          <w:tcPr>
            <w:tcW w:w="1656" w:type="dxa"/>
            <w:tcBorders>
              <w:top w:val="nil"/>
              <w:left w:val="nil"/>
              <w:bottom w:val="nil"/>
              <w:right w:val="nil"/>
            </w:tcBorders>
          </w:tcPr>
          <w:p w14:paraId="13E8278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(1.38)</w:t>
            </w:r>
          </w:p>
        </w:tc>
        <w:tc>
          <w:tcPr>
            <w:tcW w:w="1656" w:type="dxa"/>
            <w:tcBorders>
              <w:top w:val="nil"/>
              <w:left w:val="nil"/>
              <w:bottom w:val="nil"/>
              <w:right w:val="nil"/>
            </w:tcBorders>
          </w:tcPr>
          <w:p w14:paraId="4C415BF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(-1.20)</w:t>
            </w:r>
          </w:p>
        </w:tc>
        <w:tc>
          <w:tcPr>
            <w:tcW w:w="1656" w:type="dxa"/>
            <w:tcBorders>
              <w:top w:val="nil"/>
              <w:left w:val="nil"/>
              <w:bottom w:val="nil"/>
              <w:right w:val="nil"/>
            </w:tcBorders>
          </w:tcPr>
          <w:p w14:paraId="0272824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(1.49)</w:t>
            </w:r>
          </w:p>
        </w:tc>
      </w:tr>
      <w:tr w:rsidR="003A3222" w:rsidRPr="00D00042" w14:paraId="2783862D" w14:textId="77777777" w:rsidTr="00015B88">
        <w:tc>
          <w:tcPr>
            <w:tcW w:w="2136" w:type="dxa"/>
            <w:tcBorders>
              <w:top w:val="nil"/>
              <w:left w:val="nil"/>
              <w:bottom w:val="nil"/>
              <w:right w:val="nil"/>
            </w:tcBorders>
          </w:tcPr>
          <w:p w14:paraId="616B870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28F69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88B7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5A5BA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7BA55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69478FD8" w14:textId="77777777" w:rsidTr="00015B88">
        <w:tc>
          <w:tcPr>
            <w:tcW w:w="2136" w:type="dxa"/>
            <w:tcBorders>
              <w:top w:val="nil"/>
              <w:left w:val="nil"/>
              <w:bottom w:val="nil"/>
              <w:right w:val="nil"/>
            </w:tcBorders>
          </w:tcPr>
          <w:p w14:paraId="7BBF385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L10.De Jure CBI (CNW Index)</w:t>
            </w:r>
          </w:p>
        </w:tc>
        <w:tc>
          <w:tcPr>
            <w:tcW w:w="1656" w:type="dxa"/>
            <w:tcBorders>
              <w:top w:val="nil"/>
              <w:left w:val="nil"/>
              <w:bottom w:val="nil"/>
              <w:right w:val="nil"/>
            </w:tcBorders>
          </w:tcPr>
          <w:p w14:paraId="71E0A90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2.438</w:t>
            </w:r>
          </w:p>
        </w:tc>
        <w:tc>
          <w:tcPr>
            <w:tcW w:w="1656" w:type="dxa"/>
            <w:tcBorders>
              <w:top w:val="nil"/>
              <w:left w:val="nil"/>
              <w:bottom w:val="nil"/>
              <w:right w:val="nil"/>
            </w:tcBorders>
          </w:tcPr>
          <w:p w14:paraId="52C192D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-2.074</w:t>
            </w:r>
          </w:p>
        </w:tc>
        <w:tc>
          <w:tcPr>
            <w:tcW w:w="1656" w:type="dxa"/>
            <w:tcBorders>
              <w:top w:val="nil"/>
              <w:left w:val="nil"/>
              <w:bottom w:val="nil"/>
              <w:right w:val="nil"/>
            </w:tcBorders>
          </w:tcPr>
          <w:p w14:paraId="672C04F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2.278</w:t>
            </w:r>
          </w:p>
        </w:tc>
        <w:tc>
          <w:tcPr>
            <w:tcW w:w="1656" w:type="dxa"/>
            <w:tcBorders>
              <w:top w:val="nil"/>
              <w:left w:val="nil"/>
              <w:bottom w:val="nil"/>
              <w:right w:val="nil"/>
            </w:tcBorders>
          </w:tcPr>
          <w:p w14:paraId="1EC7926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0.0587</w:t>
            </w:r>
          </w:p>
        </w:tc>
      </w:tr>
      <w:tr w:rsidR="003A3222" w:rsidRPr="00D00042" w14:paraId="30B98712" w14:textId="77777777" w:rsidTr="00015B88">
        <w:tc>
          <w:tcPr>
            <w:tcW w:w="2136" w:type="dxa"/>
            <w:tcBorders>
              <w:top w:val="nil"/>
              <w:left w:val="nil"/>
              <w:bottom w:val="nil"/>
              <w:right w:val="nil"/>
            </w:tcBorders>
          </w:tcPr>
          <w:p w14:paraId="79662DE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FCE2D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(1.03)</w:t>
            </w:r>
          </w:p>
        </w:tc>
        <w:tc>
          <w:tcPr>
            <w:tcW w:w="1656" w:type="dxa"/>
            <w:tcBorders>
              <w:top w:val="nil"/>
              <w:left w:val="nil"/>
              <w:bottom w:val="nil"/>
              <w:right w:val="nil"/>
            </w:tcBorders>
          </w:tcPr>
          <w:p w14:paraId="03975B2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(-0.71)</w:t>
            </w:r>
          </w:p>
        </w:tc>
        <w:tc>
          <w:tcPr>
            <w:tcW w:w="1656" w:type="dxa"/>
            <w:tcBorders>
              <w:top w:val="nil"/>
              <w:left w:val="nil"/>
              <w:bottom w:val="nil"/>
              <w:right w:val="nil"/>
            </w:tcBorders>
          </w:tcPr>
          <w:p w14:paraId="6090A31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(0.98)</w:t>
            </w:r>
          </w:p>
        </w:tc>
        <w:tc>
          <w:tcPr>
            <w:tcW w:w="1656" w:type="dxa"/>
            <w:tcBorders>
              <w:top w:val="nil"/>
              <w:left w:val="nil"/>
              <w:bottom w:val="nil"/>
              <w:right w:val="nil"/>
            </w:tcBorders>
          </w:tcPr>
          <w:p w14:paraId="27CE4F0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(0.02)</w:t>
            </w:r>
          </w:p>
        </w:tc>
      </w:tr>
      <w:tr w:rsidR="003A3222" w:rsidRPr="00D00042" w14:paraId="2ADB6D17" w14:textId="77777777" w:rsidTr="00015B88">
        <w:tc>
          <w:tcPr>
            <w:tcW w:w="2136" w:type="dxa"/>
            <w:tcBorders>
              <w:top w:val="nil"/>
              <w:left w:val="nil"/>
              <w:bottom w:val="nil"/>
              <w:right w:val="nil"/>
            </w:tcBorders>
          </w:tcPr>
          <w:p w14:paraId="587F8FB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BA031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15D42F"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7A03D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F11C6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46010A99" w14:textId="77777777" w:rsidTr="00015B88">
        <w:tc>
          <w:tcPr>
            <w:tcW w:w="2136" w:type="dxa"/>
            <w:tcBorders>
              <w:top w:val="nil"/>
              <w:left w:val="nil"/>
              <w:bottom w:val="nil"/>
              <w:right w:val="nil"/>
            </w:tcBorders>
          </w:tcPr>
          <w:p w14:paraId="3EF4E4BF"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D00042">
              <w:rPr>
                <w:rFonts w:ascii="Times New Roman" w:hAnsi="Times New Roman" w:cs="Times New Roman"/>
                <w:sz w:val="16"/>
                <w:szCs w:val="16"/>
              </w:rPr>
              <w:t>L.Exchange</w:t>
            </w:r>
            <w:proofErr w:type="spellEnd"/>
            <w:r w:rsidRPr="00D00042">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53F8419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0.0111</w:t>
            </w:r>
          </w:p>
        </w:tc>
        <w:tc>
          <w:tcPr>
            <w:tcW w:w="1656" w:type="dxa"/>
            <w:tcBorders>
              <w:top w:val="nil"/>
              <w:left w:val="nil"/>
              <w:bottom w:val="nil"/>
              <w:right w:val="nil"/>
            </w:tcBorders>
          </w:tcPr>
          <w:p w14:paraId="75F9EFC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0.115</w:t>
            </w:r>
          </w:p>
        </w:tc>
        <w:tc>
          <w:tcPr>
            <w:tcW w:w="1656" w:type="dxa"/>
            <w:tcBorders>
              <w:top w:val="nil"/>
              <w:left w:val="nil"/>
              <w:bottom w:val="nil"/>
              <w:right w:val="nil"/>
            </w:tcBorders>
          </w:tcPr>
          <w:p w14:paraId="1070E45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-0.114</w:t>
            </w:r>
          </w:p>
        </w:tc>
        <w:tc>
          <w:tcPr>
            <w:tcW w:w="1656" w:type="dxa"/>
            <w:tcBorders>
              <w:top w:val="nil"/>
              <w:left w:val="nil"/>
              <w:bottom w:val="nil"/>
              <w:right w:val="nil"/>
            </w:tcBorders>
          </w:tcPr>
          <w:p w14:paraId="55F57E7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0.0329</w:t>
            </w:r>
          </w:p>
        </w:tc>
      </w:tr>
      <w:tr w:rsidR="003A3222" w:rsidRPr="00D00042" w14:paraId="1787E590" w14:textId="77777777" w:rsidTr="00015B88">
        <w:tc>
          <w:tcPr>
            <w:tcW w:w="2136" w:type="dxa"/>
            <w:tcBorders>
              <w:top w:val="nil"/>
              <w:left w:val="nil"/>
              <w:bottom w:val="nil"/>
              <w:right w:val="nil"/>
            </w:tcBorders>
          </w:tcPr>
          <w:p w14:paraId="31005CF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FBFB5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(0.11)</w:t>
            </w:r>
          </w:p>
        </w:tc>
        <w:tc>
          <w:tcPr>
            <w:tcW w:w="1656" w:type="dxa"/>
            <w:tcBorders>
              <w:top w:val="nil"/>
              <w:left w:val="nil"/>
              <w:bottom w:val="nil"/>
              <w:right w:val="nil"/>
            </w:tcBorders>
          </w:tcPr>
          <w:p w14:paraId="5EE764D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(0.78)</w:t>
            </w:r>
          </w:p>
        </w:tc>
        <w:tc>
          <w:tcPr>
            <w:tcW w:w="1656" w:type="dxa"/>
            <w:tcBorders>
              <w:top w:val="nil"/>
              <w:left w:val="nil"/>
              <w:bottom w:val="nil"/>
              <w:right w:val="nil"/>
            </w:tcBorders>
          </w:tcPr>
          <w:p w14:paraId="6E13A91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(-1.16)</w:t>
            </w:r>
          </w:p>
        </w:tc>
        <w:tc>
          <w:tcPr>
            <w:tcW w:w="1656" w:type="dxa"/>
            <w:tcBorders>
              <w:top w:val="nil"/>
              <w:left w:val="nil"/>
              <w:bottom w:val="nil"/>
              <w:right w:val="nil"/>
            </w:tcBorders>
          </w:tcPr>
          <w:p w14:paraId="034C0C7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(0.91)</w:t>
            </w:r>
          </w:p>
        </w:tc>
      </w:tr>
      <w:tr w:rsidR="003A3222" w:rsidRPr="00D00042" w14:paraId="349AC5AF" w14:textId="77777777" w:rsidTr="00015B88">
        <w:tc>
          <w:tcPr>
            <w:tcW w:w="2136" w:type="dxa"/>
            <w:tcBorders>
              <w:top w:val="nil"/>
              <w:left w:val="nil"/>
              <w:bottom w:val="nil"/>
              <w:right w:val="nil"/>
            </w:tcBorders>
          </w:tcPr>
          <w:p w14:paraId="537E8A1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84C82F"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08A8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CEC2D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4B61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532283B8" w14:textId="77777777" w:rsidTr="00015B88">
        <w:tc>
          <w:tcPr>
            <w:tcW w:w="2136" w:type="dxa"/>
            <w:tcBorders>
              <w:top w:val="nil"/>
              <w:left w:val="nil"/>
              <w:bottom w:val="nil"/>
              <w:right w:val="nil"/>
            </w:tcBorders>
          </w:tcPr>
          <w:p w14:paraId="309E93E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4E9DE4A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-0.0649</w:t>
            </w:r>
          </w:p>
        </w:tc>
        <w:tc>
          <w:tcPr>
            <w:tcW w:w="1656" w:type="dxa"/>
            <w:tcBorders>
              <w:top w:val="nil"/>
              <w:left w:val="nil"/>
              <w:bottom w:val="nil"/>
              <w:right w:val="nil"/>
            </w:tcBorders>
          </w:tcPr>
          <w:p w14:paraId="1A58E62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-0.121</w:t>
            </w:r>
          </w:p>
        </w:tc>
        <w:tc>
          <w:tcPr>
            <w:tcW w:w="1656" w:type="dxa"/>
            <w:tcBorders>
              <w:top w:val="nil"/>
              <w:left w:val="nil"/>
              <w:bottom w:val="nil"/>
              <w:right w:val="nil"/>
            </w:tcBorders>
          </w:tcPr>
          <w:p w14:paraId="5F82550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0.110</w:t>
            </w:r>
          </w:p>
        </w:tc>
        <w:tc>
          <w:tcPr>
            <w:tcW w:w="1656" w:type="dxa"/>
            <w:tcBorders>
              <w:top w:val="nil"/>
              <w:left w:val="nil"/>
              <w:bottom w:val="nil"/>
              <w:right w:val="nil"/>
            </w:tcBorders>
          </w:tcPr>
          <w:p w14:paraId="26061A0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-0.0456</w:t>
            </w:r>
          </w:p>
        </w:tc>
      </w:tr>
      <w:tr w:rsidR="003A3222" w:rsidRPr="00D00042" w14:paraId="0FEA3CA3" w14:textId="77777777" w:rsidTr="00015B88">
        <w:tc>
          <w:tcPr>
            <w:tcW w:w="2136" w:type="dxa"/>
            <w:tcBorders>
              <w:top w:val="nil"/>
              <w:left w:val="nil"/>
              <w:bottom w:val="nil"/>
              <w:right w:val="nil"/>
            </w:tcBorders>
          </w:tcPr>
          <w:p w14:paraId="6E24149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37C50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(-0.84)</w:t>
            </w:r>
          </w:p>
        </w:tc>
        <w:tc>
          <w:tcPr>
            <w:tcW w:w="1656" w:type="dxa"/>
            <w:tcBorders>
              <w:top w:val="nil"/>
              <w:left w:val="nil"/>
              <w:bottom w:val="nil"/>
              <w:right w:val="nil"/>
            </w:tcBorders>
          </w:tcPr>
          <w:p w14:paraId="6B8E1F9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(-1.18)</w:t>
            </w:r>
          </w:p>
        </w:tc>
        <w:tc>
          <w:tcPr>
            <w:tcW w:w="1656" w:type="dxa"/>
            <w:tcBorders>
              <w:top w:val="nil"/>
              <w:left w:val="nil"/>
              <w:bottom w:val="nil"/>
              <w:right w:val="nil"/>
            </w:tcBorders>
          </w:tcPr>
          <w:p w14:paraId="465DD3E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(1.40)</w:t>
            </w:r>
          </w:p>
        </w:tc>
        <w:tc>
          <w:tcPr>
            <w:tcW w:w="1656" w:type="dxa"/>
            <w:tcBorders>
              <w:top w:val="nil"/>
              <w:left w:val="nil"/>
              <w:bottom w:val="nil"/>
              <w:right w:val="nil"/>
            </w:tcBorders>
          </w:tcPr>
          <w:p w14:paraId="1897BAE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(-1.21)</w:t>
            </w:r>
          </w:p>
        </w:tc>
      </w:tr>
      <w:tr w:rsidR="003A3222" w:rsidRPr="00D00042" w14:paraId="7F6F4510" w14:textId="77777777" w:rsidTr="00015B88">
        <w:tc>
          <w:tcPr>
            <w:tcW w:w="2136" w:type="dxa"/>
            <w:tcBorders>
              <w:top w:val="nil"/>
              <w:left w:val="nil"/>
              <w:bottom w:val="nil"/>
              <w:right w:val="nil"/>
            </w:tcBorders>
          </w:tcPr>
          <w:p w14:paraId="2824F15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4B4BF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ADB61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2E8FA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48EB1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58F604EB" w14:textId="77777777" w:rsidTr="00015B88">
        <w:tc>
          <w:tcPr>
            <w:tcW w:w="2136" w:type="dxa"/>
            <w:tcBorders>
              <w:top w:val="nil"/>
              <w:left w:val="nil"/>
              <w:bottom w:val="nil"/>
              <w:right w:val="nil"/>
            </w:tcBorders>
          </w:tcPr>
          <w:p w14:paraId="6AB97F1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694E183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0.0570</w:t>
            </w:r>
          </w:p>
        </w:tc>
        <w:tc>
          <w:tcPr>
            <w:tcW w:w="1656" w:type="dxa"/>
            <w:tcBorders>
              <w:top w:val="nil"/>
              <w:left w:val="nil"/>
              <w:bottom w:val="nil"/>
              <w:right w:val="nil"/>
            </w:tcBorders>
          </w:tcPr>
          <w:p w14:paraId="74047F1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0.0356</w:t>
            </w:r>
          </w:p>
        </w:tc>
        <w:tc>
          <w:tcPr>
            <w:tcW w:w="1656" w:type="dxa"/>
            <w:tcBorders>
              <w:top w:val="nil"/>
              <w:left w:val="nil"/>
              <w:bottom w:val="nil"/>
              <w:right w:val="nil"/>
            </w:tcBorders>
          </w:tcPr>
          <w:p w14:paraId="6B8BEE7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-0.115</w:t>
            </w:r>
          </w:p>
        </w:tc>
        <w:tc>
          <w:tcPr>
            <w:tcW w:w="1656" w:type="dxa"/>
            <w:tcBorders>
              <w:top w:val="nil"/>
              <w:left w:val="nil"/>
              <w:bottom w:val="nil"/>
              <w:right w:val="nil"/>
            </w:tcBorders>
          </w:tcPr>
          <w:p w14:paraId="7248411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-0.0483</w:t>
            </w:r>
          </w:p>
        </w:tc>
      </w:tr>
      <w:tr w:rsidR="003A3222" w:rsidRPr="00D00042" w14:paraId="54B329ED" w14:textId="77777777" w:rsidTr="00015B88">
        <w:tc>
          <w:tcPr>
            <w:tcW w:w="2136" w:type="dxa"/>
            <w:tcBorders>
              <w:top w:val="nil"/>
              <w:left w:val="nil"/>
              <w:bottom w:val="nil"/>
              <w:right w:val="nil"/>
            </w:tcBorders>
          </w:tcPr>
          <w:p w14:paraId="7127850F"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87A8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(0.65)</w:t>
            </w:r>
          </w:p>
        </w:tc>
        <w:tc>
          <w:tcPr>
            <w:tcW w:w="1656" w:type="dxa"/>
            <w:tcBorders>
              <w:top w:val="nil"/>
              <w:left w:val="nil"/>
              <w:bottom w:val="nil"/>
              <w:right w:val="nil"/>
            </w:tcBorders>
          </w:tcPr>
          <w:p w14:paraId="6FF22E7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(0.33)</w:t>
            </w:r>
          </w:p>
        </w:tc>
        <w:tc>
          <w:tcPr>
            <w:tcW w:w="1656" w:type="dxa"/>
            <w:tcBorders>
              <w:top w:val="nil"/>
              <w:left w:val="nil"/>
              <w:bottom w:val="nil"/>
              <w:right w:val="nil"/>
            </w:tcBorders>
          </w:tcPr>
          <w:p w14:paraId="38EE654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(-1.21)</w:t>
            </w:r>
          </w:p>
        </w:tc>
        <w:tc>
          <w:tcPr>
            <w:tcW w:w="1656" w:type="dxa"/>
            <w:tcBorders>
              <w:top w:val="nil"/>
              <w:left w:val="nil"/>
              <w:bottom w:val="nil"/>
              <w:right w:val="nil"/>
            </w:tcBorders>
          </w:tcPr>
          <w:p w14:paraId="2CAF1B3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(-0.77)</w:t>
            </w:r>
          </w:p>
        </w:tc>
      </w:tr>
      <w:tr w:rsidR="003A3222" w:rsidRPr="00D00042" w14:paraId="50B0ED5E" w14:textId="77777777" w:rsidTr="00015B88">
        <w:tc>
          <w:tcPr>
            <w:tcW w:w="2136" w:type="dxa"/>
            <w:tcBorders>
              <w:top w:val="nil"/>
              <w:left w:val="nil"/>
              <w:bottom w:val="nil"/>
              <w:right w:val="nil"/>
            </w:tcBorders>
          </w:tcPr>
          <w:p w14:paraId="785C3DF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C30B6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98FE8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695CE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1DFE4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3359D91A" w14:textId="77777777" w:rsidTr="00015B88">
        <w:tc>
          <w:tcPr>
            <w:tcW w:w="2136" w:type="dxa"/>
            <w:tcBorders>
              <w:top w:val="nil"/>
              <w:left w:val="nil"/>
              <w:bottom w:val="nil"/>
              <w:right w:val="nil"/>
            </w:tcBorders>
          </w:tcPr>
          <w:p w14:paraId="2E8F077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01F262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0.0817</w:t>
            </w:r>
          </w:p>
        </w:tc>
        <w:tc>
          <w:tcPr>
            <w:tcW w:w="1656" w:type="dxa"/>
            <w:tcBorders>
              <w:top w:val="nil"/>
              <w:left w:val="nil"/>
              <w:bottom w:val="nil"/>
              <w:right w:val="nil"/>
            </w:tcBorders>
          </w:tcPr>
          <w:p w14:paraId="06081EB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0.0990</w:t>
            </w:r>
          </w:p>
        </w:tc>
        <w:tc>
          <w:tcPr>
            <w:tcW w:w="1656" w:type="dxa"/>
            <w:tcBorders>
              <w:top w:val="nil"/>
              <w:left w:val="nil"/>
              <w:bottom w:val="nil"/>
              <w:right w:val="nil"/>
            </w:tcBorders>
          </w:tcPr>
          <w:p w14:paraId="008ECC7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0.0512</w:t>
            </w:r>
          </w:p>
        </w:tc>
        <w:tc>
          <w:tcPr>
            <w:tcW w:w="1656" w:type="dxa"/>
            <w:tcBorders>
              <w:top w:val="nil"/>
              <w:left w:val="nil"/>
              <w:bottom w:val="nil"/>
              <w:right w:val="nil"/>
            </w:tcBorders>
          </w:tcPr>
          <w:p w14:paraId="01479CD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-0.0186</w:t>
            </w:r>
          </w:p>
        </w:tc>
      </w:tr>
      <w:tr w:rsidR="003A3222" w:rsidRPr="00D00042" w14:paraId="616EC986" w14:textId="77777777" w:rsidTr="00015B88">
        <w:tc>
          <w:tcPr>
            <w:tcW w:w="2136" w:type="dxa"/>
            <w:tcBorders>
              <w:top w:val="nil"/>
              <w:left w:val="nil"/>
              <w:bottom w:val="nil"/>
              <w:right w:val="nil"/>
            </w:tcBorders>
          </w:tcPr>
          <w:p w14:paraId="18EA815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19FD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(0.87)</w:t>
            </w:r>
          </w:p>
        </w:tc>
        <w:tc>
          <w:tcPr>
            <w:tcW w:w="1656" w:type="dxa"/>
            <w:tcBorders>
              <w:top w:val="nil"/>
              <w:left w:val="nil"/>
              <w:bottom w:val="nil"/>
              <w:right w:val="nil"/>
            </w:tcBorders>
          </w:tcPr>
          <w:p w14:paraId="5D0DF58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(0.72)</w:t>
            </w:r>
          </w:p>
        </w:tc>
        <w:tc>
          <w:tcPr>
            <w:tcW w:w="1656" w:type="dxa"/>
            <w:tcBorders>
              <w:top w:val="nil"/>
              <w:left w:val="nil"/>
              <w:bottom w:val="nil"/>
              <w:right w:val="nil"/>
            </w:tcBorders>
          </w:tcPr>
          <w:p w14:paraId="7B90116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(0.67)</w:t>
            </w:r>
          </w:p>
        </w:tc>
        <w:tc>
          <w:tcPr>
            <w:tcW w:w="1656" w:type="dxa"/>
            <w:tcBorders>
              <w:top w:val="nil"/>
              <w:left w:val="nil"/>
              <w:bottom w:val="nil"/>
              <w:right w:val="nil"/>
            </w:tcBorders>
          </w:tcPr>
          <w:p w14:paraId="60F9924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(-0.45)</w:t>
            </w:r>
          </w:p>
        </w:tc>
      </w:tr>
      <w:tr w:rsidR="003A3222" w:rsidRPr="00D00042" w14:paraId="3467CEE4" w14:textId="77777777" w:rsidTr="00015B88">
        <w:tc>
          <w:tcPr>
            <w:tcW w:w="2136" w:type="dxa"/>
            <w:tcBorders>
              <w:top w:val="nil"/>
              <w:left w:val="nil"/>
              <w:bottom w:val="nil"/>
              <w:right w:val="nil"/>
            </w:tcBorders>
          </w:tcPr>
          <w:p w14:paraId="7235F7F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59F5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6F58E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B3410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D2ADF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799C9EEB" w14:textId="77777777" w:rsidTr="00015B88">
        <w:tc>
          <w:tcPr>
            <w:tcW w:w="2136" w:type="dxa"/>
            <w:tcBorders>
              <w:top w:val="nil"/>
              <w:left w:val="nil"/>
              <w:bottom w:val="nil"/>
              <w:right w:val="nil"/>
            </w:tcBorders>
          </w:tcPr>
          <w:p w14:paraId="0D78E09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714CB99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-0.0317</w:t>
            </w:r>
          </w:p>
        </w:tc>
        <w:tc>
          <w:tcPr>
            <w:tcW w:w="1656" w:type="dxa"/>
            <w:tcBorders>
              <w:top w:val="nil"/>
              <w:left w:val="nil"/>
              <w:bottom w:val="nil"/>
              <w:right w:val="nil"/>
            </w:tcBorders>
          </w:tcPr>
          <w:p w14:paraId="2778298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-0.0810</w:t>
            </w:r>
          </w:p>
        </w:tc>
        <w:tc>
          <w:tcPr>
            <w:tcW w:w="1656" w:type="dxa"/>
            <w:tcBorders>
              <w:top w:val="nil"/>
              <w:left w:val="nil"/>
              <w:bottom w:val="nil"/>
              <w:right w:val="nil"/>
            </w:tcBorders>
          </w:tcPr>
          <w:p w14:paraId="47DCD8F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0.120</w:t>
            </w:r>
          </w:p>
        </w:tc>
        <w:tc>
          <w:tcPr>
            <w:tcW w:w="1656" w:type="dxa"/>
            <w:tcBorders>
              <w:top w:val="nil"/>
              <w:left w:val="nil"/>
              <w:bottom w:val="nil"/>
              <w:right w:val="nil"/>
            </w:tcBorders>
          </w:tcPr>
          <w:p w14:paraId="7E7C177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0.108</w:t>
            </w:r>
            <w:r w:rsidRPr="00D00042">
              <w:rPr>
                <w:rFonts w:ascii="Times New Roman" w:hAnsi="Times New Roman" w:cs="Times New Roman"/>
                <w:sz w:val="16"/>
                <w:szCs w:val="16"/>
                <w:vertAlign w:val="superscript"/>
              </w:rPr>
              <w:t>**</w:t>
            </w:r>
          </w:p>
        </w:tc>
      </w:tr>
      <w:tr w:rsidR="003A3222" w:rsidRPr="00D00042" w14:paraId="00CF618F" w14:textId="77777777" w:rsidTr="00015B88">
        <w:tc>
          <w:tcPr>
            <w:tcW w:w="2136" w:type="dxa"/>
            <w:tcBorders>
              <w:top w:val="nil"/>
              <w:left w:val="nil"/>
              <w:bottom w:val="nil"/>
              <w:right w:val="nil"/>
            </w:tcBorders>
          </w:tcPr>
          <w:p w14:paraId="08899F3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E1F4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(-0.40)</w:t>
            </w:r>
          </w:p>
        </w:tc>
        <w:tc>
          <w:tcPr>
            <w:tcW w:w="1656" w:type="dxa"/>
            <w:tcBorders>
              <w:top w:val="nil"/>
              <w:left w:val="nil"/>
              <w:bottom w:val="nil"/>
              <w:right w:val="nil"/>
            </w:tcBorders>
          </w:tcPr>
          <w:p w14:paraId="0CF3C5C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(-0.64)</w:t>
            </w:r>
          </w:p>
        </w:tc>
        <w:tc>
          <w:tcPr>
            <w:tcW w:w="1656" w:type="dxa"/>
            <w:tcBorders>
              <w:top w:val="nil"/>
              <w:left w:val="nil"/>
              <w:bottom w:val="nil"/>
              <w:right w:val="nil"/>
            </w:tcBorders>
          </w:tcPr>
          <w:p w14:paraId="7EF675D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(1.35)</w:t>
            </w:r>
          </w:p>
        </w:tc>
        <w:tc>
          <w:tcPr>
            <w:tcW w:w="1656" w:type="dxa"/>
            <w:tcBorders>
              <w:top w:val="nil"/>
              <w:left w:val="nil"/>
              <w:bottom w:val="nil"/>
              <w:right w:val="nil"/>
            </w:tcBorders>
          </w:tcPr>
          <w:p w14:paraId="5012EB0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(2.91)</w:t>
            </w:r>
          </w:p>
        </w:tc>
      </w:tr>
      <w:tr w:rsidR="003A3222" w:rsidRPr="00D00042" w14:paraId="4D182FF4" w14:textId="77777777" w:rsidTr="00015B88">
        <w:tc>
          <w:tcPr>
            <w:tcW w:w="2136" w:type="dxa"/>
            <w:tcBorders>
              <w:top w:val="nil"/>
              <w:left w:val="nil"/>
              <w:bottom w:val="nil"/>
              <w:right w:val="nil"/>
            </w:tcBorders>
          </w:tcPr>
          <w:p w14:paraId="2EDE61A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54E7B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49FE4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ABF09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9EBC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3590FA0E" w14:textId="77777777" w:rsidTr="00015B88">
        <w:tc>
          <w:tcPr>
            <w:tcW w:w="2136" w:type="dxa"/>
            <w:tcBorders>
              <w:top w:val="nil"/>
              <w:left w:val="nil"/>
              <w:bottom w:val="nil"/>
              <w:right w:val="nil"/>
            </w:tcBorders>
          </w:tcPr>
          <w:p w14:paraId="33F46F9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436AE14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-0.0897</w:t>
            </w:r>
          </w:p>
        </w:tc>
        <w:tc>
          <w:tcPr>
            <w:tcW w:w="1656" w:type="dxa"/>
            <w:tcBorders>
              <w:top w:val="nil"/>
              <w:left w:val="nil"/>
              <w:bottom w:val="nil"/>
              <w:right w:val="nil"/>
            </w:tcBorders>
          </w:tcPr>
          <w:p w14:paraId="76515BA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-0.0115</w:t>
            </w:r>
          </w:p>
        </w:tc>
        <w:tc>
          <w:tcPr>
            <w:tcW w:w="1656" w:type="dxa"/>
            <w:tcBorders>
              <w:top w:val="nil"/>
              <w:left w:val="nil"/>
              <w:bottom w:val="nil"/>
              <w:right w:val="nil"/>
            </w:tcBorders>
          </w:tcPr>
          <w:p w14:paraId="2A36D17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-0.224</w:t>
            </w:r>
            <w:r w:rsidRPr="00D00042">
              <w:rPr>
                <w:rFonts w:ascii="Times New Roman" w:hAnsi="Times New Roman" w:cs="Times New Roman"/>
                <w:sz w:val="16"/>
                <w:szCs w:val="16"/>
                <w:vertAlign w:val="superscript"/>
              </w:rPr>
              <w:t>*</w:t>
            </w:r>
          </w:p>
        </w:tc>
        <w:tc>
          <w:tcPr>
            <w:tcW w:w="1656" w:type="dxa"/>
            <w:tcBorders>
              <w:top w:val="nil"/>
              <w:left w:val="nil"/>
              <w:bottom w:val="nil"/>
              <w:right w:val="nil"/>
            </w:tcBorders>
          </w:tcPr>
          <w:p w14:paraId="140F99E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-0.00947</w:t>
            </w:r>
          </w:p>
        </w:tc>
      </w:tr>
      <w:tr w:rsidR="003A3222" w:rsidRPr="00D00042" w14:paraId="4FC1106E" w14:textId="77777777" w:rsidTr="00015B88">
        <w:tc>
          <w:tcPr>
            <w:tcW w:w="2136" w:type="dxa"/>
            <w:tcBorders>
              <w:top w:val="nil"/>
              <w:left w:val="nil"/>
              <w:bottom w:val="nil"/>
              <w:right w:val="nil"/>
            </w:tcBorders>
          </w:tcPr>
          <w:p w14:paraId="15D5C69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2FC6E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(-1.42)</w:t>
            </w:r>
          </w:p>
        </w:tc>
        <w:tc>
          <w:tcPr>
            <w:tcW w:w="1656" w:type="dxa"/>
            <w:tcBorders>
              <w:top w:val="nil"/>
              <w:left w:val="nil"/>
              <w:bottom w:val="nil"/>
              <w:right w:val="nil"/>
            </w:tcBorders>
          </w:tcPr>
          <w:p w14:paraId="54EF3D8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(-0.13)</w:t>
            </w:r>
          </w:p>
        </w:tc>
        <w:tc>
          <w:tcPr>
            <w:tcW w:w="1656" w:type="dxa"/>
            <w:tcBorders>
              <w:top w:val="nil"/>
              <w:left w:val="nil"/>
              <w:bottom w:val="nil"/>
              <w:right w:val="nil"/>
            </w:tcBorders>
          </w:tcPr>
          <w:p w14:paraId="791920B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(-2.44)</w:t>
            </w:r>
          </w:p>
        </w:tc>
        <w:tc>
          <w:tcPr>
            <w:tcW w:w="1656" w:type="dxa"/>
            <w:tcBorders>
              <w:top w:val="nil"/>
              <w:left w:val="nil"/>
              <w:bottom w:val="nil"/>
              <w:right w:val="nil"/>
            </w:tcBorders>
          </w:tcPr>
          <w:p w14:paraId="5407F14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(-0.22)</w:t>
            </w:r>
          </w:p>
        </w:tc>
      </w:tr>
      <w:tr w:rsidR="003A3222" w:rsidRPr="00D00042" w14:paraId="79984DBC" w14:textId="77777777" w:rsidTr="00015B88">
        <w:tc>
          <w:tcPr>
            <w:tcW w:w="2136" w:type="dxa"/>
            <w:tcBorders>
              <w:top w:val="nil"/>
              <w:left w:val="nil"/>
              <w:bottom w:val="nil"/>
              <w:right w:val="nil"/>
            </w:tcBorders>
          </w:tcPr>
          <w:p w14:paraId="3CA036A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5DBE0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0A53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DF9E3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C5F01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2226EBE3" w14:textId="77777777" w:rsidTr="00015B88">
        <w:tc>
          <w:tcPr>
            <w:tcW w:w="2136" w:type="dxa"/>
            <w:tcBorders>
              <w:top w:val="nil"/>
              <w:left w:val="nil"/>
              <w:bottom w:val="nil"/>
              <w:right w:val="nil"/>
            </w:tcBorders>
          </w:tcPr>
          <w:p w14:paraId="62EB2C0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7304861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0.131</w:t>
            </w:r>
          </w:p>
        </w:tc>
        <w:tc>
          <w:tcPr>
            <w:tcW w:w="1656" w:type="dxa"/>
            <w:tcBorders>
              <w:top w:val="nil"/>
              <w:left w:val="nil"/>
              <w:bottom w:val="nil"/>
              <w:right w:val="nil"/>
            </w:tcBorders>
          </w:tcPr>
          <w:p w14:paraId="0F983A9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0.127</w:t>
            </w:r>
          </w:p>
        </w:tc>
        <w:tc>
          <w:tcPr>
            <w:tcW w:w="1656" w:type="dxa"/>
            <w:tcBorders>
              <w:top w:val="nil"/>
              <w:left w:val="nil"/>
              <w:bottom w:val="nil"/>
              <w:right w:val="nil"/>
            </w:tcBorders>
          </w:tcPr>
          <w:p w14:paraId="5E0D0CA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0.143</w:t>
            </w:r>
          </w:p>
        </w:tc>
        <w:tc>
          <w:tcPr>
            <w:tcW w:w="1656" w:type="dxa"/>
            <w:tcBorders>
              <w:top w:val="nil"/>
              <w:left w:val="nil"/>
              <w:bottom w:val="nil"/>
              <w:right w:val="nil"/>
            </w:tcBorders>
          </w:tcPr>
          <w:p w14:paraId="35ABFD7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-0.0162</w:t>
            </w:r>
          </w:p>
        </w:tc>
      </w:tr>
      <w:tr w:rsidR="003A3222" w:rsidRPr="00D00042" w14:paraId="2E549F10" w14:textId="77777777" w:rsidTr="00015B88">
        <w:tc>
          <w:tcPr>
            <w:tcW w:w="2136" w:type="dxa"/>
            <w:tcBorders>
              <w:top w:val="nil"/>
              <w:left w:val="nil"/>
              <w:bottom w:val="nil"/>
              <w:right w:val="nil"/>
            </w:tcBorders>
          </w:tcPr>
          <w:p w14:paraId="4A34256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8BB44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(1.49)</w:t>
            </w:r>
          </w:p>
        </w:tc>
        <w:tc>
          <w:tcPr>
            <w:tcW w:w="1656" w:type="dxa"/>
            <w:tcBorders>
              <w:top w:val="nil"/>
              <w:left w:val="nil"/>
              <w:bottom w:val="nil"/>
              <w:right w:val="nil"/>
            </w:tcBorders>
          </w:tcPr>
          <w:p w14:paraId="038F520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(1.19)</w:t>
            </w:r>
          </w:p>
        </w:tc>
        <w:tc>
          <w:tcPr>
            <w:tcW w:w="1656" w:type="dxa"/>
            <w:tcBorders>
              <w:top w:val="nil"/>
              <w:left w:val="nil"/>
              <w:bottom w:val="nil"/>
              <w:right w:val="nil"/>
            </w:tcBorders>
          </w:tcPr>
          <w:p w14:paraId="2C496D7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(1.85)</w:t>
            </w:r>
          </w:p>
        </w:tc>
        <w:tc>
          <w:tcPr>
            <w:tcW w:w="1656" w:type="dxa"/>
            <w:tcBorders>
              <w:top w:val="nil"/>
              <w:left w:val="nil"/>
              <w:bottom w:val="nil"/>
              <w:right w:val="nil"/>
            </w:tcBorders>
          </w:tcPr>
          <w:p w14:paraId="17F85EA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(-0.47)</w:t>
            </w:r>
          </w:p>
        </w:tc>
      </w:tr>
      <w:tr w:rsidR="003A3222" w:rsidRPr="00D00042" w14:paraId="552FD59E" w14:textId="77777777" w:rsidTr="00015B88">
        <w:tc>
          <w:tcPr>
            <w:tcW w:w="2136" w:type="dxa"/>
            <w:tcBorders>
              <w:top w:val="nil"/>
              <w:left w:val="nil"/>
              <w:bottom w:val="nil"/>
              <w:right w:val="nil"/>
            </w:tcBorders>
          </w:tcPr>
          <w:p w14:paraId="7F66F39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9BCC5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FAC90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FFA7F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DBFAC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3DDE366F" w14:textId="77777777" w:rsidTr="00015B88">
        <w:tc>
          <w:tcPr>
            <w:tcW w:w="2136" w:type="dxa"/>
            <w:tcBorders>
              <w:top w:val="nil"/>
              <w:left w:val="nil"/>
              <w:bottom w:val="nil"/>
              <w:right w:val="nil"/>
            </w:tcBorders>
          </w:tcPr>
          <w:p w14:paraId="2722F2E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lastRenderedPageBreak/>
              <w:t>L8.Exchange Rate Classification (RR inverted, higher = more fixed)</w:t>
            </w:r>
          </w:p>
        </w:tc>
        <w:tc>
          <w:tcPr>
            <w:tcW w:w="1656" w:type="dxa"/>
            <w:tcBorders>
              <w:top w:val="nil"/>
              <w:left w:val="nil"/>
              <w:bottom w:val="nil"/>
              <w:right w:val="nil"/>
            </w:tcBorders>
          </w:tcPr>
          <w:p w14:paraId="02CC6B7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-0.0550</w:t>
            </w:r>
          </w:p>
        </w:tc>
        <w:tc>
          <w:tcPr>
            <w:tcW w:w="1656" w:type="dxa"/>
            <w:tcBorders>
              <w:top w:val="nil"/>
              <w:left w:val="nil"/>
              <w:bottom w:val="nil"/>
              <w:right w:val="nil"/>
            </w:tcBorders>
          </w:tcPr>
          <w:p w14:paraId="7743AA3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0.0550</w:t>
            </w:r>
          </w:p>
        </w:tc>
        <w:tc>
          <w:tcPr>
            <w:tcW w:w="1656" w:type="dxa"/>
            <w:tcBorders>
              <w:top w:val="nil"/>
              <w:left w:val="nil"/>
              <w:bottom w:val="nil"/>
              <w:right w:val="nil"/>
            </w:tcBorders>
          </w:tcPr>
          <w:p w14:paraId="79E6E99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-0.0833</w:t>
            </w:r>
          </w:p>
        </w:tc>
        <w:tc>
          <w:tcPr>
            <w:tcW w:w="1656" w:type="dxa"/>
            <w:tcBorders>
              <w:top w:val="nil"/>
              <w:left w:val="nil"/>
              <w:bottom w:val="nil"/>
              <w:right w:val="nil"/>
            </w:tcBorders>
          </w:tcPr>
          <w:p w14:paraId="2A9C00F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0.0159</w:t>
            </w:r>
          </w:p>
        </w:tc>
      </w:tr>
      <w:tr w:rsidR="003A3222" w:rsidRPr="00D00042" w14:paraId="258082B1" w14:textId="77777777" w:rsidTr="00015B88">
        <w:tc>
          <w:tcPr>
            <w:tcW w:w="2136" w:type="dxa"/>
            <w:tcBorders>
              <w:top w:val="nil"/>
              <w:left w:val="nil"/>
              <w:bottom w:val="nil"/>
              <w:right w:val="nil"/>
            </w:tcBorders>
          </w:tcPr>
          <w:p w14:paraId="10DB225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C0E0D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(-0.71)</w:t>
            </w:r>
          </w:p>
        </w:tc>
        <w:tc>
          <w:tcPr>
            <w:tcW w:w="1656" w:type="dxa"/>
            <w:tcBorders>
              <w:top w:val="nil"/>
              <w:left w:val="nil"/>
              <w:bottom w:val="nil"/>
              <w:right w:val="nil"/>
            </w:tcBorders>
          </w:tcPr>
          <w:p w14:paraId="1F7E2FE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(0.59)</w:t>
            </w:r>
          </w:p>
        </w:tc>
        <w:tc>
          <w:tcPr>
            <w:tcW w:w="1656" w:type="dxa"/>
            <w:tcBorders>
              <w:top w:val="nil"/>
              <w:left w:val="nil"/>
              <w:bottom w:val="nil"/>
              <w:right w:val="nil"/>
            </w:tcBorders>
          </w:tcPr>
          <w:p w14:paraId="4701B48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(-0.92)</w:t>
            </w:r>
          </w:p>
        </w:tc>
        <w:tc>
          <w:tcPr>
            <w:tcW w:w="1656" w:type="dxa"/>
            <w:tcBorders>
              <w:top w:val="nil"/>
              <w:left w:val="nil"/>
              <w:bottom w:val="nil"/>
              <w:right w:val="nil"/>
            </w:tcBorders>
          </w:tcPr>
          <w:p w14:paraId="2777443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(0.39)</w:t>
            </w:r>
          </w:p>
        </w:tc>
      </w:tr>
      <w:tr w:rsidR="003A3222" w:rsidRPr="00D00042" w14:paraId="7801D8DF" w14:textId="77777777" w:rsidTr="00015B88">
        <w:tc>
          <w:tcPr>
            <w:tcW w:w="2136" w:type="dxa"/>
            <w:tcBorders>
              <w:top w:val="nil"/>
              <w:left w:val="nil"/>
              <w:bottom w:val="nil"/>
              <w:right w:val="nil"/>
            </w:tcBorders>
          </w:tcPr>
          <w:p w14:paraId="4E22872F"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A8E97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1180C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871B0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23C9D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3DF744A1" w14:textId="77777777" w:rsidTr="00015B88">
        <w:tc>
          <w:tcPr>
            <w:tcW w:w="2136" w:type="dxa"/>
            <w:tcBorders>
              <w:top w:val="nil"/>
              <w:left w:val="nil"/>
              <w:bottom w:val="nil"/>
              <w:right w:val="nil"/>
            </w:tcBorders>
          </w:tcPr>
          <w:p w14:paraId="79E9D89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1B26677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-0.00377</w:t>
            </w:r>
          </w:p>
        </w:tc>
        <w:tc>
          <w:tcPr>
            <w:tcW w:w="1656" w:type="dxa"/>
            <w:tcBorders>
              <w:top w:val="nil"/>
              <w:left w:val="nil"/>
              <w:bottom w:val="nil"/>
              <w:right w:val="nil"/>
            </w:tcBorders>
          </w:tcPr>
          <w:p w14:paraId="2B5C98B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-0.148</w:t>
            </w:r>
          </w:p>
        </w:tc>
        <w:tc>
          <w:tcPr>
            <w:tcW w:w="1656" w:type="dxa"/>
            <w:tcBorders>
              <w:top w:val="nil"/>
              <w:left w:val="nil"/>
              <w:bottom w:val="nil"/>
              <w:right w:val="nil"/>
            </w:tcBorders>
          </w:tcPr>
          <w:p w14:paraId="1A5ADBA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0.0295</w:t>
            </w:r>
          </w:p>
        </w:tc>
        <w:tc>
          <w:tcPr>
            <w:tcW w:w="1656" w:type="dxa"/>
            <w:tcBorders>
              <w:top w:val="nil"/>
              <w:left w:val="nil"/>
              <w:bottom w:val="nil"/>
              <w:right w:val="nil"/>
            </w:tcBorders>
          </w:tcPr>
          <w:p w14:paraId="2AA95A3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0.0684</w:t>
            </w:r>
          </w:p>
        </w:tc>
      </w:tr>
      <w:tr w:rsidR="003A3222" w:rsidRPr="00D00042" w14:paraId="70DB9AE8" w14:textId="77777777" w:rsidTr="00015B88">
        <w:tc>
          <w:tcPr>
            <w:tcW w:w="2136" w:type="dxa"/>
            <w:tcBorders>
              <w:top w:val="nil"/>
              <w:left w:val="nil"/>
              <w:bottom w:val="nil"/>
              <w:right w:val="nil"/>
            </w:tcBorders>
          </w:tcPr>
          <w:p w14:paraId="52109AFF"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16FF8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(-0.05)</w:t>
            </w:r>
          </w:p>
        </w:tc>
        <w:tc>
          <w:tcPr>
            <w:tcW w:w="1656" w:type="dxa"/>
            <w:tcBorders>
              <w:top w:val="nil"/>
              <w:left w:val="nil"/>
              <w:bottom w:val="nil"/>
              <w:right w:val="nil"/>
            </w:tcBorders>
          </w:tcPr>
          <w:p w14:paraId="2756B90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(-1.57)</w:t>
            </w:r>
          </w:p>
        </w:tc>
        <w:tc>
          <w:tcPr>
            <w:tcW w:w="1656" w:type="dxa"/>
            <w:tcBorders>
              <w:top w:val="nil"/>
              <w:left w:val="nil"/>
              <w:bottom w:val="nil"/>
              <w:right w:val="nil"/>
            </w:tcBorders>
          </w:tcPr>
          <w:p w14:paraId="45056EE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(0.33)</w:t>
            </w:r>
          </w:p>
        </w:tc>
        <w:tc>
          <w:tcPr>
            <w:tcW w:w="1656" w:type="dxa"/>
            <w:tcBorders>
              <w:top w:val="nil"/>
              <w:left w:val="nil"/>
              <w:bottom w:val="nil"/>
              <w:right w:val="nil"/>
            </w:tcBorders>
          </w:tcPr>
          <w:p w14:paraId="7C7D601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(1.54)</w:t>
            </w:r>
          </w:p>
        </w:tc>
      </w:tr>
      <w:tr w:rsidR="003A3222" w:rsidRPr="00D00042" w14:paraId="2BAB6502" w14:textId="77777777" w:rsidTr="00015B88">
        <w:tc>
          <w:tcPr>
            <w:tcW w:w="2136" w:type="dxa"/>
            <w:tcBorders>
              <w:top w:val="nil"/>
              <w:left w:val="nil"/>
              <w:bottom w:val="nil"/>
              <w:right w:val="nil"/>
            </w:tcBorders>
          </w:tcPr>
          <w:p w14:paraId="33D2A69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4E203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368F4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3AAE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6123E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7F01A904" w14:textId="77777777" w:rsidTr="00015B88">
        <w:tc>
          <w:tcPr>
            <w:tcW w:w="2136" w:type="dxa"/>
            <w:tcBorders>
              <w:top w:val="nil"/>
              <w:left w:val="nil"/>
              <w:bottom w:val="nil"/>
              <w:right w:val="nil"/>
            </w:tcBorders>
          </w:tcPr>
          <w:p w14:paraId="694EBC8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0CA2F60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-0.00277</w:t>
            </w:r>
          </w:p>
        </w:tc>
        <w:tc>
          <w:tcPr>
            <w:tcW w:w="1656" w:type="dxa"/>
            <w:tcBorders>
              <w:top w:val="nil"/>
              <w:left w:val="nil"/>
              <w:bottom w:val="nil"/>
              <w:right w:val="nil"/>
            </w:tcBorders>
          </w:tcPr>
          <w:p w14:paraId="62C5883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-0.0167</w:t>
            </w:r>
          </w:p>
        </w:tc>
        <w:tc>
          <w:tcPr>
            <w:tcW w:w="1656" w:type="dxa"/>
            <w:tcBorders>
              <w:top w:val="nil"/>
              <w:left w:val="nil"/>
              <w:bottom w:val="nil"/>
              <w:right w:val="nil"/>
            </w:tcBorders>
          </w:tcPr>
          <w:p w14:paraId="4F06A03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0.0195</w:t>
            </w:r>
          </w:p>
        </w:tc>
        <w:tc>
          <w:tcPr>
            <w:tcW w:w="1656" w:type="dxa"/>
            <w:tcBorders>
              <w:top w:val="nil"/>
              <w:left w:val="nil"/>
              <w:bottom w:val="nil"/>
              <w:right w:val="nil"/>
            </w:tcBorders>
          </w:tcPr>
          <w:p w14:paraId="4C3DEED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0.00371</w:t>
            </w:r>
          </w:p>
        </w:tc>
      </w:tr>
      <w:tr w:rsidR="003A3222" w:rsidRPr="00D00042" w14:paraId="4A597CDE" w14:textId="77777777" w:rsidTr="00015B88">
        <w:tc>
          <w:tcPr>
            <w:tcW w:w="2136" w:type="dxa"/>
            <w:tcBorders>
              <w:top w:val="nil"/>
              <w:left w:val="nil"/>
              <w:bottom w:val="nil"/>
              <w:right w:val="nil"/>
            </w:tcBorders>
          </w:tcPr>
          <w:p w14:paraId="7DBDEDA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52C20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(-0.04)</w:t>
            </w:r>
          </w:p>
        </w:tc>
        <w:tc>
          <w:tcPr>
            <w:tcW w:w="1656" w:type="dxa"/>
            <w:tcBorders>
              <w:top w:val="nil"/>
              <w:left w:val="nil"/>
              <w:bottom w:val="nil"/>
              <w:right w:val="nil"/>
            </w:tcBorders>
          </w:tcPr>
          <w:p w14:paraId="53EBA1A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(-0.19)</w:t>
            </w:r>
          </w:p>
        </w:tc>
        <w:tc>
          <w:tcPr>
            <w:tcW w:w="1656" w:type="dxa"/>
            <w:tcBorders>
              <w:top w:val="nil"/>
              <w:left w:val="nil"/>
              <w:bottom w:val="nil"/>
              <w:right w:val="nil"/>
            </w:tcBorders>
          </w:tcPr>
          <w:p w14:paraId="11A636C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(0.29)</w:t>
            </w:r>
          </w:p>
        </w:tc>
        <w:tc>
          <w:tcPr>
            <w:tcW w:w="1656" w:type="dxa"/>
            <w:tcBorders>
              <w:top w:val="nil"/>
              <w:left w:val="nil"/>
              <w:bottom w:val="nil"/>
              <w:right w:val="nil"/>
            </w:tcBorders>
          </w:tcPr>
          <w:p w14:paraId="30911ED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(0.07)</w:t>
            </w:r>
          </w:p>
        </w:tc>
      </w:tr>
      <w:tr w:rsidR="003A3222" w:rsidRPr="00D00042" w14:paraId="4A7D70E3" w14:textId="77777777" w:rsidTr="00015B88">
        <w:tc>
          <w:tcPr>
            <w:tcW w:w="2136" w:type="dxa"/>
            <w:tcBorders>
              <w:top w:val="nil"/>
              <w:left w:val="nil"/>
              <w:bottom w:val="nil"/>
              <w:right w:val="nil"/>
            </w:tcBorders>
          </w:tcPr>
          <w:p w14:paraId="66182B2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3CADE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8EB0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8D89D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EEDC1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262C8A46" w14:textId="77777777" w:rsidTr="00015B88">
        <w:tc>
          <w:tcPr>
            <w:tcW w:w="2136" w:type="dxa"/>
            <w:tcBorders>
              <w:top w:val="nil"/>
              <w:left w:val="nil"/>
              <w:bottom w:val="nil"/>
              <w:right w:val="nil"/>
            </w:tcBorders>
          </w:tcPr>
          <w:p w14:paraId="49607FD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D00042">
              <w:rPr>
                <w:rFonts w:ascii="Times New Roman" w:hAnsi="Times New Roman" w:cs="Times New Roman"/>
                <w:sz w:val="16"/>
                <w:szCs w:val="16"/>
              </w:rPr>
              <w:t>L.Chinn</w:t>
            </w:r>
            <w:proofErr w:type="spellEnd"/>
            <w:r w:rsidRPr="00D00042">
              <w:rPr>
                <w:rFonts w:ascii="Times New Roman" w:hAnsi="Times New Roman" w:cs="Times New Roman"/>
                <w:sz w:val="16"/>
                <w:szCs w:val="16"/>
              </w:rPr>
              <w:t>-Ito index, normalized</w:t>
            </w:r>
          </w:p>
        </w:tc>
        <w:tc>
          <w:tcPr>
            <w:tcW w:w="1656" w:type="dxa"/>
            <w:tcBorders>
              <w:top w:val="nil"/>
              <w:left w:val="nil"/>
              <w:bottom w:val="nil"/>
              <w:right w:val="nil"/>
            </w:tcBorders>
          </w:tcPr>
          <w:p w14:paraId="161550F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-0.0808</w:t>
            </w:r>
          </w:p>
        </w:tc>
        <w:tc>
          <w:tcPr>
            <w:tcW w:w="1656" w:type="dxa"/>
            <w:tcBorders>
              <w:top w:val="nil"/>
              <w:left w:val="nil"/>
              <w:bottom w:val="nil"/>
              <w:right w:val="nil"/>
            </w:tcBorders>
          </w:tcPr>
          <w:p w14:paraId="4AD0093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1.804</w:t>
            </w:r>
          </w:p>
        </w:tc>
        <w:tc>
          <w:tcPr>
            <w:tcW w:w="1656" w:type="dxa"/>
            <w:tcBorders>
              <w:top w:val="nil"/>
              <w:left w:val="nil"/>
              <w:bottom w:val="nil"/>
              <w:right w:val="nil"/>
            </w:tcBorders>
          </w:tcPr>
          <w:p w14:paraId="29FE7BF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-3.744</w:t>
            </w:r>
          </w:p>
        </w:tc>
        <w:tc>
          <w:tcPr>
            <w:tcW w:w="1656" w:type="dxa"/>
            <w:tcBorders>
              <w:top w:val="nil"/>
              <w:left w:val="nil"/>
              <w:bottom w:val="nil"/>
              <w:right w:val="nil"/>
            </w:tcBorders>
          </w:tcPr>
          <w:p w14:paraId="22E7802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0.904</w:t>
            </w:r>
          </w:p>
        </w:tc>
      </w:tr>
      <w:tr w:rsidR="003A3222" w:rsidRPr="00D00042" w14:paraId="3F4BC064" w14:textId="77777777" w:rsidTr="00015B88">
        <w:tc>
          <w:tcPr>
            <w:tcW w:w="2136" w:type="dxa"/>
            <w:tcBorders>
              <w:top w:val="nil"/>
              <w:left w:val="nil"/>
              <w:bottom w:val="nil"/>
              <w:right w:val="nil"/>
            </w:tcBorders>
          </w:tcPr>
          <w:p w14:paraId="15C1700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48DA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(-0.03)</w:t>
            </w:r>
          </w:p>
        </w:tc>
        <w:tc>
          <w:tcPr>
            <w:tcW w:w="1656" w:type="dxa"/>
            <w:tcBorders>
              <w:top w:val="nil"/>
              <w:left w:val="nil"/>
              <w:bottom w:val="nil"/>
              <w:right w:val="nil"/>
            </w:tcBorders>
          </w:tcPr>
          <w:p w14:paraId="18EAD48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(0.62)</w:t>
            </w:r>
          </w:p>
        </w:tc>
        <w:tc>
          <w:tcPr>
            <w:tcW w:w="1656" w:type="dxa"/>
            <w:tcBorders>
              <w:top w:val="nil"/>
              <w:left w:val="nil"/>
              <w:bottom w:val="nil"/>
              <w:right w:val="nil"/>
            </w:tcBorders>
          </w:tcPr>
          <w:p w14:paraId="03E6F90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(-1.16)</w:t>
            </w:r>
          </w:p>
        </w:tc>
        <w:tc>
          <w:tcPr>
            <w:tcW w:w="1656" w:type="dxa"/>
            <w:tcBorders>
              <w:top w:val="nil"/>
              <w:left w:val="nil"/>
              <w:bottom w:val="nil"/>
              <w:right w:val="nil"/>
            </w:tcBorders>
          </w:tcPr>
          <w:p w14:paraId="4EEB98A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(0.53)</w:t>
            </w:r>
          </w:p>
        </w:tc>
      </w:tr>
      <w:tr w:rsidR="003A3222" w:rsidRPr="00D00042" w14:paraId="1A625774" w14:textId="77777777" w:rsidTr="00015B88">
        <w:tc>
          <w:tcPr>
            <w:tcW w:w="2136" w:type="dxa"/>
            <w:tcBorders>
              <w:top w:val="nil"/>
              <w:left w:val="nil"/>
              <w:bottom w:val="nil"/>
              <w:right w:val="nil"/>
            </w:tcBorders>
          </w:tcPr>
          <w:p w14:paraId="58209CF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3558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64D7B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B344E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66C36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6B2B73A6" w14:textId="77777777" w:rsidTr="00015B88">
        <w:tc>
          <w:tcPr>
            <w:tcW w:w="2136" w:type="dxa"/>
            <w:tcBorders>
              <w:top w:val="nil"/>
              <w:left w:val="nil"/>
              <w:bottom w:val="nil"/>
              <w:right w:val="nil"/>
            </w:tcBorders>
          </w:tcPr>
          <w:p w14:paraId="49C1B05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L2.Chinn-Ito index, normalized</w:t>
            </w:r>
          </w:p>
        </w:tc>
        <w:tc>
          <w:tcPr>
            <w:tcW w:w="1656" w:type="dxa"/>
            <w:tcBorders>
              <w:top w:val="nil"/>
              <w:left w:val="nil"/>
              <w:bottom w:val="nil"/>
              <w:right w:val="nil"/>
            </w:tcBorders>
          </w:tcPr>
          <w:p w14:paraId="2695EF9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-2.437</w:t>
            </w:r>
          </w:p>
        </w:tc>
        <w:tc>
          <w:tcPr>
            <w:tcW w:w="1656" w:type="dxa"/>
            <w:tcBorders>
              <w:top w:val="nil"/>
              <w:left w:val="nil"/>
              <w:bottom w:val="nil"/>
              <w:right w:val="nil"/>
            </w:tcBorders>
          </w:tcPr>
          <w:p w14:paraId="6115375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-2.706</w:t>
            </w:r>
          </w:p>
        </w:tc>
        <w:tc>
          <w:tcPr>
            <w:tcW w:w="1656" w:type="dxa"/>
            <w:tcBorders>
              <w:top w:val="nil"/>
              <w:left w:val="nil"/>
              <w:bottom w:val="nil"/>
              <w:right w:val="nil"/>
            </w:tcBorders>
          </w:tcPr>
          <w:p w14:paraId="05F9DDE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2.295</w:t>
            </w:r>
          </w:p>
        </w:tc>
        <w:tc>
          <w:tcPr>
            <w:tcW w:w="1656" w:type="dxa"/>
            <w:tcBorders>
              <w:top w:val="nil"/>
              <w:left w:val="nil"/>
              <w:bottom w:val="nil"/>
              <w:right w:val="nil"/>
            </w:tcBorders>
          </w:tcPr>
          <w:p w14:paraId="5DC1B43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-1.428</w:t>
            </w:r>
          </w:p>
        </w:tc>
      </w:tr>
      <w:tr w:rsidR="003A3222" w:rsidRPr="00D00042" w14:paraId="45DE167D" w14:textId="77777777" w:rsidTr="00015B88">
        <w:tc>
          <w:tcPr>
            <w:tcW w:w="2136" w:type="dxa"/>
            <w:tcBorders>
              <w:top w:val="nil"/>
              <w:left w:val="nil"/>
              <w:bottom w:val="nil"/>
              <w:right w:val="nil"/>
            </w:tcBorders>
          </w:tcPr>
          <w:p w14:paraId="7D00A70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15B8C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(-0.80)</w:t>
            </w:r>
          </w:p>
        </w:tc>
        <w:tc>
          <w:tcPr>
            <w:tcW w:w="1656" w:type="dxa"/>
            <w:tcBorders>
              <w:top w:val="nil"/>
              <w:left w:val="nil"/>
              <w:bottom w:val="nil"/>
              <w:right w:val="nil"/>
            </w:tcBorders>
          </w:tcPr>
          <w:p w14:paraId="655D708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(-0.66)</w:t>
            </w:r>
          </w:p>
        </w:tc>
        <w:tc>
          <w:tcPr>
            <w:tcW w:w="1656" w:type="dxa"/>
            <w:tcBorders>
              <w:top w:val="nil"/>
              <w:left w:val="nil"/>
              <w:bottom w:val="nil"/>
              <w:right w:val="nil"/>
            </w:tcBorders>
          </w:tcPr>
          <w:p w14:paraId="4CB379A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(0.69)</w:t>
            </w:r>
          </w:p>
        </w:tc>
        <w:tc>
          <w:tcPr>
            <w:tcW w:w="1656" w:type="dxa"/>
            <w:tcBorders>
              <w:top w:val="nil"/>
              <w:left w:val="nil"/>
              <w:bottom w:val="nil"/>
              <w:right w:val="nil"/>
            </w:tcBorders>
          </w:tcPr>
          <w:p w14:paraId="1C500BB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(-0.96)</w:t>
            </w:r>
          </w:p>
        </w:tc>
      </w:tr>
      <w:tr w:rsidR="003A3222" w:rsidRPr="00D00042" w14:paraId="74CB4CCA" w14:textId="77777777" w:rsidTr="00015B88">
        <w:tc>
          <w:tcPr>
            <w:tcW w:w="2136" w:type="dxa"/>
            <w:tcBorders>
              <w:top w:val="nil"/>
              <w:left w:val="nil"/>
              <w:bottom w:val="nil"/>
              <w:right w:val="nil"/>
            </w:tcBorders>
          </w:tcPr>
          <w:p w14:paraId="74119D4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CBFE9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F2D77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41170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1D016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4354C68B" w14:textId="77777777" w:rsidTr="00015B88">
        <w:tc>
          <w:tcPr>
            <w:tcW w:w="2136" w:type="dxa"/>
            <w:tcBorders>
              <w:top w:val="nil"/>
              <w:left w:val="nil"/>
              <w:bottom w:val="nil"/>
              <w:right w:val="nil"/>
            </w:tcBorders>
          </w:tcPr>
          <w:p w14:paraId="364DDE2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L3.Chinn-Ito index, normalized</w:t>
            </w:r>
          </w:p>
        </w:tc>
        <w:tc>
          <w:tcPr>
            <w:tcW w:w="1656" w:type="dxa"/>
            <w:tcBorders>
              <w:top w:val="nil"/>
              <w:left w:val="nil"/>
              <w:bottom w:val="nil"/>
              <w:right w:val="nil"/>
            </w:tcBorders>
          </w:tcPr>
          <w:p w14:paraId="644FCF3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5.658</w:t>
            </w:r>
          </w:p>
        </w:tc>
        <w:tc>
          <w:tcPr>
            <w:tcW w:w="1656" w:type="dxa"/>
            <w:tcBorders>
              <w:top w:val="nil"/>
              <w:left w:val="nil"/>
              <w:bottom w:val="nil"/>
              <w:right w:val="nil"/>
            </w:tcBorders>
          </w:tcPr>
          <w:p w14:paraId="64CC428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-1.507</w:t>
            </w:r>
          </w:p>
        </w:tc>
        <w:tc>
          <w:tcPr>
            <w:tcW w:w="1656" w:type="dxa"/>
            <w:tcBorders>
              <w:top w:val="nil"/>
              <w:left w:val="nil"/>
              <w:bottom w:val="nil"/>
              <w:right w:val="nil"/>
            </w:tcBorders>
          </w:tcPr>
          <w:p w14:paraId="0B21D41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-0.215</w:t>
            </w:r>
          </w:p>
        </w:tc>
        <w:tc>
          <w:tcPr>
            <w:tcW w:w="1656" w:type="dxa"/>
            <w:tcBorders>
              <w:top w:val="nil"/>
              <w:left w:val="nil"/>
              <w:bottom w:val="nil"/>
              <w:right w:val="nil"/>
            </w:tcBorders>
          </w:tcPr>
          <w:p w14:paraId="2BD2716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-1.629</w:t>
            </w:r>
          </w:p>
        </w:tc>
      </w:tr>
      <w:tr w:rsidR="003A3222" w:rsidRPr="00D00042" w14:paraId="58106C71" w14:textId="77777777" w:rsidTr="00015B88">
        <w:tc>
          <w:tcPr>
            <w:tcW w:w="2136" w:type="dxa"/>
            <w:tcBorders>
              <w:top w:val="nil"/>
              <w:left w:val="nil"/>
              <w:bottom w:val="nil"/>
              <w:right w:val="nil"/>
            </w:tcBorders>
          </w:tcPr>
          <w:p w14:paraId="2651ABB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34A66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(1.78)</w:t>
            </w:r>
          </w:p>
        </w:tc>
        <w:tc>
          <w:tcPr>
            <w:tcW w:w="1656" w:type="dxa"/>
            <w:tcBorders>
              <w:top w:val="nil"/>
              <w:left w:val="nil"/>
              <w:bottom w:val="nil"/>
              <w:right w:val="nil"/>
            </w:tcBorders>
          </w:tcPr>
          <w:p w14:paraId="4CE095F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(-0.33)</w:t>
            </w:r>
          </w:p>
        </w:tc>
        <w:tc>
          <w:tcPr>
            <w:tcW w:w="1656" w:type="dxa"/>
            <w:tcBorders>
              <w:top w:val="nil"/>
              <w:left w:val="nil"/>
              <w:bottom w:val="nil"/>
              <w:right w:val="nil"/>
            </w:tcBorders>
          </w:tcPr>
          <w:p w14:paraId="5EE6B2D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(-0.08)</w:t>
            </w:r>
          </w:p>
        </w:tc>
        <w:tc>
          <w:tcPr>
            <w:tcW w:w="1656" w:type="dxa"/>
            <w:tcBorders>
              <w:top w:val="nil"/>
              <w:left w:val="nil"/>
              <w:bottom w:val="nil"/>
              <w:right w:val="nil"/>
            </w:tcBorders>
          </w:tcPr>
          <w:p w14:paraId="5368018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(-1.25)</w:t>
            </w:r>
          </w:p>
        </w:tc>
      </w:tr>
      <w:tr w:rsidR="003A3222" w:rsidRPr="00D00042" w14:paraId="5354CBD2" w14:textId="77777777" w:rsidTr="00015B88">
        <w:tc>
          <w:tcPr>
            <w:tcW w:w="2136" w:type="dxa"/>
            <w:tcBorders>
              <w:top w:val="nil"/>
              <w:left w:val="nil"/>
              <w:bottom w:val="nil"/>
              <w:right w:val="nil"/>
            </w:tcBorders>
          </w:tcPr>
          <w:p w14:paraId="091D0C5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6E03B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0AB1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FF782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B0525F"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533EB6EA" w14:textId="77777777" w:rsidTr="00015B88">
        <w:tc>
          <w:tcPr>
            <w:tcW w:w="2136" w:type="dxa"/>
            <w:tcBorders>
              <w:top w:val="nil"/>
              <w:left w:val="nil"/>
              <w:bottom w:val="nil"/>
              <w:right w:val="nil"/>
            </w:tcBorders>
          </w:tcPr>
          <w:p w14:paraId="771C11C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L4.Chinn-Ito index, normalized</w:t>
            </w:r>
          </w:p>
        </w:tc>
        <w:tc>
          <w:tcPr>
            <w:tcW w:w="1656" w:type="dxa"/>
            <w:tcBorders>
              <w:top w:val="nil"/>
              <w:left w:val="nil"/>
              <w:bottom w:val="nil"/>
              <w:right w:val="nil"/>
            </w:tcBorders>
          </w:tcPr>
          <w:p w14:paraId="0AE3CF8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-1.584</w:t>
            </w:r>
          </w:p>
        </w:tc>
        <w:tc>
          <w:tcPr>
            <w:tcW w:w="1656" w:type="dxa"/>
            <w:tcBorders>
              <w:top w:val="nil"/>
              <w:left w:val="nil"/>
              <w:bottom w:val="nil"/>
              <w:right w:val="nil"/>
            </w:tcBorders>
          </w:tcPr>
          <w:p w14:paraId="609C15E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1.259</w:t>
            </w:r>
          </w:p>
        </w:tc>
        <w:tc>
          <w:tcPr>
            <w:tcW w:w="1656" w:type="dxa"/>
            <w:tcBorders>
              <w:top w:val="nil"/>
              <w:left w:val="nil"/>
              <w:bottom w:val="nil"/>
              <w:right w:val="nil"/>
            </w:tcBorders>
          </w:tcPr>
          <w:p w14:paraId="5F000AF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2.201</w:t>
            </w:r>
          </w:p>
        </w:tc>
        <w:tc>
          <w:tcPr>
            <w:tcW w:w="1656" w:type="dxa"/>
            <w:tcBorders>
              <w:top w:val="nil"/>
              <w:left w:val="nil"/>
              <w:bottom w:val="nil"/>
              <w:right w:val="nil"/>
            </w:tcBorders>
          </w:tcPr>
          <w:p w14:paraId="1FB08DD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-1.083</w:t>
            </w:r>
          </w:p>
        </w:tc>
      </w:tr>
      <w:tr w:rsidR="003A3222" w:rsidRPr="00D00042" w14:paraId="01549888" w14:textId="77777777" w:rsidTr="00015B88">
        <w:tc>
          <w:tcPr>
            <w:tcW w:w="2136" w:type="dxa"/>
            <w:tcBorders>
              <w:top w:val="nil"/>
              <w:left w:val="nil"/>
              <w:bottom w:val="nil"/>
              <w:right w:val="nil"/>
            </w:tcBorders>
          </w:tcPr>
          <w:p w14:paraId="27FC1D3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A1B5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(-0.51)</w:t>
            </w:r>
          </w:p>
        </w:tc>
        <w:tc>
          <w:tcPr>
            <w:tcW w:w="1656" w:type="dxa"/>
            <w:tcBorders>
              <w:top w:val="nil"/>
              <w:left w:val="nil"/>
              <w:bottom w:val="nil"/>
              <w:right w:val="nil"/>
            </w:tcBorders>
          </w:tcPr>
          <w:p w14:paraId="4EF7368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(0.31)</w:t>
            </w:r>
          </w:p>
        </w:tc>
        <w:tc>
          <w:tcPr>
            <w:tcW w:w="1656" w:type="dxa"/>
            <w:tcBorders>
              <w:top w:val="nil"/>
              <w:left w:val="nil"/>
              <w:bottom w:val="nil"/>
              <w:right w:val="nil"/>
            </w:tcBorders>
          </w:tcPr>
          <w:p w14:paraId="7CF326F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(0.84)</w:t>
            </w:r>
          </w:p>
        </w:tc>
        <w:tc>
          <w:tcPr>
            <w:tcW w:w="1656" w:type="dxa"/>
            <w:tcBorders>
              <w:top w:val="nil"/>
              <w:left w:val="nil"/>
              <w:bottom w:val="nil"/>
              <w:right w:val="nil"/>
            </w:tcBorders>
          </w:tcPr>
          <w:p w14:paraId="172BAB3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(-0.93)</w:t>
            </w:r>
          </w:p>
        </w:tc>
      </w:tr>
      <w:tr w:rsidR="003A3222" w:rsidRPr="00D00042" w14:paraId="01886E17" w14:textId="77777777" w:rsidTr="00015B88">
        <w:tc>
          <w:tcPr>
            <w:tcW w:w="2136" w:type="dxa"/>
            <w:tcBorders>
              <w:top w:val="nil"/>
              <w:left w:val="nil"/>
              <w:bottom w:val="nil"/>
              <w:right w:val="nil"/>
            </w:tcBorders>
          </w:tcPr>
          <w:p w14:paraId="256C3F5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C6032F"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4F19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5D36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6CC9D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59294E59" w14:textId="77777777" w:rsidTr="00015B88">
        <w:tc>
          <w:tcPr>
            <w:tcW w:w="2136" w:type="dxa"/>
            <w:tcBorders>
              <w:top w:val="nil"/>
              <w:left w:val="nil"/>
              <w:bottom w:val="nil"/>
              <w:right w:val="nil"/>
            </w:tcBorders>
          </w:tcPr>
          <w:p w14:paraId="69F41D5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L5.Chinn-Ito index, normalized</w:t>
            </w:r>
          </w:p>
        </w:tc>
        <w:tc>
          <w:tcPr>
            <w:tcW w:w="1656" w:type="dxa"/>
            <w:tcBorders>
              <w:top w:val="nil"/>
              <w:left w:val="nil"/>
              <w:bottom w:val="nil"/>
              <w:right w:val="nil"/>
            </w:tcBorders>
          </w:tcPr>
          <w:p w14:paraId="5516097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0.769</w:t>
            </w:r>
          </w:p>
        </w:tc>
        <w:tc>
          <w:tcPr>
            <w:tcW w:w="1656" w:type="dxa"/>
            <w:tcBorders>
              <w:top w:val="nil"/>
              <w:left w:val="nil"/>
              <w:bottom w:val="nil"/>
              <w:right w:val="nil"/>
            </w:tcBorders>
          </w:tcPr>
          <w:p w14:paraId="4975F96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-2.652</w:t>
            </w:r>
          </w:p>
        </w:tc>
        <w:tc>
          <w:tcPr>
            <w:tcW w:w="1656" w:type="dxa"/>
            <w:tcBorders>
              <w:top w:val="nil"/>
              <w:left w:val="nil"/>
              <w:bottom w:val="nil"/>
              <w:right w:val="nil"/>
            </w:tcBorders>
          </w:tcPr>
          <w:p w14:paraId="4DED3F0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-2.849</w:t>
            </w:r>
          </w:p>
        </w:tc>
        <w:tc>
          <w:tcPr>
            <w:tcW w:w="1656" w:type="dxa"/>
            <w:tcBorders>
              <w:top w:val="nil"/>
              <w:left w:val="nil"/>
              <w:bottom w:val="nil"/>
              <w:right w:val="nil"/>
            </w:tcBorders>
          </w:tcPr>
          <w:p w14:paraId="2197D73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-0.491</w:t>
            </w:r>
          </w:p>
        </w:tc>
      </w:tr>
      <w:tr w:rsidR="003A3222" w:rsidRPr="00D00042" w14:paraId="13DFC718" w14:textId="77777777" w:rsidTr="00015B88">
        <w:tc>
          <w:tcPr>
            <w:tcW w:w="2136" w:type="dxa"/>
            <w:tcBorders>
              <w:top w:val="nil"/>
              <w:left w:val="nil"/>
              <w:bottom w:val="nil"/>
              <w:right w:val="nil"/>
            </w:tcBorders>
          </w:tcPr>
          <w:p w14:paraId="20AF8A9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64B00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(0.29)</w:t>
            </w:r>
          </w:p>
        </w:tc>
        <w:tc>
          <w:tcPr>
            <w:tcW w:w="1656" w:type="dxa"/>
            <w:tcBorders>
              <w:top w:val="nil"/>
              <w:left w:val="nil"/>
              <w:bottom w:val="nil"/>
              <w:right w:val="nil"/>
            </w:tcBorders>
          </w:tcPr>
          <w:p w14:paraId="76C1C8F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(-1.02)</w:t>
            </w:r>
          </w:p>
        </w:tc>
        <w:tc>
          <w:tcPr>
            <w:tcW w:w="1656" w:type="dxa"/>
            <w:tcBorders>
              <w:top w:val="nil"/>
              <w:left w:val="nil"/>
              <w:bottom w:val="nil"/>
              <w:right w:val="nil"/>
            </w:tcBorders>
          </w:tcPr>
          <w:p w14:paraId="0347B66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(-1.10)</w:t>
            </w:r>
          </w:p>
        </w:tc>
        <w:tc>
          <w:tcPr>
            <w:tcW w:w="1656" w:type="dxa"/>
            <w:tcBorders>
              <w:top w:val="nil"/>
              <w:left w:val="nil"/>
              <w:bottom w:val="nil"/>
              <w:right w:val="nil"/>
            </w:tcBorders>
          </w:tcPr>
          <w:p w14:paraId="712E2F7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(-0.30)</w:t>
            </w:r>
          </w:p>
        </w:tc>
      </w:tr>
      <w:tr w:rsidR="003A3222" w:rsidRPr="00D00042" w14:paraId="672C6589" w14:textId="77777777" w:rsidTr="00015B88">
        <w:tc>
          <w:tcPr>
            <w:tcW w:w="2136" w:type="dxa"/>
            <w:tcBorders>
              <w:top w:val="nil"/>
              <w:left w:val="nil"/>
              <w:bottom w:val="nil"/>
              <w:right w:val="nil"/>
            </w:tcBorders>
          </w:tcPr>
          <w:p w14:paraId="0AE5ACA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C45D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B079D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FD99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A780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0FBB9C52" w14:textId="77777777" w:rsidTr="00015B88">
        <w:tc>
          <w:tcPr>
            <w:tcW w:w="2136" w:type="dxa"/>
            <w:tcBorders>
              <w:top w:val="nil"/>
              <w:left w:val="nil"/>
              <w:bottom w:val="nil"/>
              <w:right w:val="nil"/>
            </w:tcBorders>
          </w:tcPr>
          <w:p w14:paraId="2D40184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L6.Chinn-Ito index, normalized</w:t>
            </w:r>
          </w:p>
        </w:tc>
        <w:tc>
          <w:tcPr>
            <w:tcW w:w="1656" w:type="dxa"/>
            <w:tcBorders>
              <w:top w:val="nil"/>
              <w:left w:val="nil"/>
              <w:bottom w:val="nil"/>
              <w:right w:val="nil"/>
            </w:tcBorders>
          </w:tcPr>
          <w:p w14:paraId="0EF1328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-1.497</w:t>
            </w:r>
          </w:p>
        </w:tc>
        <w:tc>
          <w:tcPr>
            <w:tcW w:w="1656" w:type="dxa"/>
            <w:tcBorders>
              <w:top w:val="nil"/>
              <w:left w:val="nil"/>
              <w:bottom w:val="nil"/>
              <w:right w:val="nil"/>
            </w:tcBorders>
          </w:tcPr>
          <w:p w14:paraId="562BC50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5.645</w:t>
            </w:r>
          </w:p>
        </w:tc>
        <w:tc>
          <w:tcPr>
            <w:tcW w:w="1656" w:type="dxa"/>
            <w:tcBorders>
              <w:top w:val="nil"/>
              <w:left w:val="nil"/>
              <w:bottom w:val="nil"/>
              <w:right w:val="nil"/>
            </w:tcBorders>
          </w:tcPr>
          <w:p w14:paraId="6833480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-0.658</w:t>
            </w:r>
          </w:p>
        </w:tc>
        <w:tc>
          <w:tcPr>
            <w:tcW w:w="1656" w:type="dxa"/>
            <w:tcBorders>
              <w:top w:val="nil"/>
              <w:left w:val="nil"/>
              <w:bottom w:val="nil"/>
              <w:right w:val="nil"/>
            </w:tcBorders>
          </w:tcPr>
          <w:p w14:paraId="1260341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1.557</w:t>
            </w:r>
          </w:p>
        </w:tc>
      </w:tr>
      <w:tr w:rsidR="003A3222" w:rsidRPr="00D00042" w14:paraId="74347C15" w14:textId="77777777" w:rsidTr="00015B88">
        <w:tc>
          <w:tcPr>
            <w:tcW w:w="2136" w:type="dxa"/>
            <w:tcBorders>
              <w:top w:val="nil"/>
              <w:left w:val="nil"/>
              <w:bottom w:val="nil"/>
              <w:right w:val="nil"/>
            </w:tcBorders>
          </w:tcPr>
          <w:p w14:paraId="2B68A53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972E5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(-0.57)</w:t>
            </w:r>
          </w:p>
        </w:tc>
        <w:tc>
          <w:tcPr>
            <w:tcW w:w="1656" w:type="dxa"/>
            <w:tcBorders>
              <w:top w:val="nil"/>
              <w:left w:val="nil"/>
              <w:bottom w:val="nil"/>
              <w:right w:val="nil"/>
            </w:tcBorders>
          </w:tcPr>
          <w:p w14:paraId="0ADA512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(1.95)</w:t>
            </w:r>
          </w:p>
        </w:tc>
        <w:tc>
          <w:tcPr>
            <w:tcW w:w="1656" w:type="dxa"/>
            <w:tcBorders>
              <w:top w:val="nil"/>
              <w:left w:val="nil"/>
              <w:bottom w:val="nil"/>
              <w:right w:val="nil"/>
            </w:tcBorders>
          </w:tcPr>
          <w:p w14:paraId="7468BEF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(-0.21)</w:t>
            </w:r>
          </w:p>
        </w:tc>
        <w:tc>
          <w:tcPr>
            <w:tcW w:w="1656" w:type="dxa"/>
            <w:tcBorders>
              <w:top w:val="nil"/>
              <w:left w:val="nil"/>
              <w:bottom w:val="nil"/>
              <w:right w:val="nil"/>
            </w:tcBorders>
          </w:tcPr>
          <w:p w14:paraId="71736D4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(0.92)</w:t>
            </w:r>
          </w:p>
        </w:tc>
      </w:tr>
      <w:tr w:rsidR="003A3222" w:rsidRPr="00D00042" w14:paraId="7C412958" w14:textId="77777777" w:rsidTr="00015B88">
        <w:tc>
          <w:tcPr>
            <w:tcW w:w="2136" w:type="dxa"/>
            <w:tcBorders>
              <w:top w:val="nil"/>
              <w:left w:val="nil"/>
              <w:bottom w:val="nil"/>
              <w:right w:val="nil"/>
            </w:tcBorders>
          </w:tcPr>
          <w:p w14:paraId="1C89277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BCDBF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4FB91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7BCAA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1AE7F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2BBE5DEE" w14:textId="77777777" w:rsidTr="00015B88">
        <w:tc>
          <w:tcPr>
            <w:tcW w:w="2136" w:type="dxa"/>
            <w:tcBorders>
              <w:top w:val="nil"/>
              <w:left w:val="nil"/>
              <w:bottom w:val="nil"/>
              <w:right w:val="nil"/>
            </w:tcBorders>
          </w:tcPr>
          <w:p w14:paraId="6ADC0D8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L7.Chinn-Ito index, normalized</w:t>
            </w:r>
          </w:p>
        </w:tc>
        <w:tc>
          <w:tcPr>
            <w:tcW w:w="1656" w:type="dxa"/>
            <w:tcBorders>
              <w:top w:val="nil"/>
              <w:left w:val="nil"/>
              <w:bottom w:val="nil"/>
              <w:right w:val="nil"/>
            </w:tcBorders>
          </w:tcPr>
          <w:p w14:paraId="16FFD7E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0.376</w:t>
            </w:r>
          </w:p>
        </w:tc>
        <w:tc>
          <w:tcPr>
            <w:tcW w:w="1656" w:type="dxa"/>
            <w:tcBorders>
              <w:top w:val="nil"/>
              <w:left w:val="nil"/>
              <w:bottom w:val="nil"/>
              <w:right w:val="nil"/>
            </w:tcBorders>
          </w:tcPr>
          <w:p w14:paraId="700B578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0.0770</w:t>
            </w:r>
          </w:p>
        </w:tc>
        <w:tc>
          <w:tcPr>
            <w:tcW w:w="1656" w:type="dxa"/>
            <w:tcBorders>
              <w:top w:val="nil"/>
              <w:left w:val="nil"/>
              <w:bottom w:val="nil"/>
              <w:right w:val="nil"/>
            </w:tcBorders>
          </w:tcPr>
          <w:p w14:paraId="7E295A8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3.515</w:t>
            </w:r>
          </w:p>
        </w:tc>
        <w:tc>
          <w:tcPr>
            <w:tcW w:w="1656" w:type="dxa"/>
            <w:tcBorders>
              <w:top w:val="nil"/>
              <w:left w:val="nil"/>
              <w:bottom w:val="nil"/>
              <w:right w:val="nil"/>
            </w:tcBorders>
          </w:tcPr>
          <w:p w14:paraId="1383361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0.504</w:t>
            </w:r>
          </w:p>
        </w:tc>
      </w:tr>
      <w:tr w:rsidR="003A3222" w:rsidRPr="00D00042" w14:paraId="0BFD65FD" w14:textId="77777777" w:rsidTr="00015B88">
        <w:tc>
          <w:tcPr>
            <w:tcW w:w="2136" w:type="dxa"/>
            <w:tcBorders>
              <w:top w:val="nil"/>
              <w:left w:val="nil"/>
              <w:bottom w:val="nil"/>
              <w:right w:val="nil"/>
            </w:tcBorders>
          </w:tcPr>
          <w:p w14:paraId="412643EF"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0904C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(0.15)</w:t>
            </w:r>
          </w:p>
        </w:tc>
        <w:tc>
          <w:tcPr>
            <w:tcW w:w="1656" w:type="dxa"/>
            <w:tcBorders>
              <w:top w:val="nil"/>
              <w:left w:val="nil"/>
              <w:bottom w:val="nil"/>
              <w:right w:val="nil"/>
            </w:tcBorders>
          </w:tcPr>
          <w:p w14:paraId="190A630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(0.02)</w:t>
            </w:r>
          </w:p>
        </w:tc>
        <w:tc>
          <w:tcPr>
            <w:tcW w:w="1656" w:type="dxa"/>
            <w:tcBorders>
              <w:top w:val="nil"/>
              <w:left w:val="nil"/>
              <w:bottom w:val="nil"/>
              <w:right w:val="nil"/>
            </w:tcBorders>
          </w:tcPr>
          <w:p w14:paraId="3E84BCC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(1.09)</w:t>
            </w:r>
          </w:p>
        </w:tc>
        <w:tc>
          <w:tcPr>
            <w:tcW w:w="1656" w:type="dxa"/>
            <w:tcBorders>
              <w:top w:val="nil"/>
              <w:left w:val="nil"/>
              <w:bottom w:val="nil"/>
              <w:right w:val="nil"/>
            </w:tcBorders>
          </w:tcPr>
          <w:p w14:paraId="054A3C7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(0.29)</w:t>
            </w:r>
          </w:p>
        </w:tc>
      </w:tr>
      <w:tr w:rsidR="003A3222" w:rsidRPr="00D00042" w14:paraId="7245F1D1" w14:textId="77777777" w:rsidTr="00015B88">
        <w:tc>
          <w:tcPr>
            <w:tcW w:w="2136" w:type="dxa"/>
            <w:tcBorders>
              <w:top w:val="nil"/>
              <w:left w:val="nil"/>
              <w:bottom w:val="nil"/>
              <w:right w:val="nil"/>
            </w:tcBorders>
          </w:tcPr>
          <w:p w14:paraId="133E517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C7D85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C3252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73F3D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5EA0A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16CAB06A" w14:textId="77777777" w:rsidTr="00015B88">
        <w:tc>
          <w:tcPr>
            <w:tcW w:w="2136" w:type="dxa"/>
            <w:tcBorders>
              <w:top w:val="nil"/>
              <w:left w:val="nil"/>
              <w:bottom w:val="nil"/>
              <w:right w:val="nil"/>
            </w:tcBorders>
          </w:tcPr>
          <w:p w14:paraId="005AE64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L8.Chinn-Ito index, normalized</w:t>
            </w:r>
          </w:p>
        </w:tc>
        <w:tc>
          <w:tcPr>
            <w:tcW w:w="1656" w:type="dxa"/>
            <w:tcBorders>
              <w:top w:val="nil"/>
              <w:left w:val="nil"/>
              <w:bottom w:val="nil"/>
              <w:right w:val="nil"/>
            </w:tcBorders>
          </w:tcPr>
          <w:p w14:paraId="3A3FDA8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0.135</w:t>
            </w:r>
          </w:p>
        </w:tc>
        <w:tc>
          <w:tcPr>
            <w:tcW w:w="1656" w:type="dxa"/>
            <w:tcBorders>
              <w:top w:val="nil"/>
              <w:left w:val="nil"/>
              <w:bottom w:val="nil"/>
              <w:right w:val="nil"/>
            </w:tcBorders>
          </w:tcPr>
          <w:p w14:paraId="3EAF262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-2.010</w:t>
            </w:r>
          </w:p>
        </w:tc>
        <w:tc>
          <w:tcPr>
            <w:tcW w:w="1656" w:type="dxa"/>
            <w:tcBorders>
              <w:top w:val="nil"/>
              <w:left w:val="nil"/>
              <w:bottom w:val="nil"/>
              <w:right w:val="nil"/>
            </w:tcBorders>
          </w:tcPr>
          <w:p w14:paraId="605704A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-4.440</w:t>
            </w:r>
          </w:p>
        </w:tc>
        <w:tc>
          <w:tcPr>
            <w:tcW w:w="1656" w:type="dxa"/>
            <w:tcBorders>
              <w:top w:val="nil"/>
              <w:left w:val="nil"/>
              <w:bottom w:val="nil"/>
              <w:right w:val="nil"/>
            </w:tcBorders>
          </w:tcPr>
          <w:p w14:paraId="055B334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-0.124</w:t>
            </w:r>
          </w:p>
        </w:tc>
      </w:tr>
      <w:tr w:rsidR="003A3222" w:rsidRPr="00D00042" w14:paraId="75C4BEA8" w14:textId="77777777" w:rsidTr="00015B88">
        <w:tc>
          <w:tcPr>
            <w:tcW w:w="2136" w:type="dxa"/>
            <w:tcBorders>
              <w:top w:val="nil"/>
              <w:left w:val="nil"/>
              <w:bottom w:val="nil"/>
              <w:right w:val="nil"/>
            </w:tcBorders>
          </w:tcPr>
          <w:p w14:paraId="78DE9DE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BDCF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(0.05)</w:t>
            </w:r>
          </w:p>
        </w:tc>
        <w:tc>
          <w:tcPr>
            <w:tcW w:w="1656" w:type="dxa"/>
            <w:tcBorders>
              <w:top w:val="nil"/>
              <w:left w:val="nil"/>
              <w:bottom w:val="nil"/>
              <w:right w:val="nil"/>
            </w:tcBorders>
          </w:tcPr>
          <w:p w14:paraId="5238BEE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(-0.54)</w:t>
            </w:r>
          </w:p>
        </w:tc>
        <w:tc>
          <w:tcPr>
            <w:tcW w:w="1656" w:type="dxa"/>
            <w:tcBorders>
              <w:top w:val="nil"/>
              <w:left w:val="nil"/>
              <w:bottom w:val="nil"/>
              <w:right w:val="nil"/>
            </w:tcBorders>
          </w:tcPr>
          <w:p w14:paraId="66018A1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(-1.73)</w:t>
            </w:r>
          </w:p>
        </w:tc>
        <w:tc>
          <w:tcPr>
            <w:tcW w:w="1656" w:type="dxa"/>
            <w:tcBorders>
              <w:top w:val="nil"/>
              <w:left w:val="nil"/>
              <w:bottom w:val="nil"/>
              <w:right w:val="nil"/>
            </w:tcBorders>
          </w:tcPr>
          <w:p w14:paraId="641ADE0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(-0.05)</w:t>
            </w:r>
          </w:p>
        </w:tc>
      </w:tr>
      <w:tr w:rsidR="003A3222" w:rsidRPr="00D00042" w14:paraId="0702DCD4" w14:textId="77777777" w:rsidTr="00015B88">
        <w:tc>
          <w:tcPr>
            <w:tcW w:w="2136" w:type="dxa"/>
            <w:tcBorders>
              <w:top w:val="nil"/>
              <w:left w:val="nil"/>
              <w:bottom w:val="nil"/>
              <w:right w:val="nil"/>
            </w:tcBorders>
          </w:tcPr>
          <w:p w14:paraId="17D3268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78AC8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7FA17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61433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B922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6E63C817" w14:textId="77777777" w:rsidTr="00015B88">
        <w:tc>
          <w:tcPr>
            <w:tcW w:w="2136" w:type="dxa"/>
            <w:tcBorders>
              <w:top w:val="nil"/>
              <w:left w:val="nil"/>
              <w:bottom w:val="nil"/>
              <w:right w:val="nil"/>
            </w:tcBorders>
          </w:tcPr>
          <w:p w14:paraId="13DE71C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L9.Chinn-Ito index, normalized</w:t>
            </w:r>
          </w:p>
        </w:tc>
        <w:tc>
          <w:tcPr>
            <w:tcW w:w="1656" w:type="dxa"/>
            <w:tcBorders>
              <w:top w:val="nil"/>
              <w:left w:val="nil"/>
              <w:bottom w:val="nil"/>
              <w:right w:val="nil"/>
            </w:tcBorders>
          </w:tcPr>
          <w:p w14:paraId="57BED08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-1.624</w:t>
            </w:r>
          </w:p>
        </w:tc>
        <w:tc>
          <w:tcPr>
            <w:tcW w:w="1656" w:type="dxa"/>
            <w:tcBorders>
              <w:top w:val="nil"/>
              <w:left w:val="nil"/>
              <w:bottom w:val="nil"/>
              <w:right w:val="nil"/>
            </w:tcBorders>
          </w:tcPr>
          <w:p w14:paraId="4E53B07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-0.0774</w:t>
            </w:r>
          </w:p>
        </w:tc>
        <w:tc>
          <w:tcPr>
            <w:tcW w:w="1656" w:type="dxa"/>
            <w:tcBorders>
              <w:top w:val="nil"/>
              <w:left w:val="nil"/>
              <w:bottom w:val="nil"/>
              <w:right w:val="nil"/>
            </w:tcBorders>
          </w:tcPr>
          <w:p w14:paraId="7BA515F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1.398</w:t>
            </w:r>
          </w:p>
        </w:tc>
        <w:tc>
          <w:tcPr>
            <w:tcW w:w="1656" w:type="dxa"/>
            <w:tcBorders>
              <w:top w:val="nil"/>
              <w:left w:val="nil"/>
              <w:bottom w:val="nil"/>
              <w:right w:val="nil"/>
            </w:tcBorders>
          </w:tcPr>
          <w:p w14:paraId="0747F3E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1.456</w:t>
            </w:r>
          </w:p>
        </w:tc>
      </w:tr>
      <w:tr w:rsidR="003A3222" w:rsidRPr="00D00042" w14:paraId="2C68CF3D" w14:textId="77777777" w:rsidTr="00015B88">
        <w:tc>
          <w:tcPr>
            <w:tcW w:w="2136" w:type="dxa"/>
            <w:tcBorders>
              <w:top w:val="nil"/>
              <w:left w:val="nil"/>
              <w:bottom w:val="nil"/>
              <w:right w:val="nil"/>
            </w:tcBorders>
          </w:tcPr>
          <w:p w14:paraId="050013E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07DD4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(-0.67)</w:t>
            </w:r>
          </w:p>
        </w:tc>
        <w:tc>
          <w:tcPr>
            <w:tcW w:w="1656" w:type="dxa"/>
            <w:tcBorders>
              <w:top w:val="nil"/>
              <w:left w:val="nil"/>
              <w:bottom w:val="nil"/>
              <w:right w:val="nil"/>
            </w:tcBorders>
          </w:tcPr>
          <w:p w14:paraId="1BC0E9A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(-0.03)</w:t>
            </w:r>
          </w:p>
        </w:tc>
        <w:tc>
          <w:tcPr>
            <w:tcW w:w="1656" w:type="dxa"/>
            <w:tcBorders>
              <w:top w:val="nil"/>
              <w:left w:val="nil"/>
              <w:bottom w:val="nil"/>
              <w:right w:val="nil"/>
            </w:tcBorders>
          </w:tcPr>
          <w:p w14:paraId="52CF6A4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(0.57)</w:t>
            </w:r>
          </w:p>
        </w:tc>
        <w:tc>
          <w:tcPr>
            <w:tcW w:w="1656" w:type="dxa"/>
            <w:tcBorders>
              <w:top w:val="nil"/>
              <w:left w:val="nil"/>
              <w:bottom w:val="nil"/>
              <w:right w:val="nil"/>
            </w:tcBorders>
          </w:tcPr>
          <w:p w14:paraId="7A2D06B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(1.00)</w:t>
            </w:r>
          </w:p>
        </w:tc>
      </w:tr>
      <w:tr w:rsidR="003A3222" w:rsidRPr="00D00042" w14:paraId="28BB924C" w14:textId="77777777" w:rsidTr="00015B88">
        <w:tc>
          <w:tcPr>
            <w:tcW w:w="2136" w:type="dxa"/>
            <w:tcBorders>
              <w:top w:val="nil"/>
              <w:left w:val="nil"/>
              <w:bottom w:val="nil"/>
              <w:right w:val="nil"/>
            </w:tcBorders>
          </w:tcPr>
          <w:p w14:paraId="4BE328C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9F6CE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2185E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1ABA4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69C51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39F5E158" w14:textId="77777777" w:rsidTr="00015B88">
        <w:tc>
          <w:tcPr>
            <w:tcW w:w="2136" w:type="dxa"/>
            <w:tcBorders>
              <w:top w:val="nil"/>
              <w:left w:val="nil"/>
              <w:bottom w:val="nil"/>
              <w:right w:val="nil"/>
            </w:tcBorders>
          </w:tcPr>
          <w:p w14:paraId="3EE8404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L10.Chinn-Ito index, normalized</w:t>
            </w:r>
          </w:p>
        </w:tc>
        <w:tc>
          <w:tcPr>
            <w:tcW w:w="1656" w:type="dxa"/>
            <w:tcBorders>
              <w:top w:val="nil"/>
              <w:left w:val="nil"/>
              <w:bottom w:val="nil"/>
              <w:right w:val="nil"/>
            </w:tcBorders>
          </w:tcPr>
          <w:p w14:paraId="6EF5E4D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0.181</w:t>
            </w:r>
          </w:p>
        </w:tc>
        <w:tc>
          <w:tcPr>
            <w:tcW w:w="1656" w:type="dxa"/>
            <w:tcBorders>
              <w:top w:val="nil"/>
              <w:left w:val="nil"/>
              <w:bottom w:val="nil"/>
              <w:right w:val="nil"/>
            </w:tcBorders>
          </w:tcPr>
          <w:p w14:paraId="6A59D7A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-2.317</w:t>
            </w:r>
          </w:p>
        </w:tc>
        <w:tc>
          <w:tcPr>
            <w:tcW w:w="1656" w:type="dxa"/>
            <w:tcBorders>
              <w:top w:val="nil"/>
              <w:left w:val="nil"/>
              <w:bottom w:val="nil"/>
              <w:right w:val="nil"/>
            </w:tcBorders>
          </w:tcPr>
          <w:p w14:paraId="13B3657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0.446</w:t>
            </w:r>
          </w:p>
        </w:tc>
        <w:tc>
          <w:tcPr>
            <w:tcW w:w="1656" w:type="dxa"/>
            <w:tcBorders>
              <w:top w:val="nil"/>
              <w:left w:val="nil"/>
              <w:bottom w:val="nil"/>
              <w:right w:val="nil"/>
            </w:tcBorders>
          </w:tcPr>
          <w:p w14:paraId="6448050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3.075</w:t>
            </w:r>
          </w:p>
        </w:tc>
      </w:tr>
      <w:tr w:rsidR="003A3222" w:rsidRPr="00D00042" w14:paraId="151FE751" w14:textId="77777777" w:rsidTr="00015B88">
        <w:tc>
          <w:tcPr>
            <w:tcW w:w="2136" w:type="dxa"/>
            <w:tcBorders>
              <w:top w:val="nil"/>
              <w:left w:val="nil"/>
              <w:bottom w:val="nil"/>
              <w:right w:val="nil"/>
            </w:tcBorders>
          </w:tcPr>
          <w:p w14:paraId="28D2B3D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4A859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(0.10)</w:t>
            </w:r>
          </w:p>
        </w:tc>
        <w:tc>
          <w:tcPr>
            <w:tcW w:w="1656" w:type="dxa"/>
            <w:tcBorders>
              <w:top w:val="nil"/>
              <w:left w:val="nil"/>
              <w:bottom w:val="nil"/>
              <w:right w:val="nil"/>
            </w:tcBorders>
          </w:tcPr>
          <w:p w14:paraId="63F3D21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(-1.09)</w:t>
            </w:r>
          </w:p>
        </w:tc>
        <w:tc>
          <w:tcPr>
            <w:tcW w:w="1656" w:type="dxa"/>
            <w:tcBorders>
              <w:top w:val="nil"/>
              <w:left w:val="nil"/>
              <w:bottom w:val="nil"/>
              <w:right w:val="nil"/>
            </w:tcBorders>
          </w:tcPr>
          <w:p w14:paraId="1BCE925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(0.21)</w:t>
            </w:r>
          </w:p>
        </w:tc>
        <w:tc>
          <w:tcPr>
            <w:tcW w:w="1656" w:type="dxa"/>
            <w:tcBorders>
              <w:top w:val="nil"/>
              <w:left w:val="nil"/>
              <w:bottom w:val="nil"/>
              <w:right w:val="nil"/>
            </w:tcBorders>
          </w:tcPr>
          <w:p w14:paraId="5ED10E5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(1.74)</w:t>
            </w:r>
          </w:p>
        </w:tc>
      </w:tr>
      <w:tr w:rsidR="003A3222" w:rsidRPr="00D00042" w14:paraId="4D3B5F00" w14:textId="77777777" w:rsidTr="00015B88">
        <w:tc>
          <w:tcPr>
            <w:tcW w:w="2136" w:type="dxa"/>
            <w:tcBorders>
              <w:top w:val="nil"/>
              <w:left w:val="nil"/>
              <w:bottom w:val="nil"/>
              <w:right w:val="nil"/>
            </w:tcBorders>
          </w:tcPr>
          <w:p w14:paraId="03F9BB6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677D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8059C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003B7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F65C2F"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1C2A0F86" w14:textId="77777777" w:rsidTr="00015B88">
        <w:tc>
          <w:tcPr>
            <w:tcW w:w="2136" w:type="dxa"/>
            <w:tcBorders>
              <w:top w:val="nil"/>
              <w:left w:val="nil"/>
              <w:bottom w:val="nil"/>
              <w:right w:val="nil"/>
            </w:tcBorders>
          </w:tcPr>
          <w:p w14:paraId="79B85A7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D00042">
              <w:rPr>
                <w:rFonts w:ascii="Times New Roman" w:hAnsi="Times New Roman" w:cs="Times New Roman"/>
                <w:sz w:val="16"/>
                <w:szCs w:val="16"/>
              </w:rPr>
              <w:t>L.De</w:t>
            </w:r>
            <w:proofErr w:type="spellEnd"/>
            <w:r w:rsidRPr="00D00042">
              <w:rPr>
                <w:rFonts w:ascii="Times New Roman" w:hAnsi="Times New Roman" w:cs="Times New Roman"/>
                <w:sz w:val="16"/>
                <w:szCs w:val="16"/>
              </w:rPr>
              <w:t xml:space="preserve"> Jure CBI * Capital Account Openness</w:t>
            </w:r>
          </w:p>
        </w:tc>
        <w:tc>
          <w:tcPr>
            <w:tcW w:w="1656" w:type="dxa"/>
            <w:tcBorders>
              <w:top w:val="nil"/>
              <w:left w:val="nil"/>
              <w:bottom w:val="nil"/>
              <w:right w:val="nil"/>
            </w:tcBorders>
          </w:tcPr>
          <w:p w14:paraId="307279E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1.754</w:t>
            </w:r>
          </w:p>
        </w:tc>
        <w:tc>
          <w:tcPr>
            <w:tcW w:w="1656" w:type="dxa"/>
            <w:tcBorders>
              <w:top w:val="nil"/>
              <w:left w:val="nil"/>
              <w:bottom w:val="nil"/>
              <w:right w:val="nil"/>
            </w:tcBorders>
          </w:tcPr>
          <w:p w14:paraId="32BBF05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5.645</w:t>
            </w:r>
          </w:p>
        </w:tc>
        <w:tc>
          <w:tcPr>
            <w:tcW w:w="1656" w:type="dxa"/>
            <w:tcBorders>
              <w:top w:val="nil"/>
              <w:left w:val="nil"/>
              <w:bottom w:val="nil"/>
              <w:right w:val="nil"/>
            </w:tcBorders>
          </w:tcPr>
          <w:p w14:paraId="6EFFBD0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4.387</w:t>
            </w:r>
          </w:p>
        </w:tc>
        <w:tc>
          <w:tcPr>
            <w:tcW w:w="1656" w:type="dxa"/>
            <w:tcBorders>
              <w:top w:val="nil"/>
              <w:left w:val="nil"/>
              <w:bottom w:val="nil"/>
              <w:right w:val="nil"/>
            </w:tcBorders>
          </w:tcPr>
          <w:p w14:paraId="6404833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-1.200</w:t>
            </w:r>
          </w:p>
        </w:tc>
      </w:tr>
      <w:tr w:rsidR="003A3222" w:rsidRPr="00D00042" w14:paraId="1ECEF261" w14:textId="77777777" w:rsidTr="00015B88">
        <w:tc>
          <w:tcPr>
            <w:tcW w:w="2136" w:type="dxa"/>
            <w:tcBorders>
              <w:top w:val="nil"/>
              <w:left w:val="nil"/>
              <w:bottom w:val="nil"/>
              <w:right w:val="nil"/>
            </w:tcBorders>
          </w:tcPr>
          <w:p w14:paraId="14A252E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3763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(0.39)</w:t>
            </w:r>
          </w:p>
        </w:tc>
        <w:tc>
          <w:tcPr>
            <w:tcW w:w="1656" w:type="dxa"/>
            <w:tcBorders>
              <w:top w:val="nil"/>
              <w:left w:val="nil"/>
              <w:bottom w:val="nil"/>
              <w:right w:val="nil"/>
            </w:tcBorders>
          </w:tcPr>
          <w:p w14:paraId="46EAA69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(1.09)</w:t>
            </w:r>
          </w:p>
        </w:tc>
        <w:tc>
          <w:tcPr>
            <w:tcW w:w="1656" w:type="dxa"/>
            <w:tcBorders>
              <w:top w:val="nil"/>
              <w:left w:val="nil"/>
              <w:bottom w:val="nil"/>
              <w:right w:val="nil"/>
            </w:tcBorders>
          </w:tcPr>
          <w:p w14:paraId="3306F3A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(0.87)</w:t>
            </w:r>
          </w:p>
        </w:tc>
        <w:tc>
          <w:tcPr>
            <w:tcW w:w="1656" w:type="dxa"/>
            <w:tcBorders>
              <w:top w:val="nil"/>
              <w:left w:val="nil"/>
              <w:bottom w:val="nil"/>
              <w:right w:val="nil"/>
            </w:tcBorders>
          </w:tcPr>
          <w:p w14:paraId="2CBE625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(-0.71)</w:t>
            </w:r>
          </w:p>
        </w:tc>
      </w:tr>
      <w:tr w:rsidR="003A3222" w:rsidRPr="00D00042" w14:paraId="71CBC9B4" w14:textId="77777777" w:rsidTr="00015B88">
        <w:tc>
          <w:tcPr>
            <w:tcW w:w="2136" w:type="dxa"/>
            <w:tcBorders>
              <w:top w:val="nil"/>
              <w:left w:val="nil"/>
              <w:bottom w:val="nil"/>
              <w:right w:val="nil"/>
            </w:tcBorders>
          </w:tcPr>
          <w:p w14:paraId="0435401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E9805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EC467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929E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A9BD3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0942FF5C" w14:textId="77777777" w:rsidTr="00015B88">
        <w:tc>
          <w:tcPr>
            <w:tcW w:w="2136" w:type="dxa"/>
            <w:tcBorders>
              <w:top w:val="nil"/>
              <w:left w:val="nil"/>
              <w:bottom w:val="nil"/>
              <w:right w:val="nil"/>
            </w:tcBorders>
          </w:tcPr>
          <w:p w14:paraId="3205F47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L2.De Jure CBI * Capital Account Openness</w:t>
            </w:r>
          </w:p>
        </w:tc>
        <w:tc>
          <w:tcPr>
            <w:tcW w:w="1656" w:type="dxa"/>
            <w:tcBorders>
              <w:top w:val="nil"/>
              <w:left w:val="nil"/>
              <w:bottom w:val="nil"/>
              <w:right w:val="nil"/>
            </w:tcBorders>
          </w:tcPr>
          <w:p w14:paraId="2980D05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0.309</w:t>
            </w:r>
          </w:p>
        </w:tc>
        <w:tc>
          <w:tcPr>
            <w:tcW w:w="1656" w:type="dxa"/>
            <w:tcBorders>
              <w:top w:val="nil"/>
              <w:left w:val="nil"/>
              <w:bottom w:val="nil"/>
              <w:right w:val="nil"/>
            </w:tcBorders>
          </w:tcPr>
          <w:p w14:paraId="4DC5D2F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0.137</w:t>
            </w:r>
          </w:p>
        </w:tc>
        <w:tc>
          <w:tcPr>
            <w:tcW w:w="1656" w:type="dxa"/>
            <w:tcBorders>
              <w:top w:val="nil"/>
              <w:left w:val="nil"/>
              <w:bottom w:val="nil"/>
              <w:right w:val="nil"/>
            </w:tcBorders>
          </w:tcPr>
          <w:p w14:paraId="393BA93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-3.148</w:t>
            </w:r>
          </w:p>
        </w:tc>
        <w:tc>
          <w:tcPr>
            <w:tcW w:w="1656" w:type="dxa"/>
            <w:tcBorders>
              <w:top w:val="nil"/>
              <w:left w:val="nil"/>
              <w:bottom w:val="nil"/>
              <w:right w:val="nil"/>
            </w:tcBorders>
          </w:tcPr>
          <w:p w14:paraId="40D6BDF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1.484</w:t>
            </w:r>
          </w:p>
        </w:tc>
      </w:tr>
      <w:tr w:rsidR="003A3222" w:rsidRPr="00D00042" w14:paraId="692CC5A3" w14:textId="77777777" w:rsidTr="00015B88">
        <w:tc>
          <w:tcPr>
            <w:tcW w:w="2136" w:type="dxa"/>
            <w:tcBorders>
              <w:top w:val="nil"/>
              <w:left w:val="nil"/>
              <w:bottom w:val="nil"/>
              <w:right w:val="nil"/>
            </w:tcBorders>
          </w:tcPr>
          <w:p w14:paraId="6A4B103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BAC74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(0.08)</w:t>
            </w:r>
          </w:p>
        </w:tc>
        <w:tc>
          <w:tcPr>
            <w:tcW w:w="1656" w:type="dxa"/>
            <w:tcBorders>
              <w:top w:val="nil"/>
              <w:left w:val="nil"/>
              <w:bottom w:val="nil"/>
              <w:right w:val="nil"/>
            </w:tcBorders>
          </w:tcPr>
          <w:p w14:paraId="047AF35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(0.03)</w:t>
            </w:r>
          </w:p>
        </w:tc>
        <w:tc>
          <w:tcPr>
            <w:tcW w:w="1656" w:type="dxa"/>
            <w:tcBorders>
              <w:top w:val="nil"/>
              <w:left w:val="nil"/>
              <w:bottom w:val="nil"/>
              <w:right w:val="nil"/>
            </w:tcBorders>
          </w:tcPr>
          <w:p w14:paraId="7BD510B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(-0.60)</w:t>
            </w:r>
          </w:p>
        </w:tc>
        <w:tc>
          <w:tcPr>
            <w:tcW w:w="1656" w:type="dxa"/>
            <w:tcBorders>
              <w:top w:val="nil"/>
              <w:left w:val="nil"/>
              <w:bottom w:val="nil"/>
              <w:right w:val="nil"/>
            </w:tcBorders>
          </w:tcPr>
          <w:p w14:paraId="37EF0F5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(0.55)</w:t>
            </w:r>
          </w:p>
        </w:tc>
      </w:tr>
      <w:tr w:rsidR="003A3222" w:rsidRPr="00D00042" w14:paraId="38344EDF" w14:textId="77777777" w:rsidTr="00015B88">
        <w:tc>
          <w:tcPr>
            <w:tcW w:w="2136" w:type="dxa"/>
            <w:tcBorders>
              <w:top w:val="nil"/>
              <w:left w:val="nil"/>
              <w:bottom w:val="nil"/>
              <w:right w:val="nil"/>
            </w:tcBorders>
          </w:tcPr>
          <w:p w14:paraId="75A6E52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26C2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EAE8CF"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2173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1F79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5D431AAD" w14:textId="77777777" w:rsidTr="00015B88">
        <w:tc>
          <w:tcPr>
            <w:tcW w:w="2136" w:type="dxa"/>
            <w:tcBorders>
              <w:top w:val="nil"/>
              <w:left w:val="nil"/>
              <w:bottom w:val="nil"/>
              <w:right w:val="nil"/>
            </w:tcBorders>
          </w:tcPr>
          <w:p w14:paraId="49C293E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L3.De Jure CBI * Capital Account Openness</w:t>
            </w:r>
          </w:p>
        </w:tc>
        <w:tc>
          <w:tcPr>
            <w:tcW w:w="1656" w:type="dxa"/>
            <w:tcBorders>
              <w:top w:val="nil"/>
              <w:left w:val="nil"/>
              <w:bottom w:val="nil"/>
              <w:right w:val="nil"/>
            </w:tcBorders>
          </w:tcPr>
          <w:p w14:paraId="48B01AE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-6.498</w:t>
            </w:r>
          </w:p>
        </w:tc>
        <w:tc>
          <w:tcPr>
            <w:tcW w:w="1656" w:type="dxa"/>
            <w:tcBorders>
              <w:top w:val="nil"/>
              <w:left w:val="nil"/>
              <w:bottom w:val="nil"/>
              <w:right w:val="nil"/>
            </w:tcBorders>
          </w:tcPr>
          <w:p w14:paraId="27049C3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0.538</w:t>
            </w:r>
          </w:p>
        </w:tc>
        <w:tc>
          <w:tcPr>
            <w:tcW w:w="1656" w:type="dxa"/>
            <w:tcBorders>
              <w:top w:val="nil"/>
              <w:left w:val="nil"/>
              <w:bottom w:val="nil"/>
              <w:right w:val="nil"/>
            </w:tcBorders>
          </w:tcPr>
          <w:p w14:paraId="76E96EF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-1.133</w:t>
            </w:r>
          </w:p>
        </w:tc>
        <w:tc>
          <w:tcPr>
            <w:tcW w:w="1656" w:type="dxa"/>
            <w:tcBorders>
              <w:top w:val="nil"/>
              <w:left w:val="nil"/>
              <w:bottom w:val="nil"/>
              <w:right w:val="nil"/>
            </w:tcBorders>
          </w:tcPr>
          <w:p w14:paraId="7454335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4.393</w:t>
            </w:r>
            <w:r w:rsidRPr="00D00042">
              <w:rPr>
                <w:rFonts w:ascii="Times New Roman" w:hAnsi="Times New Roman" w:cs="Times New Roman"/>
                <w:sz w:val="16"/>
                <w:szCs w:val="16"/>
                <w:vertAlign w:val="superscript"/>
              </w:rPr>
              <w:t>*</w:t>
            </w:r>
          </w:p>
        </w:tc>
      </w:tr>
      <w:tr w:rsidR="003A3222" w:rsidRPr="00D00042" w14:paraId="00AA5BFA" w14:textId="77777777" w:rsidTr="00015B88">
        <w:tc>
          <w:tcPr>
            <w:tcW w:w="2136" w:type="dxa"/>
            <w:tcBorders>
              <w:top w:val="nil"/>
              <w:left w:val="nil"/>
              <w:bottom w:val="nil"/>
              <w:right w:val="nil"/>
            </w:tcBorders>
          </w:tcPr>
          <w:p w14:paraId="726338F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E091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(-1.67)</w:t>
            </w:r>
          </w:p>
        </w:tc>
        <w:tc>
          <w:tcPr>
            <w:tcW w:w="1656" w:type="dxa"/>
            <w:tcBorders>
              <w:top w:val="nil"/>
              <w:left w:val="nil"/>
              <w:bottom w:val="nil"/>
              <w:right w:val="nil"/>
            </w:tcBorders>
          </w:tcPr>
          <w:p w14:paraId="5AFFA6C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(0.09)</w:t>
            </w:r>
          </w:p>
        </w:tc>
        <w:tc>
          <w:tcPr>
            <w:tcW w:w="1656" w:type="dxa"/>
            <w:tcBorders>
              <w:top w:val="nil"/>
              <w:left w:val="nil"/>
              <w:bottom w:val="nil"/>
              <w:right w:val="nil"/>
            </w:tcBorders>
          </w:tcPr>
          <w:p w14:paraId="1CADD79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(-0.26)</w:t>
            </w:r>
          </w:p>
        </w:tc>
        <w:tc>
          <w:tcPr>
            <w:tcW w:w="1656" w:type="dxa"/>
            <w:tcBorders>
              <w:top w:val="nil"/>
              <w:left w:val="nil"/>
              <w:bottom w:val="nil"/>
              <w:right w:val="nil"/>
            </w:tcBorders>
          </w:tcPr>
          <w:p w14:paraId="543497A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(2.03)</w:t>
            </w:r>
          </w:p>
        </w:tc>
      </w:tr>
      <w:tr w:rsidR="003A3222" w:rsidRPr="00D00042" w14:paraId="314D7A12" w14:textId="77777777" w:rsidTr="00015B88">
        <w:tc>
          <w:tcPr>
            <w:tcW w:w="2136" w:type="dxa"/>
            <w:tcBorders>
              <w:top w:val="nil"/>
              <w:left w:val="nil"/>
              <w:bottom w:val="nil"/>
              <w:right w:val="nil"/>
            </w:tcBorders>
          </w:tcPr>
          <w:p w14:paraId="229740C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9D5D5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130E1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114A8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6448E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5039B480" w14:textId="77777777" w:rsidTr="00015B88">
        <w:tc>
          <w:tcPr>
            <w:tcW w:w="2136" w:type="dxa"/>
            <w:tcBorders>
              <w:top w:val="nil"/>
              <w:left w:val="nil"/>
              <w:bottom w:val="nil"/>
              <w:right w:val="nil"/>
            </w:tcBorders>
          </w:tcPr>
          <w:p w14:paraId="0450C83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L4.De Jure CBI * Capital Account Openness</w:t>
            </w:r>
          </w:p>
        </w:tc>
        <w:tc>
          <w:tcPr>
            <w:tcW w:w="1656" w:type="dxa"/>
            <w:tcBorders>
              <w:top w:val="nil"/>
              <w:left w:val="nil"/>
              <w:bottom w:val="nil"/>
              <w:right w:val="nil"/>
            </w:tcBorders>
          </w:tcPr>
          <w:p w14:paraId="2A1D273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6.783</w:t>
            </w:r>
          </w:p>
        </w:tc>
        <w:tc>
          <w:tcPr>
            <w:tcW w:w="1656" w:type="dxa"/>
            <w:tcBorders>
              <w:top w:val="nil"/>
              <w:left w:val="nil"/>
              <w:bottom w:val="nil"/>
              <w:right w:val="nil"/>
            </w:tcBorders>
          </w:tcPr>
          <w:p w14:paraId="3B75546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1.833</w:t>
            </w:r>
          </w:p>
        </w:tc>
        <w:tc>
          <w:tcPr>
            <w:tcW w:w="1656" w:type="dxa"/>
            <w:tcBorders>
              <w:top w:val="nil"/>
              <w:left w:val="nil"/>
              <w:bottom w:val="nil"/>
              <w:right w:val="nil"/>
            </w:tcBorders>
          </w:tcPr>
          <w:p w14:paraId="1F339F7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-1.542</w:t>
            </w:r>
          </w:p>
        </w:tc>
        <w:tc>
          <w:tcPr>
            <w:tcW w:w="1656" w:type="dxa"/>
            <w:tcBorders>
              <w:top w:val="nil"/>
              <w:left w:val="nil"/>
              <w:bottom w:val="nil"/>
              <w:right w:val="nil"/>
            </w:tcBorders>
          </w:tcPr>
          <w:p w14:paraId="1A79DDA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2.001</w:t>
            </w:r>
          </w:p>
        </w:tc>
      </w:tr>
      <w:tr w:rsidR="003A3222" w:rsidRPr="00D00042" w14:paraId="77081475" w14:textId="77777777" w:rsidTr="00015B88">
        <w:tc>
          <w:tcPr>
            <w:tcW w:w="2136" w:type="dxa"/>
            <w:tcBorders>
              <w:top w:val="nil"/>
              <w:left w:val="nil"/>
              <w:bottom w:val="nil"/>
              <w:right w:val="nil"/>
            </w:tcBorders>
          </w:tcPr>
          <w:p w14:paraId="50CE620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92692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(1.64)</w:t>
            </w:r>
          </w:p>
        </w:tc>
        <w:tc>
          <w:tcPr>
            <w:tcW w:w="1656" w:type="dxa"/>
            <w:tcBorders>
              <w:top w:val="nil"/>
              <w:left w:val="nil"/>
              <w:bottom w:val="nil"/>
              <w:right w:val="nil"/>
            </w:tcBorders>
          </w:tcPr>
          <w:p w14:paraId="43D7C34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(0.31)</w:t>
            </w:r>
          </w:p>
        </w:tc>
        <w:tc>
          <w:tcPr>
            <w:tcW w:w="1656" w:type="dxa"/>
            <w:tcBorders>
              <w:top w:val="nil"/>
              <w:left w:val="nil"/>
              <w:bottom w:val="nil"/>
              <w:right w:val="nil"/>
            </w:tcBorders>
          </w:tcPr>
          <w:p w14:paraId="476B155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(-0.37)</w:t>
            </w:r>
          </w:p>
        </w:tc>
        <w:tc>
          <w:tcPr>
            <w:tcW w:w="1656" w:type="dxa"/>
            <w:tcBorders>
              <w:top w:val="nil"/>
              <w:left w:val="nil"/>
              <w:bottom w:val="nil"/>
              <w:right w:val="nil"/>
            </w:tcBorders>
          </w:tcPr>
          <w:p w14:paraId="721DA9C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(1.08)</w:t>
            </w:r>
          </w:p>
        </w:tc>
      </w:tr>
      <w:tr w:rsidR="003A3222" w:rsidRPr="00D00042" w14:paraId="0E46E263" w14:textId="77777777" w:rsidTr="00015B88">
        <w:tc>
          <w:tcPr>
            <w:tcW w:w="2136" w:type="dxa"/>
            <w:tcBorders>
              <w:top w:val="nil"/>
              <w:left w:val="nil"/>
              <w:bottom w:val="nil"/>
              <w:right w:val="nil"/>
            </w:tcBorders>
          </w:tcPr>
          <w:p w14:paraId="0C05B76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5AB23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744EE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4137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AA4F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2E075856" w14:textId="77777777" w:rsidTr="00015B88">
        <w:tc>
          <w:tcPr>
            <w:tcW w:w="2136" w:type="dxa"/>
            <w:tcBorders>
              <w:top w:val="nil"/>
              <w:left w:val="nil"/>
              <w:bottom w:val="nil"/>
              <w:right w:val="nil"/>
            </w:tcBorders>
          </w:tcPr>
          <w:p w14:paraId="506796D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L5.De Jure CBI * Capital Account Openness</w:t>
            </w:r>
          </w:p>
        </w:tc>
        <w:tc>
          <w:tcPr>
            <w:tcW w:w="1656" w:type="dxa"/>
            <w:tcBorders>
              <w:top w:val="nil"/>
              <w:left w:val="nil"/>
              <w:bottom w:val="nil"/>
              <w:right w:val="nil"/>
            </w:tcBorders>
          </w:tcPr>
          <w:p w14:paraId="31130D7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-2.725</w:t>
            </w:r>
          </w:p>
        </w:tc>
        <w:tc>
          <w:tcPr>
            <w:tcW w:w="1656" w:type="dxa"/>
            <w:tcBorders>
              <w:top w:val="nil"/>
              <w:left w:val="nil"/>
              <w:bottom w:val="nil"/>
              <w:right w:val="nil"/>
            </w:tcBorders>
          </w:tcPr>
          <w:p w14:paraId="42F7CFF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3.411</w:t>
            </w:r>
          </w:p>
        </w:tc>
        <w:tc>
          <w:tcPr>
            <w:tcW w:w="1656" w:type="dxa"/>
            <w:tcBorders>
              <w:top w:val="nil"/>
              <w:left w:val="nil"/>
              <w:bottom w:val="nil"/>
              <w:right w:val="nil"/>
            </w:tcBorders>
          </w:tcPr>
          <w:p w14:paraId="37F212B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3.097</w:t>
            </w:r>
          </w:p>
        </w:tc>
        <w:tc>
          <w:tcPr>
            <w:tcW w:w="1656" w:type="dxa"/>
            <w:tcBorders>
              <w:top w:val="nil"/>
              <w:left w:val="nil"/>
              <w:bottom w:val="nil"/>
              <w:right w:val="nil"/>
            </w:tcBorders>
          </w:tcPr>
          <w:p w14:paraId="5CC5DEF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1.352</w:t>
            </w:r>
          </w:p>
        </w:tc>
      </w:tr>
      <w:tr w:rsidR="003A3222" w:rsidRPr="00D00042" w14:paraId="7CD3B224" w14:textId="77777777" w:rsidTr="00015B88">
        <w:tc>
          <w:tcPr>
            <w:tcW w:w="2136" w:type="dxa"/>
            <w:tcBorders>
              <w:top w:val="nil"/>
              <w:left w:val="nil"/>
              <w:bottom w:val="nil"/>
              <w:right w:val="nil"/>
            </w:tcBorders>
          </w:tcPr>
          <w:p w14:paraId="6AD4B45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16F99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(-0.67)</w:t>
            </w:r>
          </w:p>
        </w:tc>
        <w:tc>
          <w:tcPr>
            <w:tcW w:w="1656" w:type="dxa"/>
            <w:tcBorders>
              <w:top w:val="nil"/>
              <w:left w:val="nil"/>
              <w:bottom w:val="nil"/>
              <w:right w:val="nil"/>
            </w:tcBorders>
          </w:tcPr>
          <w:p w14:paraId="7572187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(0.81)</w:t>
            </w:r>
          </w:p>
        </w:tc>
        <w:tc>
          <w:tcPr>
            <w:tcW w:w="1656" w:type="dxa"/>
            <w:tcBorders>
              <w:top w:val="nil"/>
              <w:left w:val="nil"/>
              <w:bottom w:val="nil"/>
              <w:right w:val="nil"/>
            </w:tcBorders>
          </w:tcPr>
          <w:p w14:paraId="35210B0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(0.74)</w:t>
            </w:r>
          </w:p>
        </w:tc>
        <w:tc>
          <w:tcPr>
            <w:tcW w:w="1656" w:type="dxa"/>
            <w:tcBorders>
              <w:top w:val="nil"/>
              <w:left w:val="nil"/>
              <w:bottom w:val="nil"/>
              <w:right w:val="nil"/>
            </w:tcBorders>
          </w:tcPr>
          <w:p w14:paraId="4FB20E1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(0.57)</w:t>
            </w:r>
          </w:p>
        </w:tc>
      </w:tr>
      <w:tr w:rsidR="003A3222" w:rsidRPr="00D00042" w14:paraId="7E5ADB2C" w14:textId="77777777" w:rsidTr="00015B88">
        <w:tc>
          <w:tcPr>
            <w:tcW w:w="2136" w:type="dxa"/>
            <w:tcBorders>
              <w:top w:val="nil"/>
              <w:left w:val="nil"/>
              <w:bottom w:val="nil"/>
              <w:right w:val="nil"/>
            </w:tcBorders>
          </w:tcPr>
          <w:p w14:paraId="6065FFD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14E98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05EC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51A82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ABC2B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325E1EFA" w14:textId="77777777" w:rsidTr="00015B88">
        <w:tc>
          <w:tcPr>
            <w:tcW w:w="2136" w:type="dxa"/>
            <w:tcBorders>
              <w:top w:val="nil"/>
              <w:left w:val="nil"/>
              <w:bottom w:val="nil"/>
              <w:right w:val="nil"/>
            </w:tcBorders>
          </w:tcPr>
          <w:p w14:paraId="7E97134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L6.De Jure CBI * Capital Account Openness</w:t>
            </w:r>
          </w:p>
        </w:tc>
        <w:tc>
          <w:tcPr>
            <w:tcW w:w="1656" w:type="dxa"/>
            <w:tcBorders>
              <w:top w:val="nil"/>
              <w:left w:val="nil"/>
              <w:bottom w:val="nil"/>
              <w:right w:val="nil"/>
            </w:tcBorders>
          </w:tcPr>
          <w:p w14:paraId="04CA909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-0.614</w:t>
            </w:r>
          </w:p>
        </w:tc>
        <w:tc>
          <w:tcPr>
            <w:tcW w:w="1656" w:type="dxa"/>
            <w:tcBorders>
              <w:top w:val="nil"/>
              <w:left w:val="nil"/>
              <w:bottom w:val="nil"/>
              <w:right w:val="nil"/>
            </w:tcBorders>
          </w:tcPr>
          <w:p w14:paraId="6A199A9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-5.992</w:t>
            </w:r>
          </w:p>
        </w:tc>
        <w:tc>
          <w:tcPr>
            <w:tcW w:w="1656" w:type="dxa"/>
            <w:tcBorders>
              <w:top w:val="nil"/>
              <w:left w:val="nil"/>
              <w:bottom w:val="nil"/>
              <w:right w:val="nil"/>
            </w:tcBorders>
          </w:tcPr>
          <w:p w14:paraId="734C735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2.057</w:t>
            </w:r>
          </w:p>
        </w:tc>
        <w:tc>
          <w:tcPr>
            <w:tcW w:w="1656" w:type="dxa"/>
            <w:tcBorders>
              <w:top w:val="nil"/>
              <w:left w:val="nil"/>
              <w:bottom w:val="nil"/>
              <w:right w:val="nil"/>
            </w:tcBorders>
          </w:tcPr>
          <w:p w14:paraId="56F28ED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-3.210</w:t>
            </w:r>
          </w:p>
        </w:tc>
      </w:tr>
      <w:tr w:rsidR="003A3222" w:rsidRPr="00D00042" w14:paraId="3816D467" w14:textId="77777777" w:rsidTr="00015B88">
        <w:tc>
          <w:tcPr>
            <w:tcW w:w="2136" w:type="dxa"/>
            <w:tcBorders>
              <w:top w:val="nil"/>
              <w:left w:val="nil"/>
              <w:bottom w:val="nil"/>
              <w:right w:val="nil"/>
            </w:tcBorders>
          </w:tcPr>
          <w:p w14:paraId="5FD72CF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5F3B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(-0.13)</w:t>
            </w:r>
          </w:p>
        </w:tc>
        <w:tc>
          <w:tcPr>
            <w:tcW w:w="1656" w:type="dxa"/>
            <w:tcBorders>
              <w:top w:val="nil"/>
              <w:left w:val="nil"/>
              <w:bottom w:val="nil"/>
              <w:right w:val="nil"/>
            </w:tcBorders>
          </w:tcPr>
          <w:p w14:paraId="7CC4E0A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(-1.28)</w:t>
            </w:r>
          </w:p>
        </w:tc>
        <w:tc>
          <w:tcPr>
            <w:tcW w:w="1656" w:type="dxa"/>
            <w:tcBorders>
              <w:top w:val="nil"/>
              <w:left w:val="nil"/>
              <w:bottom w:val="nil"/>
              <w:right w:val="nil"/>
            </w:tcBorders>
          </w:tcPr>
          <w:p w14:paraId="27EBEAB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(0.41)</w:t>
            </w:r>
          </w:p>
        </w:tc>
        <w:tc>
          <w:tcPr>
            <w:tcW w:w="1656" w:type="dxa"/>
            <w:tcBorders>
              <w:top w:val="nil"/>
              <w:left w:val="nil"/>
              <w:bottom w:val="nil"/>
              <w:right w:val="nil"/>
            </w:tcBorders>
          </w:tcPr>
          <w:p w14:paraId="2099672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(-1.01)</w:t>
            </w:r>
          </w:p>
        </w:tc>
      </w:tr>
      <w:tr w:rsidR="003A3222" w:rsidRPr="00D00042" w14:paraId="36253EC7" w14:textId="77777777" w:rsidTr="00015B88">
        <w:tc>
          <w:tcPr>
            <w:tcW w:w="2136" w:type="dxa"/>
            <w:tcBorders>
              <w:top w:val="nil"/>
              <w:left w:val="nil"/>
              <w:bottom w:val="nil"/>
              <w:right w:val="nil"/>
            </w:tcBorders>
          </w:tcPr>
          <w:p w14:paraId="5EDF44B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5BFD6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4C82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4F96C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58078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5F2AC00B" w14:textId="77777777" w:rsidTr="00015B88">
        <w:tc>
          <w:tcPr>
            <w:tcW w:w="2136" w:type="dxa"/>
            <w:tcBorders>
              <w:top w:val="nil"/>
              <w:left w:val="nil"/>
              <w:bottom w:val="nil"/>
              <w:right w:val="nil"/>
            </w:tcBorders>
          </w:tcPr>
          <w:p w14:paraId="4DE61A7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L7.De Jure CBI * Capital Account Openness</w:t>
            </w:r>
          </w:p>
        </w:tc>
        <w:tc>
          <w:tcPr>
            <w:tcW w:w="1656" w:type="dxa"/>
            <w:tcBorders>
              <w:top w:val="nil"/>
              <w:left w:val="nil"/>
              <w:bottom w:val="nil"/>
              <w:right w:val="nil"/>
            </w:tcBorders>
          </w:tcPr>
          <w:p w14:paraId="0F91BCE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-1.773</w:t>
            </w:r>
          </w:p>
        </w:tc>
        <w:tc>
          <w:tcPr>
            <w:tcW w:w="1656" w:type="dxa"/>
            <w:tcBorders>
              <w:top w:val="nil"/>
              <w:left w:val="nil"/>
              <w:bottom w:val="nil"/>
              <w:right w:val="nil"/>
            </w:tcBorders>
          </w:tcPr>
          <w:p w14:paraId="65084E1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-3.833</w:t>
            </w:r>
          </w:p>
        </w:tc>
        <w:tc>
          <w:tcPr>
            <w:tcW w:w="1656" w:type="dxa"/>
            <w:tcBorders>
              <w:top w:val="nil"/>
              <w:left w:val="nil"/>
              <w:bottom w:val="nil"/>
              <w:right w:val="nil"/>
            </w:tcBorders>
          </w:tcPr>
          <w:p w14:paraId="0AA9C63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-6.768</w:t>
            </w:r>
          </w:p>
        </w:tc>
        <w:tc>
          <w:tcPr>
            <w:tcW w:w="1656" w:type="dxa"/>
            <w:tcBorders>
              <w:top w:val="nil"/>
              <w:left w:val="nil"/>
              <w:bottom w:val="nil"/>
              <w:right w:val="nil"/>
            </w:tcBorders>
          </w:tcPr>
          <w:p w14:paraId="2E2511D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1.576</w:t>
            </w:r>
          </w:p>
        </w:tc>
      </w:tr>
      <w:tr w:rsidR="003A3222" w:rsidRPr="00D00042" w14:paraId="3A7B1815" w14:textId="77777777" w:rsidTr="00015B88">
        <w:tc>
          <w:tcPr>
            <w:tcW w:w="2136" w:type="dxa"/>
            <w:tcBorders>
              <w:top w:val="nil"/>
              <w:left w:val="nil"/>
              <w:bottom w:val="nil"/>
              <w:right w:val="nil"/>
            </w:tcBorders>
          </w:tcPr>
          <w:p w14:paraId="06165CC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F1547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(-0.41)</w:t>
            </w:r>
          </w:p>
        </w:tc>
        <w:tc>
          <w:tcPr>
            <w:tcW w:w="1656" w:type="dxa"/>
            <w:tcBorders>
              <w:top w:val="nil"/>
              <w:left w:val="nil"/>
              <w:bottom w:val="nil"/>
              <w:right w:val="nil"/>
            </w:tcBorders>
          </w:tcPr>
          <w:p w14:paraId="1F4353B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(-0.60)</w:t>
            </w:r>
          </w:p>
        </w:tc>
        <w:tc>
          <w:tcPr>
            <w:tcW w:w="1656" w:type="dxa"/>
            <w:tcBorders>
              <w:top w:val="nil"/>
              <w:left w:val="nil"/>
              <w:bottom w:val="nil"/>
              <w:right w:val="nil"/>
            </w:tcBorders>
          </w:tcPr>
          <w:p w14:paraId="74EE990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(-1.21)</w:t>
            </w:r>
          </w:p>
        </w:tc>
        <w:tc>
          <w:tcPr>
            <w:tcW w:w="1656" w:type="dxa"/>
            <w:tcBorders>
              <w:top w:val="nil"/>
              <w:left w:val="nil"/>
              <w:bottom w:val="nil"/>
              <w:right w:val="nil"/>
            </w:tcBorders>
          </w:tcPr>
          <w:p w14:paraId="007242D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(0.59)</w:t>
            </w:r>
          </w:p>
        </w:tc>
      </w:tr>
      <w:tr w:rsidR="003A3222" w:rsidRPr="00D00042" w14:paraId="4188235B" w14:textId="77777777" w:rsidTr="00015B88">
        <w:tc>
          <w:tcPr>
            <w:tcW w:w="2136" w:type="dxa"/>
            <w:tcBorders>
              <w:top w:val="nil"/>
              <w:left w:val="nil"/>
              <w:bottom w:val="nil"/>
              <w:right w:val="nil"/>
            </w:tcBorders>
          </w:tcPr>
          <w:p w14:paraId="1F57BFA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5FA5A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2146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B5005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DA01E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560C3B1B" w14:textId="77777777" w:rsidTr="00015B88">
        <w:tc>
          <w:tcPr>
            <w:tcW w:w="2136" w:type="dxa"/>
            <w:tcBorders>
              <w:top w:val="nil"/>
              <w:left w:val="nil"/>
              <w:bottom w:val="nil"/>
              <w:right w:val="nil"/>
            </w:tcBorders>
          </w:tcPr>
          <w:p w14:paraId="1EC1407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L8.De Jure CBI * Capital Account Openness</w:t>
            </w:r>
          </w:p>
        </w:tc>
        <w:tc>
          <w:tcPr>
            <w:tcW w:w="1656" w:type="dxa"/>
            <w:tcBorders>
              <w:top w:val="nil"/>
              <w:left w:val="nil"/>
              <w:bottom w:val="nil"/>
              <w:right w:val="nil"/>
            </w:tcBorders>
          </w:tcPr>
          <w:p w14:paraId="76D3BA7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2.804</w:t>
            </w:r>
          </w:p>
        </w:tc>
        <w:tc>
          <w:tcPr>
            <w:tcW w:w="1656" w:type="dxa"/>
            <w:tcBorders>
              <w:top w:val="nil"/>
              <w:left w:val="nil"/>
              <w:bottom w:val="nil"/>
              <w:right w:val="nil"/>
            </w:tcBorders>
          </w:tcPr>
          <w:p w14:paraId="33A6981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8.969</w:t>
            </w:r>
          </w:p>
        </w:tc>
        <w:tc>
          <w:tcPr>
            <w:tcW w:w="1656" w:type="dxa"/>
            <w:tcBorders>
              <w:top w:val="nil"/>
              <w:left w:val="nil"/>
              <w:bottom w:val="nil"/>
              <w:right w:val="nil"/>
            </w:tcBorders>
          </w:tcPr>
          <w:p w14:paraId="1925913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6.538</w:t>
            </w:r>
          </w:p>
        </w:tc>
        <w:tc>
          <w:tcPr>
            <w:tcW w:w="1656" w:type="dxa"/>
            <w:tcBorders>
              <w:top w:val="nil"/>
              <w:left w:val="nil"/>
              <w:bottom w:val="nil"/>
              <w:right w:val="nil"/>
            </w:tcBorders>
          </w:tcPr>
          <w:p w14:paraId="51416D5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5.636</w:t>
            </w:r>
          </w:p>
        </w:tc>
      </w:tr>
      <w:tr w:rsidR="003A3222" w:rsidRPr="00D00042" w14:paraId="78B6288F" w14:textId="77777777" w:rsidTr="00015B88">
        <w:tc>
          <w:tcPr>
            <w:tcW w:w="2136" w:type="dxa"/>
            <w:tcBorders>
              <w:top w:val="nil"/>
              <w:left w:val="nil"/>
              <w:bottom w:val="nil"/>
              <w:right w:val="nil"/>
            </w:tcBorders>
          </w:tcPr>
          <w:p w14:paraId="2E4463D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7BBB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(0.60)</w:t>
            </w:r>
          </w:p>
        </w:tc>
        <w:tc>
          <w:tcPr>
            <w:tcW w:w="1656" w:type="dxa"/>
            <w:tcBorders>
              <w:top w:val="nil"/>
              <w:left w:val="nil"/>
              <w:bottom w:val="nil"/>
              <w:right w:val="nil"/>
            </w:tcBorders>
          </w:tcPr>
          <w:p w14:paraId="73A9890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(1.24)</w:t>
            </w:r>
          </w:p>
        </w:tc>
        <w:tc>
          <w:tcPr>
            <w:tcW w:w="1656" w:type="dxa"/>
            <w:tcBorders>
              <w:top w:val="nil"/>
              <w:left w:val="nil"/>
              <w:bottom w:val="nil"/>
              <w:right w:val="nil"/>
            </w:tcBorders>
          </w:tcPr>
          <w:p w14:paraId="49FA2C0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(1.43)</w:t>
            </w:r>
          </w:p>
        </w:tc>
        <w:tc>
          <w:tcPr>
            <w:tcW w:w="1656" w:type="dxa"/>
            <w:tcBorders>
              <w:top w:val="nil"/>
              <w:left w:val="nil"/>
              <w:bottom w:val="nil"/>
              <w:right w:val="nil"/>
            </w:tcBorders>
          </w:tcPr>
          <w:p w14:paraId="1D76FC3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(1.10)</w:t>
            </w:r>
          </w:p>
        </w:tc>
      </w:tr>
      <w:tr w:rsidR="003A3222" w:rsidRPr="00D00042" w14:paraId="7474113E" w14:textId="77777777" w:rsidTr="00015B88">
        <w:tc>
          <w:tcPr>
            <w:tcW w:w="2136" w:type="dxa"/>
            <w:tcBorders>
              <w:top w:val="nil"/>
              <w:left w:val="nil"/>
              <w:bottom w:val="nil"/>
              <w:right w:val="nil"/>
            </w:tcBorders>
          </w:tcPr>
          <w:p w14:paraId="7F3EF5B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64C8B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74011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AEAE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F2A36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761370EE" w14:textId="77777777" w:rsidTr="00015B88">
        <w:tc>
          <w:tcPr>
            <w:tcW w:w="2136" w:type="dxa"/>
            <w:tcBorders>
              <w:top w:val="nil"/>
              <w:left w:val="nil"/>
              <w:bottom w:val="nil"/>
              <w:right w:val="nil"/>
            </w:tcBorders>
          </w:tcPr>
          <w:p w14:paraId="23C65B6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L9.De Jure CBI * Capital Account Openness</w:t>
            </w:r>
          </w:p>
        </w:tc>
        <w:tc>
          <w:tcPr>
            <w:tcW w:w="1656" w:type="dxa"/>
            <w:tcBorders>
              <w:top w:val="nil"/>
              <w:left w:val="nil"/>
              <w:bottom w:val="nil"/>
              <w:right w:val="nil"/>
            </w:tcBorders>
          </w:tcPr>
          <w:p w14:paraId="0BAD5D3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2.340</w:t>
            </w:r>
          </w:p>
        </w:tc>
        <w:tc>
          <w:tcPr>
            <w:tcW w:w="1656" w:type="dxa"/>
            <w:tcBorders>
              <w:top w:val="nil"/>
              <w:left w:val="nil"/>
              <w:bottom w:val="nil"/>
              <w:right w:val="nil"/>
            </w:tcBorders>
          </w:tcPr>
          <w:p w14:paraId="14DD651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-3.356</w:t>
            </w:r>
          </w:p>
        </w:tc>
        <w:tc>
          <w:tcPr>
            <w:tcW w:w="1656" w:type="dxa"/>
            <w:tcBorders>
              <w:top w:val="nil"/>
              <w:left w:val="nil"/>
              <w:bottom w:val="nil"/>
              <w:right w:val="nil"/>
            </w:tcBorders>
          </w:tcPr>
          <w:p w14:paraId="0C7CDF7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0.225</w:t>
            </w:r>
          </w:p>
        </w:tc>
        <w:tc>
          <w:tcPr>
            <w:tcW w:w="1656" w:type="dxa"/>
            <w:tcBorders>
              <w:top w:val="nil"/>
              <w:left w:val="nil"/>
              <w:bottom w:val="nil"/>
              <w:right w:val="nil"/>
            </w:tcBorders>
          </w:tcPr>
          <w:p w14:paraId="2D96324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-1.011</w:t>
            </w:r>
          </w:p>
        </w:tc>
      </w:tr>
      <w:tr w:rsidR="003A3222" w:rsidRPr="00D00042" w14:paraId="61F0164F" w14:textId="77777777" w:rsidTr="00015B88">
        <w:tc>
          <w:tcPr>
            <w:tcW w:w="2136" w:type="dxa"/>
            <w:tcBorders>
              <w:top w:val="nil"/>
              <w:left w:val="nil"/>
              <w:bottom w:val="nil"/>
              <w:right w:val="nil"/>
            </w:tcBorders>
          </w:tcPr>
          <w:p w14:paraId="62E061E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9D0E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(0.66)</w:t>
            </w:r>
          </w:p>
        </w:tc>
        <w:tc>
          <w:tcPr>
            <w:tcW w:w="1656" w:type="dxa"/>
            <w:tcBorders>
              <w:top w:val="nil"/>
              <w:left w:val="nil"/>
              <w:bottom w:val="nil"/>
              <w:right w:val="nil"/>
            </w:tcBorders>
          </w:tcPr>
          <w:p w14:paraId="5A6F5DB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(-0.76)</w:t>
            </w:r>
          </w:p>
        </w:tc>
        <w:tc>
          <w:tcPr>
            <w:tcW w:w="1656" w:type="dxa"/>
            <w:tcBorders>
              <w:top w:val="nil"/>
              <w:left w:val="nil"/>
              <w:bottom w:val="nil"/>
              <w:right w:val="nil"/>
            </w:tcBorders>
          </w:tcPr>
          <w:p w14:paraId="7D6C349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(0.07)</w:t>
            </w:r>
          </w:p>
        </w:tc>
        <w:tc>
          <w:tcPr>
            <w:tcW w:w="1656" w:type="dxa"/>
            <w:tcBorders>
              <w:top w:val="nil"/>
              <w:left w:val="nil"/>
              <w:bottom w:val="nil"/>
              <w:right w:val="nil"/>
            </w:tcBorders>
          </w:tcPr>
          <w:p w14:paraId="3B2A544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(-0.34)</w:t>
            </w:r>
          </w:p>
        </w:tc>
      </w:tr>
      <w:tr w:rsidR="003A3222" w:rsidRPr="00D00042" w14:paraId="611FFBB2" w14:textId="77777777" w:rsidTr="00015B88">
        <w:tc>
          <w:tcPr>
            <w:tcW w:w="2136" w:type="dxa"/>
            <w:tcBorders>
              <w:top w:val="nil"/>
              <w:left w:val="nil"/>
              <w:bottom w:val="nil"/>
              <w:right w:val="nil"/>
            </w:tcBorders>
          </w:tcPr>
          <w:p w14:paraId="5294D1D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4298E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04BB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603C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C922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34E52413" w14:textId="77777777" w:rsidTr="00015B88">
        <w:tc>
          <w:tcPr>
            <w:tcW w:w="2136" w:type="dxa"/>
            <w:tcBorders>
              <w:top w:val="nil"/>
              <w:left w:val="nil"/>
              <w:bottom w:val="nil"/>
              <w:right w:val="nil"/>
            </w:tcBorders>
          </w:tcPr>
          <w:p w14:paraId="2307C7F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L10.De Jure CBI * Capital Account Openness</w:t>
            </w:r>
          </w:p>
        </w:tc>
        <w:tc>
          <w:tcPr>
            <w:tcW w:w="1656" w:type="dxa"/>
            <w:tcBorders>
              <w:top w:val="nil"/>
              <w:left w:val="nil"/>
              <w:bottom w:val="nil"/>
              <w:right w:val="nil"/>
            </w:tcBorders>
          </w:tcPr>
          <w:p w14:paraId="7C8F779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-1.024</w:t>
            </w:r>
          </w:p>
        </w:tc>
        <w:tc>
          <w:tcPr>
            <w:tcW w:w="1656" w:type="dxa"/>
            <w:tcBorders>
              <w:top w:val="nil"/>
              <w:left w:val="nil"/>
              <w:bottom w:val="nil"/>
              <w:right w:val="nil"/>
            </w:tcBorders>
          </w:tcPr>
          <w:p w14:paraId="26ECD24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-0.0726</w:t>
            </w:r>
          </w:p>
        </w:tc>
        <w:tc>
          <w:tcPr>
            <w:tcW w:w="1656" w:type="dxa"/>
            <w:tcBorders>
              <w:top w:val="nil"/>
              <w:left w:val="nil"/>
              <w:bottom w:val="nil"/>
              <w:right w:val="nil"/>
            </w:tcBorders>
          </w:tcPr>
          <w:p w14:paraId="664B943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-2.080</w:t>
            </w:r>
          </w:p>
        </w:tc>
        <w:tc>
          <w:tcPr>
            <w:tcW w:w="1656" w:type="dxa"/>
            <w:tcBorders>
              <w:top w:val="nil"/>
              <w:left w:val="nil"/>
              <w:bottom w:val="nil"/>
              <w:right w:val="nil"/>
            </w:tcBorders>
          </w:tcPr>
          <w:p w14:paraId="7C827C3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-0.923</w:t>
            </w:r>
          </w:p>
        </w:tc>
      </w:tr>
      <w:tr w:rsidR="003A3222" w:rsidRPr="00D00042" w14:paraId="38EC7AE7" w14:textId="77777777" w:rsidTr="00015B88">
        <w:tc>
          <w:tcPr>
            <w:tcW w:w="2136" w:type="dxa"/>
            <w:tcBorders>
              <w:top w:val="nil"/>
              <w:left w:val="nil"/>
              <w:bottom w:val="nil"/>
              <w:right w:val="nil"/>
            </w:tcBorders>
          </w:tcPr>
          <w:p w14:paraId="55A5C6B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C638B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(-0.37)</w:t>
            </w:r>
          </w:p>
        </w:tc>
        <w:tc>
          <w:tcPr>
            <w:tcW w:w="1656" w:type="dxa"/>
            <w:tcBorders>
              <w:top w:val="nil"/>
              <w:left w:val="nil"/>
              <w:bottom w:val="nil"/>
              <w:right w:val="nil"/>
            </w:tcBorders>
          </w:tcPr>
          <w:p w14:paraId="7679DE0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(-0.02)</w:t>
            </w:r>
          </w:p>
        </w:tc>
        <w:tc>
          <w:tcPr>
            <w:tcW w:w="1656" w:type="dxa"/>
            <w:tcBorders>
              <w:top w:val="nil"/>
              <w:left w:val="nil"/>
              <w:bottom w:val="nil"/>
              <w:right w:val="nil"/>
            </w:tcBorders>
          </w:tcPr>
          <w:p w14:paraId="3C488D5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(-0.74)</w:t>
            </w:r>
          </w:p>
        </w:tc>
        <w:tc>
          <w:tcPr>
            <w:tcW w:w="1656" w:type="dxa"/>
            <w:tcBorders>
              <w:top w:val="nil"/>
              <w:left w:val="nil"/>
              <w:bottom w:val="nil"/>
              <w:right w:val="nil"/>
            </w:tcBorders>
          </w:tcPr>
          <w:p w14:paraId="466201D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(-0.25)</w:t>
            </w:r>
          </w:p>
        </w:tc>
      </w:tr>
      <w:tr w:rsidR="003A3222" w:rsidRPr="00D00042" w14:paraId="35E0C6D0" w14:textId="77777777" w:rsidTr="00015B88">
        <w:tc>
          <w:tcPr>
            <w:tcW w:w="2136" w:type="dxa"/>
            <w:tcBorders>
              <w:top w:val="nil"/>
              <w:left w:val="nil"/>
              <w:bottom w:val="nil"/>
              <w:right w:val="nil"/>
            </w:tcBorders>
          </w:tcPr>
          <w:p w14:paraId="6333D0C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DE1CF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0B11E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BB2F7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1828C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0DDA081B" w14:textId="77777777" w:rsidTr="00015B88">
        <w:tc>
          <w:tcPr>
            <w:tcW w:w="2136" w:type="dxa"/>
            <w:tcBorders>
              <w:top w:val="nil"/>
              <w:left w:val="nil"/>
              <w:bottom w:val="nil"/>
              <w:right w:val="nil"/>
            </w:tcBorders>
          </w:tcPr>
          <w:p w14:paraId="0B37EAB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D00042">
              <w:rPr>
                <w:rFonts w:ascii="Times New Roman" w:hAnsi="Times New Roman" w:cs="Times New Roman"/>
                <w:sz w:val="16"/>
                <w:szCs w:val="16"/>
              </w:rPr>
              <w:t>L.More</w:t>
            </w:r>
            <w:proofErr w:type="spellEnd"/>
            <w:r w:rsidRPr="00D00042">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7B34171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0.195</w:t>
            </w:r>
          </w:p>
        </w:tc>
        <w:tc>
          <w:tcPr>
            <w:tcW w:w="1656" w:type="dxa"/>
            <w:tcBorders>
              <w:top w:val="nil"/>
              <w:left w:val="nil"/>
              <w:bottom w:val="nil"/>
              <w:right w:val="nil"/>
            </w:tcBorders>
          </w:tcPr>
          <w:p w14:paraId="1866B86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-0.132</w:t>
            </w:r>
          </w:p>
        </w:tc>
        <w:tc>
          <w:tcPr>
            <w:tcW w:w="1656" w:type="dxa"/>
            <w:tcBorders>
              <w:top w:val="nil"/>
              <w:left w:val="nil"/>
              <w:bottom w:val="nil"/>
              <w:right w:val="nil"/>
            </w:tcBorders>
          </w:tcPr>
          <w:p w14:paraId="37BE1D2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0.267</w:t>
            </w:r>
          </w:p>
        </w:tc>
        <w:tc>
          <w:tcPr>
            <w:tcW w:w="1656" w:type="dxa"/>
            <w:tcBorders>
              <w:top w:val="nil"/>
              <w:left w:val="nil"/>
              <w:bottom w:val="nil"/>
              <w:right w:val="nil"/>
            </w:tcBorders>
          </w:tcPr>
          <w:p w14:paraId="1371BFD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-0.00359</w:t>
            </w:r>
          </w:p>
        </w:tc>
      </w:tr>
      <w:tr w:rsidR="003A3222" w:rsidRPr="00D00042" w14:paraId="7A158C80" w14:textId="77777777" w:rsidTr="00015B88">
        <w:tc>
          <w:tcPr>
            <w:tcW w:w="2136" w:type="dxa"/>
            <w:tcBorders>
              <w:top w:val="nil"/>
              <w:left w:val="nil"/>
              <w:bottom w:val="nil"/>
              <w:right w:val="nil"/>
            </w:tcBorders>
          </w:tcPr>
          <w:p w14:paraId="0075BB9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A6A2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(0.97)</w:t>
            </w:r>
          </w:p>
        </w:tc>
        <w:tc>
          <w:tcPr>
            <w:tcW w:w="1656" w:type="dxa"/>
            <w:tcBorders>
              <w:top w:val="nil"/>
              <w:left w:val="nil"/>
              <w:bottom w:val="nil"/>
              <w:right w:val="nil"/>
            </w:tcBorders>
          </w:tcPr>
          <w:p w14:paraId="07B6E29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(-0.55)</w:t>
            </w:r>
          </w:p>
        </w:tc>
        <w:tc>
          <w:tcPr>
            <w:tcW w:w="1656" w:type="dxa"/>
            <w:tcBorders>
              <w:top w:val="nil"/>
              <w:left w:val="nil"/>
              <w:bottom w:val="nil"/>
              <w:right w:val="nil"/>
            </w:tcBorders>
          </w:tcPr>
          <w:p w14:paraId="0E1E7A7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(1.64)</w:t>
            </w:r>
          </w:p>
        </w:tc>
        <w:tc>
          <w:tcPr>
            <w:tcW w:w="1656" w:type="dxa"/>
            <w:tcBorders>
              <w:top w:val="nil"/>
              <w:left w:val="nil"/>
              <w:bottom w:val="nil"/>
              <w:right w:val="nil"/>
            </w:tcBorders>
          </w:tcPr>
          <w:p w14:paraId="424C098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(-0.04)</w:t>
            </w:r>
          </w:p>
        </w:tc>
      </w:tr>
      <w:tr w:rsidR="003A3222" w:rsidRPr="00D00042" w14:paraId="3CE6DF52" w14:textId="77777777" w:rsidTr="00015B88">
        <w:tc>
          <w:tcPr>
            <w:tcW w:w="2136" w:type="dxa"/>
            <w:tcBorders>
              <w:top w:val="nil"/>
              <w:left w:val="nil"/>
              <w:bottom w:val="nil"/>
              <w:right w:val="nil"/>
            </w:tcBorders>
          </w:tcPr>
          <w:p w14:paraId="27BC074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6F331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07B11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2211A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0D14E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786316F4" w14:textId="77777777" w:rsidTr="00015B88">
        <w:tc>
          <w:tcPr>
            <w:tcW w:w="2136" w:type="dxa"/>
            <w:tcBorders>
              <w:top w:val="nil"/>
              <w:left w:val="nil"/>
              <w:bottom w:val="nil"/>
              <w:right w:val="nil"/>
            </w:tcBorders>
          </w:tcPr>
          <w:p w14:paraId="00120FA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L2.More Fixed Rate * Capital Account Openness</w:t>
            </w:r>
          </w:p>
        </w:tc>
        <w:tc>
          <w:tcPr>
            <w:tcW w:w="1656" w:type="dxa"/>
            <w:tcBorders>
              <w:top w:val="nil"/>
              <w:left w:val="nil"/>
              <w:bottom w:val="nil"/>
              <w:right w:val="nil"/>
            </w:tcBorders>
          </w:tcPr>
          <w:p w14:paraId="4FEE47D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0.0338</w:t>
            </w:r>
          </w:p>
        </w:tc>
        <w:tc>
          <w:tcPr>
            <w:tcW w:w="1656" w:type="dxa"/>
            <w:tcBorders>
              <w:top w:val="nil"/>
              <w:left w:val="nil"/>
              <w:bottom w:val="nil"/>
              <w:right w:val="nil"/>
            </w:tcBorders>
          </w:tcPr>
          <w:p w14:paraId="0347C1D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0.221</w:t>
            </w:r>
          </w:p>
        </w:tc>
        <w:tc>
          <w:tcPr>
            <w:tcW w:w="1656" w:type="dxa"/>
            <w:tcBorders>
              <w:top w:val="nil"/>
              <w:left w:val="nil"/>
              <w:bottom w:val="nil"/>
              <w:right w:val="nil"/>
            </w:tcBorders>
          </w:tcPr>
          <w:p w14:paraId="72E4A42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-0.218</w:t>
            </w:r>
          </w:p>
        </w:tc>
        <w:tc>
          <w:tcPr>
            <w:tcW w:w="1656" w:type="dxa"/>
            <w:tcBorders>
              <w:top w:val="nil"/>
              <w:left w:val="nil"/>
              <w:bottom w:val="nil"/>
              <w:right w:val="nil"/>
            </w:tcBorders>
          </w:tcPr>
          <w:p w14:paraId="4879815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0.235</w:t>
            </w:r>
            <w:r w:rsidRPr="00D00042">
              <w:rPr>
                <w:rFonts w:ascii="Times New Roman" w:hAnsi="Times New Roman" w:cs="Times New Roman"/>
                <w:sz w:val="16"/>
                <w:szCs w:val="16"/>
                <w:vertAlign w:val="superscript"/>
              </w:rPr>
              <w:t>**</w:t>
            </w:r>
          </w:p>
        </w:tc>
      </w:tr>
      <w:tr w:rsidR="003A3222" w:rsidRPr="00D00042" w14:paraId="205D49BA" w14:textId="77777777" w:rsidTr="00015B88">
        <w:tc>
          <w:tcPr>
            <w:tcW w:w="2136" w:type="dxa"/>
            <w:tcBorders>
              <w:top w:val="nil"/>
              <w:left w:val="nil"/>
              <w:bottom w:val="nil"/>
              <w:right w:val="nil"/>
            </w:tcBorders>
          </w:tcPr>
          <w:p w14:paraId="0C748BA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1D2BB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(0.15)</w:t>
            </w:r>
          </w:p>
        </w:tc>
        <w:tc>
          <w:tcPr>
            <w:tcW w:w="1656" w:type="dxa"/>
            <w:tcBorders>
              <w:top w:val="nil"/>
              <w:left w:val="nil"/>
              <w:bottom w:val="nil"/>
              <w:right w:val="nil"/>
            </w:tcBorders>
          </w:tcPr>
          <w:p w14:paraId="7022632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(0.76)</w:t>
            </w:r>
          </w:p>
        </w:tc>
        <w:tc>
          <w:tcPr>
            <w:tcW w:w="1656" w:type="dxa"/>
            <w:tcBorders>
              <w:top w:val="nil"/>
              <w:left w:val="nil"/>
              <w:bottom w:val="nil"/>
              <w:right w:val="nil"/>
            </w:tcBorders>
          </w:tcPr>
          <w:p w14:paraId="72434D3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(-1.20)</w:t>
            </w:r>
          </w:p>
        </w:tc>
        <w:tc>
          <w:tcPr>
            <w:tcW w:w="1656" w:type="dxa"/>
            <w:tcBorders>
              <w:top w:val="nil"/>
              <w:left w:val="nil"/>
              <w:bottom w:val="nil"/>
              <w:right w:val="nil"/>
            </w:tcBorders>
          </w:tcPr>
          <w:p w14:paraId="1AF767F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(2.77)</w:t>
            </w:r>
          </w:p>
        </w:tc>
      </w:tr>
      <w:tr w:rsidR="003A3222" w:rsidRPr="00D00042" w14:paraId="69D9B078" w14:textId="77777777" w:rsidTr="00015B88">
        <w:tc>
          <w:tcPr>
            <w:tcW w:w="2136" w:type="dxa"/>
            <w:tcBorders>
              <w:top w:val="nil"/>
              <w:left w:val="nil"/>
              <w:bottom w:val="nil"/>
              <w:right w:val="nil"/>
            </w:tcBorders>
          </w:tcPr>
          <w:p w14:paraId="35E21ED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C6EA4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15EE5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65964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43532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3D9AC5E2" w14:textId="77777777" w:rsidTr="00015B88">
        <w:tc>
          <w:tcPr>
            <w:tcW w:w="2136" w:type="dxa"/>
            <w:tcBorders>
              <w:top w:val="nil"/>
              <w:left w:val="nil"/>
              <w:bottom w:val="nil"/>
              <w:right w:val="nil"/>
            </w:tcBorders>
          </w:tcPr>
          <w:p w14:paraId="5F53D95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L3.More Fixed Rate * Capital Account Openness</w:t>
            </w:r>
          </w:p>
        </w:tc>
        <w:tc>
          <w:tcPr>
            <w:tcW w:w="1656" w:type="dxa"/>
            <w:tcBorders>
              <w:top w:val="nil"/>
              <w:left w:val="nil"/>
              <w:bottom w:val="nil"/>
              <w:right w:val="nil"/>
            </w:tcBorders>
          </w:tcPr>
          <w:p w14:paraId="2EC6A29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-0.143</w:t>
            </w:r>
          </w:p>
        </w:tc>
        <w:tc>
          <w:tcPr>
            <w:tcW w:w="1656" w:type="dxa"/>
            <w:tcBorders>
              <w:top w:val="nil"/>
              <w:left w:val="nil"/>
              <w:bottom w:val="nil"/>
              <w:right w:val="nil"/>
            </w:tcBorders>
          </w:tcPr>
          <w:p w14:paraId="15588AF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-0.0117</w:t>
            </w:r>
          </w:p>
        </w:tc>
        <w:tc>
          <w:tcPr>
            <w:tcW w:w="1656" w:type="dxa"/>
            <w:tcBorders>
              <w:top w:val="nil"/>
              <w:left w:val="nil"/>
              <w:bottom w:val="nil"/>
              <w:right w:val="nil"/>
            </w:tcBorders>
          </w:tcPr>
          <w:p w14:paraId="00D724B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0.297</w:t>
            </w:r>
          </w:p>
        </w:tc>
        <w:tc>
          <w:tcPr>
            <w:tcW w:w="1656" w:type="dxa"/>
            <w:tcBorders>
              <w:top w:val="nil"/>
              <w:left w:val="nil"/>
              <w:bottom w:val="nil"/>
              <w:right w:val="nil"/>
            </w:tcBorders>
          </w:tcPr>
          <w:p w14:paraId="58A7EF7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-0.0580</w:t>
            </w:r>
          </w:p>
        </w:tc>
      </w:tr>
      <w:tr w:rsidR="003A3222" w:rsidRPr="00D00042" w14:paraId="09B7F4C1" w14:textId="77777777" w:rsidTr="00015B88">
        <w:tc>
          <w:tcPr>
            <w:tcW w:w="2136" w:type="dxa"/>
            <w:tcBorders>
              <w:top w:val="nil"/>
              <w:left w:val="nil"/>
              <w:bottom w:val="nil"/>
              <w:right w:val="nil"/>
            </w:tcBorders>
          </w:tcPr>
          <w:p w14:paraId="75A634A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3E1A4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(-0.71)</w:t>
            </w:r>
          </w:p>
        </w:tc>
        <w:tc>
          <w:tcPr>
            <w:tcW w:w="1656" w:type="dxa"/>
            <w:tcBorders>
              <w:top w:val="nil"/>
              <w:left w:val="nil"/>
              <w:bottom w:val="nil"/>
              <w:right w:val="nil"/>
            </w:tcBorders>
          </w:tcPr>
          <w:p w14:paraId="5D82A6C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(-0.04)</w:t>
            </w:r>
          </w:p>
        </w:tc>
        <w:tc>
          <w:tcPr>
            <w:tcW w:w="1656" w:type="dxa"/>
            <w:tcBorders>
              <w:top w:val="nil"/>
              <w:left w:val="nil"/>
              <w:bottom w:val="nil"/>
              <w:right w:val="nil"/>
            </w:tcBorders>
          </w:tcPr>
          <w:p w14:paraId="7845E93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(1.36)</w:t>
            </w:r>
          </w:p>
        </w:tc>
        <w:tc>
          <w:tcPr>
            <w:tcW w:w="1656" w:type="dxa"/>
            <w:tcBorders>
              <w:top w:val="nil"/>
              <w:left w:val="nil"/>
              <w:bottom w:val="nil"/>
              <w:right w:val="nil"/>
            </w:tcBorders>
          </w:tcPr>
          <w:p w14:paraId="2D113F5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(-0.72)</w:t>
            </w:r>
          </w:p>
        </w:tc>
      </w:tr>
      <w:tr w:rsidR="003A3222" w:rsidRPr="00D00042" w14:paraId="04A5F8C8" w14:textId="77777777" w:rsidTr="00015B88">
        <w:tc>
          <w:tcPr>
            <w:tcW w:w="2136" w:type="dxa"/>
            <w:tcBorders>
              <w:top w:val="nil"/>
              <w:left w:val="nil"/>
              <w:bottom w:val="nil"/>
              <w:right w:val="nil"/>
            </w:tcBorders>
          </w:tcPr>
          <w:p w14:paraId="7135452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AB26D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CC93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BFF9A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A52C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7D1E6F28" w14:textId="77777777" w:rsidTr="00015B88">
        <w:tc>
          <w:tcPr>
            <w:tcW w:w="2136" w:type="dxa"/>
            <w:tcBorders>
              <w:top w:val="nil"/>
              <w:left w:val="nil"/>
              <w:bottom w:val="nil"/>
              <w:right w:val="nil"/>
            </w:tcBorders>
          </w:tcPr>
          <w:p w14:paraId="6E45C06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L4.More Fixed Rate * Capital Account Openness</w:t>
            </w:r>
          </w:p>
        </w:tc>
        <w:tc>
          <w:tcPr>
            <w:tcW w:w="1656" w:type="dxa"/>
            <w:tcBorders>
              <w:top w:val="nil"/>
              <w:left w:val="nil"/>
              <w:bottom w:val="nil"/>
              <w:right w:val="nil"/>
            </w:tcBorders>
          </w:tcPr>
          <w:p w14:paraId="04F2647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-0.189</w:t>
            </w:r>
          </w:p>
        </w:tc>
        <w:tc>
          <w:tcPr>
            <w:tcW w:w="1656" w:type="dxa"/>
            <w:tcBorders>
              <w:top w:val="nil"/>
              <w:left w:val="nil"/>
              <w:bottom w:val="nil"/>
              <w:right w:val="nil"/>
            </w:tcBorders>
          </w:tcPr>
          <w:p w14:paraId="6205F70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-0.163</w:t>
            </w:r>
          </w:p>
        </w:tc>
        <w:tc>
          <w:tcPr>
            <w:tcW w:w="1656" w:type="dxa"/>
            <w:tcBorders>
              <w:top w:val="nil"/>
              <w:left w:val="nil"/>
              <w:bottom w:val="nil"/>
              <w:right w:val="nil"/>
            </w:tcBorders>
          </w:tcPr>
          <w:p w14:paraId="19E2F62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-0.160</w:t>
            </w:r>
          </w:p>
        </w:tc>
        <w:tc>
          <w:tcPr>
            <w:tcW w:w="1656" w:type="dxa"/>
            <w:tcBorders>
              <w:top w:val="nil"/>
              <w:left w:val="nil"/>
              <w:bottom w:val="nil"/>
              <w:right w:val="nil"/>
            </w:tcBorders>
          </w:tcPr>
          <w:p w14:paraId="33090C0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-0.0169</w:t>
            </w:r>
          </w:p>
        </w:tc>
      </w:tr>
      <w:tr w:rsidR="003A3222" w:rsidRPr="00D00042" w14:paraId="0FDB07C6" w14:textId="77777777" w:rsidTr="00015B88">
        <w:tc>
          <w:tcPr>
            <w:tcW w:w="2136" w:type="dxa"/>
            <w:tcBorders>
              <w:top w:val="nil"/>
              <w:left w:val="nil"/>
              <w:bottom w:val="nil"/>
              <w:right w:val="nil"/>
            </w:tcBorders>
          </w:tcPr>
          <w:p w14:paraId="139B47D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1FFC1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(-0.99)</w:t>
            </w:r>
          </w:p>
        </w:tc>
        <w:tc>
          <w:tcPr>
            <w:tcW w:w="1656" w:type="dxa"/>
            <w:tcBorders>
              <w:top w:val="nil"/>
              <w:left w:val="nil"/>
              <w:bottom w:val="nil"/>
              <w:right w:val="nil"/>
            </w:tcBorders>
          </w:tcPr>
          <w:p w14:paraId="3117CBC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(-0.66)</w:t>
            </w:r>
          </w:p>
        </w:tc>
        <w:tc>
          <w:tcPr>
            <w:tcW w:w="1656" w:type="dxa"/>
            <w:tcBorders>
              <w:top w:val="nil"/>
              <w:left w:val="nil"/>
              <w:bottom w:val="nil"/>
              <w:right w:val="nil"/>
            </w:tcBorders>
          </w:tcPr>
          <w:p w14:paraId="78F1C36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(-0.71)</w:t>
            </w:r>
          </w:p>
        </w:tc>
        <w:tc>
          <w:tcPr>
            <w:tcW w:w="1656" w:type="dxa"/>
            <w:tcBorders>
              <w:top w:val="nil"/>
              <w:left w:val="nil"/>
              <w:bottom w:val="nil"/>
              <w:right w:val="nil"/>
            </w:tcBorders>
          </w:tcPr>
          <w:p w14:paraId="6DE1F0A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(-0.24)</w:t>
            </w:r>
          </w:p>
        </w:tc>
      </w:tr>
      <w:tr w:rsidR="003A3222" w:rsidRPr="00D00042" w14:paraId="70F5858E" w14:textId="77777777" w:rsidTr="00015B88">
        <w:tc>
          <w:tcPr>
            <w:tcW w:w="2136" w:type="dxa"/>
            <w:tcBorders>
              <w:top w:val="nil"/>
              <w:left w:val="nil"/>
              <w:bottom w:val="nil"/>
              <w:right w:val="nil"/>
            </w:tcBorders>
          </w:tcPr>
          <w:p w14:paraId="60C5F23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E95C0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B652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4A4B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9003F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7AC8CCE5" w14:textId="77777777" w:rsidTr="00015B88">
        <w:tc>
          <w:tcPr>
            <w:tcW w:w="2136" w:type="dxa"/>
            <w:tcBorders>
              <w:top w:val="nil"/>
              <w:left w:val="nil"/>
              <w:bottom w:val="nil"/>
              <w:right w:val="nil"/>
            </w:tcBorders>
          </w:tcPr>
          <w:p w14:paraId="16117C7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L5.More Fixed Rate * Capital Account Openness</w:t>
            </w:r>
          </w:p>
        </w:tc>
        <w:tc>
          <w:tcPr>
            <w:tcW w:w="1656" w:type="dxa"/>
            <w:tcBorders>
              <w:top w:val="nil"/>
              <w:left w:val="nil"/>
              <w:bottom w:val="nil"/>
              <w:right w:val="nil"/>
            </w:tcBorders>
          </w:tcPr>
          <w:p w14:paraId="37E0C00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-0.0774</w:t>
            </w:r>
          </w:p>
        </w:tc>
        <w:tc>
          <w:tcPr>
            <w:tcW w:w="1656" w:type="dxa"/>
            <w:tcBorders>
              <w:top w:val="nil"/>
              <w:left w:val="nil"/>
              <w:bottom w:val="nil"/>
              <w:right w:val="nil"/>
            </w:tcBorders>
          </w:tcPr>
          <w:p w14:paraId="44332AA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0.0767</w:t>
            </w:r>
          </w:p>
        </w:tc>
        <w:tc>
          <w:tcPr>
            <w:tcW w:w="1656" w:type="dxa"/>
            <w:tcBorders>
              <w:top w:val="nil"/>
              <w:left w:val="nil"/>
              <w:bottom w:val="nil"/>
              <w:right w:val="nil"/>
            </w:tcBorders>
          </w:tcPr>
          <w:p w14:paraId="79F904C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-0.246</w:t>
            </w:r>
          </w:p>
        </w:tc>
        <w:tc>
          <w:tcPr>
            <w:tcW w:w="1656" w:type="dxa"/>
            <w:tcBorders>
              <w:top w:val="nil"/>
              <w:left w:val="nil"/>
              <w:bottom w:val="nil"/>
              <w:right w:val="nil"/>
            </w:tcBorders>
          </w:tcPr>
          <w:p w14:paraId="6139A05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-0.236</w:t>
            </w:r>
            <w:r w:rsidRPr="00D00042">
              <w:rPr>
                <w:rFonts w:ascii="Times New Roman" w:hAnsi="Times New Roman" w:cs="Times New Roman"/>
                <w:sz w:val="16"/>
                <w:szCs w:val="16"/>
                <w:vertAlign w:val="superscript"/>
              </w:rPr>
              <w:t>*</w:t>
            </w:r>
          </w:p>
        </w:tc>
      </w:tr>
      <w:tr w:rsidR="003A3222" w:rsidRPr="00D00042" w14:paraId="28BA3CAC" w14:textId="77777777" w:rsidTr="00015B88">
        <w:tc>
          <w:tcPr>
            <w:tcW w:w="2136" w:type="dxa"/>
            <w:tcBorders>
              <w:top w:val="nil"/>
              <w:left w:val="nil"/>
              <w:bottom w:val="nil"/>
              <w:right w:val="nil"/>
            </w:tcBorders>
          </w:tcPr>
          <w:p w14:paraId="04695C3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44B2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(-0.45)</w:t>
            </w:r>
          </w:p>
        </w:tc>
        <w:tc>
          <w:tcPr>
            <w:tcW w:w="1656" w:type="dxa"/>
            <w:tcBorders>
              <w:top w:val="nil"/>
              <w:left w:val="nil"/>
              <w:bottom w:val="nil"/>
              <w:right w:val="nil"/>
            </w:tcBorders>
          </w:tcPr>
          <w:p w14:paraId="14C308F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(0.30)</w:t>
            </w:r>
          </w:p>
        </w:tc>
        <w:tc>
          <w:tcPr>
            <w:tcW w:w="1656" w:type="dxa"/>
            <w:tcBorders>
              <w:top w:val="nil"/>
              <w:left w:val="nil"/>
              <w:bottom w:val="nil"/>
              <w:right w:val="nil"/>
            </w:tcBorders>
          </w:tcPr>
          <w:p w14:paraId="193B5BE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(-1.15)</w:t>
            </w:r>
          </w:p>
        </w:tc>
        <w:tc>
          <w:tcPr>
            <w:tcW w:w="1656" w:type="dxa"/>
            <w:tcBorders>
              <w:top w:val="nil"/>
              <w:left w:val="nil"/>
              <w:bottom w:val="nil"/>
              <w:right w:val="nil"/>
            </w:tcBorders>
          </w:tcPr>
          <w:p w14:paraId="15423A1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(-2.43)</w:t>
            </w:r>
          </w:p>
        </w:tc>
      </w:tr>
      <w:tr w:rsidR="003A3222" w:rsidRPr="00D00042" w14:paraId="696D864E" w14:textId="77777777" w:rsidTr="00015B88">
        <w:tc>
          <w:tcPr>
            <w:tcW w:w="2136" w:type="dxa"/>
            <w:tcBorders>
              <w:top w:val="nil"/>
              <w:left w:val="nil"/>
              <w:bottom w:val="nil"/>
              <w:right w:val="nil"/>
            </w:tcBorders>
          </w:tcPr>
          <w:p w14:paraId="0BB6698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FC229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C8931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F99B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7902CF"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4BCD739C" w14:textId="77777777" w:rsidTr="00015B88">
        <w:tc>
          <w:tcPr>
            <w:tcW w:w="2136" w:type="dxa"/>
            <w:tcBorders>
              <w:top w:val="nil"/>
              <w:left w:val="nil"/>
              <w:bottom w:val="nil"/>
              <w:right w:val="nil"/>
            </w:tcBorders>
          </w:tcPr>
          <w:p w14:paraId="29C646A3"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L6.More Fixed Rate * Capital Account Openness</w:t>
            </w:r>
          </w:p>
        </w:tc>
        <w:tc>
          <w:tcPr>
            <w:tcW w:w="1656" w:type="dxa"/>
            <w:tcBorders>
              <w:top w:val="nil"/>
              <w:left w:val="nil"/>
              <w:bottom w:val="nil"/>
              <w:right w:val="nil"/>
            </w:tcBorders>
          </w:tcPr>
          <w:p w14:paraId="3690AF0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0.362</w:t>
            </w:r>
            <w:r w:rsidRPr="00D00042">
              <w:rPr>
                <w:rFonts w:ascii="Times New Roman" w:hAnsi="Times New Roman" w:cs="Times New Roman"/>
                <w:sz w:val="16"/>
                <w:szCs w:val="16"/>
                <w:vertAlign w:val="superscript"/>
              </w:rPr>
              <w:t>*</w:t>
            </w:r>
          </w:p>
        </w:tc>
        <w:tc>
          <w:tcPr>
            <w:tcW w:w="1656" w:type="dxa"/>
            <w:tcBorders>
              <w:top w:val="nil"/>
              <w:left w:val="nil"/>
              <w:bottom w:val="nil"/>
              <w:right w:val="nil"/>
            </w:tcBorders>
          </w:tcPr>
          <w:p w14:paraId="6798B61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-0.176</w:t>
            </w:r>
          </w:p>
        </w:tc>
        <w:tc>
          <w:tcPr>
            <w:tcW w:w="1656" w:type="dxa"/>
            <w:tcBorders>
              <w:top w:val="nil"/>
              <w:left w:val="nil"/>
              <w:bottom w:val="nil"/>
              <w:right w:val="nil"/>
            </w:tcBorders>
          </w:tcPr>
          <w:p w14:paraId="688EF39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0.426</w:t>
            </w:r>
            <w:r w:rsidRPr="00D00042">
              <w:rPr>
                <w:rFonts w:ascii="Times New Roman" w:hAnsi="Times New Roman" w:cs="Times New Roman"/>
                <w:sz w:val="16"/>
                <w:szCs w:val="16"/>
                <w:vertAlign w:val="superscript"/>
              </w:rPr>
              <w:t>*</w:t>
            </w:r>
          </w:p>
        </w:tc>
        <w:tc>
          <w:tcPr>
            <w:tcW w:w="1656" w:type="dxa"/>
            <w:tcBorders>
              <w:top w:val="nil"/>
              <w:left w:val="nil"/>
              <w:bottom w:val="nil"/>
              <w:right w:val="nil"/>
            </w:tcBorders>
          </w:tcPr>
          <w:p w14:paraId="4F24A4A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0.0730</w:t>
            </w:r>
          </w:p>
        </w:tc>
      </w:tr>
      <w:tr w:rsidR="003A3222" w:rsidRPr="00D00042" w14:paraId="5C1E0716" w14:textId="77777777" w:rsidTr="00015B88">
        <w:tc>
          <w:tcPr>
            <w:tcW w:w="2136" w:type="dxa"/>
            <w:tcBorders>
              <w:top w:val="nil"/>
              <w:left w:val="nil"/>
              <w:bottom w:val="nil"/>
              <w:right w:val="nil"/>
            </w:tcBorders>
          </w:tcPr>
          <w:p w14:paraId="23D8F27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A0A4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(2.28)</w:t>
            </w:r>
          </w:p>
        </w:tc>
        <w:tc>
          <w:tcPr>
            <w:tcW w:w="1656" w:type="dxa"/>
            <w:tcBorders>
              <w:top w:val="nil"/>
              <w:left w:val="nil"/>
              <w:bottom w:val="nil"/>
              <w:right w:val="nil"/>
            </w:tcBorders>
          </w:tcPr>
          <w:p w14:paraId="4BC84FB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(-0.76)</w:t>
            </w:r>
          </w:p>
        </w:tc>
        <w:tc>
          <w:tcPr>
            <w:tcW w:w="1656" w:type="dxa"/>
            <w:tcBorders>
              <w:top w:val="nil"/>
              <w:left w:val="nil"/>
              <w:bottom w:val="nil"/>
              <w:right w:val="nil"/>
            </w:tcBorders>
          </w:tcPr>
          <w:p w14:paraId="5EA6A26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(2.46)</w:t>
            </w:r>
          </w:p>
        </w:tc>
        <w:tc>
          <w:tcPr>
            <w:tcW w:w="1656" w:type="dxa"/>
            <w:tcBorders>
              <w:top w:val="nil"/>
              <w:left w:val="nil"/>
              <w:bottom w:val="nil"/>
              <w:right w:val="nil"/>
            </w:tcBorders>
          </w:tcPr>
          <w:p w14:paraId="39B1267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(0.80)</w:t>
            </w:r>
          </w:p>
        </w:tc>
      </w:tr>
      <w:tr w:rsidR="003A3222" w:rsidRPr="00D00042" w14:paraId="0DFB7B84" w14:textId="77777777" w:rsidTr="00015B88">
        <w:tc>
          <w:tcPr>
            <w:tcW w:w="2136" w:type="dxa"/>
            <w:tcBorders>
              <w:top w:val="nil"/>
              <w:left w:val="nil"/>
              <w:bottom w:val="nil"/>
              <w:right w:val="nil"/>
            </w:tcBorders>
          </w:tcPr>
          <w:p w14:paraId="0702BEFF"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65F49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65D27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474E1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8B605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6C9F2A19" w14:textId="77777777" w:rsidTr="00015B88">
        <w:tc>
          <w:tcPr>
            <w:tcW w:w="2136" w:type="dxa"/>
            <w:tcBorders>
              <w:top w:val="nil"/>
              <w:left w:val="nil"/>
              <w:bottom w:val="nil"/>
              <w:right w:val="nil"/>
            </w:tcBorders>
          </w:tcPr>
          <w:p w14:paraId="03BE3A3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L7.More Fixed Rate * Capital Account Openness</w:t>
            </w:r>
          </w:p>
        </w:tc>
        <w:tc>
          <w:tcPr>
            <w:tcW w:w="1656" w:type="dxa"/>
            <w:tcBorders>
              <w:top w:val="nil"/>
              <w:left w:val="nil"/>
              <w:bottom w:val="nil"/>
              <w:right w:val="nil"/>
            </w:tcBorders>
          </w:tcPr>
          <w:p w14:paraId="33CD145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-0.0875</w:t>
            </w:r>
          </w:p>
        </w:tc>
        <w:tc>
          <w:tcPr>
            <w:tcW w:w="1656" w:type="dxa"/>
            <w:tcBorders>
              <w:top w:val="nil"/>
              <w:left w:val="nil"/>
              <w:bottom w:val="nil"/>
              <w:right w:val="nil"/>
            </w:tcBorders>
          </w:tcPr>
          <w:p w14:paraId="5D925A2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-0.0612</w:t>
            </w:r>
          </w:p>
        </w:tc>
        <w:tc>
          <w:tcPr>
            <w:tcW w:w="1656" w:type="dxa"/>
            <w:tcBorders>
              <w:top w:val="nil"/>
              <w:left w:val="nil"/>
              <w:bottom w:val="nil"/>
              <w:right w:val="nil"/>
            </w:tcBorders>
          </w:tcPr>
          <w:p w14:paraId="529A1A8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-0.171</w:t>
            </w:r>
          </w:p>
        </w:tc>
        <w:tc>
          <w:tcPr>
            <w:tcW w:w="1656" w:type="dxa"/>
            <w:tcBorders>
              <w:top w:val="nil"/>
              <w:left w:val="nil"/>
              <w:bottom w:val="nil"/>
              <w:right w:val="nil"/>
            </w:tcBorders>
          </w:tcPr>
          <w:p w14:paraId="7CF8B75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-0.0542</w:t>
            </w:r>
          </w:p>
        </w:tc>
      </w:tr>
      <w:tr w:rsidR="003A3222" w:rsidRPr="00D00042" w14:paraId="72981F77" w14:textId="77777777" w:rsidTr="00015B88">
        <w:tc>
          <w:tcPr>
            <w:tcW w:w="2136" w:type="dxa"/>
            <w:tcBorders>
              <w:top w:val="nil"/>
              <w:left w:val="nil"/>
              <w:bottom w:val="nil"/>
              <w:right w:val="nil"/>
            </w:tcBorders>
          </w:tcPr>
          <w:p w14:paraId="311EEDA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0012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(-0.48)</w:t>
            </w:r>
          </w:p>
        </w:tc>
        <w:tc>
          <w:tcPr>
            <w:tcW w:w="1656" w:type="dxa"/>
            <w:tcBorders>
              <w:top w:val="nil"/>
              <w:left w:val="nil"/>
              <w:bottom w:val="nil"/>
              <w:right w:val="nil"/>
            </w:tcBorders>
          </w:tcPr>
          <w:p w14:paraId="5188F4B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(-0.26)</w:t>
            </w:r>
          </w:p>
        </w:tc>
        <w:tc>
          <w:tcPr>
            <w:tcW w:w="1656" w:type="dxa"/>
            <w:tcBorders>
              <w:top w:val="nil"/>
              <w:left w:val="nil"/>
              <w:bottom w:val="nil"/>
              <w:right w:val="nil"/>
            </w:tcBorders>
          </w:tcPr>
          <w:p w14:paraId="0E209EC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(-1.17)</w:t>
            </w:r>
          </w:p>
        </w:tc>
        <w:tc>
          <w:tcPr>
            <w:tcW w:w="1656" w:type="dxa"/>
            <w:tcBorders>
              <w:top w:val="nil"/>
              <w:left w:val="nil"/>
              <w:bottom w:val="nil"/>
              <w:right w:val="nil"/>
            </w:tcBorders>
          </w:tcPr>
          <w:p w14:paraId="14789FD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(-0.65)</w:t>
            </w:r>
          </w:p>
        </w:tc>
      </w:tr>
      <w:tr w:rsidR="003A3222" w:rsidRPr="00D00042" w14:paraId="69B95190" w14:textId="77777777" w:rsidTr="00015B88">
        <w:tc>
          <w:tcPr>
            <w:tcW w:w="2136" w:type="dxa"/>
            <w:tcBorders>
              <w:top w:val="nil"/>
              <w:left w:val="nil"/>
              <w:bottom w:val="nil"/>
              <w:right w:val="nil"/>
            </w:tcBorders>
          </w:tcPr>
          <w:p w14:paraId="50FC12D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6A95B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FDA93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51EEB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F916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5B34C123" w14:textId="77777777" w:rsidTr="00015B88">
        <w:tc>
          <w:tcPr>
            <w:tcW w:w="2136" w:type="dxa"/>
            <w:tcBorders>
              <w:top w:val="nil"/>
              <w:left w:val="nil"/>
              <w:bottom w:val="nil"/>
              <w:right w:val="nil"/>
            </w:tcBorders>
          </w:tcPr>
          <w:p w14:paraId="057AEFE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L8.More Fixed Rate * Capital Account Openness</w:t>
            </w:r>
          </w:p>
        </w:tc>
        <w:tc>
          <w:tcPr>
            <w:tcW w:w="1656" w:type="dxa"/>
            <w:tcBorders>
              <w:top w:val="nil"/>
              <w:left w:val="nil"/>
              <w:bottom w:val="nil"/>
              <w:right w:val="nil"/>
            </w:tcBorders>
          </w:tcPr>
          <w:p w14:paraId="5852750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-0.0728</w:t>
            </w:r>
          </w:p>
        </w:tc>
        <w:tc>
          <w:tcPr>
            <w:tcW w:w="1656" w:type="dxa"/>
            <w:tcBorders>
              <w:top w:val="nil"/>
              <w:left w:val="nil"/>
              <w:bottom w:val="nil"/>
              <w:right w:val="nil"/>
            </w:tcBorders>
          </w:tcPr>
          <w:p w14:paraId="6E5FFD3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-0.250</w:t>
            </w:r>
          </w:p>
        </w:tc>
        <w:tc>
          <w:tcPr>
            <w:tcW w:w="1656" w:type="dxa"/>
            <w:tcBorders>
              <w:top w:val="nil"/>
              <w:left w:val="nil"/>
              <w:bottom w:val="nil"/>
              <w:right w:val="nil"/>
            </w:tcBorders>
          </w:tcPr>
          <w:p w14:paraId="7381C38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-0.0305</w:t>
            </w:r>
          </w:p>
        </w:tc>
        <w:tc>
          <w:tcPr>
            <w:tcW w:w="1656" w:type="dxa"/>
            <w:tcBorders>
              <w:top w:val="nil"/>
              <w:left w:val="nil"/>
              <w:bottom w:val="nil"/>
              <w:right w:val="nil"/>
            </w:tcBorders>
          </w:tcPr>
          <w:p w14:paraId="5436F3D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-0.102</w:t>
            </w:r>
          </w:p>
        </w:tc>
      </w:tr>
      <w:tr w:rsidR="003A3222" w:rsidRPr="00D00042" w14:paraId="67CE9EF2" w14:textId="77777777" w:rsidTr="00015B88">
        <w:tc>
          <w:tcPr>
            <w:tcW w:w="2136" w:type="dxa"/>
            <w:tcBorders>
              <w:top w:val="nil"/>
              <w:left w:val="nil"/>
              <w:bottom w:val="nil"/>
              <w:right w:val="nil"/>
            </w:tcBorders>
          </w:tcPr>
          <w:p w14:paraId="11E2539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AE066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(-0.44)</w:t>
            </w:r>
          </w:p>
        </w:tc>
        <w:tc>
          <w:tcPr>
            <w:tcW w:w="1656" w:type="dxa"/>
            <w:tcBorders>
              <w:top w:val="nil"/>
              <w:left w:val="nil"/>
              <w:bottom w:val="nil"/>
              <w:right w:val="nil"/>
            </w:tcBorders>
          </w:tcPr>
          <w:p w14:paraId="59384D8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(-1.20)</w:t>
            </w:r>
          </w:p>
        </w:tc>
        <w:tc>
          <w:tcPr>
            <w:tcW w:w="1656" w:type="dxa"/>
            <w:tcBorders>
              <w:top w:val="nil"/>
              <w:left w:val="nil"/>
              <w:bottom w:val="nil"/>
              <w:right w:val="nil"/>
            </w:tcBorders>
          </w:tcPr>
          <w:p w14:paraId="6002D8A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(-0.15)</w:t>
            </w:r>
          </w:p>
        </w:tc>
        <w:tc>
          <w:tcPr>
            <w:tcW w:w="1656" w:type="dxa"/>
            <w:tcBorders>
              <w:top w:val="nil"/>
              <w:left w:val="nil"/>
              <w:bottom w:val="nil"/>
              <w:right w:val="nil"/>
            </w:tcBorders>
          </w:tcPr>
          <w:p w14:paraId="683F849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(-0.85)</w:t>
            </w:r>
          </w:p>
        </w:tc>
      </w:tr>
      <w:tr w:rsidR="003A3222" w:rsidRPr="00D00042" w14:paraId="06E62B61" w14:textId="77777777" w:rsidTr="00015B88">
        <w:tc>
          <w:tcPr>
            <w:tcW w:w="2136" w:type="dxa"/>
            <w:tcBorders>
              <w:top w:val="nil"/>
              <w:left w:val="nil"/>
              <w:bottom w:val="nil"/>
              <w:right w:val="nil"/>
            </w:tcBorders>
          </w:tcPr>
          <w:p w14:paraId="7CB4A10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93423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6037B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46F58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45E16F"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1AA8A0EE" w14:textId="77777777" w:rsidTr="00015B88">
        <w:tc>
          <w:tcPr>
            <w:tcW w:w="2136" w:type="dxa"/>
            <w:tcBorders>
              <w:top w:val="nil"/>
              <w:left w:val="nil"/>
              <w:bottom w:val="nil"/>
              <w:right w:val="nil"/>
            </w:tcBorders>
          </w:tcPr>
          <w:p w14:paraId="471AE9BA"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L9.More Fixed Rate * Capital Account Openness</w:t>
            </w:r>
          </w:p>
        </w:tc>
        <w:tc>
          <w:tcPr>
            <w:tcW w:w="1656" w:type="dxa"/>
            <w:tcBorders>
              <w:top w:val="nil"/>
              <w:left w:val="nil"/>
              <w:bottom w:val="nil"/>
              <w:right w:val="nil"/>
            </w:tcBorders>
          </w:tcPr>
          <w:p w14:paraId="6E8554F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0.186</w:t>
            </w:r>
          </w:p>
        </w:tc>
        <w:tc>
          <w:tcPr>
            <w:tcW w:w="1656" w:type="dxa"/>
            <w:tcBorders>
              <w:top w:val="nil"/>
              <w:left w:val="nil"/>
              <w:bottom w:val="nil"/>
              <w:right w:val="nil"/>
            </w:tcBorders>
          </w:tcPr>
          <w:p w14:paraId="0C19841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0.356</w:t>
            </w:r>
          </w:p>
        </w:tc>
        <w:tc>
          <w:tcPr>
            <w:tcW w:w="1656" w:type="dxa"/>
            <w:tcBorders>
              <w:top w:val="nil"/>
              <w:left w:val="nil"/>
              <w:bottom w:val="nil"/>
              <w:right w:val="nil"/>
            </w:tcBorders>
          </w:tcPr>
          <w:p w14:paraId="49EE141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-0.0615</w:t>
            </w:r>
          </w:p>
        </w:tc>
        <w:tc>
          <w:tcPr>
            <w:tcW w:w="1656" w:type="dxa"/>
            <w:tcBorders>
              <w:top w:val="nil"/>
              <w:left w:val="nil"/>
              <w:bottom w:val="nil"/>
              <w:right w:val="nil"/>
            </w:tcBorders>
          </w:tcPr>
          <w:p w14:paraId="4D85A21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-0.0545</w:t>
            </w:r>
          </w:p>
        </w:tc>
      </w:tr>
      <w:tr w:rsidR="003A3222" w:rsidRPr="00D00042" w14:paraId="7893B3E8" w14:textId="77777777" w:rsidTr="00015B88">
        <w:tc>
          <w:tcPr>
            <w:tcW w:w="2136" w:type="dxa"/>
            <w:tcBorders>
              <w:top w:val="nil"/>
              <w:left w:val="nil"/>
              <w:bottom w:val="nil"/>
              <w:right w:val="nil"/>
            </w:tcBorders>
          </w:tcPr>
          <w:p w14:paraId="52328A0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E4FD0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(1.14)</w:t>
            </w:r>
          </w:p>
        </w:tc>
        <w:tc>
          <w:tcPr>
            <w:tcW w:w="1656" w:type="dxa"/>
            <w:tcBorders>
              <w:top w:val="nil"/>
              <w:left w:val="nil"/>
              <w:bottom w:val="nil"/>
              <w:right w:val="nil"/>
            </w:tcBorders>
          </w:tcPr>
          <w:p w14:paraId="26CC36B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(1.69)</w:t>
            </w:r>
          </w:p>
        </w:tc>
        <w:tc>
          <w:tcPr>
            <w:tcW w:w="1656" w:type="dxa"/>
            <w:tcBorders>
              <w:top w:val="nil"/>
              <w:left w:val="nil"/>
              <w:bottom w:val="nil"/>
              <w:right w:val="nil"/>
            </w:tcBorders>
          </w:tcPr>
          <w:p w14:paraId="035BA21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(-0.29)</w:t>
            </w:r>
          </w:p>
        </w:tc>
        <w:tc>
          <w:tcPr>
            <w:tcW w:w="1656" w:type="dxa"/>
            <w:tcBorders>
              <w:top w:val="nil"/>
              <w:left w:val="nil"/>
              <w:bottom w:val="nil"/>
              <w:right w:val="nil"/>
            </w:tcBorders>
          </w:tcPr>
          <w:p w14:paraId="6D65E1C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(-0.60)</w:t>
            </w:r>
          </w:p>
        </w:tc>
      </w:tr>
      <w:tr w:rsidR="003A3222" w:rsidRPr="00D00042" w14:paraId="103A20FE" w14:textId="77777777" w:rsidTr="00015B88">
        <w:tc>
          <w:tcPr>
            <w:tcW w:w="2136" w:type="dxa"/>
            <w:tcBorders>
              <w:top w:val="nil"/>
              <w:left w:val="nil"/>
              <w:bottom w:val="nil"/>
              <w:right w:val="nil"/>
            </w:tcBorders>
          </w:tcPr>
          <w:p w14:paraId="5569CE0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11E165"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00CD6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D425CF"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B3DAF"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76005610" w14:textId="77777777" w:rsidTr="00015B88">
        <w:tc>
          <w:tcPr>
            <w:tcW w:w="2136" w:type="dxa"/>
            <w:tcBorders>
              <w:top w:val="nil"/>
              <w:left w:val="nil"/>
              <w:bottom w:val="nil"/>
              <w:right w:val="nil"/>
            </w:tcBorders>
          </w:tcPr>
          <w:p w14:paraId="21106F8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0E92DA1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-0.130</w:t>
            </w:r>
          </w:p>
        </w:tc>
        <w:tc>
          <w:tcPr>
            <w:tcW w:w="1656" w:type="dxa"/>
            <w:tcBorders>
              <w:top w:val="nil"/>
              <w:left w:val="nil"/>
              <w:bottom w:val="nil"/>
              <w:right w:val="nil"/>
            </w:tcBorders>
          </w:tcPr>
          <w:p w14:paraId="32C68F7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0.194</w:t>
            </w:r>
          </w:p>
        </w:tc>
        <w:tc>
          <w:tcPr>
            <w:tcW w:w="1656" w:type="dxa"/>
            <w:tcBorders>
              <w:top w:val="nil"/>
              <w:left w:val="nil"/>
              <w:bottom w:val="nil"/>
              <w:right w:val="nil"/>
            </w:tcBorders>
          </w:tcPr>
          <w:p w14:paraId="067A5E3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0.0999</w:t>
            </w:r>
          </w:p>
        </w:tc>
        <w:tc>
          <w:tcPr>
            <w:tcW w:w="1656" w:type="dxa"/>
            <w:tcBorders>
              <w:top w:val="nil"/>
              <w:left w:val="nil"/>
              <w:bottom w:val="nil"/>
              <w:right w:val="nil"/>
            </w:tcBorders>
          </w:tcPr>
          <w:p w14:paraId="1F7C136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-0.0754</w:t>
            </w:r>
          </w:p>
        </w:tc>
      </w:tr>
      <w:tr w:rsidR="003A3222" w:rsidRPr="00D00042" w14:paraId="54AB2B85" w14:textId="77777777" w:rsidTr="00015B88">
        <w:tc>
          <w:tcPr>
            <w:tcW w:w="2136" w:type="dxa"/>
            <w:tcBorders>
              <w:top w:val="nil"/>
              <w:left w:val="nil"/>
              <w:bottom w:val="nil"/>
              <w:right w:val="nil"/>
            </w:tcBorders>
          </w:tcPr>
          <w:p w14:paraId="05F29E4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ADA93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(-0.96)</w:t>
            </w:r>
          </w:p>
        </w:tc>
        <w:tc>
          <w:tcPr>
            <w:tcW w:w="1656" w:type="dxa"/>
            <w:tcBorders>
              <w:top w:val="nil"/>
              <w:left w:val="nil"/>
              <w:bottom w:val="nil"/>
              <w:right w:val="nil"/>
            </w:tcBorders>
          </w:tcPr>
          <w:p w14:paraId="6C422E2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(0.96)</w:t>
            </w:r>
          </w:p>
        </w:tc>
        <w:tc>
          <w:tcPr>
            <w:tcW w:w="1656" w:type="dxa"/>
            <w:tcBorders>
              <w:top w:val="nil"/>
              <w:left w:val="nil"/>
              <w:bottom w:val="nil"/>
              <w:right w:val="nil"/>
            </w:tcBorders>
          </w:tcPr>
          <w:p w14:paraId="41F243D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(0.61)</w:t>
            </w:r>
          </w:p>
        </w:tc>
        <w:tc>
          <w:tcPr>
            <w:tcW w:w="1656" w:type="dxa"/>
            <w:tcBorders>
              <w:top w:val="nil"/>
              <w:left w:val="nil"/>
              <w:bottom w:val="nil"/>
              <w:right w:val="nil"/>
            </w:tcBorders>
          </w:tcPr>
          <w:p w14:paraId="0621AB0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(-0.78)</w:t>
            </w:r>
          </w:p>
        </w:tc>
      </w:tr>
      <w:tr w:rsidR="003A3222" w:rsidRPr="00D00042" w14:paraId="01123D70" w14:textId="77777777" w:rsidTr="00015B88">
        <w:tc>
          <w:tcPr>
            <w:tcW w:w="2136" w:type="dxa"/>
            <w:tcBorders>
              <w:top w:val="nil"/>
              <w:left w:val="nil"/>
              <w:bottom w:val="nil"/>
              <w:right w:val="nil"/>
            </w:tcBorders>
          </w:tcPr>
          <w:p w14:paraId="45B17072"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33AB2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A5DB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2A588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92F01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r>
      <w:tr w:rsidR="003A3222" w:rsidRPr="00D00042" w14:paraId="05BA1E89" w14:textId="77777777" w:rsidTr="00015B88">
        <w:tc>
          <w:tcPr>
            <w:tcW w:w="2136" w:type="dxa"/>
            <w:tcBorders>
              <w:top w:val="nil"/>
              <w:left w:val="nil"/>
              <w:bottom w:val="nil"/>
              <w:right w:val="nil"/>
            </w:tcBorders>
          </w:tcPr>
          <w:p w14:paraId="33CBAE4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Constant</w:t>
            </w:r>
          </w:p>
        </w:tc>
        <w:tc>
          <w:tcPr>
            <w:tcW w:w="1656" w:type="dxa"/>
            <w:tcBorders>
              <w:top w:val="nil"/>
              <w:left w:val="nil"/>
              <w:bottom w:val="nil"/>
              <w:right w:val="nil"/>
            </w:tcBorders>
          </w:tcPr>
          <w:p w14:paraId="27EABE2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38DBF0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FE5BA4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B292D4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-9.109</w:t>
            </w:r>
            <w:r w:rsidRPr="00D00042">
              <w:rPr>
                <w:rFonts w:ascii="Times New Roman" w:hAnsi="Times New Roman" w:cs="Times New Roman"/>
                <w:sz w:val="16"/>
                <w:szCs w:val="16"/>
                <w:vertAlign w:val="superscript"/>
              </w:rPr>
              <w:t>***</w:t>
            </w:r>
          </w:p>
        </w:tc>
      </w:tr>
      <w:tr w:rsidR="003A3222" w:rsidRPr="00D00042" w14:paraId="59776290" w14:textId="77777777" w:rsidTr="00015B88">
        <w:tc>
          <w:tcPr>
            <w:tcW w:w="2136" w:type="dxa"/>
            <w:tcBorders>
              <w:top w:val="nil"/>
              <w:left w:val="nil"/>
              <w:bottom w:val="nil"/>
              <w:right w:val="nil"/>
            </w:tcBorders>
          </w:tcPr>
          <w:p w14:paraId="50323447"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0C5EB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29A3A9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1C5AD5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7977BD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(-4.35)</w:t>
            </w:r>
          </w:p>
        </w:tc>
      </w:tr>
      <w:tr w:rsidR="003A3222" w:rsidRPr="00D00042" w14:paraId="08C18D0C" w14:textId="77777777" w:rsidTr="00015B88">
        <w:tc>
          <w:tcPr>
            <w:tcW w:w="2136" w:type="dxa"/>
            <w:tcBorders>
              <w:top w:val="single" w:sz="4" w:space="0" w:color="auto"/>
              <w:left w:val="nil"/>
              <w:bottom w:val="nil"/>
              <w:right w:val="nil"/>
            </w:tcBorders>
          </w:tcPr>
          <w:p w14:paraId="540D1EA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165CEB0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5B1D5B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25FD93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21C0A3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3A3222" w:rsidRPr="00D00042" w14:paraId="7510B9C3" w14:textId="77777777" w:rsidTr="00015B88">
        <w:tc>
          <w:tcPr>
            <w:tcW w:w="2136" w:type="dxa"/>
            <w:tcBorders>
              <w:top w:val="nil"/>
              <w:left w:val="nil"/>
              <w:bottom w:val="nil"/>
              <w:right w:val="nil"/>
            </w:tcBorders>
          </w:tcPr>
          <w:p w14:paraId="044CB266"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Constant</w:t>
            </w:r>
          </w:p>
        </w:tc>
        <w:tc>
          <w:tcPr>
            <w:tcW w:w="1656" w:type="dxa"/>
            <w:tcBorders>
              <w:top w:val="nil"/>
              <w:left w:val="nil"/>
              <w:bottom w:val="nil"/>
              <w:right w:val="nil"/>
            </w:tcBorders>
          </w:tcPr>
          <w:p w14:paraId="0D649D8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-0.362</w:t>
            </w:r>
          </w:p>
        </w:tc>
        <w:tc>
          <w:tcPr>
            <w:tcW w:w="1656" w:type="dxa"/>
            <w:tcBorders>
              <w:top w:val="nil"/>
              <w:left w:val="nil"/>
              <w:bottom w:val="nil"/>
              <w:right w:val="nil"/>
            </w:tcBorders>
          </w:tcPr>
          <w:p w14:paraId="67FC349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2.302</w:t>
            </w:r>
            <w:r w:rsidRPr="00D00042">
              <w:rPr>
                <w:rFonts w:ascii="Times New Roman" w:hAnsi="Times New Roman" w:cs="Times New Roman"/>
                <w:sz w:val="16"/>
                <w:szCs w:val="16"/>
                <w:vertAlign w:val="superscript"/>
              </w:rPr>
              <w:t>**</w:t>
            </w:r>
          </w:p>
        </w:tc>
        <w:tc>
          <w:tcPr>
            <w:tcW w:w="1656" w:type="dxa"/>
            <w:tcBorders>
              <w:top w:val="nil"/>
              <w:left w:val="nil"/>
              <w:bottom w:val="nil"/>
              <w:right w:val="nil"/>
            </w:tcBorders>
          </w:tcPr>
          <w:p w14:paraId="517B458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0.882</w:t>
            </w:r>
          </w:p>
        </w:tc>
        <w:tc>
          <w:tcPr>
            <w:tcW w:w="1656" w:type="dxa"/>
            <w:tcBorders>
              <w:top w:val="nil"/>
              <w:left w:val="nil"/>
              <w:bottom w:val="nil"/>
              <w:right w:val="nil"/>
            </w:tcBorders>
          </w:tcPr>
          <w:p w14:paraId="0127F5E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3A3222" w:rsidRPr="00D00042" w14:paraId="1F348FAD" w14:textId="77777777" w:rsidTr="00015B88">
        <w:tc>
          <w:tcPr>
            <w:tcW w:w="2136" w:type="dxa"/>
            <w:tcBorders>
              <w:top w:val="nil"/>
              <w:left w:val="nil"/>
              <w:bottom w:val="nil"/>
              <w:right w:val="nil"/>
            </w:tcBorders>
          </w:tcPr>
          <w:p w14:paraId="1DB365C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5478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(-0.69)</w:t>
            </w:r>
          </w:p>
        </w:tc>
        <w:tc>
          <w:tcPr>
            <w:tcW w:w="1656" w:type="dxa"/>
            <w:tcBorders>
              <w:top w:val="nil"/>
              <w:left w:val="nil"/>
              <w:bottom w:val="nil"/>
              <w:right w:val="nil"/>
            </w:tcBorders>
          </w:tcPr>
          <w:p w14:paraId="10A51E7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(2.98)</w:t>
            </w:r>
          </w:p>
        </w:tc>
        <w:tc>
          <w:tcPr>
            <w:tcW w:w="1656" w:type="dxa"/>
            <w:tcBorders>
              <w:top w:val="nil"/>
              <w:left w:val="nil"/>
              <w:bottom w:val="nil"/>
              <w:right w:val="nil"/>
            </w:tcBorders>
          </w:tcPr>
          <w:p w14:paraId="298FA091"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(1.22)</w:t>
            </w:r>
          </w:p>
        </w:tc>
        <w:tc>
          <w:tcPr>
            <w:tcW w:w="1656" w:type="dxa"/>
            <w:tcBorders>
              <w:top w:val="nil"/>
              <w:left w:val="nil"/>
              <w:bottom w:val="nil"/>
              <w:right w:val="nil"/>
            </w:tcBorders>
          </w:tcPr>
          <w:p w14:paraId="060F978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3A3222" w:rsidRPr="00D00042" w14:paraId="1F3C4EFF" w14:textId="77777777" w:rsidTr="00015B88">
        <w:tc>
          <w:tcPr>
            <w:tcW w:w="2136" w:type="dxa"/>
            <w:tcBorders>
              <w:top w:val="single" w:sz="4" w:space="0" w:color="auto"/>
              <w:left w:val="nil"/>
              <w:bottom w:val="nil"/>
              <w:right w:val="nil"/>
            </w:tcBorders>
          </w:tcPr>
          <w:p w14:paraId="3E78A8D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lastRenderedPageBreak/>
              <w:t>cut2</w:t>
            </w:r>
          </w:p>
        </w:tc>
        <w:tc>
          <w:tcPr>
            <w:tcW w:w="1656" w:type="dxa"/>
            <w:tcBorders>
              <w:top w:val="single" w:sz="4" w:space="0" w:color="auto"/>
              <w:left w:val="nil"/>
              <w:bottom w:val="nil"/>
              <w:right w:val="nil"/>
            </w:tcBorders>
          </w:tcPr>
          <w:p w14:paraId="35F1A3B5"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22236A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597DE6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E3C6D5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3A3222" w:rsidRPr="00D00042" w14:paraId="572A040D" w14:textId="77777777" w:rsidTr="00015B88">
        <w:tc>
          <w:tcPr>
            <w:tcW w:w="2136" w:type="dxa"/>
            <w:tcBorders>
              <w:top w:val="nil"/>
              <w:left w:val="nil"/>
              <w:bottom w:val="nil"/>
              <w:right w:val="nil"/>
            </w:tcBorders>
          </w:tcPr>
          <w:p w14:paraId="67AF47C1"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Constant</w:t>
            </w:r>
          </w:p>
        </w:tc>
        <w:tc>
          <w:tcPr>
            <w:tcW w:w="1656" w:type="dxa"/>
            <w:tcBorders>
              <w:top w:val="nil"/>
              <w:left w:val="nil"/>
              <w:bottom w:val="nil"/>
              <w:right w:val="nil"/>
            </w:tcBorders>
          </w:tcPr>
          <w:p w14:paraId="4A609D0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0.0847</w:t>
            </w:r>
          </w:p>
        </w:tc>
        <w:tc>
          <w:tcPr>
            <w:tcW w:w="1656" w:type="dxa"/>
            <w:tcBorders>
              <w:top w:val="nil"/>
              <w:left w:val="nil"/>
              <w:bottom w:val="nil"/>
              <w:right w:val="nil"/>
            </w:tcBorders>
          </w:tcPr>
          <w:p w14:paraId="77747D7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2.935</w:t>
            </w:r>
            <w:r w:rsidRPr="00D00042">
              <w:rPr>
                <w:rFonts w:ascii="Times New Roman" w:hAnsi="Times New Roman" w:cs="Times New Roman"/>
                <w:sz w:val="16"/>
                <w:szCs w:val="16"/>
                <w:vertAlign w:val="superscript"/>
              </w:rPr>
              <w:t>***</w:t>
            </w:r>
          </w:p>
        </w:tc>
        <w:tc>
          <w:tcPr>
            <w:tcW w:w="1656" w:type="dxa"/>
            <w:tcBorders>
              <w:top w:val="nil"/>
              <w:left w:val="nil"/>
              <w:bottom w:val="nil"/>
              <w:right w:val="nil"/>
            </w:tcBorders>
          </w:tcPr>
          <w:p w14:paraId="4AFF18D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2.296</w:t>
            </w:r>
            <w:r w:rsidRPr="00D00042">
              <w:rPr>
                <w:rFonts w:ascii="Times New Roman" w:hAnsi="Times New Roman" w:cs="Times New Roman"/>
                <w:sz w:val="16"/>
                <w:szCs w:val="16"/>
                <w:vertAlign w:val="superscript"/>
              </w:rPr>
              <w:t>**</w:t>
            </w:r>
          </w:p>
        </w:tc>
        <w:tc>
          <w:tcPr>
            <w:tcW w:w="1656" w:type="dxa"/>
            <w:tcBorders>
              <w:top w:val="nil"/>
              <w:left w:val="nil"/>
              <w:bottom w:val="nil"/>
              <w:right w:val="nil"/>
            </w:tcBorders>
          </w:tcPr>
          <w:p w14:paraId="3769212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3A3222" w:rsidRPr="00D00042" w14:paraId="0091AB31" w14:textId="77777777" w:rsidTr="00015B88">
        <w:tc>
          <w:tcPr>
            <w:tcW w:w="2136" w:type="dxa"/>
            <w:tcBorders>
              <w:top w:val="nil"/>
              <w:left w:val="nil"/>
              <w:bottom w:val="nil"/>
              <w:right w:val="nil"/>
            </w:tcBorders>
          </w:tcPr>
          <w:p w14:paraId="01EA3E9E"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0E95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(0.16)</w:t>
            </w:r>
          </w:p>
        </w:tc>
        <w:tc>
          <w:tcPr>
            <w:tcW w:w="1656" w:type="dxa"/>
            <w:tcBorders>
              <w:top w:val="nil"/>
              <w:left w:val="nil"/>
              <w:bottom w:val="nil"/>
              <w:right w:val="nil"/>
            </w:tcBorders>
          </w:tcPr>
          <w:p w14:paraId="10B4CCC9"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(3.80)</w:t>
            </w:r>
          </w:p>
        </w:tc>
        <w:tc>
          <w:tcPr>
            <w:tcW w:w="1656" w:type="dxa"/>
            <w:tcBorders>
              <w:top w:val="nil"/>
              <w:left w:val="nil"/>
              <w:bottom w:val="nil"/>
              <w:right w:val="nil"/>
            </w:tcBorders>
          </w:tcPr>
          <w:p w14:paraId="0320F02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(3.00)</w:t>
            </w:r>
          </w:p>
        </w:tc>
        <w:tc>
          <w:tcPr>
            <w:tcW w:w="1656" w:type="dxa"/>
            <w:tcBorders>
              <w:top w:val="nil"/>
              <w:left w:val="nil"/>
              <w:bottom w:val="nil"/>
              <w:right w:val="nil"/>
            </w:tcBorders>
          </w:tcPr>
          <w:p w14:paraId="21A98CF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3A3222" w:rsidRPr="00D00042" w14:paraId="4EEF8F3E" w14:textId="77777777" w:rsidTr="00015B88">
        <w:tc>
          <w:tcPr>
            <w:tcW w:w="2136" w:type="dxa"/>
            <w:tcBorders>
              <w:top w:val="single" w:sz="4" w:space="0" w:color="auto"/>
              <w:left w:val="nil"/>
              <w:bottom w:val="nil"/>
              <w:right w:val="nil"/>
            </w:tcBorders>
          </w:tcPr>
          <w:p w14:paraId="6F61178B"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7AD117C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28ACC7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1D3E07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856A47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3A3222" w:rsidRPr="00D00042" w14:paraId="6598C24E" w14:textId="77777777" w:rsidTr="00015B88">
        <w:tc>
          <w:tcPr>
            <w:tcW w:w="2136" w:type="dxa"/>
            <w:tcBorders>
              <w:top w:val="nil"/>
              <w:left w:val="nil"/>
              <w:bottom w:val="nil"/>
              <w:right w:val="nil"/>
            </w:tcBorders>
          </w:tcPr>
          <w:p w14:paraId="57571198"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Constant</w:t>
            </w:r>
          </w:p>
        </w:tc>
        <w:tc>
          <w:tcPr>
            <w:tcW w:w="1656" w:type="dxa"/>
            <w:tcBorders>
              <w:top w:val="nil"/>
              <w:left w:val="nil"/>
              <w:bottom w:val="nil"/>
              <w:right w:val="nil"/>
            </w:tcBorders>
          </w:tcPr>
          <w:p w14:paraId="424AC66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0.933</w:t>
            </w:r>
            <w:r w:rsidRPr="00D00042">
              <w:rPr>
                <w:rFonts w:ascii="Times New Roman" w:hAnsi="Times New Roman" w:cs="Times New Roman"/>
                <w:sz w:val="16"/>
                <w:szCs w:val="16"/>
                <w:vertAlign w:val="superscript"/>
              </w:rPr>
              <w:t>***</w:t>
            </w:r>
          </w:p>
        </w:tc>
        <w:tc>
          <w:tcPr>
            <w:tcW w:w="1656" w:type="dxa"/>
            <w:tcBorders>
              <w:top w:val="nil"/>
              <w:left w:val="nil"/>
              <w:bottom w:val="nil"/>
              <w:right w:val="nil"/>
            </w:tcBorders>
          </w:tcPr>
          <w:p w14:paraId="49AAB450"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2.900</w:t>
            </w:r>
            <w:r w:rsidRPr="00D00042">
              <w:rPr>
                <w:rFonts w:ascii="Times New Roman" w:hAnsi="Times New Roman" w:cs="Times New Roman"/>
                <w:sz w:val="16"/>
                <w:szCs w:val="16"/>
                <w:vertAlign w:val="superscript"/>
              </w:rPr>
              <w:t>***</w:t>
            </w:r>
          </w:p>
        </w:tc>
        <w:tc>
          <w:tcPr>
            <w:tcW w:w="1656" w:type="dxa"/>
            <w:tcBorders>
              <w:top w:val="nil"/>
              <w:left w:val="nil"/>
              <w:bottom w:val="nil"/>
              <w:right w:val="nil"/>
            </w:tcBorders>
          </w:tcPr>
          <w:p w14:paraId="34D438CE"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0.840</w:t>
            </w:r>
            <w:r w:rsidRPr="00D00042">
              <w:rPr>
                <w:rFonts w:ascii="Times New Roman" w:hAnsi="Times New Roman" w:cs="Times New Roman"/>
                <w:sz w:val="16"/>
                <w:szCs w:val="16"/>
                <w:vertAlign w:val="superscript"/>
              </w:rPr>
              <w:t>**</w:t>
            </w:r>
          </w:p>
        </w:tc>
        <w:tc>
          <w:tcPr>
            <w:tcW w:w="1656" w:type="dxa"/>
            <w:tcBorders>
              <w:top w:val="nil"/>
              <w:left w:val="nil"/>
              <w:bottom w:val="nil"/>
              <w:right w:val="nil"/>
            </w:tcBorders>
          </w:tcPr>
          <w:p w14:paraId="4C94053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3A3222" w:rsidRPr="00D00042" w14:paraId="025C955E" w14:textId="77777777" w:rsidTr="00015B88">
        <w:tc>
          <w:tcPr>
            <w:tcW w:w="2136" w:type="dxa"/>
            <w:tcBorders>
              <w:top w:val="nil"/>
              <w:left w:val="nil"/>
              <w:bottom w:val="nil"/>
              <w:right w:val="nil"/>
            </w:tcBorders>
          </w:tcPr>
          <w:p w14:paraId="30631470"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13C7F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(3.30)</w:t>
            </w:r>
          </w:p>
        </w:tc>
        <w:tc>
          <w:tcPr>
            <w:tcW w:w="1656" w:type="dxa"/>
            <w:tcBorders>
              <w:top w:val="nil"/>
              <w:left w:val="nil"/>
              <w:bottom w:val="nil"/>
              <w:right w:val="nil"/>
            </w:tcBorders>
          </w:tcPr>
          <w:p w14:paraId="65EACF7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(4.02)</w:t>
            </w:r>
          </w:p>
        </w:tc>
        <w:tc>
          <w:tcPr>
            <w:tcW w:w="1656" w:type="dxa"/>
            <w:tcBorders>
              <w:top w:val="nil"/>
              <w:left w:val="nil"/>
              <w:bottom w:val="nil"/>
              <w:right w:val="nil"/>
            </w:tcBorders>
          </w:tcPr>
          <w:p w14:paraId="7C26747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(3.02)</w:t>
            </w:r>
          </w:p>
        </w:tc>
        <w:tc>
          <w:tcPr>
            <w:tcW w:w="1656" w:type="dxa"/>
            <w:tcBorders>
              <w:top w:val="nil"/>
              <w:left w:val="nil"/>
              <w:bottom w:val="nil"/>
              <w:right w:val="nil"/>
            </w:tcBorders>
          </w:tcPr>
          <w:p w14:paraId="6A4F618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3A3222" w:rsidRPr="00D00042" w14:paraId="287B10B2" w14:textId="77777777" w:rsidTr="00015B88">
        <w:tc>
          <w:tcPr>
            <w:tcW w:w="2136" w:type="dxa"/>
            <w:tcBorders>
              <w:top w:val="single" w:sz="4" w:space="0" w:color="auto"/>
              <w:left w:val="nil"/>
              <w:bottom w:val="nil"/>
              <w:right w:val="nil"/>
            </w:tcBorders>
          </w:tcPr>
          <w:p w14:paraId="34DAE229"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w:t>
            </w:r>
          </w:p>
        </w:tc>
        <w:tc>
          <w:tcPr>
            <w:tcW w:w="1656" w:type="dxa"/>
            <w:tcBorders>
              <w:top w:val="single" w:sz="4" w:space="0" w:color="auto"/>
              <w:left w:val="nil"/>
              <w:bottom w:val="nil"/>
              <w:right w:val="nil"/>
            </w:tcBorders>
          </w:tcPr>
          <w:p w14:paraId="4C22FC6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53A3DD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663E21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0E6273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3A3222" w:rsidRPr="00D00042" w14:paraId="3007076C" w14:textId="77777777" w:rsidTr="00015B88">
        <w:tc>
          <w:tcPr>
            <w:tcW w:w="2136" w:type="dxa"/>
            <w:tcBorders>
              <w:top w:val="nil"/>
              <w:left w:val="nil"/>
              <w:bottom w:val="nil"/>
              <w:right w:val="nil"/>
            </w:tcBorders>
          </w:tcPr>
          <w:p w14:paraId="143C3A7C"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lnsig2u</w:t>
            </w:r>
          </w:p>
        </w:tc>
        <w:tc>
          <w:tcPr>
            <w:tcW w:w="1656" w:type="dxa"/>
            <w:tcBorders>
              <w:top w:val="nil"/>
              <w:left w:val="nil"/>
              <w:bottom w:val="nil"/>
              <w:right w:val="nil"/>
            </w:tcBorders>
          </w:tcPr>
          <w:p w14:paraId="659C54E7"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972020D"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5C5884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60A3102"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2.585</w:t>
            </w:r>
            <w:r w:rsidRPr="00D00042">
              <w:rPr>
                <w:rFonts w:ascii="Times New Roman" w:hAnsi="Times New Roman" w:cs="Times New Roman"/>
                <w:sz w:val="16"/>
                <w:szCs w:val="16"/>
                <w:vertAlign w:val="superscript"/>
              </w:rPr>
              <w:t>***</w:t>
            </w:r>
          </w:p>
        </w:tc>
      </w:tr>
      <w:tr w:rsidR="003A3222" w:rsidRPr="00D00042" w14:paraId="01368A57" w14:textId="77777777" w:rsidTr="00015B88">
        <w:tc>
          <w:tcPr>
            <w:tcW w:w="2136" w:type="dxa"/>
            <w:tcBorders>
              <w:top w:val="nil"/>
              <w:left w:val="nil"/>
              <w:bottom w:val="single" w:sz="4" w:space="0" w:color="auto"/>
              <w:right w:val="nil"/>
            </w:tcBorders>
          </w:tcPr>
          <w:p w14:paraId="18B49114"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22E73BF"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2B1B4B2B"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11F6FDC"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3E133073"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(8.00)</w:t>
            </w:r>
          </w:p>
        </w:tc>
      </w:tr>
      <w:tr w:rsidR="003A3222" w:rsidRPr="00D00042" w14:paraId="1393745F" w14:textId="77777777" w:rsidTr="00015B88">
        <w:tc>
          <w:tcPr>
            <w:tcW w:w="2136" w:type="dxa"/>
            <w:tcBorders>
              <w:top w:val="nil"/>
              <w:left w:val="nil"/>
              <w:bottom w:val="single" w:sz="4" w:space="0" w:color="auto"/>
              <w:right w:val="nil"/>
            </w:tcBorders>
          </w:tcPr>
          <w:p w14:paraId="2465E7ED" w14:textId="77777777" w:rsidR="003A3222" w:rsidRPr="00D00042" w:rsidRDefault="003A3222" w:rsidP="00015B88">
            <w:pPr>
              <w:widowControl w:val="0"/>
              <w:autoSpaceDE w:val="0"/>
              <w:autoSpaceDN w:val="0"/>
              <w:adjustRightInd w:val="0"/>
              <w:spacing w:after="0" w:line="240" w:lineRule="auto"/>
              <w:rPr>
                <w:rFonts w:ascii="Times New Roman" w:hAnsi="Times New Roman" w:cs="Times New Roman"/>
                <w:sz w:val="16"/>
                <w:szCs w:val="16"/>
              </w:rPr>
            </w:pPr>
            <w:r w:rsidRPr="00D0004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47F2B0A"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4DA30FF6"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03A83334"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747</w:t>
            </w:r>
          </w:p>
        </w:tc>
        <w:tc>
          <w:tcPr>
            <w:tcW w:w="1656" w:type="dxa"/>
            <w:tcBorders>
              <w:top w:val="nil"/>
              <w:left w:val="nil"/>
              <w:bottom w:val="single" w:sz="4" w:space="0" w:color="auto"/>
              <w:right w:val="nil"/>
            </w:tcBorders>
          </w:tcPr>
          <w:p w14:paraId="66C0F568" w14:textId="77777777" w:rsidR="003A3222" w:rsidRPr="00D00042" w:rsidRDefault="003A322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D00042">
              <w:rPr>
                <w:rFonts w:ascii="Times New Roman" w:hAnsi="Times New Roman" w:cs="Times New Roman"/>
                <w:sz w:val="16"/>
                <w:szCs w:val="16"/>
              </w:rPr>
              <w:t>2442</w:t>
            </w:r>
          </w:p>
        </w:tc>
      </w:tr>
    </w:tbl>
    <w:p w14:paraId="1AE40EF8" w14:textId="77777777" w:rsidR="003A3222" w:rsidRPr="00D00042" w:rsidRDefault="003A3222" w:rsidP="003A3222">
      <w:pPr>
        <w:widowControl w:val="0"/>
        <w:autoSpaceDE w:val="0"/>
        <w:autoSpaceDN w:val="0"/>
        <w:adjustRightInd w:val="0"/>
        <w:spacing w:after="0" w:line="240" w:lineRule="auto"/>
        <w:rPr>
          <w:rFonts w:ascii="Times New Roman" w:hAnsi="Times New Roman" w:cs="Times New Roman"/>
          <w:sz w:val="12"/>
          <w:szCs w:val="12"/>
        </w:rPr>
      </w:pPr>
      <w:r w:rsidRPr="00D00042">
        <w:rPr>
          <w:rFonts w:ascii="Times New Roman" w:hAnsi="Times New Roman" w:cs="Times New Roman"/>
          <w:i/>
          <w:iCs/>
          <w:sz w:val="12"/>
          <w:szCs w:val="12"/>
        </w:rPr>
        <w:t>t</w:t>
      </w:r>
      <w:r w:rsidRPr="00D00042">
        <w:rPr>
          <w:rFonts w:ascii="Times New Roman" w:hAnsi="Times New Roman" w:cs="Times New Roman"/>
          <w:sz w:val="12"/>
          <w:szCs w:val="12"/>
        </w:rPr>
        <w:t xml:space="preserve"> statistics in parentheses</w:t>
      </w:r>
    </w:p>
    <w:p w14:paraId="3A1F0B3F" w14:textId="77777777" w:rsidR="003A3222" w:rsidRPr="00D00042" w:rsidRDefault="003A3222" w:rsidP="003A3222">
      <w:pPr>
        <w:widowControl w:val="0"/>
        <w:autoSpaceDE w:val="0"/>
        <w:autoSpaceDN w:val="0"/>
        <w:adjustRightInd w:val="0"/>
        <w:spacing w:after="0" w:line="240" w:lineRule="auto"/>
        <w:rPr>
          <w:rFonts w:ascii="Times New Roman" w:hAnsi="Times New Roman" w:cs="Times New Roman"/>
          <w:sz w:val="12"/>
          <w:szCs w:val="12"/>
        </w:rPr>
      </w:pPr>
      <w:r w:rsidRPr="00D00042">
        <w:rPr>
          <w:rFonts w:ascii="Times New Roman" w:hAnsi="Times New Roman" w:cs="Times New Roman"/>
          <w:sz w:val="12"/>
          <w:szCs w:val="12"/>
          <w:vertAlign w:val="superscript"/>
        </w:rPr>
        <w:t>*</w:t>
      </w:r>
      <w:r w:rsidRPr="00D00042">
        <w:rPr>
          <w:rFonts w:ascii="Times New Roman" w:hAnsi="Times New Roman" w:cs="Times New Roman"/>
          <w:sz w:val="12"/>
          <w:szCs w:val="12"/>
        </w:rPr>
        <w:t xml:space="preserve"> </w:t>
      </w:r>
      <w:r w:rsidRPr="00D00042">
        <w:rPr>
          <w:rFonts w:ascii="Times New Roman" w:hAnsi="Times New Roman" w:cs="Times New Roman"/>
          <w:i/>
          <w:iCs/>
          <w:sz w:val="12"/>
          <w:szCs w:val="12"/>
        </w:rPr>
        <w:t>p</w:t>
      </w:r>
      <w:r w:rsidRPr="00D00042">
        <w:rPr>
          <w:rFonts w:ascii="Times New Roman" w:hAnsi="Times New Roman" w:cs="Times New Roman"/>
          <w:sz w:val="12"/>
          <w:szCs w:val="12"/>
        </w:rPr>
        <w:t xml:space="preserve"> &lt; 0.05, </w:t>
      </w:r>
      <w:r w:rsidRPr="00D00042">
        <w:rPr>
          <w:rFonts w:ascii="Times New Roman" w:hAnsi="Times New Roman" w:cs="Times New Roman"/>
          <w:sz w:val="12"/>
          <w:szCs w:val="12"/>
          <w:vertAlign w:val="superscript"/>
        </w:rPr>
        <w:t>**</w:t>
      </w:r>
      <w:r w:rsidRPr="00D00042">
        <w:rPr>
          <w:rFonts w:ascii="Times New Roman" w:hAnsi="Times New Roman" w:cs="Times New Roman"/>
          <w:sz w:val="12"/>
          <w:szCs w:val="12"/>
        </w:rPr>
        <w:t xml:space="preserve"> </w:t>
      </w:r>
      <w:r w:rsidRPr="00D00042">
        <w:rPr>
          <w:rFonts w:ascii="Times New Roman" w:hAnsi="Times New Roman" w:cs="Times New Roman"/>
          <w:i/>
          <w:iCs/>
          <w:sz w:val="12"/>
          <w:szCs w:val="12"/>
        </w:rPr>
        <w:t>p</w:t>
      </w:r>
      <w:r w:rsidRPr="00D00042">
        <w:rPr>
          <w:rFonts w:ascii="Times New Roman" w:hAnsi="Times New Roman" w:cs="Times New Roman"/>
          <w:sz w:val="12"/>
          <w:szCs w:val="12"/>
        </w:rPr>
        <w:t xml:space="preserve"> &lt; 0.01, </w:t>
      </w:r>
      <w:r w:rsidRPr="00D00042">
        <w:rPr>
          <w:rFonts w:ascii="Times New Roman" w:hAnsi="Times New Roman" w:cs="Times New Roman"/>
          <w:sz w:val="12"/>
          <w:szCs w:val="12"/>
          <w:vertAlign w:val="superscript"/>
        </w:rPr>
        <w:t>***</w:t>
      </w:r>
      <w:r w:rsidRPr="00D00042">
        <w:rPr>
          <w:rFonts w:ascii="Times New Roman" w:hAnsi="Times New Roman" w:cs="Times New Roman"/>
          <w:sz w:val="12"/>
          <w:szCs w:val="12"/>
        </w:rPr>
        <w:t xml:space="preserve"> </w:t>
      </w:r>
      <w:r w:rsidRPr="00D00042">
        <w:rPr>
          <w:rFonts w:ascii="Times New Roman" w:hAnsi="Times New Roman" w:cs="Times New Roman"/>
          <w:i/>
          <w:iCs/>
          <w:sz w:val="12"/>
          <w:szCs w:val="12"/>
        </w:rPr>
        <w:t>p</w:t>
      </w:r>
      <w:r w:rsidRPr="00D00042">
        <w:rPr>
          <w:rFonts w:ascii="Times New Roman" w:hAnsi="Times New Roman" w:cs="Times New Roman"/>
          <w:sz w:val="12"/>
          <w:szCs w:val="12"/>
        </w:rPr>
        <w:t xml:space="preserve"> &lt; 0.001</w:t>
      </w:r>
    </w:p>
    <w:p w14:paraId="53FF50D8" w14:textId="77777777" w:rsidR="003A3222" w:rsidRPr="00D00042" w:rsidRDefault="003A3222" w:rsidP="003A3222">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tblGrid>
      <w:tr w:rsidR="006A4F42" w:rsidRPr="002E7BF3" w14:paraId="27B14476" w14:textId="77777777" w:rsidTr="00015B88">
        <w:tc>
          <w:tcPr>
            <w:tcW w:w="2136" w:type="dxa"/>
            <w:tcBorders>
              <w:top w:val="single" w:sz="4" w:space="0" w:color="auto"/>
              <w:left w:val="nil"/>
              <w:bottom w:val="nil"/>
              <w:right w:val="nil"/>
            </w:tcBorders>
          </w:tcPr>
          <w:p w14:paraId="4FBBD45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3CD368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w:t>
            </w:r>
          </w:p>
        </w:tc>
        <w:tc>
          <w:tcPr>
            <w:tcW w:w="1656" w:type="dxa"/>
            <w:tcBorders>
              <w:top w:val="single" w:sz="4" w:space="0" w:color="auto"/>
              <w:left w:val="nil"/>
              <w:bottom w:val="nil"/>
              <w:right w:val="nil"/>
            </w:tcBorders>
          </w:tcPr>
          <w:p w14:paraId="22B2236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w:t>
            </w:r>
          </w:p>
        </w:tc>
        <w:tc>
          <w:tcPr>
            <w:tcW w:w="1656" w:type="dxa"/>
            <w:tcBorders>
              <w:top w:val="single" w:sz="4" w:space="0" w:color="auto"/>
              <w:left w:val="nil"/>
              <w:bottom w:val="nil"/>
              <w:right w:val="nil"/>
            </w:tcBorders>
          </w:tcPr>
          <w:p w14:paraId="2705D79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(3)</w:t>
            </w:r>
          </w:p>
        </w:tc>
        <w:tc>
          <w:tcPr>
            <w:tcW w:w="1656" w:type="dxa"/>
            <w:tcBorders>
              <w:top w:val="single" w:sz="4" w:space="0" w:color="auto"/>
              <w:left w:val="nil"/>
              <w:bottom w:val="nil"/>
              <w:right w:val="nil"/>
            </w:tcBorders>
          </w:tcPr>
          <w:p w14:paraId="262D01F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(4)</w:t>
            </w:r>
          </w:p>
        </w:tc>
      </w:tr>
      <w:tr w:rsidR="006A4F42" w:rsidRPr="002E7BF3" w14:paraId="484574E4" w14:textId="77777777" w:rsidTr="00015B88">
        <w:tc>
          <w:tcPr>
            <w:tcW w:w="2136" w:type="dxa"/>
            <w:tcBorders>
              <w:top w:val="nil"/>
              <w:left w:val="nil"/>
              <w:bottom w:val="nil"/>
              <w:right w:val="nil"/>
            </w:tcBorders>
          </w:tcPr>
          <w:p w14:paraId="569C33A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5ED1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Head of Govt. Turnover</w:t>
            </w:r>
          </w:p>
        </w:tc>
        <w:tc>
          <w:tcPr>
            <w:tcW w:w="1656" w:type="dxa"/>
            <w:tcBorders>
              <w:top w:val="nil"/>
              <w:left w:val="nil"/>
              <w:bottom w:val="nil"/>
              <w:right w:val="nil"/>
            </w:tcBorders>
          </w:tcPr>
          <w:p w14:paraId="6414CB3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Head of State Turnover</w:t>
            </w:r>
          </w:p>
        </w:tc>
        <w:tc>
          <w:tcPr>
            <w:tcW w:w="1656" w:type="dxa"/>
            <w:tcBorders>
              <w:top w:val="nil"/>
              <w:left w:val="nil"/>
              <w:bottom w:val="nil"/>
              <w:right w:val="nil"/>
            </w:tcBorders>
          </w:tcPr>
          <w:p w14:paraId="0CC4EA9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Lower House Turnover</w:t>
            </w:r>
          </w:p>
        </w:tc>
        <w:tc>
          <w:tcPr>
            <w:tcW w:w="1656" w:type="dxa"/>
            <w:tcBorders>
              <w:top w:val="nil"/>
              <w:left w:val="nil"/>
              <w:bottom w:val="nil"/>
              <w:right w:val="nil"/>
            </w:tcBorders>
          </w:tcPr>
          <w:p w14:paraId="7968E5D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Instability Event Indicator</w:t>
            </w:r>
          </w:p>
        </w:tc>
      </w:tr>
      <w:tr w:rsidR="006A4F42" w:rsidRPr="002E7BF3" w14:paraId="104C4C08" w14:textId="77777777" w:rsidTr="00015B88">
        <w:tc>
          <w:tcPr>
            <w:tcW w:w="2136" w:type="dxa"/>
            <w:tcBorders>
              <w:top w:val="single" w:sz="4" w:space="0" w:color="auto"/>
              <w:left w:val="nil"/>
              <w:bottom w:val="nil"/>
              <w:right w:val="nil"/>
            </w:tcBorders>
          </w:tcPr>
          <w:p w14:paraId="2BA2334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0897276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9D0769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D631BB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2BC5B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A4F42" w:rsidRPr="002E7BF3" w14:paraId="20315032" w14:textId="77777777" w:rsidTr="00015B88">
        <w:tc>
          <w:tcPr>
            <w:tcW w:w="2136" w:type="dxa"/>
            <w:tcBorders>
              <w:top w:val="nil"/>
              <w:left w:val="nil"/>
              <w:bottom w:val="nil"/>
              <w:right w:val="nil"/>
            </w:tcBorders>
          </w:tcPr>
          <w:p w14:paraId="5A0D86E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53FC338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-0.262</w:t>
            </w:r>
          </w:p>
        </w:tc>
        <w:tc>
          <w:tcPr>
            <w:tcW w:w="1656" w:type="dxa"/>
            <w:tcBorders>
              <w:top w:val="nil"/>
              <w:left w:val="nil"/>
              <w:bottom w:val="nil"/>
              <w:right w:val="nil"/>
            </w:tcBorders>
          </w:tcPr>
          <w:p w14:paraId="0D51174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0.0456</w:t>
            </w:r>
          </w:p>
        </w:tc>
        <w:tc>
          <w:tcPr>
            <w:tcW w:w="1656" w:type="dxa"/>
            <w:tcBorders>
              <w:top w:val="nil"/>
              <w:left w:val="nil"/>
              <w:bottom w:val="nil"/>
              <w:right w:val="nil"/>
            </w:tcBorders>
          </w:tcPr>
          <w:p w14:paraId="7AF623A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-0.381</w:t>
            </w:r>
          </w:p>
        </w:tc>
        <w:tc>
          <w:tcPr>
            <w:tcW w:w="1656" w:type="dxa"/>
            <w:tcBorders>
              <w:top w:val="nil"/>
              <w:left w:val="nil"/>
              <w:bottom w:val="nil"/>
              <w:right w:val="nil"/>
            </w:tcBorders>
          </w:tcPr>
          <w:p w14:paraId="4FC3A8D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0.315</w:t>
            </w:r>
          </w:p>
        </w:tc>
      </w:tr>
      <w:tr w:rsidR="006A4F42" w:rsidRPr="002E7BF3" w14:paraId="1F1CA0B5" w14:textId="77777777" w:rsidTr="00015B88">
        <w:tc>
          <w:tcPr>
            <w:tcW w:w="2136" w:type="dxa"/>
            <w:tcBorders>
              <w:top w:val="nil"/>
              <w:left w:val="nil"/>
              <w:bottom w:val="nil"/>
              <w:right w:val="nil"/>
            </w:tcBorders>
          </w:tcPr>
          <w:p w14:paraId="1EDE4CF5"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B0EB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(-0.76)</w:t>
            </w:r>
          </w:p>
        </w:tc>
        <w:tc>
          <w:tcPr>
            <w:tcW w:w="1656" w:type="dxa"/>
            <w:tcBorders>
              <w:top w:val="nil"/>
              <w:left w:val="nil"/>
              <w:bottom w:val="nil"/>
              <w:right w:val="nil"/>
            </w:tcBorders>
          </w:tcPr>
          <w:p w14:paraId="61B0A02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(0.10)</w:t>
            </w:r>
          </w:p>
        </w:tc>
        <w:tc>
          <w:tcPr>
            <w:tcW w:w="1656" w:type="dxa"/>
            <w:tcBorders>
              <w:top w:val="nil"/>
              <w:left w:val="nil"/>
              <w:bottom w:val="nil"/>
              <w:right w:val="nil"/>
            </w:tcBorders>
          </w:tcPr>
          <w:p w14:paraId="4FFBF26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(-0.98)</w:t>
            </w:r>
          </w:p>
        </w:tc>
        <w:tc>
          <w:tcPr>
            <w:tcW w:w="1656" w:type="dxa"/>
            <w:tcBorders>
              <w:top w:val="nil"/>
              <w:left w:val="nil"/>
              <w:bottom w:val="nil"/>
              <w:right w:val="nil"/>
            </w:tcBorders>
          </w:tcPr>
          <w:p w14:paraId="0F8FEA4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(1.32)</w:t>
            </w:r>
          </w:p>
        </w:tc>
      </w:tr>
      <w:tr w:rsidR="006A4F42" w:rsidRPr="002E7BF3" w14:paraId="531AD2E8" w14:textId="77777777" w:rsidTr="00015B88">
        <w:tc>
          <w:tcPr>
            <w:tcW w:w="2136" w:type="dxa"/>
            <w:tcBorders>
              <w:top w:val="nil"/>
              <w:left w:val="nil"/>
              <w:bottom w:val="nil"/>
              <w:right w:val="nil"/>
            </w:tcBorders>
          </w:tcPr>
          <w:p w14:paraId="284E089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AC2B3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03F80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4F5D8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C4631B"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066DE062" w14:textId="77777777" w:rsidTr="00015B88">
        <w:tc>
          <w:tcPr>
            <w:tcW w:w="2136" w:type="dxa"/>
            <w:tcBorders>
              <w:top w:val="nil"/>
              <w:left w:val="nil"/>
              <w:bottom w:val="nil"/>
              <w:right w:val="nil"/>
            </w:tcBorders>
          </w:tcPr>
          <w:p w14:paraId="4719EEC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48EA936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-0.0843</w:t>
            </w:r>
          </w:p>
        </w:tc>
        <w:tc>
          <w:tcPr>
            <w:tcW w:w="1656" w:type="dxa"/>
            <w:tcBorders>
              <w:top w:val="nil"/>
              <w:left w:val="nil"/>
              <w:bottom w:val="nil"/>
              <w:right w:val="nil"/>
            </w:tcBorders>
          </w:tcPr>
          <w:p w14:paraId="6A26807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-0.151</w:t>
            </w:r>
          </w:p>
        </w:tc>
        <w:tc>
          <w:tcPr>
            <w:tcW w:w="1656" w:type="dxa"/>
            <w:tcBorders>
              <w:top w:val="nil"/>
              <w:left w:val="nil"/>
              <w:bottom w:val="nil"/>
              <w:right w:val="nil"/>
            </w:tcBorders>
          </w:tcPr>
          <w:p w14:paraId="621BDE4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0.0983</w:t>
            </w:r>
          </w:p>
        </w:tc>
        <w:tc>
          <w:tcPr>
            <w:tcW w:w="1656" w:type="dxa"/>
            <w:tcBorders>
              <w:top w:val="nil"/>
              <w:left w:val="nil"/>
              <w:bottom w:val="nil"/>
              <w:right w:val="nil"/>
            </w:tcBorders>
          </w:tcPr>
          <w:p w14:paraId="622A28D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0.229</w:t>
            </w:r>
            <w:r w:rsidRPr="002E7BF3">
              <w:rPr>
                <w:rFonts w:ascii="Times New Roman" w:hAnsi="Times New Roman" w:cs="Times New Roman"/>
                <w:sz w:val="16"/>
                <w:szCs w:val="16"/>
                <w:vertAlign w:val="superscript"/>
              </w:rPr>
              <w:t>***</w:t>
            </w:r>
          </w:p>
        </w:tc>
      </w:tr>
      <w:tr w:rsidR="006A4F42" w:rsidRPr="002E7BF3" w14:paraId="1C8A21F1" w14:textId="77777777" w:rsidTr="00015B88">
        <w:tc>
          <w:tcPr>
            <w:tcW w:w="2136" w:type="dxa"/>
            <w:tcBorders>
              <w:top w:val="nil"/>
              <w:left w:val="nil"/>
              <w:bottom w:val="nil"/>
              <w:right w:val="nil"/>
            </w:tcBorders>
          </w:tcPr>
          <w:p w14:paraId="4045B105"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A4E71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(-1.32)</w:t>
            </w:r>
          </w:p>
        </w:tc>
        <w:tc>
          <w:tcPr>
            <w:tcW w:w="1656" w:type="dxa"/>
            <w:tcBorders>
              <w:top w:val="nil"/>
              <w:left w:val="nil"/>
              <w:bottom w:val="nil"/>
              <w:right w:val="nil"/>
            </w:tcBorders>
          </w:tcPr>
          <w:p w14:paraId="6D42CBE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(-1.93)</w:t>
            </w:r>
          </w:p>
        </w:tc>
        <w:tc>
          <w:tcPr>
            <w:tcW w:w="1656" w:type="dxa"/>
            <w:tcBorders>
              <w:top w:val="nil"/>
              <w:left w:val="nil"/>
              <w:bottom w:val="nil"/>
              <w:right w:val="nil"/>
            </w:tcBorders>
          </w:tcPr>
          <w:p w14:paraId="36962A2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(1.23)</w:t>
            </w:r>
          </w:p>
        </w:tc>
        <w:tc>
          <w:tcPr>
            <w:tcW w:w="1656" w:type="dxa"/>
            <w:tcBorders>
              <w:top w:val="nil"/>
              <w:left w:val="nil"/>
              <w:bottom w:val="nil"/>
              <w:right w:val="nil"/>
            </w:tcBorders>
          </w:tcPr>
          <w:p w14:paraId="39DADE2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(3.60)</w:t>
            </w:r>
          </w:p>
        </w:tc>
      </w:tr>
      <w:tr w:rsidR="006A4F42" w:rsidRPr="002E7BF3" w14:paraId="153B20B5" w14:textId="77777777" w:rsidTr="00015B88">
        <w:tc>
          <w:tcPr>
            <w:tcW w:w="2136" w:type="dxa"/>
            <w:tcBorders>
              <w:top w:val="nil"/>
              <w:left w:val="nil"/>
              <w:bottom w:val="nil"/>
              <w:right w:val="nil"/>
            </w:tcBorders>
          </w:tcPr>
          <w:p w14:paraId="7A44D9D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66DFC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A3D61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5939C7"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A3FB7"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55745F7D" w14:textId="77777777" w:rsidTr="00015B88">
        <w:tc>
          <w:tcPr>
            <w:tcW w:w="2136" w:type="dxa"/>
            <w:tcBorders>
              <w:top w:val="nil"/>
              <w:left w:val="nil"/>
              <w:bottom w:val="nil"/>
              <w:right w:val="nil"/>
            </w:tcBorders>
          </w:tcPr>
          <w:p w14:paraId="18626F5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Chinn-Ito index, normalized</w:t>
            </w:r>
          </w:p>
        </w:tc>
        <w:tc>
          <w:tcPr>
            <w:tcW w:w="1656" w:type="dxa"/>
            <w:tcBorders>
              <w:top w:val="nil"/>
              <w:left w:val="nil"/>
              <w:bottom w:val="nil"/>
              <w:right w:val="nil"/>
            </w:tcBorders>
          </w:tcPr>
          <w:p w14:paraId="1355F6D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-0.283</w:t>
            </w:r>
          </w:p>
        </w:tc>
        <w:tc>
          <w:tcPr>
            <w:tcW w:w="1656" w:type="dxa"/>
            <w:tcBorders>
              <w:top w:val="nil"/>
              <w:left w:val="nil"/>
              <w:bottom w:val="nil"/>
              <w:right w:val="nil"/>
            </w:tcBorders>
          </w:tcPr>
          <w:p w14:paraId="63EB12E2"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-1.103</w:t>
            </w:r>
          </w:p>
        </w:tc>
        <w:tc>
          <w:tcPr>
            <w:tcW w:w="1656" w:type="dxa"/>
            <w:tcBorders>
              <w:top w:val="nil"/>
              <w:left w:val="nil"/>
              <w:bottom w:val="nil"/>
              <w:right w:val="nil"/>
            </w:tcBorders>
          </w:tcPr>
          <w:p w14:paraId="4C40493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2.543</w:t>
            </w:r>
          </w:p>
        </w:tc>
        <w:tc>
          <w:tcPr>
            <w:tcW w:w="1656" w:type="dxa"/>
            <w:tcBorders>
              <w:top w:val="nil"/>
              <w:left w:val="nil"/>
              <w:bottom w:val="nil"/>
              <w:right w:val="nil"/>
            </w:tcBorders>
          </w:tcPr>
          <w:p w14:paraId="59455FA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4.143</w:t>
            </w:r>
            <w:r w:rsidRPr="002E7BF3">
              <w:rPr>
                <w:rFonts w:ascii="Times New Roman" w:hAnsi="Times New Roman" w:cs="Times New Roman"/>
                <w:sz w:val="16"/>
                <w:szCs w:val="16"/>
                <w:vertAlign w:val="superscript"/>
              </w:rPr>
              <w:t>**</w:t>
            </w:r>
          </w:p>
        </w:tc>
      </w:tr>
      <w:tr w:rsidR="006A4F42" w:rsidRPr="002E7BF3" w14:paraId="7113A761" w14:textId="77777777" w:rsidTr="00015B88">
        <w:tc>
          <w:tcPr>
            <w:tcW w:w="2136" w:type="dxa"/>
            <w:tcBorders>
              <w:top w:val="nil"/>
              <w:left w:val="nil"/>
              <w:bottom w:val="nil"/>
              <w:right w:val="nil"/>
            </w:tcBorders>
          </w:tcPr>
          <w:p w14:paraId="6C8030F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E3B63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(-0.23)</w:t>
            </w:r>
          </w:p>
        </w:tc>
        <w:tc>
          <w:tcPr>
            <w:tcW w:w="1656" w:type="dxa"/>
            <w:tcBorders>
              <w:top w:val="nil"/>
              <w:left w:val="nil"/>
              <w:bottom w:val="nil"/>
              <w:right w:val="nil"/>
            </w:tcBorders>
          </w:tcPr>
          <w:p w14:paraId="16D3570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(-0.72)</w:t>
            </w:r>
          </w:p>
        </w:tc>
        <w:tc>
          <w:tcPr>
            <w:tcW w:w="1656" w:type="dxa"/>
            <w:tcBorders>
              <w:top w:val="nil"/>
              <w:left w:val="nil"/>
              <w:bottom w:val="nil"/>
              <w:right w:val="nil"/>
            </w:tcBorders>
          </w:tcPr>
          <w:p w14:paraId="44BF17C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(1.84)</w:t>
            </w:r>
          </w:p>
        </w:tc>
        <w:tc>
          <w:tcPr>
            <w:tcW w:w="1656" w:type="dxa"/>
            <w:tcBorders>
              <w:top w:val="nil"/>
              <w:left w:val="nil"/>
              <w:bottom w:val="nil"/>
              <w:right w:val="nil"/>
            </w:tcBorders>
          </w:tcPr>
          <w:p w14:paraId="71FF7AB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(2.98)</w:t>
            </w:r>
          </w:p>
        </w:tc>
      </w:tr>
      <w:tr w:rsidR="006A4F42" w:rsidRPr="002E7BF3" w14:paraId="47053EAB" w14:textId="77777777" w:rsidTr="00015B88">
        <w:tc>
          <w:tcPr>
            <w:tcW w:w="2136" w:type="dxa"/>
            <w:tcBorders>
              <w:top w:val="nil"/>
              <w:left w:val="nil"/>
              <w:bottom w:val="nil"/>
              <w:right w:val="nil"/>
            </w:tcBorders>
          </w:tcPr>
          <w:p w14:paraId="1A09197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22D35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31DD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C2AB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AF095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6A9DB978" w14:textId="77777777" w:rsidTr="00015B88">
        <w:tc>
          <w:tcPr>
            <w:tcW w:w="2136" w:type="dxa"/>
            <w:tcBorders>
              <w:top w:val="nil"/>
              <w:left w:val="nil"/>
              <w:bottom w:val="nil"/>
              <w:right w:val="nil"/>
            </w:tcBorders>
          </w:tcPr>
          <w:p w14:paraId="2F420295"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De Facto CBI * Capital Account Openness</w:t>
            </w:r>
          </w:p>
        </w:tc>
        <w:tc>
          <w:tcPr>
            <w:tcW w:w="1656" w:type="dxa"/>
            <w:tcBorders>
              <w:top w:val="nil"/>
              <w:left w:val="nil"/>
              <w:bottom w:val="nil"/>
              <w:right w:val="nil"/>
            </w:tcBorders>
          </w:tcPr>
          <w:p w14:paraId="1269ED8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-0.196</w:t>
            </w:r>
          </w:p>
        </w:tc>
        <w:tc>
          <w:tcPr>
            <w:tcW w:w="1656" w:type="dxa"/>
            <w:tcBorders>
              <w:top w:val="nil"/>
              <w:left w:val="nil"/>
              <w:bottom w:val="nil"/>
              <w:right w:val="nil"/>
            </w:tcBorders>
          </w:tcPr>
          <w:p w14:paraId="04C99D3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-0.530</w:t>
            </w:r>
          </w:p>
        </w:tc>
        <w:tc>
          <w:tcPr>
            <w:tcW w:w="1656" w:type="dxa"/>
            <w:tcBorders>
              <w:top w:val="nil"/>
              <w:left w:val="nil"/>
              <w:bottom w:val="nil"/>
              <w:right w:val="nil"/>
            </w:tcBorders>
          </w:tcPr>
          <w:p w14:paraId="45A0628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-0.545</w:t>
            </w:r>
          </w:p>
        </w:tc>
        <w:tc>
          <w:tcPr>
            <w:tcW w:w="1656" w:type="dxa"/>
            <w:tcBorders>
              <w:top w:val="nil"/>
              <w:left w:val="nil"/>
              <w:bottom w:val="nil"/>
              <w:right w:val="nil"/>
            </w:tcBorders>
          </w:tcPr>
          <w:p w14:paraId="34EFB27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-0.518</w:t>
            </w:r>
          </w:p>
        </w:tc>
      </w:tr>
      <w:tr w:rsidR="006A4F42" w:rsidRPr="002E7BF3" w14:paraId="495E71E1" w14:textId="77777777" w:rsidTr="00015B88">
        <w:tc>
          <w:tcPr>
            <w:tcW w:w="2136" w:type="dxa"/>
            <w:tcBorders>
              <w:top w:val="nil"/>
              <w:left w:val="nil"/>
              <w:bottom w:val="nil"/>
              <w:right w:val="nil"/>
            </w:tcBorders>
          </w:tcPr>
          <w:p w14:paraId="3FE12CA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BBAE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(-0.33)</w:t>
            </w:r>
          </w:p>
        </w:tc>
        <w:tc>
          <w:tcPr>
            <w:tcW w:w="1656" w:type="dxa"/>
            <w:tcBorders>
              <w:top w:val="nil"/>
              <w:left w:val="nil"/>
              <w:bottom w:val="nil"/>
              <w:right w:val="nil"/>
            </w:tcBorders>
          </w:tcPr>
          <w:p w14:paraId="71BDB90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(-0.71)</w:t>
            </w:r>
          </w:p>
        </w:tc>
        <w:tc>
          <w:tcPr>
            <w:tcW w:w="1656" w:type="dxa"/>
            <w:tcBorders>
              <w:top w:val="nil"/>
              <w:left w:val="nil"/>
              <w:bottom w:val="nil"/>
              <w:right w:val="nil"/>
            </w:tcBorders>
          </w:tcPr>
          <w:p w14:paraId="1671546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(-0.84)</w:t>
            </w:r>
          </w:p>
        </w:tc>
        <w:tc>
          <w:tcPr>
            <w:tcW w:w="1656" w:type="dxa"/>
            <w:tcBorders>
              <w:top w:val="nil"/>
              <w:left w:val="nil"/>
              <w:bottom w:val="nil"/>
              <w:right w:val="nil"/>
            </w:tcBorders>
          </w:tcPr>
          <w:p w14:paraId="14C0F40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(-1.04)</w:t>
            </w:r>
          </w:p>
        </w:tc>
      </w:tr>
      <w:tr w:rsidR="006A4F42" w:rsidRPr="002E7BF3" w14:paraId="6BE6B94E" w14:textId="77777777" w:rsidTr="00015B88">
        <w:tc>
          <w:tcPr>
            <w:tcW w:w="2136" w:type="dxa"/>
            <w:tcBorders>
              <w:top w:val="nil"/>
              <w:left w:val="nil"/>
              <w:bottom w:val="nil"/>
              <w:right w:val="nil"/>
            </w:tcBorders>
          </w:tcPr>
          <w:p w14:paraId="4743AD9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664B9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6E0D3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FD9D0B"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7E935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65BED990" w14:textId="77777777" w:rsidTr="00015B88">
        <w:tc>
          <w:tcPr>
            <w:tcW w:w="2136" w:type="dxa"/>
            <w:tcBorders>
              <w:top w:val="nil"/>
              <w:left w:val="nil"/>
              <w:bottom w:val="nil"/>
              <w:right w:val="nil"/>
            </w:tcBorders>
          </w:tcPr>
          <w:p w14:paraId="0D5FE39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32AAF43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0.0550</w:t>
            </w:r>
          </w:p>
        </w:tc>
        <w:tc>
          <w:tcPr>
            <w:tcW w:w="1656" w:type="dxa"/>
            <w:tcBorders>
              <w:top w:val="nil"/>
              <w:left w:val="nil"/>
              <w:bottom w:val="nil"/>
              <w:right w:val="nil"/>
            </w:tcBorders>
          </w:tcPr>
          <w:p w14:paraId="6368C6F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0.130</w:t>
            </w:r>
          </w:p>
        </w:tc>
        <w:tc>
          <w:tcPr>
            <w:tcW w:w="1656" w:type="dxa"/>
            <w:tcBorders>
              <w:top w:val="nil"/>
              <w:left w:val="nil"/>
              <w:bottom w:val="nil"/>
              <w:right w:val="nil"/>
            </w:tcBorders>
          </w:tcPr>
          <w:p w14:paraId="45A4CBE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-0.140</w:t>
            </w:r>
          </w:p>
        </w:tc>
        <w:tc>
          <w:tcPr>
            <w:tcW w:w="1656" w:type="dxa"/>
            <w:tcBorders>
              <w:top w:val="nil"/>
              <w:left w:val="nil"/>
              <w:bottom w:val="nil"/>
              <w:right w:val="nil"/>
            </w:tcBorders>
          </w:tcPr>
          <w:p w14:paraId="5E2FAAF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-0.373</w:t>
            </w:r>
            <w:r w:rsidRPr="002E7BF3">
              <w:rPr>
                <w:rFonts w:ascii="Times New Roman" w:hAnsi="Times New Roman" w:cs="Times New Roman"/>
                <w:sz w:val="16"/>
                <w:szCs w:val="16"/>
                <w:vertAlign w:val="superscript"/>
              </w:rPr>
              <w:t>**</w:t>
            </w:r>
          </w:p>
        </w:tc>
      </w:tr>
      <w:tr w:rsidR="006A4F42" w:rsidRPr="002E7BF3" w14:paraId="5CAE350D" w14:textId="77777777" w:rsidTr="00015B88">
        <w:tc>
          <w:tcPr>
            <w:tcW w:w="2136" w:type="dxa"/>
            <w:tcBorders>
              <w:top w:val="nil"/>
              <w:left w:val="nil"/>
              <w:bottom w:val="nil"/>
              <w:right w:val="nil"/>
            </w:tcBorders>
          </w:tcPr>
          <w:p w14:paraId="65AD519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20C7E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(0.45)</w:t>
            </w:r>
          </w:p>
        </w:tc>
        <w:tc>
          <w:tcPr>
            <w:tcW w:w="1656" w:type="dxa"/>
            <w:tcBorders>
              <w:top w:val="nil"/>
              <w:left w:val="nil"/>
              <w:bottom w:val="nil"/>
              <w:right w:val="nil"/>
            </w:tcBorders>
          </w:tcPr>
          <w:p w14:paraId="15A0E66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(0.85)</w:t>
            </w:r>
          </w:p>
        </w:tc>
        <w:tc>
          <w:tcPr>
            <w:tcW w:w="1656" w:type="dxa"/>
            <w:tcBorders>
              <w:top w:val="nil"/>
              <w:left w:val="nil"/>
              <w:bottom w:val="nil"/>
              <w:right w:val="nil"/>
            </w:tcBorders>
          </w:tcPr>
          <w:p w14:paraId="58B37A7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(-0.91)</w:t>
            </w:r>
          </w:p>
        </w:tc>
        <w:tc>
          <w:tcPr>
            <w:tcW w:w="1656" w:type="dxa"/>
            <w:tcBorders>
              <w:top w:val="nil"/>
              <w:left w:val="nil"/>
              <w:bottom w:val="nil"/>
              <w:right w:val="nil"/>
            </w:tcBorders>
          </w:tcPr>
          <w:p w14:paraId="786F30C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(-2.98)</w:t>
            </w:r>
          </w:p>
        </w:tc>
      </w:tr>
      <w:tr w:rsidR="006A4F42" w:rsidRPr="002E7BF3" w14:paraId="3FDDCE21" w14:textId="77777777" w:rsidTr="00015B88">
        <w:tc>
          <w:tcPr>
            <w:tcW w:w="2136" w:type="dxa"/>
            <w:tcBorders>
              <w:top w:val="nil"/>
              <w:left w:val="nil"/>
              <w:bottom w:val="nil"/>
              <w:right w:val="nil"/>
            </w:tcBorders>
          </w:tcPr>
          <w:p w14:paraId="223624F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33F6A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8990D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85BEA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F0CC6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0F9C943B" w14:textId="77777777" w:rsidTr="00015B88">
        <w:tc>
          <w:tcPr>
            <w:tcW w:w="2136" w:type="dxa"/>
            <w:tcBorders>
              <w:top w:val="nil"/>
              <w:left w:val="nil"/>
              <w:bottom w:val="nil"/>
              <w:right w:val="nil"/>
            </w:tcBorders>
          </w:tcPr>
          <w:p w14:paraId="3B398B8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29A97A3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0.0937</w:t>
            </w:r>
          </w:p>
        </w:tc>
        <w:tc>
          <w:tcPr>
            <w:tcW w:w="1656" w:type="dxa"/>
            <w:tcBorders>
              <w:top w:val="nil"/>
              <w:left w:val="nil"/>
              <w:bottom w:val="nil"/>
              <w:right w:val="nil"/>
            </w:tcBorders>
          </w:tcPr>
          <w:p w14:paraId="65C2DCE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0.547</w:t>
            </w:r>
          </w:p>
        </w:tc>
        <w:tc>
          <w:tcPr>
            <w:tcW w:w="1656" w:type="dxa"/>
            <w:tcBorders>
              <w:top w:val="nil"/>
              <w:left w:val="nil"/>
              <w:bottom w:val="nil"/>
              <w:right w:val="nil"/>
            </w:tcBorders>
          </w:tcPr>
          <w:p w14:paraId="7FA1A85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0.0204</w:t>
            </w:r>
          </w:p>
        </w:tc>
        <w:tc>
          <w:tcPr>
            <w:tcW w:w="1656" w:type="dxa"/>
            <w:tcBorders>
              <w:top w:val="nil"/>
              <w:left w:val="nil"/>
              <w:bottom w:val="nil"/>
              <w:right w:val="nil"/>
            </w:tcBorders>
          </w:tcPr>
          <w:p w14:paraId="77C304D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0.774</w:t>
            </w:r>
            <w:r w:rsidRPr="002E7BF3">
              <w:rPr>
                <w:rFonts w:ascii="Times New Roman" w:hAnsi="Times New Roman" w:cs="Times New Roman"/>
                <w:sz w:val="16"/>
                <w:szCs w:val="16"/>
                <w:vertAlign w:val="superscript"/>
              </w:rPr>
              <w:t>**</w:t>
            </w:r>
          </w:p>
        </w:tc>
      </w:tr>
      <w:tr w:rsidR="006A4F42" w:rsidRPr="002E7BF3" w14:paraId="62AC8D81" w14:textId="77777777" w:rsidTr="00015B88">
        <w:tc>
          <w:tcPr>
            <w:tcW w:w="2136" w:type="dxa"/>
            <w:tcBorders>
              <w:top w:val="nil"/>
              <w:left w:val="nil"/>
              <w:bottom w:val="nil"/>
              <w:right w:val="nil"/>
            </w:tcBorders>
          </w:tcPr>
          <w:p w14:paraId="04EF47D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A4DE7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(0.27)</w:t>
            </w:r>
          </w:p>
        </w:tc>
        <w:tc>
          <w:tcPr>
            <w:tcW w:w="1656" w:type="dxa"/>
            <w:tcBorders>
              <w:top w:val="nil"/>
              <w:left w:val="nil"/>
              <w:bottom w:val="nil"/>
              <w:right w:val="nil"/>
            </w:tcBorders>
          </w:tcPr>
          <w:p w14:paraId="51F7A51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(1.28)</w:t>
            </w:r>
          </w:p>
        </w:tc>
        <w:tc>
          <w:tcPr>
            <w:tcW w:w="1656" w:type="dxa"/>
            <w:tcBorders>
              <w:top w:val="nil"/>
              <w:left w:val="nil"/>
              <w:bottom w:val="nil"/>
              <w:right w:val="nil"/>
            </w:tcBorders>
          </w:tcPr>
          <w:p w14:paraId="24855B1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(0.05)</w:t>
            </w:r>
          </w:p>
        </w:tc>
        <w:tc>
          <w:tcPr>
            <w:tcW w:w="1656" w:type="dxa"/>
            <w:tcBorders>
              <w:top w:val="nil"/>
              <w:left w:val="nil"/>
              <w:bottom w:val="nil"/>
              <w:right w:val="nil"/>
            </w:tcBorders>
          </w:tcPr>
          <w:p w14:paraId="2B04653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(2.90)</w:t>
            </w:r>
          </w:p>
        </w:tc>
      </w:tr>
      <w:tr w:rsidR="006A4F42" w:rsidRPr="002E7BF3" w14:paraId="1EA49A48" w14:textId="77777777" w:rsidTr="00015B88">
        <w:tc>
          <w:tcPr>
            <w:tcW w:w="2136" w:type="dxa"/>
            <w:tcBorders>
              <w:top w:val="nil"/>
              <w:left w:val="nil"/>
              <w:bottom w:val="nil"/>
              <w:right w:val="nil"/>
            </w:tcBorders>
          </w:tcPr>
          <w:p w14:paraId="10BD7E7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AA0EB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49BF7"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E01FC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2F24D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386B3CF9" w14:textId="77777777" w:rsidTr="00015B88">
        <w:tc>
          <w:tcPr>
            <w:tcW w:w="2136" w:type="dxa"/>
            <w:tcBorders>
              <w:top w:val="nil"/>
              <w:left w:val="nil"/>
              <w:bottom w:val="nil"/>
              <w:right w:val="nil"/>
            </w:tcBorders>
          </w:tcPr>
          <w:p w14:paraId="2BBF77A7"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6B5DFDA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0.0922</w:t>
            </w:r>
          </w:p>
        </w:tc>
        <w:tc>
          <w:tcPr>
            <w:tcW w:w="1656" w:type="dxa"/>
            <w:tcBorders>
              <w:top w:val="nil"/>
              <w:left w:val="nil"/>
              <w:bottom w:val="nil"/>
              <w:right w:val="nil"/>
            </w:tcBorders>
          </w:tcPr>
          <w:p w14:paraId="0FDA0F6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-0.486</w:t>
            </w:r>
          </w:p>
        </w:tc>
        <w:tc>
          <w:tcPr>
            <w:tcW w:w="1656" w:type="dxa"/>
            <w:tcBorders>
              <w:top w:val="nil"/>
              <w:left w:val="nil"/>
              <w:bottom w:val="nil"/>
              <w:right w:val="nil"/>
            </w:tcBorders>
          </w:tcPr>
          <w:p w14:paraId="3B8C7F7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-0.143</w:t>
            </w:r>
          </w:p>
        </w:tc>
        <w:tc>
          <w:tcPr>
            <w:tcW w:w="1656" w:type="dxa"/>
            <w:tcBorders>
              <w:top w:val="nil"/>
              <w:left w:val="nil"/>
              <w:bottom w:val="nil"/>
              <w:right w:val="nil"/>
            </w:tcBorders>
          </w:tcPr>
          <w:p w14:paraId="1802A47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0.755</w:t>
            </w:r>
            <w:r w:rsidRPr="002E7BF3">
              <w:rPr>
                <w:rFonts w:ascii="Times New Roman" w:hAnsi="Times New Roman" w:cs="Times New Roman"/>
                <w:sz w:val="16"/>
                <w:szCs w:val="16"/>
                <w:vertAlign w:val="superscript"/>
              </w:rPr>
              <w:t>*</w:t>
            </w:r>
          </w:p>
        </w:tc>
      </w:tr>
      <w:tr w:rsidR="006A4F42" w:rsidRPr="002E7BF3" w14:paraId="0BB498B7" w14:textId="77777777" w:rsidTr="00015B88">
        <w:tc>
          <w:tcPr>
            <w:tcW w:w="2136" w:type="dxa"/>
            <w:tcBorders>
              <w:top w:val="nil"/>
              <w:left w:val="nil"/>
              <w:bottom w:val="nil"/>
              <w:right w:val="nil"/>
            </w:tcBorders>
          </w:tcPr>
          <w:p w14:paraId="050EDF9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49A7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(0.24)</w:t>
            </w:r>
          </w:p>
        </w:tc>
        <w:tc>
          <w:tcPr>
            <w:tcW w:w="1656" w:type="dxa"/>
            <w:tcBorders>
              <w:top w:val="nil"/>
              <w:left w:val="nil"/>
              <w:bottom w:val="nil"/>
              <w:right w:val="nil"/>
            </w:tcBorders>
          </w:tcPr>
          <w:p w14:paraId="13C6B5A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(-1.07)</w:t>
            </w:r>
          </w:p>
        </w:tc>
        <w:tc>
          <w:tcPr>
            <w:tcW w:w="1656" w:type="dxa"/>
            <w:tcBorders>
              <w:top w:val="nil"/>
              <w:left w:val="nil"/>
              <w:bottom w:val="nil"/>
              <w:right w:val="nil"/>
            </w:tcBorders>
          </w:tcPr>
          <w:p w14:paraId="49347DA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(-0.32)</w:t>
            </w:r>
          </w:p>
        </w:tc>
        <w:tc>
          <w:tcPr>
            <w:tcW w:w="1656" w:type="dxa"/>
            <w:tcBorders>
              <w:top w:val="nil"/>
              <w:left w:val="nil"/>
              <w:bottom w:val="nil"/>
              <w:right w:val="nil"/>
            </w:tcBorders>
          </w:tcPr>
          <w:p w14:paraId="7DC50DF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(2.33)</w:t>
            </w:r>
          </w:p>
        </w:tc>
      </w:tr>
      <w:tr w:rsidR="006A4F42" w:rsidRPr="002E7BF3" w14:paraId="4E86941C" w14:textId="77777777" w:rsidTr="00015B88">
        <w:tc>
          <w:tcPr>
            <w:tcW w:w="2136" w:type="dxa"/>
            <w:tcBorders>
              <w:top w:val="nil"/>
              <w:left w:val="nil"/>
              <w:bottom w:val="nil"/>
              <w:right w:val="nil"/>
            </w:tcBorders>
          </w:tcPr>
          <w:p w14:paraId="2A5366F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A109C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02375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303F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AF28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6B01F036" w14:textId="77777777" w:rsidTr="00015B88">
        <w:tc>
          <w:tcPr>
            <w:tcW w:w="2136" w:type="dxa"/>
            <w:tcBorders>
              <w:top w:val="nil"/>
              <w:left w:val="nil"/>
              <w:bottom w:val="nil"/>
              <w:right w:val="nil"/>
            </w:tcBorders>
          </w:tcPr>
          <w:p w14:paraId="1BECCE1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66AA181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-0.0633</w:t>
            </w:r>
          </w:p>
        </w:tc>
        <w:tc>
          <w:tcPr>
            <w:tcW w:w="1656" w:type="dxa"/>
            <w:tcBorders>
              <w:top w:val="nil"/>
              <w:left w:val="nil"/>
              <w:bottom w:val="nil"/>
              <w:right w:val="nil"/>
            </w:tcBorders>
          </w:tcPr>
          <w:p w14:paraId="266C551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-0.139</w:t>
            </w:r>
          </w:p>
        </w:tc>
        <w:tc>
          <w:tcPr>
            <w:tcW w:w="1656" w:type="dxa"/>
            <w:tcBorders>
              <w:top w:val="nil"/>
              <w:left w:val="nil"/>
              <w:bottom w:val="nil"/>
              <w:right w:val="nil"/>
            </w:tcBorders>
          </w:tcPr>
          <w:p w14:paraId="25087E6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-0.630</w:t>
            </w:r>
          </w:p>
        </w:tc>
        <w:tc>
          <w:tcPr>
            <w:tcW w:w="1656" w:type="dxa"/>
            <w:tcBorders>
              <w:top w:val="nil"/>
              <w:left w:val="nil"/>
              <w:bottom w:val="nil"/>
              <w:right w:val="nil"/>
            </w:tcBorders>
          </w:tcPr>
          <w:p w14:paraId="51E5768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0.585</w:t>
            </w:r>
            <w:r w:rsidRPr="002E7BF3">
              <w:rPr>
                <w:rFonts w:ascii="Times New Roman" w:hAnsi="Times New Roman" w:cs="Times New Roman"/>
                <w:sz w:val="16"/>
                <w:szCs w:val="16"/>
                <w:vertAlign w:val="superscript"/>
              </w:rPr>
              <w:t>*</w:t>
            </w:r>
          </w:p>
        </w:tc>
      </w:tr>
      <w:tr w:rsidR="006A4F42" w:rsidRPr="002E7BF3" w14:paraId="3B5B18E8" w14:textId="77777777" w:rsidTr="00015B88">
        <w:tc>
          <w:tcPr>
            <w:tcW w:w="2136" w:type="dxa"/>
            <w:tcBorders>
              <w:top w:val="nil"/>
              <w:left w:val="nil"/>
              <w:bottom w:val="nil"/>
              <w:right w:val="nil"/>
            </w:tcBorders>
          </w:tcPr>
          <w:p w14:paraId="4469448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769AB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(-0.20)</w:t>
            </w:r>
          </w:p>
        </w:tc>
        <w:tc>
          <w:tcPr>
            <w:tcW w:w="1656" w:type="dxa"/>
            <w:tcBorders>
              <w:top w:val="nil"/>
              <w:left w:val="nil"/>
              <w:bottom w:val="nil"/>
              <w:right w:val="nil"/>
            </w:tcBorders>
          </w:tcPr>
          <w:p w14:paraId="021AA77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(-0.31)</w:t>
            </w:r>
          </w:p>
        </w:tc>
        <w:tc>
          <w:tcPr>
            <w:tcW w:w="1656" w:type="dxa"/>
            <w:tcBorders>
              <w:top w:val="nil"/>
              <w:left w:val="nil"/>
              <w:bottom w:val="nil"/>
              <w:right w:val="nil"/>
            </w:tcBorders>
          </w:tcPr>
          <w:p w14:paraId="539653A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(-1.76)</w:t>
            </w:r>
          </w:p>
        </w:tc>
        <w:tc>
          <w:tcPr>
            <w:tcW w:w="1656" w:type="dxa"/>
            <w:tcBorders>
              <w:top w:val="nil"/>
              <w:left w:val="nil"/>
              <w:bottom w:val="nil"/>
              <w:right w:val="nil"/>
            </w:tcBorders>
          </w:tcPr>
          <w:p w14:paraId="4914BB1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(2.09)</w:t>
            </w:r>
          </w:p>
        </w:tc>
      </w:tr>
      <w:tr w:rsidR="006A4F42" w:rsidRPr="002E7BF3" w14:paraId="058E792C" w14:textId="77777777" w:rsidTr="00015B88">
        <w:tc>
          <w:tcPr>
            <w:tcW w:w="2136" w:type="dxa"/>
            <w:tcBorders>
              <w:top w:val="nil"/>
              <w:left w:val="nil"/>
              <w:bottom w:val="nil"/>
              <w:right w:val="nil"/>
            </w:tcBorders>
          </w:tcPr>
          <w:p w14:paraId="30D7602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0E39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87B9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91D6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58D27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6C24B358" w14:textId="77777777" w:rsidTr="00015B88">
        <w:tc>
          <w:tcPr>
            <w:tcW w:w="2136" w:type="dxa"/>
            <w:tcBorders>
              <w:top w:val="nil"/>
              <w:left w:val="nil"/>
              <w:bottom w:val="nil"/>
              <w:right w:val="nil"/>
            </w:tcBorders>
          </w:tcPr>
          <w:p w14:paraId="45CB35F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1FE252A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-0.236</w:t>
            </w:r>
          </w:p>
        </w:tc>
        <w:tc>
          <w:tcPr>
            <w:tcW w:w="1656" w:type="dxa"/>
            <w:tcBorders>
              <w:top w:val="nil"/>
              <w:left w:val="nil"/>
              <w:bottom w:val="nil"/>
              <w:right w:val="nil"/>
            </w:tcBorders>
          </w:tcPr>
          <w:p w14:paraId="48895ED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-0.396</w:t>
            </w:r>
          </w:p>
        </w:tc>
        <w:tc>
          <w:tcPr>
            <w:tcW w:w="1656" w:type="dxa"/>
            <w:tcBorders>
              <w:top w:val="nil"/>
              <w:left w:val="nil"/>
              <w:bottom w:val="nil"/>
              <w:right w:val="nil"/>
            </w:tcBorders>
          </w:tcPr>
          <w:p w14:paraId="5907D18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0.578</w:t>
            </w:r>
          </w:p>
        </w:tc>
        <w:tc>
          <w:tcPr>
            <w:tcW w:w="1656" w:type="dxa"/>
            <w:tcBorders>
              <w:top w:val="nil"/>
              <w:left w:val="nil"/>
              <w:bottom w:val="nil"/>
              <w:right w:val="nil"/>
            </w:tcBorders>
          </w:tcPr>
          <w:p w14:paraId="1BFDA16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0.577</w:t>
            </w:r>
            <w:r w:rsidRPr="002E7BF3">
              <w:rPr>
                <w:rFonts w:ascii="Times New Roman" w:hAnsi="Times New Roman" w:cs="Times New Roman"/>
                <w:sz w:val="16"/>
                <w:szCs w:val="16"/>
                <w:vertAlign w:val="superscript"/>
              </w:rPr>
              <w:t>*</w:t>
            </w:r>
          </w:p>
        </w:tc>
      </w:tr>
      <w:tr w:rsidR="006A4F42" w:rsidRPr="002E7BF3" w14:paraId="0B1DE55C" w14:textId="77777777" w:rsidTr="00015B88">
        <w:tc>
          <w:tcPr>
            <w:tcW w:w="2136" w:type="dxa"/>
            <w:tcBorders>
              <w:top w:val="nil"/>
              <w:left w:val="nil"/>
              <w:bottom w:val="nil"/>
              <w:right w:val="nil"/>
            </w:tcBorders>
          </w:tcPr>
          <w:p w14:paraId="57011E25"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EE4FE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(-0.79)</w:t>
            </w:r>
          </w:p>
        </w:tc>
        <w:tc>
          <w:tcPr>
            <w:tcW w:w="1656" w:type="dxa"/>
            <w:tcBorders>
              <w:top w:val="nil"/>
              <w:left w:val="nil"/>
              <w:bottom w:val="nil"/>
              <w:right w:val="nil"/>
            </w:tcBorders>
          </w:tcPr>
          <w:p w14:paraId="317D12D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(-1.03)</w:t>
            </w:r>
          </w:p>
        </w:tc>
        <w:tc>
          <w:tcPr>
            <w:tcW w:w="1656" w:type="dxa"/>
            <w:tcBorders>
              <w:top w:val="nil"/>
              <w:left w:val="nil"/>
              <w:bottom w:val="nil"/>
              <w:right w:val="nil"/>
            </w:tcBorders>
          </w:tcPr>
          <w:p w14:paraId="264775A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(1.69)</w:t>
            </w:r>
          </w:p>
        </w:tc>
        <w:tc>
          <w:tcPr>
            <w:tcW w:w="1656" w:type="dxa"/>
            <w:tcBorders>
              <w:top w:val="nil"/>
              <w:left w:val="nil"/>
              <w:bottom w:val="nil"/>
              <w:right w:val="nil"/>
            </w:tcBorders>
          </w:tcPr>
          <w:p w14:paraId="1E78609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(2.16)</w:t>
            </w:r>
          </w:p>
        </w:tc>
      </w:tr>
      <w:tr w:rsidR="006A4F42" w:rsidRPr="002E7BF3" w14:paraId="790511BF" w14:textId="77777777" w:rsidTr="00015B88">
        <w:tc>
          <w:tcPr>
            <w:tcW w:w="2136" w:type="dxa"/>
            <w:tcBorders>
              <w:top w:val="nil"/>
              <w:left w:val="nil"/>
              <w:bottom w:val="nil"/>
              <w:right w:val="nil"/>
            </w:tcBorders>
          </w:tcPr>
          <w:p w14:paraId="14F4BAD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B16BDB"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83738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F4842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7F5C4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41CA8A38" w14:textId="77777777" w:rsidTr="00015B88">
        <w:tc>
          <w:tcPr>
            <w:tcW w:w="2136" w:type="dxa"/>
            <w:tcBorders>
              <w:top w:val="nil"/>
              <w:left w:val="nil"/>
              <w:bottom w:val="nil"/>
              <w:right w:val="nil"/>
            </w:tcBorders>
          </w:tcPr>
          <w:p w14:paraId="5286BE6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1644471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0.407</w:t>
            </w:r>
          </w:p>
        </w:tc>
        <w:tc>
          <w:tcPr>
            <w:tcW w:w="1656" w:type="dxa"/>
            <w:tcBorders>
              <w:top w:val="nil"/>
              <w:left w:val="nil"/>
              <w:bottom w:val="nil"/>
              <w:right w:val="nil"/>
            </w:tcBorders>
          </w:tcPr>
          <w:p w14:paraId="54693CD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-0.361</w:t>
            </w:r>
          </w:p>
        </w:tc>
        <w:tc>
          <w:tcPr>
            <w:tcW w:w="1656" w:type="dxa"/>
            <w:tcBorders>
              <w:top w:val="nil"/>
              <w:left w:val="nil"/>
              <w:bottom w:val="nil"/>
              <w:right w:val="nil"/>
            </w:tcBorders>
          </w:tcPr>
          <w:p w14:paraId="644FD002"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0.245</w:t>
            </w:r>
          </w:p>
        </w:tc>
        <w:tc>
          <w:tcPr>
            <w:tcW w:w="1656" w:type="dxa"/>
            <w:tcBorders>
              <w:top w:val="nil"/>
              <w:left w:val="nil"/>
              <w:bottom w:val="nil"/>
              <w:right w:val="nil"/>
            </w:tcBorders>
          </w:tcPr>
          <w:p w14:paraId="64EBB6A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0.811</w:t>
            </w:r>
            <w:r w:rsidRPr="002E7BF3">
              <w:rPr>
                <w:rFonts w:ascii="Times New Roman" w:hAnsi="Times New Roman" w:cs="Times New Roman"/>
                <w:sz w:val="16"/>
                <w:szCs w:val="16"/>
                <w:vertAlign w:val="superscript"/>
              </w:rPr>
              <w:t>*</w:t>
            </w:r>
          </w:p>
        </w:tc>
      </w:tr>
      <w:tr w:rsidR="006A4F42" w:rsidRPr="002E7BF3" w14:paraId="2B2C933A" w14:textId="77777777" w:rsidTr="00015B88">
        <w:tc>
          <w:tcPr>
            <w:tcW w:w="2136" w:type="dxa"/>
            <w:tcBorders>
              <w:top w:val="nil"/>
              <w:left w:val="nil"/>
              <w:bottom w:val="nil"/>
              <w:right w:val="nil"/>
            </w:tcBorders>
          </w:tcPr>
          <w:p w14:paraId="12255B9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3864A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(1.14)</w:t>
            </w:r>
          </w:p>
        </w:tc>
        <w:tc>
          <w:tcPr>
            <w:tcW w:w="1656" w:type="dxa"/>
            <w:tcBorders>
              <w:top w:val="nil"/>
              <w:left w:val="nil"/>
              <w:bottom w:val="nil"/>
              <w:right w:val="nil"/>
            </w:tcBorders>
          </w:tcPr>
          <w:p w14:paraId="1479897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(-0.84)</w:t>
            </w:r>
          </w:p>
        </w:tc>
        <w:tc>
          <w:tcPr>
            <w:tcW w:w="1656" w:type="dxa"/>
            <w:tcBorders>
              <w:top w:val="nil"/>
              <w:left w:val="nil"/>
              <w:bottom w:val="nil"/>
              <w:right w:val="nil"/>
            </w:tcBorders>
          </w:tcPr>
          <w:p w14:paraId="159AB82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(0.62)</w:t>
            </w:r>
          </w:p>
        </w:tc>
        <w:tc>
          <w:tcPr>
            <w:tcW w:w="1656" w:type="dxa"/>
            <w:tcBorders>
              <w:top w:val="nil"/>
              <w:left w:val="nil"/>
              <w:bottom w:val="nil"/>
              <w:right w:val="nil"/>
            </w:tcBorders>
          </w:tcPr>
          <w:p w14:paraId="6B976C8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(2.54)</w:t>
            </w:r>
          </w:p>
        </w:tc>
      </w:tr>
      <w:tr w:rsidR="006A4F42" w:rsidRPr="002E7BF3" w14:paraId="514AE9C5" w14:textId="77777777" w:rsidTr="00015B88">
        <w:tc>
          <w:tcPr>
            <w:tcW w:w="2136" w:type="dxa"/>
            <w:tcBorders>
              <w:top w:val="nil"/>
              <w:left w:val="nil"/>
              <w:bottom w:val="nil"/>
              <w:right w:val="nil"/>
            </w:tcBorders>
          </w:tcPr>
          <w:p w14:paraId="6818D37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63DD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2E9235"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ABCAD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0FD1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139DCE5F" w14:textId="77777777" w:rsidTr="00015B88">
        <w:tc>
          <w:tcPr>
            <w:tcW w:w="2136" w:type="dxa"/>
            <w:tcBorders>
              <w:top w:val="nil"/>
              <w:left w:val="nil"/>
              <w:bottom w:val="nil"/>
              <w:right w:val="nil"/>
            </w:tcBorders>
          </w:tcPr>
          <w:p w14:paraId="41F7192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3F8D17A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-0.221</w:t>
            </w:r>
          </w:p>
        </w:tc>
        <w:tc>
          <w:tcPr>
            <w:tcW w:w="1656" w:type="dxa"/>
            <w:tcBorders>
              <w:top w:val="nil"/>
              <w:left w:val="nil"/>
              <w:bottom w:val="nil"/>
              <w:right w:val="nil"/>
            </w:tcBorders>
          </w:tcPr>
          <w:p w14:paraId="22D05E3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-0.277</w:t>
            </w:r>
          </w:p>
        </w:tc>
        <w:tc>
          <w:tcPr>
            <w:tcW w:w="1656" w:type="dxa"/>
            <w:tcBorders>
              <w:top w:val="nil"/>
              <w:left w:val="nil"/>
              <w:bottom w:val="nil"/>
              <w:right w:val="nil"/>
            </w:tcBorders>
          </w:tcPr>
          <w:p w14:paraId="2EBC59C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-0.306</w:t>
            </w:r>
          </w:p>
        </w:tc>
        <w:tc>
          <w:tcPr>
            <w:tcW w:w="1656" w:type="dxa"/>
            <w:tcBorders>
              <w:top w:val="nil"/>
              <w:left w:val="nil"/>
              <w:bottom w:val="nil"/>
              <w:right w:val="nil"/>
            </w:tcBorders>
          </w:tcPr>
          <w:p w14:paraId="0ACDC8D2"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0.451</w:t>
            </w:r>
          </w:p>
        </w:tc>
      </w:tr>
      <w:tr w:rsidR="006A4F42" w:rsidRPr="002E7BF3" w14:paraId="6949EB44" w14:textId="77777777" w:rsidTr="00015B88">
        <w:tc>
          <w:tcPr>
            <w:tcW w:w="2136" w:type="dxa"/>
            <w:tcBorders>
              <w:top w:val="nil"/>
              <w:left w:val="nil"/>
              <w:bottom w:val="nil"/>
              <w:right w:val="nil"/>
            </w:tcBorders>
          </w:tcPr>
          <w:p w14:paraId="2802E13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85BDA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(-0.77)</w:t>
            </w:r>
          </w:p>
        </w:tc>
        <w:tc>
          <w:tcPr>
            <w:tcW w:w="1656" w:type="dxa"/>
            <w:tcBorders>
              <w:top w:val="nil"/>
              <w:left w:val="nil"/>
              <w:bottom w:val="nil"/>
              <w:right w:val="nil"/>
            </w:tcBorders>
          </w:tcPr>
          <w:p w14:paraId="52C8EFD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(-0.72)</w:t>
            </w:r>
          </w:p>
        </w:tc>
        <w:tc>
          <w:tcPr>
            <w:tcW w:w="1656" w:type="dxa"/>
            <w:tcBorders>
              <w:top w:val="nil"/>
              <w:left w:val="nil"/>
              <w:bottom w:val="nil"/>
              <w:right w:val="nil"/>
            </w:tcBorders>
          </w:tcPr>
          <w:p w14:paraId="01A57B2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(-0.81)</w:t>
            </w:r>
          </w:p>
        </w:tc>
        <w:tc>
          <w:tcPr>
            <w:tcW w:w="1656" w:type="dxa"/>
            <w:tcBorders>
              <w:top w:val="nil"/>
              <w:left w:val="nil"/>
              <w:bottom w:val="nil"/>
              <w:right w:val="nil"/>
            </w:tcBorders>
          </w:tcPr>
          <w:p w14:paraId="44722032"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(1.72)</w:t>
            </w:r>
          </w:p>
        </w:tc>
      </w:tr>
      <w:tr w:rsidR="006A4F42" w:rsidRPr="002E7BF3" w14:paraId="29AEDCAA" w14:textId="77777777" w:rsidTr="00015B88">
        <w:tc>
          <w:tcPr>
            <w:tcW w:w="2136" w:type="dxa"/>
            <w:tcBorders>
              <w:top w:val="nil"/>
              <w:left w:val="nil"/>
              <w:bottom w:val="nil"/>
              <w:right w:val="nil"/>
            </w:tcBorders>
          </w:tcPr>
          <w:p w14:paraId="53D3717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B57D75"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AE26B"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D18E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0732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3AA90326" w14:textId="77777777" w:rsidTr="00015B88">
        <w:tc>
          <w:tcPr>
            <w:tcW w:w="2136" w:type="dxa"/>
            <w:tcBorders>
              <w:top w:val="nil"/>
              <w:left w:val="nil"/>
              <w:bottom w:val="nil"/>
              <w:right w:val="nil"/>
            </w:tcBorders>
          </w:tcPr>
          <w:p w14:paraId="34543E6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 xml:space="preserve">L7.(Lack of) Irregular CB Governor Turnover (higher = </w:t>
            </w:r>
            <w:r w:rsidRPr="002E7BF3">
              <w:rPr>
                <w:rFonts w:ascii="Times New Roman" w:hAnsi="Times New Roman" w:cs="Times New Roman"/>
                <w:sz w:val="16"/>
                <w:szCs w:val="16"/>
              </w:rPr>
              <w:lastRenderedPageBreak/>
              <w:t>more de facto CBI)</w:t>
            </w:r>
          </w:p>
        </w:tc>
        <w:tc>
          <w:tcPr>
            <w:tcW w:w="1656" w:type="dxa"/>
            <w:tcBorders>
              <w:top w:val="nil"/>
              <w:left w:val="nil"/>
              <w:bottom w:val="nil"/>
              <w:right w:val="nil"/>
            </w:tcBorders>
          </w:tcPr>
          <w:p w14:paraId="1EEAA45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lastRenderedPageBreak/>
              <w:t>0.0780</w:t>
            </w:r>
          </w:p>
        </w:tc>
        <w:tc>
          <w:tcPr>
            <w:tcW w:w="1656" w:type="dxa"/>
            <w:tcBorders>
              <w:top w:val="nil"/>
              <w:left w:val="nil"/>
              <w:bottom w:val="nil"/>
              <w:right w:val="nil"/>
            </w:tcBorders>
          </w:tcPr>
          <w:p w14:paraId="2AAED2C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0.418</w:t>
            </w:r>
          </w:p>
        </w:tc>
        <w:tc>
          <w:tcPr>
            <w:tcW w:w="1656" w:type="dxa"/>
            <w:tcBorders>
              <w:top w:val="nil"/>
              <w:left w:val="nil"/>
              <w:bottom w:val="nil"/>
              <w:right w:val="nil"/>
            </w:tcBorders>
          </w:tcPr>
          <w:p w14:paraId="0FD7FE5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-0.302</w:t>
            </w:r>
          </w:p>
        </w:tc>
        <w:tc>
          <w:tcPr>
            <w:tcW w:w="1656" w:type="dxa"/>
            <w:tcBorders>
              <w:top w:val="nil"/>
              <w:left w:val="nil"/>
              <w:bottom w:val="nil"/>
              <w:right w:val="nil"/>
            </w:tcBorders>
          </w:tcPr>
          <w:p w14:paraId="6C4553B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0.373</w:t>
            </w:r>
          </w:p>
        </w:tc>
      </w:tr>
      <w:tr w:rsidR="006A4F42" w:rsidRPr="002E7BF3" w14:paraId="65D18978" w14:textId="77777777" w:rsidTr="00015B88">
        <w:tc>
          <w:tcPr>
            <w:tcW w:w="2136" w:type="dxa"/>
            <w:tcBorders>
              <w:top w:val="nil"/>
              <w:left w:val="nil"/>
              <w:bottom w:val="nil"/>
              <w:right w:val="nil"/>
            </w:tcBorders>
          </w:tcPr>
          <w:p w14:paraId="00EA8BD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48CE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(0.22)</w:t>
            </w:r>
          </w:p>
        </w:tc>
        <w:tc>
          <w:tcPr>
            <w:tcW w:w="1656" w:type="dxa"/>
            <w:tcBorders>
              <w:top w:val="nil"/>
              <w:left w:val="nil"/>
              <w:bottom w:val="nil"/>
              <w:right w:val="nil"/>
            </w:tcBorders>
          </w:tcPr>
          <w:p w14:paraId="669F52A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(1.12)</w:t>
            </w:r>
          </w:p>
        </w:tc>
        <w:tc>
          <w:tcPr>
            <w:tcW w:w="1656" w:type="dxa"/>
            <w:tcBorders>
              <w:top w:val="nil"/>
              <w:left w:val="nil"/>
              <w:bottom w:val="nil"/>
              <w:right w:val="nil"/>
            </w:tcBorders>
          </w:tcPr>
          <w:p w14:paraId="09331EA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(-0.67)</w:t>
            </w:r>
          </w:p>
        </w:tc>
        <w:tc>
          <w:tcPr>
            <w:tcW w:w="1656" w:type="dxa"/>
            <w:tcBorders>
              <w:top w:val="nil"/>
              <w:left w:val="nil"/>
              <w:bottom w:val="nil"/>
              <w:right w:val="nil"/>
            </w:tcBorders>
          </w:tcPr>
          <w:p w14:paraId="092B8672"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(1.47)</w:t>
            </w:r>
          </w:p>
        </w:tc>
      </w:tr>
      <w:tr w:rsidR="006A4F42" w:rsidRPr="002E7BF3" w14:paraId="7E6F0AD0" w14:textId="77777777" w:rsidTr="00015B88">
        <w:tc>
          <w:tcPr>
            <w:tcW w:w="2136" w:type="dxa"/>
            <w:tcBorders>
              <w:top w:val="nil"/>
              <w:left w:val="nil"/>
              <w:bottom w:val="nil"/>
              <w:right w:val="nil"/>
            </w:tcBorders>
          </w:tcPr>
          <w:p w14:paraId="3293BA6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63CEC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06057"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CBE5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F46E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0A5ED4DF" w14:textId="77777777" w:rsidTr="00015B88">
        <w:tc>
          <w:tcPr>
            <w:tcW w:w="2136" w:type="dxa"/>
            <w:tcBorders>
              <w:top w:val="nil"/>
              <w:left w:val="nil"/>
              <w:bottom w:val="nil"/>
              <w:right w:val="nil"/>
            </w:tcBorders>
          </w:tcPr>
          <w:p w14:paraId="04FECF0B"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3E5987A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0.175</w:t>
            </w:r>
          </w:p>
        </w:tc>
        <w:tc>
          <w:tcPr>
            <w:tcW w:w="1656" w:type="dxa"/>
            <w:tcBorders>
              <w:top w:val="nil"/>
              <w:left w:val="nil"/>
              <w:bottom w:val="nil"/>
              <w:right w:val="nil"/>
            </w:tcBorders>
          </w:tcPr>
          <w:p w14:paraId="0BB6D7E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0.936</w:t>
            </w:r>
            <w:r w:rsidRPr="002E7BF3">
              <w:rPr>
                <w:rFonts w:ascii="Times New Roman" w:hAnsi="Times New Roman" w:cs="Times New Roman"/>
                <w:sz w:val="16"/>
                <w:szCs w:val="16"/>
                <w:vertAlign w:val="superscript"/>
              </w:rPr>
              <w:t>*</w:t>
            </w:r>
          </w:p>
        </w:tc>
        <w:tc>
          <w:tcPr>
            <w:tcW w:w="1656" w:type="dxa"/>
            <w:tcBorders>
              <w:top w:val="nil"/>
              <w:left w:val="nil"/>
              <w:bottom w:val="nil"/>
              <w:right w:val="nil"/>
            </w:tcBorders>
          </w:tcPr>
          <w:p w14:paraId="0085B3E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-0.0465</w:t>
            </w:r>
          </w:p>
        </w:tc>
        <w:tc>
          <w:tcPr>
            <w:tcW w:w="1656" w:type="dxa"/>
            <w:tcBorders>
              <w:top w:val="nil"/>
              <w:left w:val="nil"/>
              <w:bottom w:val="nil"/>
              <w:right w:val="nil"/>
            </w:tcBorders>
          </w:tcPr>
          <w:p w14:paraId="245274F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0.0424</w:t>
            </w:r>
          </w:p>
        </w:tc>
      </w:tr>
      <w:tr w:rsidR="006A4F42" w:rsidRPr="002E7BF3" w14:paraId="37FA1984" w14:textId="77777777" w:rsidTr="00015B88">
        <w:tc>
          <w:tcPr>
            <w:tcW w:w="2136" w:type="dxa"/>
            <w:tcBorders>
              <w:top w:val="nil"/>
              <w:left w:val="nil"/>
              <w:bottom w:val="nil"/>
              <w:right w:val="nil"/>
            </w:tcBorders>
          </w:tcPr>
          <w:p w14:paraId="73192E8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A425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(0.57)</w:t>
            </w:r>
          </w:p>
        </w:tc>
        <w:tc>
          <w:tcPr>
            <w:tcW w:w="1656" w:type="dxa"/>
            <w:tcBorders>
              <w:top w:val="nil"/>
              <w:left w:val="nil"/>
              <w:bottom w:val="nil"/>
              <w:right w:val="nil"/>
            </w:tcBorders>
          </w:tcPr>
          <w:p w14:paraId="126F4D9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(2.23)</w:t>
            </w:r>
          </w:p>
        </w:tc>
        <w:tc>
          <w:tcPr>
            <w:tcW w:w="1656" w:type="dxa"/>
            <w:tcBorders>
              <w:top w:val="nil"/>
              <w:left w:val="nil"/>
              <w:bottom w:val="nil"/>
              <w:right w:val="nil"/>
            </w:tcBorders>
          </w:tcPr>
          <w:p w14:paraId="5300286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(-0.12)</w:t>
            </w:r>
          </w:p>
        </w:tc>
        <w:tc>
          <w:tcPr>
            <w:tcW w:w="1656" w:type="dxa"/>
            <w:tcBorders>
              <w:top w:val="nil"/>
              <w:left w:val="nil"/>
              <w:bottom w:val="nil"/>
              <w:right w:val="nil"/>
            </w:tcBorders>
          </w:tcPr>
          <w:p w14:paraId="481A674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(0.16)</w:t>
            </w:r>
          </w:p>
        </w:tc>
      </w:tr>
      <w:tr w:rsidR="006A4F42" w:rsidRPr="002E7BF3" w14:paraId="2521948E" w14:textId="77777777" w:rsidTr="00015B88">
        <w:tc>
          <w:tcPr>
            <w:tcW w:w="2136" w:type="dxa"/>
            <w:tcBorders>
              <w:top w:val="nil"/>
              <w:left w:val="nil"/>
              <w:bottom w:val="nil"/>
              <w:right w:val="nil"/>
            </w:tcBorders>
          </w:tcPr>
          <w:p w14:paraId="10B1B24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11E32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451FD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E2996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23BD4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46531678" w14:textId="77777777" w:rsidTr="00015B88">
        <w:tc>
          <w:tcPr>
            <w:tcW w:w="2136" w:type="dxa"/>
            <w:tcBorders>
              <w:top w:val="nil"/>
              <w:left w:val="nil"/>
              <w:bottom w:val="nil"/>
              <w:right w:val="nil"/>
            </w:tcBorders>
          </w:tcPr>
          <w:p w14:paraId="144CC8F5"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60C6096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-0.450</w:t>
            </w:r>
          </w:p>
        </w:tc>
        <w:tc>
          <w:tcPr>
            <w:tcW w:w="1656" w:type="dxa"/>
            <w:tcBorders>
              <w:top w:val="nil"/>
              <w:left w:val="nil"/>
              <w:bottom w:val="nil"/>
              <w:right w:val="nil"/>
            </w:tcBorders>
          </w:tcPr>
          <w:p w14:paraId="2863FA0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-0.203</w:t>
            </w:r>
          </w:p>
        </w:tc>
        <w:tc>
          <w:tcPr>
            <w:tcW w:w="1656" w:type="dxa"/>
            <w:tcBorders>
              <w:top w:val="nil"/>
              <w:left w:val="nil"/>
              <w:bottom w:val="nil"/>
              <w:right w:val="nil"/>
            </w:tcBorders>
          </w:tcPr>
          <w:p w14:paraId="1E7AD1A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-0.605</w:t>
            </w:r>
          </w:p>
        </w:tc>
        <w:tc>
          <w:tcPr>
            <w:tcW w:w="1656" w:type="dxa"/>
            <w:tcBorders>
              <w:top w:val="nil"/>
              <w:left w:val="nil"/>
              <w:bottom w:val="nil"/>
              <w:right w:val="nil"/>
            </w:tcBorders>
          </w:tcPr>
          <w:p w14:paraId="68CAC77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-0.000362</w:t>
            </w:r>
          </w:p>
        </w:tc>
      </w:tr>
      <w:tr w:rsidR="006A4F42" w:rsidRPr="002E7BF3" w14:paraId="5E74F86F" w14:textId="77777777" w:rsidTr="00015B88">
        <w:tc>
          <w:tcPr>
            <w:tcW w:w="2136" w:type="dxa"/>
            <w:tcBorders>
              <w:top w:val="nil"/>
              <w:left w:val="nil"/>
              <w:bottom w:val="nil"/>
              <w:right w:val="nil"/>
            </w:tcBorders>
          </w:tcPr>
          <w:p w14:paraId="7C91C53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46F39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(-1.35)</w:t>
            </w:r>
          </w:p>
        </w:tc>
        <w:tc>
          <w:tcPr>
            <w:tcW w:w="1656" w:type="dxa"/>
            <w:tcBorders>
              <w:top w:val="nil"/>
              <w:left w:val="nil"/>
              <w:bottom w:val="nil"/>
              <w:right w:val="nil"/>
            </w:tcBorders>
          </w:tcPr>
          <w:p w14:paraId="5FFAEAC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(-0.53)</w:t>
            </w:r>
          </w:p>
        </w:tc>
        <w:tc>
          <w:tcPr>
            <w:tcW w:w="1656" w:type="dxa"/>
            <w:tcBorders>
              <w:top w:val="nil"/>
              <w:left w:val="nil"/>
              <w:bottom w:val="nil"/>
              <w:right w:val="nil"/>
            </w:tcBorders>
          </w:tcPr>
          <w:p w14:paraId="380E8E5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(-1.73)</w:t>
            </w:r>
          </w:p>
        </w:tc>
        <w:tc>
          <w:tcPr>
            <w:tcW w:w="1656" w:type="dxa"/>
            <w:tcBorders>
              <w:top w:val="nil"/>
              <w:left w:val="nil"/>
              <w:bottom w:val="nil"/>
              <w:right w:val="nil"/>
            </w:tcBorders>
          </w:tcPr>
          <w:p w14:paraId="21769D1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(-0.00)</w:t>
            </w:r>
          </w:p>
        </w:tc>
      </w:tr>
      <w:tr w:rsidR="006A4F42" w:rsidRPr="002E7BF3" w14:paraId="1F249AC9" w14:textId="77777777" w:rsidTr="00015B88">
        <w:tc>
          <w:tcPr>
            <w:tcW w:w="2136" w:type="dxa"/>
            <w:tcBorders>
              <w:top w:val="nil"/>
              <w:left w:val="nil"/>
              <w:bottom w:val="nil"/>
              <w:right w:val="nil"/>
            </w:tcBorders>
          </w:tcPr>
          <w:p w14:paraId="486B90F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A4467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11A8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477B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00FE3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2CCFFFB4" w14:textId="77777777" w:rsidTr="00015B88">
        <w:tc>
          <w:tcPr>
            <w:tcW w:w="2136" w:type="dxa"/>
            <w:tcBorders>
              <w:top w:val="nil"/>
              <w:left w:val="nil"/>
              <w:bottom w:val="nil"/>
              <w:right w:val="nil"/>
            </w:tcBorders>
          </w:tcPr>
          <w:p w14:paraId="5A52C39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34268F5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0.232</w:t>
            </w:r>
          </w:p>
        </w:tc>
        <w:tc>
          <w:tcPr>
            <w:tcW w:w="1656" w:type="dxa"/>
            <w:tcBorders>
              <w:top w:val="nil"/>
              <w:left w:val="nil"/>
              <w:bottom w:val="nil"/>
              <w:right w:val="nil"/>
            </w:tcBorders>
          </w:tcPr>
          <w:p w14:paraId="4656A0E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-0.0134</w:t>
            </w:r>
          </w:p>
        </w:tc>
        <w:tc>
          <w:tcPr>
            <w:tcW w:w="1656" w:type="dxa"/>
            <w:tcBorders>
              <w:top w:val="nil"/>
              <w:left w:val="nil"/>
              <w:bottom w:val="nil"/>
              <w:right w:val="nil"/>
            </w:tcBorders>
          </w:tcPr>
          <w:p w14:paraId="046787A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-0.428</w:t>
            </w:r>
          </w:p>
        </w:tc>
        <w:tc>
          <w:tcPr>
            <w:tcW w:w="1656" w:type="dxa"/>
            <w:tcBorders>
              <w:top w:val="nil"/>
              <w:left w:val="nil"/>
              <w:bottom w:val="nil"/>
              <w:right w:val="nil"/>
            </w:tcBorders>
          </w:tcPr>
          <w:p w14:paraId="12CBBAF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0.388</w:t>
            </w:r>
          </w:p>
        </w:tc>
      </w:tr>
      <w:tr w:rsidR="006A4F42" w:rsidRPr="002E7BF3" w14:paraId="65A9E6E6" w14:textId="77777777" w:rsidTr="00015B88">
        <w:tc>
          <w:tcPr>
            <w:tcW w:w="2136" w:type="dxa"/>
            <w:tcBorders>
              <w:top w:val="nil"/>
              <w:left w:val="nil"/>
              <w:bottom w:val="nil"/>
              <w:right w:val="nil"/>
            </w:tcBorders>
          </w:tcPr>
          <w:p w14:paraId="429166CB"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2161B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(0.71)</w:t>
            </w:r>
          </w:p>
        </w:tc>
        <w:tc>
          <w:tcPr>
            <w:tcW w:w="1656" w:type="dxa"/>
            <w:tcBorders>
              <w:top w:val="nil"/>
              <w:left w:val="nil"/>
              <w:bottom w:val="nil"/>
              <w:right w:val="nil"/>
            </w:tcBorders>
          </w:tcPr>
          <w:p w14:paraId="1EAFBAB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(-0.03)</w:t>
            </w:r>
          </w:p>
        </w:tc>
        <w:tc>
          <w:tcPr>
            <w:tcW w:w="1656" w:type="dxa"/>
            <w:tcBorders>
              <w:top w:val="nil"/>
              <w:left w:val="nil"/>
              <w:bottom w:val="nil"/>
              <w:right w:val="nil"/>
            </w:tcBorders>
          </w:tcPr>
          <w:p w14:paraId="569B18F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(-1.18)</w:t>
            </w:r>
          </w:p>
        </w:tc>
        <w:tc>
          <w:tcPr>
            <w:tcW w:w="1656" w:type="dxa"/>
            <w:tcBorders>
              <w:top w:val="nil"/>
              <w:left w:val="nil"/>
              <w:bottom w:val="nil"/>
              <w:right w:val="nil"/>
            </w:tcBorders>
          </w:tcPr>
          <w:p w14:paraId="171A43D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(1.83)</w:t>
            </w:r>
          </w:p>
        </w:tc>
      </w:tr>
      <w:tr w:rsidR="006A4F42" w:rsidRPr="002E7BF3" w14:paraId="4F9EAB85" w14:textId="77777777" w:rsidTr="00015B88">
        <w:tc>
          <w:tcPr>
            <w:tcW w:w="2136" w:type="dxa"/>
            <w:tcBorders>
              <w:top w:val="nil"/>
              <w:left w:val="nil"/>
              <w:bottom w:val="nil"/>
              <w:right w:val="nil"/>
            </w:tcBorders>
          </w:tcPr>
          <w:p w14:paraId="420BE43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DEF1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09FD2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28D8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3D2AC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78745FFE" w14:textId="77777777" w:rsidTr="00015B88">
        <w:tc>
          <w:tcPr>
            <w:tcW w:w="2136" w:type="dxa"/>
            <w:tcBorders>
              <w:top w:val="nil"/>
              <w:left w:val="nil"/>
              <w:bottom w:val="nil"/>
              <w:right w:val="nil"/>
            </w:tcBorders>
          </w:tcPr>
          <w:p w14:paraId="1526F2F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2E7BF3">
              <w:rPr>
                <w:rFonts w:ascii="Times New Roman" w:hAnsi="Times New Roman" w:cs="Times New Roman"/>
                <w:sz w:val="16"/>
                <w:szCs w:val="16"/>
              </w:rPr>
              <w:t>L.Exchange</w:t>
            </w:r>
            <w:proofErr w:type="spellEnd"/>
            <w:r w:rsidRPr="002E7BF3">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244E6C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0.0497</w:t>
            </w:r>
          </w:p>
        </w:tc>
        <w:tc>
          <w:tcPr>
            <w:tcW w:w="1656" w:type="dxa"/>
            <w:tcBorders>
              <w:top w:val="nil"/>
              <w:left w:val="nil"/>
              <w:bottom w:val="nil"/>
              <w:right w:val="nil"/>
            </w:tcBorders>
          </w:tcPr>
          <w:p w14:paraId="7855EE0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0.0715</w:t>
            </w:r>
          </w:p>
        </w:tc>
        <w:tc>
          <w:tcPr>
            <w:tcW w:w="1656" w:type="dxa"/>
            <w:tcBorders>
              <w:top w:val="nil"/>
              <w:left w:val="nil"/>
              <w:bottom w:val="nil"/>
              <w:right w:val="nil"/>
            </w:tcBorders>
          </w:tcPr>
          <w:p w14:paraId="13987F6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-0.110</w:t>
            </w:r>
          </w:p>
        </w:tc>
        <w:tc>
          <w:tcPr>
            <w:tcW w:w="1656" w:type="dxa"/>
            <w:tcBorders>
              <w:top w:val="nil"/>
              <w:left w:val="nil"/>
              <w:bottom w:val="nil"/>
              <w:right w:val="nil"/>
            </w:tcBorders>
          </w:tcPr>
          <w:p w14:paraId="5C5D0AC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0.0189</w:t>
            </w:r>
          </w:p>
        </w:tc>
      </w:tr>
      <w:tr w:rsidR="006A4F42" w:rsidRPr="002E7BF3" w14:paraId="1A1F95A1" w14:textId="77777777" w:rsidTr="00015B88">
        <w:tc>
          <w:tcPr>
            <w:tcW w:w="2136" w:type="dxa"/>
            <w:tcBorders>
              <w:top w:val="nil"/>
              <w:left w:val="nil"/>
              <w:bottom w:val="nil"/>
              <w:right w:val="nil"/>
            </w:tcBorders>
          </w:tcPr>
          <w:p w14:paraId="23938757"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BBD60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(0.54)</w:t>
            </w:r>
          </w:p>
        </w:tc>
        <w:tc>
          <w:tcPr>
            <w:tcW w:w="1656" w:type="dxa"/>
            <w:tcBorders>
              <w:top w:val="nil"/>
              <w:left w:val="nil"/>
              <w:bottom w:val="nil"/>
              <w:right w:val="nil"/>
            </w:tcBorders>
          </w:tcPr>
          <w:p w14:paraId="5A0E473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(0.62)</w:t>
            </w:r>
          </w:p>
        </w:tc>
        <w:tc>
          <w:tcPr>
            <w:tcW w:w="1656" w:type="dxa"/>
            <w:tcBorders>
              <w:top w:val="nil"/>
              <w:left w:val="nil"/>
              <w:bottom w:val="nil"/>
              <w:right w:val="nil"/>
            </w:tcBorders>
          </w:tcPr>
          <w:p w14:paraId="70D0160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(-1.37)</w:t>
            </w:r>
          </w:p>
        </w:tc>
        <w:tc>
          <w:tcPr>
            <w:tcW w:w="1656" w:type="dxa"/>
            <w:tcBorders>
              <w:top w:val="nil"/>
              <w:left w:val="nil"/>
              <w:bottom w:val="nil"/>
              <w:right w:val="nil"/>
            </w:tcBorders>
          </w:tcPr>
          <w:p w14:paraId="79E9D1B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(0.68)</w:t>
            </w:r>
          </w:p>
        </w:tc>
      </w:tr>
      <w:tr w:rsidR="006A4F42" w:rsidRPr="002E7BF3" w14:paraId="153122B3" w14:textId="77777777" w:rsidTr="00015B88">
        <w:tc>
          <w:tcPr>
            <w:tcW w:w="2136" w:type="dxa"/>
            <w:tcBorders>
              <w:top w:val="nil"/>
              <w:left w:val="nil"/>
              <w:bottom w:val="nil"/>
              <w:right w:val="nil"/>
            </w:tcBorders>
          </w:tcPr>
          <w:p w14:paraId="48BBF8D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46F2A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8C01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4F470B"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654C6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69A08A58" w14:textId="77777777" w:rsidTr="00015B88">
        <w:tc>
          <w:tcPr>
            <w:tcW w:w="2136" w:type="dxa"/>
            <w:tcBorders>
              <w:top w:val="nil"/>
              <w:left w:val="nil"/>
              <w:bottom w:val="nil"/>
              <w:right w:val="nil"/>
            </w:tcBorders>
          </w:tcPr>
          <w:p w14:paraId="190CFC9B"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2243760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-0.116</w:t>
            </w:r>
          </w:p>
        </w:tc>
        <w:tc>
          <w:tcPr>
            <w:tcW w:w="1656" w:type="dxa"/>
            <w:tcBorders>
              <w:top w:val="nil"/>
              <w:left w:val="nil"/>
              <w:bottom w:val="nil"/>
              <w:right w:val="nil"/>
            </w:tcBorders>
          </w:tcPr>
          <w:p w14:paraId="11142C2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-0.0818</w:t>
            </w:r>
          </w:p>
        </w:tc>
        <w:tc>
          <w:tcPr>
            <w:tcW w:w="1656" w:type="dxa"/>
            <w:tcBorders>
              <w:top w:val="nil"/>
              <w:left w:val="nil"/>
              <w:bottom w:val="nil"/>
              <w:right w:val="nil"/>
            </w:tcBorders>
          </w:tcPr>
          <w:p w14:paraId="4DEEE22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-0.0634</w:t>
            </w:r>
          </w:p>
        </w:tc>
        <w:tc>
          <w:tcPr>
            <w:tcW w:w="1656" w:type="dxa"/>
            <w:tcBorders>
              <w:top w:val="nil"/>
              <w:left w:val="nil"/>
              <w:bottom w:val="nil"/>
              <w:right w:val="nil"/>
            </w:tcBorders>
          </w:tcPr>
          <w:p w14:paraId="6066FA6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-0.0536</w:t>
            </w:r>
          </w:p>
        </w:tc>
      </w:tr>
      <w:tr w:rsidR="006A4F42" w:rsidRPr="002E7BF3" w14:paraId="4D3AA6F8" w14:textId="77777777" w:rsidTr="00015B88">
        <w:tc>
          <w:tcPr>
            <w:tcW w:w="2136" w:type="dxa"/>
            <w:tcBorders>
              <w:top w:val="nil"/>
              <w:left w:val="nil"/>
              <w:bottom w:val="nil"/>
              <w:right w:val="nil"/>
            </w:tcBorders>
          </w:tcPr>
          <w:p w14:paraId="4EE83EC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BCB52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(-1.57)</w:t>
            </w:r>
          </w:p>
        </w:tc>
        <w:tc>
          <w:tcPr>
            <w:tcW w:w="1656" w:type="dxa"/>
            <w:tcBorders>
              <w:top w:val="nil"/>
              <w:left w:val="nil"/>
              <w:bottom w:val="nil"/>
              <w:right w:val="nil"/>
            </w:tcBorders>
          </w:tcPr>
          <w:p w14:paraId="687E6BB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(-0.80)</w:t>
            </w:r>
          </w:p>
        </w:tc>
        <w:tc>
          <w:tcPr>
            <w:tcW w:w="1656" w:type="dxa"/>
            <w:tcBorders>
              <w:top w:val="nil"/>
              <w:left w:val="nil"/>
              <w:bottom w:val="nil"/>
              <w:right w:val="nil"/>
            </w:tcBorders>
          </w:tcPr>
          <w:p w14:paraId="54F811F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(-0.93)</w:t>
            </w:r>
          </w:p>
        </w:tc>
        <w:tc>
          <w:tcPr>
            <w:tcW w:w="1656" w:type="dxa"/>
            <w:tcBorders>
              <w:top w:val="nil"/>
              <w:left w:val="nil"/>
              <w:bottom w:val="nil"/>
              <w:right w:val="nil"/>
            </w:tcBorders>
          </w:tcPr>
          <w:p w14:paraId="4BD5340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(-1.85)</w:t>
            </w:r>
          </w:p>
        </w:tc>
      </w:tr>
      <w:tr w:rsidR="006A4F42" w:rsidRPr="002E7BF3" w14:paraId="56733289" w14:textId="77777777" w:rsidTr="00015B88">
        <w:tc>
          <w:tcPr>
            <w:tcW w:w="2136" w:type="dxa"/>
            <w:tcBorders>
              <w:top w:val="nil"/>
              <w:left w:val="nil"/>
              <w:bottom w:val="nil"/>
              <w:right w:val="nil"/>
            </w:tcBorders>
          </w:tcPr>
          <w:p w14:paraId="5E24668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7E8BE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CB1475"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DCB507"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9B64B"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7BE19224" w14:textId="77777777" w:rsidTr="00015B88">
        <w:tc>
          <w:tcPr>
            <w:tcW w:w="2136" w:type="dxa"/>
            <w:tcBorders>
              <w:top w:val="nil"/>
              <w:left w:val="nil"/>
              <w:bottom w:val="nil"/>
              <w:right w:val="nil"/>
            </w:tcBorders>
          </w:tcPr>
          <w:p w14:paraId="1C66A31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288A68D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0.0586</w:t>
            </w:r>
          </w:p>
        </w:tc>
        <w:tc>
          <w:tcPr>
            <w:tcW w:w="1656" w:type="dxa"/>
            <w:tcBorders>
              <w:top w:val="nil"/>
              <w:left w:val="nil"/>
              <w:bottom w:val="nil"/>
              <w:right w:val="nil"/>
            </w:tcBorders>
          </w:tcPr>
          <w:p w14:paraId="60E5CE22"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0.0208</w:t>
            </w:r>
          </w:p>
        </w:tc>
        <w:tc>
          <w:tcPr>
            <w:tcW w:w="1656" w:type="dxa"/>
            <w:tcBorders>
              <w:top w:val="nil"/>
              <w:left w:val="nil"/>
              <w:bottom w:val="nil"/>
              <w:right w:val="nil"/>
            </w:tcBorders>
          </w:tcPr>
          <w:p w14:paraId="6B21E51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0.0285</w:t>
            </w:r>
          </w:p>
        </w:tc>
        <w:tc>
          <w:tcPr>
            <w:tcW w:w="1656" w:type="dxa"/>
            <w:tcBorders>
              <w:top w:val="nil"/>
              <w:left w:val="nil"/>
              <w:bottom w:val="nil"/>
              <w:right w:val="nil"/>
            </w:tcBorders>
          </w:tcPr>
          <w:p w14:paraId="0E5F5F8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-0.0427</w:t>
            </w:r>
          </w:p>
        </w:tc>
      </w:tr>
      <w:tr w:rsidR="006A4F42" w:rsidRPr="002E7BF3" w14:paraId="20902FF1" w14:textId="77777777" w:rsidTr="00015B88">
        <w:tc>
          <w:tcPr>
            <w:tcW w:w="2136" w:type="dxa"/>
            <w:tcBorders>
              <w:top w:val="nil"/>
              <w:left w:val="nil"/>
              <w:bottom w:val="nil"/>
              <w:right w:val="nil"/>
            </w:tcBorders>
          </w:tcPr>
          <w:p w14:paraId="17B05AD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9324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(0.72)</w:t>
            </w:r>
          </w:p>
        </w:tc>
        <w:tc>
          <w:tcPr>
            <w:tcW w:w="1656" w:type="dxa"/>
            <w:tcBorders>
              <w:top w:val="nil"/>
              <w:left w:val="nil"/>
              <w:bottom w:val="nil"/>
              <w:right w:val="nil"/>
            </w:tcBorders>
          </w:tcPr>
          <w:p w14:paraId="072AE80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(0.20)</w:t>
            </w:r>
          </w:p>
        </w:tc>
        <w:tc>
          <w:tcPr>
            <w:tcW w:w="1656" w:type="dxa"/>
            <w:tcBorders>
              <w:top w:val="nil"/>
              <w:left w:val="nil"/>
              <w:bottom w:val="nil"/>
              <w:right w:val="nil"/>
            </w:tcBorders>
          </w:tcPr>
          <w:p w14:paraId="1412F46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(0.33)</w:t>
            </w:r>
          </w:p>
        </w:tc>
        <w:tc>
          <w:tcPr>
            <w:tcW w:w="1656" w:type="dxa"/>
            <w:tcBorders>
              <w:top w:val="nil"/>
              <w:left w:val="nil"/>
              <w:bottom w:val="nil"/>
              <w:right w:val="nil"/>
            </w:tcBorders>
          </w:tcPr>
          <w:p w14:paraId="3638152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(-0.82)</w:t>
            </w:r>
          </w:p>
        </w:tc>
      </w:tr>
      <w:tr w:rsidR="006A4F42" w:rsidRPr="002E7BF3" w14:paraId="53777B27" w14:textId="77777777" w:rsidTr="00015B88">
        <w:tc>
          <w:tcPr>
            <w:tcW w:w="2136" w:type="dxa"/>
            <w:tcBorders>
              <w:top w:val="nil"/>
              <w:left w:val="nil"/>
              <w:bottom w:val="nil"/>
              <w:right w:val="nil"/>
            </w:tcBorders>
          </w:tcPr>
          <w:p w14:paraId="568C01E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29E9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FBCBB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C428A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57F5A5"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39953AD3" w14:textId="77777777" w:rsidTr="00015B88">
        <w:tc>
          <w:tcPr>
            <w:tcW w:w="2136" w:type="dxa"/>
            <w:tcBorders>
              <w:top w:val="nil"/>
              <w:left w:val="nil"/>
              <w:bottom w:val="nil"/>
              <w:right w:val="nil"/>
            </w:tcBorders>
          </w:tcPr>
          <w:p w14:paraId="29BC7A8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3EB68F4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0.0681</w:t>
            </w:r>
          </w:p>
        </w:tc>
        <w:tc>
          <w:tcPr>
            <w:tcW w:w="1656" w:type="dxa"/>
            <w:tcBorders>
              <w:top w:val="nil"/>
              <w:left w:val="nil"/>
              <w:bottom w:val="nil"/>
              <w:right w:val="nil"/>
            </w:tcBorders>
          </w:tcPr>
          <w:p w14:paraId="7CA43E2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0.0304</w:t>
            </w:r>
          </w:p>
        </w:tc>
        <w:tc>
          <w:tcPr>
            <w:tcW w:w="1656" w:type="dxa"/>
            <w:tcBorders>
              <w:top w:val="nil"/>
              <w:left w:val="nil"/>
              <w:bottom w:val="nil"/>
              <w:right w:val="nil"/>
            </w:tcBorders>
          </w:tcPr>
          <w:p w14:paraId="43F185C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0.0342</w:t>
            </w:r>
          </w:p>
        </w:tc>
        <w:tc>
          <w:tcPr>
            <w:tcW w:w="1656" w:type="dxa"/>
            <w:tcBorders>
              <w:top w:val="nil"/>
              <w:left w:val="nil"/>
              <w:bottom w:val="nil"/>
              <w:right w:val="nil"/>
            </w:tcBorders>
          </w:tcPr>
          <w:p w14:paraId="23A6303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-0.0339</w:t>
            </w:r>
          </w:p>
        </w:tc>
      </w:tr>
      <w:tr w:rsidR="006A4F42" w:rsidRPr="002E7BF3" w14:paraId="7A6E1CC0" w14:textId="77777777" w:rsidTr="00015B88">
        <w:tc>
          <w:tcPr>
            <w:tcW w:w="2136" w:type="dxa"/>
            <w:tcBorders>
              <w:top w:val="nil"/>
              <w:left w:val="nil"/>
              <w:bottom w:val="nil"/>
              <w:right w:val="nil"/>
            </w:tcBorders>
          </w:tcPr>
          <w:p w14:paraId="2CFE800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1678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(0.85)</w:t>
            </w:r>
          </w:p>
        </w:tc>
        <w:tc>
          <w:tcPr>
            <w:tcW w:w="1656" w:type="dxa"/>
            <w:tcBorders>
              <w:top w:val="nil"/>
              <w:left w:val="nil"/>
              <w:bottom w:val="nil"/>
              <w:right w:val="nil"/>
            </w:tcBorders>
          </w:tcPr>
          <w:p w14:paraId="116E671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(0.29)</w:t>
            </w:r>
          </w:p>
        </w:tc>
        <w:tc>
          <w:tcPr>
            <w:tcW w:w="1656" w:type="dxa"/>
            <w:tcBorders>
              <w:top w:val="nil"/>
              <w:left w:val="nil"/>
              <w:bottom w:val="nil"/>
              <w:right w:val="nil"/>
            </w:tcBorders>
          </w:tcPr>
          <w:p w14:paraId="537683A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(0.47)</w:t>
            </w:r>
          </w:p>
        </w:tc>
        <w:tc>
          <w:tcPr>
            <w:tcW w:w="1656" w:type="dxa"/>
            <w:tcBorders>
              <w:top w:val="nil"/>
              <w:left w:val="nil"/>
              <w:bottom w:val="nil"/>
              <w:right w:val="nil"/>
            </w:tcBorders>
          </w:tcPr>
          <w:p w14:paraId="04A649E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(-1.09)</w:t>
            </w:r>
          </w:p>
        </w:tc>
      </w:tr>
      <w:tr w:rsidR="006A4F42" w:rsidRPr="002E7BF3" w14:paraId="2A886A9C" w14:textId="77777777" w:rsidTr="00015B88">
        <w:tc>
          <w:tcPr>
            <w:tcW w:w="2136" w:type="dxa"/>
            <w:tcBorders>
              <w:top w:val="nil"/>
              <w:left w:val="nil"/>
              <w:bottom w:val="nil"/>
              <w:right w:val="nil"/>
            </w:tcBorders>
          </w:tcPr>
          <w:p w14:paraId="6D51D8E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BDA9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D61EB"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A23B7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D09F9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70291B13" w14:textId="77777777" w:rsidTr="00015B88">
        <w:tc>
          <w:tcPr>
            <w:tcW w:w="2136" w:type="dxa"/>
            <w:tcBorders>
              <w:top w:val="nil"/>
              <w:left w:val="nil"/>
              <w:bottom w:val="nil"/>
              <w:right w:val="nil"/>
            </w:tcBorders>
          </w:tcPr>
          <w:p w14:paraId="4E6E9FF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04FB908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0.0268</w:t>
            </w:r>
          </w:p>
        </w:tc>
        <w:tc>
          <w:tcPr>
            <w:tcW w:w="1656" w:type="dxa"/>
            <w:tcBorders>
              <w:top w:val="nil"/>
              <w:left w:val="nil"/>
              <w:bottom w:val="nil"/>
              <w:right w:val="nil"/>
            </w:tcBorders>
          </w:tcPr>
          <w:p w14:paraId="41E4AE6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-0.0244</w:t>
            </w:r>
          </w:p>
        </w:tc>
        <w:tc>
          <w:tcPr>
            <w:tcW w:w="1656" w:type="dxa"/>
            <w:tcBorders>
              <w:top w:val="nil"/>
              <w:left w:val="nil"/>
              <w:bottom w:val="nil"/>
              <w:right w:val="nil"/>
            </w:tcBorders>
          </w:tcPr>
          <w:p w14:paraId="7D02E4E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0.127</w:t>
            </w:r>
          </w:p>
        </w:tc>
        <w:tc>
          <w:tcPr>
            <w:tcW w:w="1656" w:type="dxa"/>
            <w:tcBorders>
              <w:top w:val="nil"/>
              <w:left w:val="nil"/>
              <w:bottom w:val="nil"/>
              <w:right w:val="nil"/>
            </w:tcBorders>
          </w:tcPr>
          <w:p w14:paraId="7314630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0.0851</w:t>
            </w:r>
            <w:r w:rsidRPr="002E7BF3">
              <w:rPr>
                <w:rFonts w:ascii="Times New Roman" w:hAnsi="Times New Roman" w:cs="Times New Roman"/>
                <w:sz w:val="16"/>
                <w:szCs w:val="16"/>
                <w:vertAlign w:val="superscript"/>
              </w:rPr>
              <w:t>*</w:t>
            </w:r>
          </w:p>
        </w:tc>
      </w:tr>
      <w:tr w:rsidR="006A4F42" w:rsidRPr="002E7BF3" w14:paraId="79834031" w14:textId="77777777" w:rsidTr="00015B88">
        <w:tc>
          <w:tcPr>
            <w:tcW w:w="2136" w:type="dxa"/>
            <w:tcBorders>
              <w:top w:val="nil"/>
              <w:left w:val="nil"/>
              <w:bottom w:val="nil"/>
              <w:right w:val="nil"/>
            </w:tcBorders>
          </w:tcPr>
          <w:p w14:paraId="7400A60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ED692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(0.38)</w:t>
            </w:r>
          </w:p>
        </w:tc>
        <w:tc>
          <w:tcPr>
            <w:tcW w:w="1656" w:type="dxa"/>
            <w:tcBorders>
              <w:top w:val="nil"/>
              <w:left w:val="nil"/>
              <w:bottom w:val="nil"/>
              <w:right w:val="nil"/>
            </w:tcBorders>
          </w:tcPr>
          <w:p w14:paraId="49E8C41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(-0.28)</w:t>
            </w:r>
          </w:p>
        </w:tc>
        <w:tc>
          <w:tcPr>
            <w:tcW w:w="1656" w:type="dxa"/>
            <w:tcBorders>
              <w:top w:val="nil"/>
              <w:left w:val="nil"/>
              <w:bottom w:val="nil"/>
              <w:right w:val="nil"/>
            </w:tcBorders>
          </w:tcPr>
          <w:p w14:paraId="01B7203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(1.79)</w:t>
            </w:r>
          </w:p>
        </w:tc>
        <w:tc>
          <w:tcPr>
            <w:tcW w:w="1656" w:type="dxa"/>
            <w:tcBorders>
              <w:top w:val="nil"/>
              <w:left w:val="nil"/>
              <w:bottom w:val="nil"/>
              <w:right w:val="nil"/>
            </w:tcBorders>
          </w:tcPr>
          <w:p w14:paraId="695B958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(2.00)</w:t>
            </w:r>
          </w:p>
        </w:tc>
      </w:tr>
      <w:tr w:rsidR="006A4F42" w:rsidRPr="002E7BF3" w14:paraId="6D08A754" w14:textId="77777777" w:rsidTr="00015B88">
        <w:tc>
          <w:tcPr>
            <w:tcW w:w="2136" w:type="dxa"/>
            <w:tcBorders>
              <w:top w:val="nil"/>
              <w:left w:val="nil"/>
              <w:bottom w:val="nil"/>
              <w:right w:val="nil"/>
            </w:tcBorders>
          </w:tcPr>
          <w:p w14:paraId="3B428FD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94DE4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204C5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CA94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97BBB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2EBB9807" w14:textId="77777777" w:rsidTr="00015B88">
        <w:tc>
          <w:tcPr>
            <w:tcW w:w="2136" w:type="dxa"/>
            <w:tcBorders>
              <w:top w:val="nil"/>
              <w:left w:val="nil"/>
              <w:bottom w:val="nil"/>
              <w:right w:val="nil"/>
            </w:tcBorders>
          </w:tcPr>
          <w:p w14:paraId="0008318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55611D8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-0.157</w:t>
            </w:r>
            <w:r w:rsidRPr="002E7BF3">
              <w:rPr>
                <w:rFonts w:ascii="Times New Roman" w:hAnsi="Times New Roman" w:cs="Times New Roman"/>
                <w:sz w:val="16"/>
                <w:szCs w:val="16"/>
                <w:vertAlign w:val="superscript"/>
              </w:rPr>
              <w:t>**</w:t>
            </w:r>
          </w:p>
        </w:tc>
        <w:tc>
          <w:tcPr>
            <w:tcW w:w="1656" w:type="dxa"/>
            <w:tcBorders>
              <w:top w:val="nil"/>
              <w:left w:val="nil"/>
              <w:bottom w:val="nil"/>
              <w:right w:val="nil"/>
            </w:tcBorders>
          </w:tcPr>
          <w:p w14:paraId="09B685D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-0.0607</w:t>
            </w:r>
          </w:p>
        </w:tc>
        <w:tc>
          <w:tcPr>
            <w:tcW w:w="1656" w:type="dxa"/>
            <w:tcBorders>
              <w:top w:val="nil"/>
              <w:left w:val="nil"/>
              <w:bottom w:val="nil"/>
              <w:right w:val="nil"/>
            </w:tcBorders>
          </w:tcPr>
          <w:p w14:paraId="3A390FE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-0.212</w:t>
            </w:r>
            <w:r w:rsidRPr="002E7BF3">
              <w:rPr>
                <w:rFonts w:ascii="Times New Roman" w:hAnsi="Times New Roman" w:cs="Times New Roman"/>
                <w:sz w:val="16"/>
                <w:szCs w:val="16"/>
                <w:vertAlign w:val="superscript"/>
              </w:rPr>
              <w:t>*</w:t>
            </w:r>
          </w:p>
        </w:tc>
        <w:tc>
          <w:tcPr>
            <w:tcW w:w="1656" w:type="dxa"/>
            <w:tcBorders>
              <w:top w:val="nil"/>
              <w:left w:val="nil"/>
              <w:bottom w:val="nil"/>
              <w:right w:val="nil"/>
            </w:tcBorders>
          </w:tcPr>
          <w:p w14:paraId="3A24BEE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-0.0303</w:t>
            </w:r>
          </w:p>
        </w:tc>
      </w:tr>
      <w:tr w:rsidR="006A4F42" w:rsidRPr="002E7BF3" w14:paraId="3CF9E6D4" w14:textId="77777777" w:rsidTr="00015B88">
        <w:tc>
          <w:tcPr>
            <w:tcW w:w="2136" w:type="dxa"/>
            <w:tcBorders>
              <w:top w:val="nil"/>
              <w:left w:val="nil"/>
              <w:bottom w:val="nil"/>
              <w:right w:val="nil"/>
            </w:tcBorders>
          </w:tcPr>
          <w:p w14:paraId="6DC419A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94F6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(-2.68)</w:t>
            </w:r>
          </w:p>
        </w:tc>
        <w:tc>
          <w:tcPr>
            <w:tcW w:w="1656" w:type="dxa"/>
            <w:tcBorders>
              <w:top w:val="nil"/>
              <w:left w:val="nil"/>
              <w:bottom w:val="nil"/>
              <w:right w:val="nil"/>
            </w:tcBorders>
          </w:tcPr>
          <w:p w14:paraId="4108B2C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(-0.80)</w:t>
            </w:r>
          </w:p>
        </w:tc>
        <w:tc>
          <w:tcPr>
            <w:tcW w:w="1656" w:type="dxa"/>
            <w:tcBorders>
              <w:top w:val="nil"/>
              <w:left w:val="nil"/>
              <w:bottom w:val="nil"/>
              <w:right w:val="nil"/>
            </w:tcBorders>
          </w:tcPr>
          <w:p w14:paraId="05BF869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(-2.36)</w:t>
            </w:r>
          </w:p>
        </w:tc>
        <w:tc>
          <w:tcPr>
            <w:tcW w:w="1656" w:type="dxa"/>
            <w:tcBorders>
              <w:top w:val="nil"/>
              <w:left w:val="nil"/>
              <w:bottom w:val="nil"/>
              <w:right w:val="nil"/>
            </w:tcBorders>
          </w:tcPr>
          <w:p w14:paraId="1F9BF45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(-0.71)</w:t>
            </w:r>
          </w:p>
        </w:tc>
      </w:tr>
      <w:tr w:rsidR="006A4F42" w:rsidRPr="002E7BF3" w14:paraId="1EA76701" w14:textId="77777777" w:rsidTr="00015B88">
        <w:tc>
          <w:tcPr>
            <w:tcW w:w="2136" w:type="dxa"/>
            <w:tcBorders>
              <w:top w:val="nil"/>
              <w:left w:val="nil"/>
              <w:bottom w:val="nil"/>
              <w:right w:val="nil"/>
            </w:tcBorders>
          </w:tcPr>
          <w:p w14:paraId="5A192D7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F19E3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4EC2F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9B58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D4C57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29D76A8B" w14:textId="77777777" w:rsidTr="00015B88">
        <w:tc>
          <w:tcPr>
            <w:tcW w:w="2136" w:type="dxa"/>
            <w:tcBorders>
              <w:top w:val="nil"/>
              <w:left w:val="nil"/>
              <w:bottom w:val="nil"/>
              <w:right w:val="nil"/>
            </w:tcBorders>
          </w:tcPr>
          <w:p w14:paraId="17275AD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5BD5D7C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0.139</w:t>
            </w:r>
          </w:p>
        </w:tc>
        <w:tc>
          <w:tcPr>
            <w:tcW w:w="1656" w:type="dxa"/>
            <w:tcBorders>
              <w:top w:val="nil"/>
              <w:left w:val="nil"/>
              <w:bottom w:val="nil"/>
              <w:right w:val="nil"/>
            </w:tcBorders>
          </w:tcPr>
          <w:p w14:paraId="35C2F08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0.127</w:t>
            </w:r>
          </w:p>
        </w:tc>
        <w:tc>
          <w:tcPr>
            <w:tcW w:w="1656" w:type="dxa"/>
            <w:tcBorders>
              <w:top w:val="nil"/>
              <w:left w:val="nil"/>
              <w:bottom w:val="nil"/>
              <w:right w:val="nil"/>
            </w:tcBorders>
          </w:tcPr>
          <w:p w14:paraId="1292A76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0.136</w:t>
            </w:r>
          </w:p>
        </w:tc>
        <w:tc>
          <w:tcPr>
            <w:tcW w:w="1656" w:type="dxa"/>
            <w:tcBorders>
              <w:top w:val="nil"/>
              <w:left w:val="nil"/>
              <w:bottom w:val="nil"/>
              <w:right w:val="nil"/>
            </w:tcBorders>
          </w:tcPr>
          <w:p w14:paraId="1F2D59B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0.0105</w:t>
            </w:r>
          </w:p>
        </w:tc>
      </w:tr>
      <w:tr w:rsidR="006A4F42" w:rsidRPr="002E7BF3" w14:paraId="6A2F9897" w14:textId="77777777" w:rsidTr="00015B88">
        <w:tc>
          <w:tcPr>
            <w:tcW w:w="2136" w:type="dxa"/>
            <w:tcBorders>
              <w:top w:val="nil"/>
              <w:left w:val="nil"/>
              <w:bottom w:val="nil"/>
              <w:right w:val="nil"/>
            </w:tcBorders>
          </w:tcPr>
          <w:p w14:paraId="481F1EA7"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E7C36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(1.82)</w:t>
            </w:r>
          </w:p>
        </w:tc>
        <w:tc>
          <w:tcPr>
            <w:tcW w:w="1656" w:type="dxa"/>
            <w:tcBorders>
              <w:top w:val="nil"/>
              <w:left w:val="nil"/>
              <w:bottom w:val="nil"/>
              <w:right w:val="nil"/>
            </w:tcBorders>
          </w:tcPr>
          <w:p w14:paraId="1241603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(1.25)</w:t>
            </w:r>
          </w:p>
        </w:tc>
        <w:tc>
          <w:tcPr>
            <w:tcW w:w="1656" w:type="dxa"/>
            <w:tcBorders>
              <w:top w:val="nil"/>
              <w:left w:val="nil"/>
              <w:bottom w:val="nil"/>
              <w:right w:val="nil"/>
            </w:tcBorders>
          </w:tcPr>
          <w:p w14:paraId="71146D8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(1.90)</w:t>
            </w:r>
          </w:p>
        </w:tc>
        <w:tc>
          <w:tcPr>
            <w:tcW w:w="1656" w:type="dxa"/>
            <w:tcBorders>
              <w:top w:val="nil"/>
              <w:left w:val="nil"/>
              <w:bottom w:val="nil"/>
              <w:right w:val="nil"/>
            </w:tcBorders>
          </w:tcPr>
          <w:p w14:paraId="37B9B3B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(0.35)</w:t>
            </w:r>
          </w:p>
        </w:tc>
      </w:tr>
      <w:tr w:rsidR="006A4F42" w:rsidRPr="002E7BF3" w14:paraId="2574C0B4" w14:textId="77777777" w:rsidTr="00015B88">
        <w:tc>
          <w:tcPr>
            <w:tcW w:w="2136" w:type="dxa"/>
            <w:tcBorders>
              <w:top w:val="nil"/>
              <w:left w:val="nil"/>
              <w:bottom w:val="nil"/>
              <w:right w:val="nil"/>
            </w:tcBorders>
          </w:tcPr>
          <w:p w14:paraId="3EFDCC65"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71BFB"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9252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B23EA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195F95"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2BE250D9" w14:textId="77777777" w:rsidTr="00015B88">
        <w:tc>
          <w:tcPr>
            <w:tcW w:w="2136" w:type="dxa"/>
            <w:tcBorders>
              <w:top w:val="nil"/>
              <w:left w:val="nil"/>
              <w:bottom w:val="nil"/>
              <w:right w:val="nil"/>
            </w:tcBorders>
          </w:tcPr>
          <w:p w14:paraId="0B11909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3BE574A2"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-0.0560</w:t>
            </w:r>
          </w:p>
        </w:tc>
        <w:tc>
          <w:tcPr>
            <w:tcW w:w="1656" w:type="dxa"/>
            <w:tcBorders>
              <w:top w:val="nil"/>
              <w:left w:val="nil"/>
              <w:bottom w:val="nil"/>
              <w:right w:val="nil"/>
            </w:tcBorders>
          </w:tcPr>
          <w:p w14:paraId="6CB83B0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0.0299</w:t>
            </w:r>
          </w:p>
        </w:tc>
        <w:tc>
          <w:tcPr>
            <w:tcW w:w="1656" w:type="dxa"/>
            <w:tcBorders>
              <w:top w:val="nil"/>
              <w:left w:val="nil"/>
              <w:bottom w:val="nil"/>
              <w:right w:val="nil"/>
            </w:tcBorders>
          </w:tcPr>
          <w:p w14:paraId="72BD3CA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-0.0549</w:t>
            </w:r>
          </w:p>
        </w:tc>
        <w:tc>
          <w:tcPr>
            <w:tcW w:w="1656" w:type="dxa"/>
            <w:tcBorders>
              <w:top w:val="nil"/>
              <w:left w:val="nil"/>
              <w:bottom w:val="nil"/>
              <w:right w:val="nil"/>
            </w:tcBorders>
          </w:tcPr>
          <w:p w14:paraId="60CCCD0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-0.0198</w:t>
            </w:r>
          </w:p>
        </w:tc>
      </w:tr>
      <w:tr w:rsidR="006A4F42" w:rsidRPr="002E7BF3" w14:paraId="1F2B2EA3" w14:textId="77777777" w:rsidTr="00015B88">
        <w:tc>
          <w:tcPr>
            <w:tcW w:w="2136" w:type="dxa"/>
            <w:tcBorders>
              <w:top w:val="nil"/>
              <w:left w:val="nil"/>
              <w:bottom w:val="nil"/>
              <w:right w:val="nil"/>
            </w:tcBorders>
          </w:tcPr>
          <w:p w14:paraId="24445D5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BE8C0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(-0.76)</w:t>
            </w:r>
          </w:p>
        </w:tc>
        <w:tc>
          <w:tcPr>
            <w:tcW w:w="1656" w:type="dxa"/>
            <w:tcBorders>
              <w:top w:val="nil"/>
              <w:left w:val="nil"/>
              <w:bottom w:val="nil"/>
              <w:right w:val="nil"/>
            </w:tcBorders>
          </w:tcPr>
          <w:p w14:paraId="420EE12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(0.33)</w:t>
            </w:r>
          </w:p>
        </w:tc>
        <w:tc>
          <w:tcPr>
            <w:tcW w:w="1656" w:type="dxa"/>
            <w:tcBorders>
              <w:top w:val="nil"/>
              <w:left w:val="nil"/>
              <w:bottom w:val="nil"/>
              <w:right w:val="nil"/>
            </w:tcBorders>
          </w:tcPr>
          <w:p w14:paraId="4FE1664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(-0.71)</w:t>
            </w:r>
          </w:p>
        </w:tc>
        <w:tc>
          <w:tcPr>
            <w:tcW w:w="1656" w:type="dxa"/>
            <w:tcBorders>
              <w:top w:val="nil"/>
              <w:left w:val="nil"/>
              <w:bottom w:val="nil"/>
              <w:right w:val="nil"/>
            </w:tcBorders>
          </w:tcPr>
          <w:p w14:paraId="151D46A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(-0.54)</w:t>
            </w:r>
          </w:p>
        </w:tc>
      </w:tr>
      <w:tr w:rsidR="006A4F42" w:rsidRPr="002E7BF3" w14:paraId="6B0E8184" w14:textId="77777777" w:rsidTr="00015B88">
        <w:tc>
          <w:tcPr>
            <w:tcW w:w="2136" w:type="dxa"/>
            <w:tcBorders>
              <w:top w:val="nil"/>
              <w:left w:val="nil"/>
              <w:bottom w:val="nil"/>
              <w:right w:val="nil"/>
            </w:tcBorders>
          </w:tcPr>
          <w:p w14:paraId="56A8D3C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D0FB05"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AA91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767D27"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ABFCD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34F8794C" w14:textId="77777777" w:rsidTr="00015B88">
        <w:tc>
          <w:tcPr>
            <w:tcW w:w="2136" w:type="dxa"/>
            <w:tcBorders>
              <w:top w:val="nil"/>
              <w:left w:val="nil"/>
              <w:bottom w:val="nil"/>
              <w:right w:val="nil"/>
            </w:tcBorders>
          </w:tcPr>
          <w:p w14:paraId="268B898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5227111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0.00560</w:t>
            </w:r>
          </w:p>
        </w:tc>
        <w:tc>
          <w:tcPr>
            <w:tcW w:w="1656" w:type="dxa"/>
            <w:tcBorders>
              <w:top w:val="nil"/>
              <w:left w:val="nil"/>
              <w:bottom w:val="nil"/>
              <w:right w:val="nil"/>
            </w:tcBorders>
          </w:tcPr>
          <w:p w14:paraId="3FC6DF5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-0.0786</w:t>
            </w:r>
          </w:p>
        </w:tc>
        <w:tc>
          <w:tcPr>
            <w:tcW w:w="1656" w:type="dxa"/>
            <w:tcBorders>
              <w:top w:val="nil"/>
              <w:left w:val="nil"/>
              <w:bottom w:val="nil"/>
              <w:right w:val="nil"/>
            </w:tcBorders>
          </w:tcPr>
          <w:p w14:paraId="4B73EE5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-0.0156</w:t>
            </w:r>
          </w:p>
        </w:tc>
        <w:tc>
          <w:tcPr>
            <w:tcW w:w="1656" w:type="dxa"/>
            <w:tcBorders>
              <w:top w:val="nil"/>
              <w:left w:val="nil"/>
              <w:bottom w:val="nil"/>
              <w:right w:val="nil"/>
            </w:tcBorders>
          </w:tcPr>
          <w:p w14:paraId="398B6D9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0.0666</w:t>
            </w:r>
          </w:p>
        </w:tc>
      </w:tr>
      <w:tr w:rsidR="006A4F42" w:rsidRPr="002E7BF3" w14:paraId="6D716612" w14:textId="77777777" w:rsidTr="00015B88">
        <w:tc>
          <w:tcPr>
            <w:tcW w:w="2136" w:type="dxa"/>
            <w:tcBorders>
              <w:top w:val="nil"/>
              <w:left w:val="nil"/>
              <w:bottom w:val="nil"/>
              <w:right w:val="nil"/>
            </w:tcBorders>
          </w:tcPr>
          <w:p w14:paraId="3B5235F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ED515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(0.09)</w:t>
            </w:r>
          </w:p>
        </w:tc>
        <w:tc>
          <w:tcPr>
            <w:tcW w:w="1656" w:type="dxa"/>
            <w:tcBorders>
              <w:top w:val="nil"/>
              <w:left w:val="nil"/>
              <w:bottom w:val="nil"/>
              <w:right w:val="nil"/>
            </w:tcBorders>
          </w:tcPr>
          <w:p w14:paraId="3A57810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(-0.95)</w:t>
            </w:r>
          </w:p>
        </w:tc>
        <w:tc>
          <w:tcPr>
            <w:tcW w:w="1656" w:type="dxa"/>
            <w:tcBorders>
              <w:top w:val="nil"/>
              <w:left w:val="nil"/>
              <w:bottom w:val="nil"/>
              <w:right w:val="nil"/>
            </w:tcBorders>
          </w:tcPr>
          <w:p w14:paraId="49FDC96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(-0.22)</w:t>
            </w:r>
          </w:p>
        </w:tc>
        <w:tc>
          <w:tcPr>
            <w:tcW w:w="1656" w:type="dxa"/>
            <w:tcBorders>
              <w:top w:val="nil"/>
              <w:left w:val="nil"/>
              <w:bottom w:val="nil"/>
              <w:right w:val="nil"/>
            </w:tcBorders>
          </w:tcPr>
          <w:p w14:paraId="28234DE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(1.81)</w:t>
            </w:r>
          </w:p>
        </w:tc>
      </w:tr>
      <w:tr w:rsidR="006A4F42" w:rsidRPr="002E7BF3" w14:paraId="7D506107" w14:textId="77777777" w:rsidTr="00015B88">
        <w:tc>
          <w:tcPr>
            <w:tcW w:w="2136" w:type="dxa"/>
            <w:tcBorders>
              <w:top w:val="nil"/>
              <w:left w:val="nil"/>
              <w:bottom w:val="nil"/>
              <w:right w:val="nil"/>
            </w:tcBorders>
          </w:tcPr>
          <w:p w14:paraId="3265ACB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A08D3B"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6B74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C0C92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F287C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1BADF47C" w14:textId="77777777" w:rsidTr="00015B88">
        <w:tc>
          <w:tcPr>
            <w:tcW w:w="2136" w:type="dxa"/>
            <w:tcBorders>
              <w:top w:val="nil"/>
              <w:left w:val="nil"/>
              <w:bottom w:val="nil"/>
              <w:right w:val="nil"/>
            </w:tcBorders>
          </w:tcPr>
          <w:p w14:paraId="0FA74FC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20AC5BB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-0.00547</w:t>
            </w:r>
          </w:p>
        </w:tc>
        <w:tc>
          <w:tcPr>
            <w:tcW w:w="1656" w:type="dxa"/>
            <w:tcBorders>
              <w:top w:val="nil"/>
              <w:left w:val="nil"/>
              <w:bottom w:val="nil"/>
              <w:right w:val="nil"/>
            </w:tcBorders>
          </w:tcPr>
          <w:p w14:paraId="0F4632F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-0.0420</w:t>
            </w:r>
          </w:p>
        </w:tc>
        <w:tc>
          <w:tcPr>
            <w:tcW w:w="1656" w:type="dxa"/>
            <w:tcBorders>
              <w:top w:val="nil"/>
              <w:left w:val="nil"/>
              <w:bottom w:val="nil"/>
              <w:right w:val="nil"/>
            </w:tcBorders>
          </w:tcPr>
          <w:p w14:paraId="131E519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0.0352</w:t>
            </w:r>
          </w:p>
        </w:tc>
        <w:tc>
          <w:tcPr>
            <w:tcW w:w="1656" w:type="dxa"/>
            <w:tcBorders>
              <w:top w:val="nil"/>
              <w:left w:val="nil"/>
              <w:bottom w:val="nil"/>
              <w:right w:val="nil"/>
            </w:tcBorders>
          </w:tcPr>
          <w:p w14:paraId="0D2D3DF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0.0123</w:t>
            </w:r>
          </w:p>
        </w:tc>
      </w:tr>
      <w:tr w:rsidR="006A4F42" w:rsidRPr="002E7BF3" w14:paraId="23E5E7B4" w14:textId="77777777" w:rsidTr="00015B88">
        <w:tc>
          <w:tcPr>
            <w:tcW w:w="2136" w:type="dxa"/>
            <w:tcBorders>
              <w:top w:val="nil"/>
              <w:left w:val="nil"/>
              <w:bottom w:val="nil"/>
              <w:right w:val="nil"/>
            </w:tcBorders>
          </w:tcPr>
          <w:p w14:paraId="7B88F9C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E36B7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(-0.11)</w:t>
            </w:r>
          </w:p>
        </w:tc>
        <w:tc>
          <w:tcPr>
            <w:tcW w:w="1656" w:type="dxa"/>
            <w:tcBorders>
              <w:top w:val="nil"/>
              <w:left w:val="nil"/>
              <w:bottom w:val="nil"/>
              <w:right w:val="nil"/>
            </w:tcBorders>
          </w:tcPr>
          <w:p w14:paraId="3F9E66C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(-0.74)</w:t>
            </w:r>
          </w:p>
        </w:tc>
        <w:tc>
          <w:tcPr>
            <w:tcW w:w="1656" w:type="dxa"/>
            <w:tcBorders>
              <w:top w:val="nil"/>
              <w:left w:val="nil"/>
              <w:bottom w:val="nil"/>
              <w:right w:val="nil"/>
            </w:tcBorders>
          </w:tcPr>
          <w:p w14:paraId="3ADADDF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(0.69)</w:t>
            </w:r>
          </w:p>
        </w:tc>
        <w:tc>
          <w:tcPr>
            <w:tcW w:w="1656" w:type="dxa"/>
            <w:tcBorders>
              <w:top w:val="nil"/>
              <w:left w:val="nil"/>
              <w:bottom w:val="nil"/>
              <w:right w:val="nil"/>
            </w:tcBorders>
          </w:tcPr>
          <w:p w14:paraId="7982A44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(0.25)</w:t>
            </w:r>
          </w:p>
        </w:tc>
      </w:tr>
      <w:tr w:rsidR="006A4F42" w:rsidRPr="002E7BF3" w14:paraId="2743DA5A" w14:textId="77777777" w:rsidTr="00015B88">
        <w:tc>
          <w:tcPr>
            <w:tcW w:w="2136" w:type="dxa"/>
            <w:tcBorders>
              <w:top w:val="nil"/>
              <w:left w:val="nil"/>
              <w:bottom w:val="nil"/>
              <w:right w:val="nil"/>
            </w:tcBorders>
          </w:tcPr>
          <w:p w14:paraId="45F6B40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5C0B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E371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B36F2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BCEFA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775B5FD6" w14:textId="77777777" w:rsidTr="00015B88">
        <w:tc>
          <w:tcPr>
            <w:tcW w:w="2136" w:type="dxa"/>
            <w:tcBorders>
              <w:top w:val="nil"/>
              <w:left w:val="nil"/>
              <w:bottom w:val="nil"/>
              <w:right w:val="nil"/>
            </w:tcBorders>
          </w:tcPr>
          <w:p w14:paraId="711C772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2E7BF3">
              <w:rPr>
                <w:rFonts w:ascii="Times New Roman" w:hAnsi="Times New Roman" w:cs="Times New Roman"/>
                <w:sz w:val="16"/>
                <w:szCs w:val="16"/>
              </w:rPr>
              <w:t>L.Chinn</w:t>
            </w:r>
            <w:proofErr w:type="spellEnd"/>
            <w:r w:rsidRPr="002E7BF3">
              <w:rPr>
                <w:rFonts w:ascii="Times New Roman" w:hAnsi="Times New Roman" w:cs="Times New Roman"/>
                <w:sz w:val="16"/>
                <w:szCs w:val="16"/>
              </w:rPr>
              <w:t>-Ito index, normalized</w:t>
            </w:r>
          </w:p>
        </w:tc>
        <w:tc>
          <w:tcPr>
            <w:tcW w:w="1656" w:type="dxa"/>
            <w:tcBorders>
              <w:top w:val="nil"/>
              <w:left w:val="nil"/>
              <w:bottom w:val="nil"/>
              <w:right w:val="nil"/>
            </w:tcBorders>
          </w:tcPr>
          <w:p w14:paraId="6C13DF7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0.0256</w:t>
            </w:r>
          </w:p>
        </w:tc>
        <w:tc>
          <w:tcPr>
            <w:tcW w:w="1656" w:type="dxa"/>
            <w:tcBorders>
              <w:top w:val="nil"/>
              <w:left w:val="nil"/>
              <w:bottom w:val="nil"/>
              <w:right w:val="nil"/>
            </w:tcBorders>
          </w:tcPr>
          <w:p w14:paraId="516FEEF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1.925</w:t>
            </w:r>
          </w:p>
        </w:tc>
        <w:tc>
          <w:tcPr>
            <w:tcW w:w="1656" w:type="dxa"/>
            <w:tcBorders>
              <w:top w:val="nil"/>
              <w:left w:val="nil"/>
              <w:bottom w:val="nil"/>
              <w:right w:val="nil"/>
            </w:tcBorders>
          </w:tcPr>
          <w:p w14:paraId="4E2EFF0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-3.536</w:t>
            </w:r>
          </w:p>
        </w:tc>
        <w:tc>
          <w:tcPr>
            <w:tcW w:w="1656" w:type="dxa"/>
            <w:tcBorders>
              <w:top w:val="nil"/>
              <w:left w:val="nil"/>
              <w:bottom w:val="nil"/>
              <w:right w:val="nil"/>
            </w:tcBorders>
          </w:tcPr>
          <w:p w14:paraId="7BFB6B9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-0.0448</w:t>
            </w:r>
          </w:p>
        </w:tc>
      </w:tr>
      <w:tr w:rsidR="006A4F42" w:rsidRPr="002E7BF3" w14:paraId="39C61192" w14:textId="77777777" w:rsidTr="00015B88">
        <w:tc>
          <w:tcPr>
            <w:tcW w:w="2136" w:type="dxa"/>
            <w:tcBorders>
              <w:top w:val="nil"/>
              <w:left w:val="nil"/>
              <w:bottom w:val="nil"/>
              <w:right w:val="nil"/>
            </w:tcBorders>
          </w:tcPr>
          <w:p w14:paraId="077888C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52E9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(0.01)</w:t>
            </w:r>
          </w:p>
        </w:tc>
        <w:tc>
          <w:tcPr>
            <w:tcW w:w="1656" w:type="dxa"/>
            <w:tcBorders>
              <w:top w:val="nil"/>
              <w:left w:val="nil"/>
              <w:bottom w:val="nil"/>
              <w:right w:val="nil"/>
            </w:tcBorders>
          </w:tcPr>
          <w:p w14:paraId="4B7A067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(0.82)</w:t>
            </w:r>
          </w:p>
        </w:tc>
        <w:tc>
          <w:tcPr>
            <w:tcW w:w="1656" w:type="dxa"/>
            <w:tcBorders>
              <w:top w:val="nil"/>
              <w:left w:val="nil"/>
              <w:bottom w:val="nil"/>
              <w:right w:val="nil"/>
            </w:tcBorders>
          </w:tcPr>
          <w:p w14:paraId="2356DD5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(-1.89)</w:t>
            </w:r>
          </w:p>
        </w:tc>
        <w:tc>
          <w:tcPr>
            <w:tcW w:w="1656" w:type="dxa"/>
            <w:tcBorders>
              <w:top w:val="nil"/>
              <w:left w:val="nil"/>
              <w:bottom w:val="nil"/>
              <w:right w:val="nil"/>
            </w:tcBorders>
          </w:tcPr>
          <w:p w14:paraId="56774CB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(-0.05)</w:t>
            </w:r>
          </w:p>
        </w:tc>
      </w:tr>
      <w:tr w:rsidR="006A4F42" w:rsidRPr="002E7BF3" w14:paraId="6034E423" w14:textId="77777777" w:rsidTr="00015B88">
        <w:tc>
          <w:tcPr>
            <w:tcW w:w="2136" w:type="dxa"/>
            <w:tcBorders>
              <w:top w:val="nil"/>
              <w:left w:val="nil"/>
              <w:bottom w:val="nil"/>
              <w:right w:val="nil"/>
            </w:tcBorders>
          </w:tcPr>
          <w:p w14:paraId="7E9CDDC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F465D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F4E25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D1F7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DFB7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2E562484" w14:textId="77777777" w:rsidTr="00015B88">
        <w:tc>
          <w:tcPr>
            <w:tcW w:w="2136" w:type="dxa"/>
            <w:tcBorders>
              <w:top w:val="nil"/>
              <w:left w:val="nil"/>
              <w:bottom w:val="nil"/>
              <w:right w:val="nil"/>
            </w:tcBorders>
          </w:tcPr>
          <w:p w14:paraId="6820FFB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L2.Chinn-Ito index, normalized</w:t>
            </w:r>
          </w:p>
        </w:tc>
        <w:tc>
          <w:tcPr>
            <w:tcW w:w="1656" w:type="dxa"/>
            <w:tcBorders>
              <w:top w:val="nil"/>
              <w:left w:val="nil"/>
              <w:bottom w:val="nil"/>
              <w:right w:val="nil"/>
            </w:tcBorders>
          </w:tcPr>
          <w:p w14:paraId="54FFB42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-0.841</w:t>
            </w:r>
          </w:p>
        </w:tc>
        <w:tc>
          <w:tcPr>
            <w:tcW w:w="1656" w:type="dxa"/>
            <w:tcBorders>
              <w:top w:val="nil"/>
              <w:left w:val="nil"/>
              <w:bottom w:val="nil"/>
              <w:right w:val="nil"/>
            </w:tcBorders>
          </w:tcPr>
          <w:p w14:paraId="70AF026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-0.799</w:t>
            </w:r>
          </w:p>
        </w:tc>
        <w:tc>
          <w:tcPr>
            <w:tcW w:w="1656" w:type="dxa"/>
            <w:tcBorders>
              <w:top w:val="nil"/>
              <w:left w:val="nil"/>
              <w:bottom w:val="nil"/>
              <w:right w:val="nil"/>
            </w:tcBorders>
          </w:tcPr>
          <w:p w14:paraId="04FAFE4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-0.111</w:t>
            </w:r>
          </w:p>
        </w:tc>
        <w:tc>
          <w:tcPr>
            <w:tcW w:w="1656" w:type="dxa"/>
            <w:tcBorders>
              <w:top w:val="nil"/>
              <w:left w:val="nil"/>
              <w:bottom w:val="nil"/>
              <w:right w:val="nil"/>
            </w:tcBorders>
          </w:tcPr>
          <w:p w14:paraId="2BF9EF1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0.653</w:t>
            </w:r>
          </w:p>
        </w:tc>
      </w:tr>
      <w:tr w:rsidR="006A4F42" w:rsidRPr="002E7BF3" w14:paraId="5B55BED6" w14:textId="77777777" w:rsidTr="00015B88">
        <w:tc>
          <w:tcPr>
            <w:tcW w:w="2136" w:type="dxa"/>
            <w:tcBorders>
              <w:top w:val="nil"/>
              <w:left w:val="nil"/>
              <w:bottom w:val="nil"/>
              <w:right w:val="nil"/>
            </w:tcBorders>
          </w:tcPr>
          <w:p w14:paraId="39C3A9A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50535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(-0.39)</w:t>
            </w:r>
          </w:p>
        </w:tc>
        <w:tc>
          <w:tcPr>
            <w:tcW w:w="1656" w:type="dxa"/>
            <w:tcBorders>
              <w:top w:val="nil"/>
              <w:left w:val="nil"/>
              <w:bottom w:val="nil"/>
              <w:right w:val="nil"/>
            </w:tcBorders>
          </w:tcPr>
          <w:p w14:paraId="7E9B25F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(-0.33)</w:t>
            </w:r>
          </w:p>
        </w:tc>
        <w:tc>
          <w:tcPr>
            <w:tcW w:w="1656" w:type="dxa"/>
            <w:tcBorders>
              <w:top w:val="nil"/>
              <w:left w:val="nil"/>
              <w:bottom w:val="nil"/>
              <w:right w:val="nil"/>
            </w:tcBorders>
          </w:tcPr>
          <w:p w14:paraId="210C9FB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(-0.05)</w:t>
            </w:r>
          </w:p>
        </w:tc>
        <w:tc>
          <w:tcPr>
            <w:tcW w:w="1656" w:type="dxa"/>
            <w:tcBorders>
              <w:top w:val="nil"/>
              <w:left w:val="nil"/>
              <w:bottom w:val="nil"/>
              <w:right w:val="nil"/>
            </w:tcBorders>
          </w:tcPr>
          <w:p w14:paraId="7C581CC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(0.68)</w:t>
            </w:r>
          </w:p>
        </w:tc>
      </w:tr>
      <w:tr w:rsidR="006A4F42" w:rsidRPr="002E7BF3" w14:paraId="3E07CED8" w14:textId="77777777" w:rsidTr="00015B88">
        <w:tc>
          <w:tcPr>
            <w:tcW w:w="2136" w:type="dxa"/>
            <w:tcBorders>
              <w:top w:val="nil"/>
              <w:left w:val="nil"/>
              <w:bottom w:val="nil"/>
              <w:right w:val="nil"/>
            </w:tcBorders>
          </w:tcPr>
          <w:p w14:paraId="0386F3F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4AAEA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1B785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E5621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F0480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22798CD7" w14:textId="77777777" w:rsidTr="00015B88">
        <w:tc>
          <w:tcPr>
            <w:tcW w:w="2136" w:type="dxa"/>
            <w:tcBorders>
              <w:top w:val="nil"/>
              <w:left w:val="nil"/>
              <w:bottom w:val="nil"/>
              <w:right w:val="nil"/>
            </w:tcBorders>
          </w:tcPr>
          <w:p w14:paraId="4C9704F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L3.Chinn-Ito index, normalized</w:t>
            </w:r>
          </w:p>
        </w:tc>
        <w:tc>
          <w:tcPr>
            <w:tcW w:w="1656" w:type="dxa"/>
            <w:tcBorders>
              <w:top w:val="nil"/>
              <w:left w:val="nil"/>
              <w:bottom w:val="nil"/>
              <w:right w:val="nil"/>
            </w:tcBorders>
          </w:tcPr>
          <w:p w14:paraId="58A56E8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1.882</w:t>
            </w:r>
          </w:p>
        </w:tc>
        <w:tc>
          <w:tcPr>
            <w:tcW w:w="1656" w:type="dxa"/>
            <w:tcBorders>
              <w:top w:val="nil"/>
              <w:left w:val="nil"/>
              <w:bottom w:val="nil"/>
              <w:right w:val="nil"/>
            </w:tcBorders>
          </w:tcPr>
          <w:p w14:paraId="5D8E679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-0.610</w:t>
            </w:r>
          </w:p>
        </w:tc>
        <w:tc>
          <w:tcPr>
            <w:tcW w:w="1656" w:type="dxa"/>
            <w:tcBorders>
              <w:top w:val="nil"/>
              <w:left w:val="nil"/>
              <w:bottom w:val="nil"/>
              <w:right w:val="nil"/>
            </w:tcBorders>
          </w:tcPr>
          <w:p w14:paraId="3B2811C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1.514</w:t>
            </w:r>
          </w:p>
        </w:tc>
        <w:tc>
          <w:tcPr>
            <w:tcW w:w="1656" w:type="dxa"/>
            <w:tcBorders>
              <w:top w:val="nil"/>
              <w:left w:val="nil"/>
              <w:bottom w:val="nil"/>
              <w:right w:val="nil"/>
            </w:tcBorders>
          </w:tcPr>
          <w:p w14:paraId="0B3F9D1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1.788</w:t>
            </w:r>
            <w:r w:rsidRPr="002E7BF3">
              <w:rPr>
                <w:rFonts w:ascii="Times New Roman" w:hAnsi="Times New Roman" w:cs="Times New Roman"/>
                <w:sz w:val="16"/>
                <w:szCs w:val="16"/>
                <w:vertAlign w:val="superscript"/>
              </w:rPr>
              <w:t>*</w:t>
            </w:r>
          </w:p>
        </w:tc>
      </w:tr>
      <w:tr w:rsidR="006A4F42" w:rsidRPr="002E7BF3" w14:paraId="6B38DD1C" w14:textId="77777777" w:rsidTr="00015B88">
        <w:tc>
          <w:tcPr>
            <w:tcW w:w="2136" w:type="dxa"/>
            <w:tcBorders>
              <w:top w:val="nil"/>
              <w:left w:val="nil"/>
              <w:bottom w:val="nil"/>
              <w:right w:val="nil"/>
            </w:tcBorders>
          </w:tcPr>
          <w:p w14:paraId="2C1CCAA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974B7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(0.83)</w:t>
            </w:r>
          </w:p>
        </w:tc>
        <w:tc>
          <w:tcPr>
            <w:tcW w:w="1656" w:type="dxa"/>
            <w:tcBorders>
              <w:top w:val="nil"/>
              <w:left w:val="nil"/>
              <w:bottom w:val="nil"/>
              <w:right w:val="nil"/>
            </w:tcBorders>
          </w:tcPr>
          <w:p w14:paraId="3238376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(-0.27)</w:t>
            </w:r>
          </w:p>
        </w:tc>
        <w:tc>
          <w:tcPr>
            <w:tcW w:w="1656" w:type="dxa"/>
            <w:tcBorders>
              <w:top w:val="nil"/>
              <w:left w:val="nil"/>
              <w:bottom w:val="nil"/>
              <w:right w:val="nil"/>
            </w:tcBorders>
          </w:tcPr>
          <w:p w14:paraId="31B161D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(0.71)</w:t>
            </w:r>
          </w:p>
        </w:tc>
        <w:tc>
          <w:tcPr>
            <w:tcW w:w="1656" w:type="dxa"/>
            <w:tcBorders>
              <w:top w:val="nil"/>
              <w:left w:val="nil"/>
              <w:bottom w:val="nil"/>
              <w:right w:val="nil"/>
            </w:tcBorders>
          </w:tcPr>
          <w:p w14:paraId="7D02B07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(2.03)</w:t>
            </w:r>
          </w:p>
        </w:tc>
      </w:tr>
      <w:tr w:rsidR="006A4F42" w:rsidRPr="002E7BF3" w14:paraId="0B641B73" w14:textId="77777777" w:rsidTr="00015B88">
        <w:tc>
          <w:tcPr>
            <w:tcW w:w="2136" w:type="dxa"/>
            <w:tcBorders>
              <w:top w:val="nil"/>
              <w:left w:val="nil"/>
              <w:bottom w:val="nil"/>
              <w:right w:val="nil"/>
            </w:tcBorders>
          </w:tcPr>
          <w:p w14:paraId="7F875C3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E9196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8118A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C99E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868AB"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6B5989E0" w14:textId="77777777" w:rsidTr="00015B88">
        <w:tc>
          <w:tcPr>
            <w:tcW w:w="2136" w:type="dxa"/>
            <w:tcBorders>
              <w:top w:val="nil"/>
              <w:left w:val="nil"/>
              <w:bottom w:val="nil"/>
              <w:right w:val="nil"/>
            </w:tcBorders>
          </w:tcPr>
          <w:p w14:paraId="1A7DCE8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L4.Chinn-Ito index, normalized</w:t>
            </w:r>
          </w:p>
        </w:tc>
        <w:tc>
          <w:tcPr>
            <w:tcW w:w="1656" w:type="dxa"/>
            <w:tcBorders>
              <w:top w:val="nil"/>
              <w:left w:val="nil"/>
              <w:bottom w:val="nil"/>
              <w:right w:val="nil"/>
            </w:tcBorders>
          </w:tcPr>
          <w:p w14:paraId="6768593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0.100</w:t>
            </w:r>
          </w:p>
        </w:tc>
        <w:tc>
          <w:tcPr>
            <w:tcW w:w="1656" w:type="dxa"/>
            <w:tcBorders>
              <w:top w:val="nil"/>
              <w:left w:val="nil"/>
              <w:bottom w:val="nil"/>
              <w:right w:val="nil"/>
            </w:tcBorders>
          </w:tcPr>
          <w:p w14:paraId="2933AD2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-0.160</w:t>
            </w:r>
          </w:p>
        </w:tc>
        <w:tc>
          <w:tcPr>
            <w:tcW w:w="1656" w:type="dxa"/>
            <w:tcBorders>
              <w:top w:val="nil"/>
              <w:left w:val="nil"/>
              <w:bottom w:val="nil"/>
              <w:right w:val="nil"/>
            </w:tcBorders>
          </w:tcPr>
          <w:p w14:paraId="3E87B6D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-0.482</w:t>
            </w:r>
          </w:p>
        </w:tc>
        <w:tc>
          <w:tcPr>
            <w:tcW w:w="1656" w:type="dxa"/>
            <w:tcBorders>
              <w:top w:val="nil"/>
              <w:left w:val="nil"/>
              <w:bottom w:val="nil"/>
              <w:right w:val="nil"/>
            </w:tcBorders>
          </w:tcPr>
          <w:p w14:paraId="777F57D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1.670</w:t>
            </w:r>
          </w:p>
        </w:tc>
      </w:tr>
      <w:tr w:rsidR="006A4F42" w:rsidRPr="002E7BF3" w14:paraId="5F7831CC" w14:textId="77777777" w:rsidTr="00015B88">
        <w:tc>
          <w:tcPr>
            <w:tcW w:w="2136" w:type="dxa"/>
            <w:tcBorders>
              <w:top w:val="nil"/>
              <w:left w:val="nil"/>
              <w:bottom w:val="nil"/>
              <w:right w:val="nil"/>
            </w:tcBorders>
          </w:tcPr>
          <w:p w14:paraId="650B4E2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C34BF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(0.05)</w:t>
            </w:r>
          </w:p>
        </w:tc>
        <w:tc>
          <w:tcPr>
            <w:tcW w:w="1656" w:type="dxa"/>
            <w:tcBorders>
              <w:top w:val="nil"/>
              <w:left w:val="nil"/>
              <w:bottom w:val="nil"/>
              <w:right w:val="nil"/>
            </w:tcBorders>
          </w:tcPr>
          <w:p w14:paraId="4847573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(-0.06)</w:t>
            </w:r>
          </w:p>
        </w:tc>
        <w:tc>
          <w:tcPr>
            <w:tcW w:w="1656" w:type="dxa"/>
            <w:tcBorders>
              <w:top w:val="nil"/>
              <w:left w:val="nil"/>
              <w:bottom w:val="nil"/>
              <w:right w:val="nil"/>
            </w:tcBorders>
          </w:tcPr>
          <w:p w14:paraId="73E8DFD2"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(-0.25)</w:t>
            </w:r>
          </w:p>
        </w:tc>
        <w:tc>
          <w:tcPr>
            <w:tcW w:w="1656" w:type="dxa"/>
            <w:tcBorders>
              <w:top w:val="nil"/>
              <w:left w:val="nil"/>
              <w:bottom w:val="nil"/>
              <w:right w:val="nil"/>
            </w:tcBorders>
          </w:tcPr>
          <w:p w14:paraId="47DF602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(1.92)</w:t>
            </w:r>
          </w:p>
        </w:tc>
      </w:tr>
      <w:tr w:rsidR="006A4F42" w:rsidRPr="002E7BF3" w14:paraId="1431241F" w14:textId="77777777" w:rsidTr="00015B88">
        <w:tc>
          <w:tcPr>
            <w:tcW w:w="2136" w:type="dxa"/>
            <w:tcBorders>
              <w:top w:val="nil"/>
              <w:left w:val="nil"/>
              <w:bottom w:val="nil"/>
              <w:right w:val="nil"/>
            </w:tcBorders>
          </w:tcPr>
          <w:p w14:paraId="211B4E7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9D8ED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7D614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A1A8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A904F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24E349E7" w14:textId="77777777" w:rsidTr="00015B88">
        <w:tc>
          <w:tcPr>
            <w:tcW w:w="2136" w:type="dxa"/>
            <w:tcBorders>
              <w:top w:val="nil"/>
              <w:left w:val="nil"/>
              <w:bottom w:val="nil"/>
              <w:right w:val="nil"/>
            </w:tcBorders>
          </w:tcPr>
          <w:p w14:paraId="3C43744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L5.Chinn-Ito index, normalized</w:t>
            </w:r>
          </w:p>
        </w:tc>
        <w:tc>
          <w:tcPr>
            <w:tcW w:w="1656" w:type="dxa"/>
            <w:tcBorders>
              <w:top w:val="nil"/>
              <w:left w:val="nil"/>
              <w:bottom w:val="nil"/>
              <w:right w:val="nil"/>
            </w:tcBorders>
          </w:tcPr>
          <w:p w14:paraId="02D1B34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0.964</w:t>
            </w:r>
          </w:p>
        </w:tc>
        <w:tc>
          <w:tcPr>
            <w:tcW w:w="1656" w:type="dxa"/>
            <w:tcBorders>
              <w:top w:val="nil"/>
              <w:left w:val="nil"/>
              <w:bottom w:val="nil"/>
              <w:right w:val="nil"/>
            </w:tcBorders>
          </w:tcPr>
          <w:p w14:paraId="41D73D3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0.563</w:t>
            </w:r>
          </w:p>
        </w:tc>
        <w:tc>
          <w:tcPr>
            <w:tcW w:w="1656" w:type="dxa"/>
            <w:tcBorders>
              <w:top w:val="nil"/>
              <w:left w:val="nil"/>
              <w:bottom w:val="nil"/>
              <w:right w:val="nil"/>
            </w:tcBorders>
          </w:tcPr>
          <w:p w14:paraId="7954A7C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-0.761</w:t>
            </w:r>
          </w:p>
        </w:tc>
        <w:tc>
          <w:tcPr>
            <w:tcW w:w="1656" w:type="dxa"/>
            <w:tcBorders>
              <w:top w:val="nil"/>
              <w:left w:val="nil"/>
              <w:bottom w:val="nil"/>
              <w:right w:val="nil"/>
            </w:tcBorders>
          </w:tcPr>
          <w:p w14:paraId="3FB52F4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1.588</w:t>
            </w:r>
          </w:p>
        </w:tc>
      </w:tr>
      <w:tr w:rsidR="006A4F42" w:rsidRPr="002E7BF3" w14:paraId="0B381635" w14:textId="77777777" w:rsidTr="00015B88">
        <w:tc>
          <w:tcPr>
            <w:tcW w:w="2136" w:type="dxa"/>
            <w:tcBorders>
              <w:top w:val="nil"/>
              <w:left w:val="nil"/>
              <w:bottom w:val="nil"/>
              <w:right w:val="nil"/>
            </w:tcBorders>
          </w:tcPr>
          <w:p w14:paraId="3E96E29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803D4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(0.52)</w:t>
            </w:r>
          </w:p>
        </w:tc>
        <w:tc>
          <w:tcPr>
            <w:tcW w:w="1656" w:type="dxa"/>
            <w:tcBorders>
              <w:top w:val="nil"/>
              <w:left w:val="nil"/>
              <w:bottom w:val="nil"/>
              <w:right w:val="nil"/>
            </w:tcBorders>
          </w:tcPr>
          <w:p w14:paraId="7BBBDF5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(0.30)</w:t>
            </w:r>
          </w:p>
        </w:tc>
        <w:tc>
          <w:tcPr>
            <w:tcW w:w="1656" w:type="dxa"/>
            <w:tcBorders>
              <w:top w:val="nil"/>
              <w:left w:val="nil"/>
              <w:bottom w:val="nil"/>
              <w:right w:val="nil"/>
            </w:tcBorders>
          </w:tcPr>
          <w:p w14:paraId="7174649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(-0.42)</w:t>
            </w:r>
          </w:p>
        </w:tc>
        <w:tc>
          <w:tcPr>
            <w:tcW w:w="1656" w:type="dxa"/>
            <w:tcBorders>
              <w:top w:val="nil"/>
              <w:left w:val="nil"/>
              <w:bottom w:val="nil"/>
              <w:right w:val="nil"/>
            </w:tcBorders>
          </w:tcPr>
          <w:p w14:paraId="19451B6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(1.70)</w:t>
            </w:r>
          </w:p>
        </w:tc>
      </w:tr>
      <w:tr w:rsidR="006A4F42" w:rsidRPr="002E7BF3" w14:paraId="45ADEF40" w14:textId="77777777" w:rsidTr="00015B88">
        <w:tc>
          <w:tcPr>
            <w:tcW w:w="2136" w:type="dxa"/>
            <w:tcBorders>
              <w:top w:val="nil"/>
              <w:left w:val="nil"/>
              <w:bottom w:val="nil"/>
              <w:right w:val="nil"/>
            </w:tcBorders>
          </w:tcPr>
          <w:p w14:paraId="01B8AB0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86C34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D4A9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25EC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9A409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500D2297" w14:textId="77777777" w:rsidTr="00015B88">
        <w:tc>
          <w:tcPr>
            <w:tcW w:w="2136" w:type="dxa"/>
            <w:tcBorders>
              <w:top w:val="nil"/>
              <w:left w:val="nil"/>
              <w:bottom w:val="nil"/>
              <w:right w:val="nil"/>
            </w:tcBorders>
          </w:tcPr>
          <w:p w14:paraId="3CC03BD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L6.Chinn-Ito index, normalized</w:t>
            </w:r>
          </w:p>
        </w:tc>
        <w:tc>
          <w:tcPr>
            <w:tcW w:w="1656" w:type="dxa"/>
            <w:tcBorders>
              <w:top w:val="nil"/>
              <w:left w:val="nil"/>
              <w:bottom w:val="nil"/>
              <w:right w:val="nil"/>
            </w:tcBorders>
          </w:tcPr>
          <w:p w14:paraId="35C4C64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-3.054</w:t>
            </w:r>
          </w:p>
        </w:tc>
        <w:tc>
          <w:tcPr>
            <w:tcW w:w="1656" w:type="dxa"/>
            <w:tcBorders>
              <w:top w:val="nil"/>
              <w:left w:val="nil"/>
              <w:bottom w:val="nil"/>
              <w:right w:val="nil"/>
            </w:tcBorders>
          </w:tcPr>
          <w:p w14:paraId="58F67DF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1.603</w:t>
            </w:r>
          </w:p>
        </w:tc>
        <w:tc>
          <w:tcPr>
            <w:tcW w:w="1656" w:type="dxa"/>
            <w:tcBorders>
              <w:top w:val="nil"/>
              <w:left w:val="nil"/>
              <w:bottom w:val="nil"/>
              <w:right w:val="nil"/>
            </w:tcBorders>
          </w:tcPr>
          <w:p w14:paraId="034B11C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0.114</w:t>
            </w:r>
          </w:p>
        </w:tc>
        <w:tc>
          <w:tcPr>
            <w:tcW w:w="1656" w:type="dxa"/>
            <w:tcBorders>
              <w:top w:val="nil"/>
              <w:left w:val="nil"/>
              <w:bottom w:val="nil"/>
              <w:right w:val="nil"/>
            </w:tcBorders>
          </w:tcPr>
          <w:p w14:paraId="71F49BE2"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1.344</w:t>
            </w:r>
          </w:p>
        </w:tc>
      </w:tr>
      <w:tr w:rsidR="006A4F42" w:rsidRPr="002E7BF3" w14:paraId="3DE2FDF6" w14:textId="77777777" w:rsidTr="00015B88">
        <w:tc>
          <w:tcPr>
            <w:tcW w:w="2136" w:type="dxa"/>
            <w:tcBorders>
              <w:top w:val="nil"/>
              <w:left w:val="nil"/>
              <w:bottom w:val="nil"/>
              <w:right w:val="nil"/>
            </w:tcBorders>
          </w:tcPr>
          <w:p w14:paraId="22F4E495"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F1E6E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(-1.59)</w:t>
            </w:r>
          </w:p>
        </w:tc>
        <w:tc>
          <w:tcPr>
            <w:tcW w:w="1656" w:type="dxa"/>
            <w:tcBorders>
              <w:top w:val="nil"/>
              <w:left w:val="nil"/>
              <w:bottom w:val="nil"/>
              <w:right w:val="nil"/>
            </w:tcBorders>
          </w:tcPr>
          <w:p w14:paraId="0634A77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(0.63)</w:t>
            </w:r>
          </w:p>
        </w:tc>
        <w:tc>
          <w:tcPr>
            <w:tcW w:w="1656" w:type="dxa"/>
            <w:tcBorders>
              <w:top w:val="nil"/>
              <w:left w:val="nil"/>
              <w:bottom w:val="nil"/>
              <w:right w:val="nil"/>
            </w:tcBorders>
          </w:tcPr>
          <w:p w14:paraId="2D08DE1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(0.06)</w:t>
            </w:r>
          </w:p>
        </w:tc>
        <w:tc>
          <w:tcPr>
            <w:tcW w:w="1656" w:type="dxa"/>
            <w:tcBorders>
              <w:top w:val="nil"/>
              <w:left w:val="nil"/>
              <w:bottom w:val="nil"/>
              <w:right w:val="nil"/>
            </w:tcBorders>
          </w:tcPr>
          <w:p w14:paraId="483BEC3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(1.24)</w:t>
            </w:r>
          </w:p>
        </w:tc>
      </w:tr>
      <w:tr w:rsidR="006A4F42" w:rsidRPr="002E7BF3" w14:paraId="229BFE57" w14:textId="77777777" w:rsidTr="00015B88">
        <w:tc>
          <w:tcPr>
            <w:tcW w:w="2136" w:type="dxa"/>
            <w:tcBorders>
              <w:top w:val="nil"/>
              <w:left w:val="nil"/>
              <w:bottom w:val="nil"/>
              <w:right w:val="nil"/>
            </w:tcBorders>
          </w:tcPr>
          <w:p w14:paraId="48358E6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A3C1B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B058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1F346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29332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3CF88080" w14:textId="77777777" w:rsidTr="00015B88">
        <w:tc>
          <w:tcPr>
            <w:tcW w:w="2136" w:type="dxa"/>
            <w:tcBorders>
              <w:top w:val="nil"/>
              <w:left w:val="nil"/>
              <w:bottom w:val="nil"/>
              <w:right w:val="nil"/>
            </w:tcBorders>
          </w:tcPr>
          <w:p w14:paraId="557918A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L7.Chinn-Ito index, normalized</w:t>
            </w:r>
          </w:p>
        </w:tc>
        <w:tc>
          <w:tcPr>
            <w:tcW w:w="1656" w:type="dxa"/>
            <w:tcBorders>
              <w:top w:val="nil"/>
              <w:left w:val="nil"/>
              <w:bottom w:val="nil"/>
              <w:right w:val="nil"/>
            </w:tcBorders>
          </w:tcPr>
          <w:p w14:paraId="21B3E90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1.254</w:t>
            </w:r>
          </w:p>
        </w:tc>
        <w:tc>
          <w:tcPr>
            <w:tcW w:w="1656" w:type="dxa"/>
            <w:tcBorders>
              <w:top w:val="nil"/>
              <w:left w:val="nil"/>
              <w:bottom w:val="nil"/>
              <w:right w:val="nil"/>
            </w:tcBorders>
          </w:tcPr>
          <w:p w14:paraId="0E0099E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-2.242</w:t>
            </w:r>
          </w:p>
        </w:tc>
        <w:tc>
          <w:tcPr>
            <w:tcW w:w="1656" w:type="dxa"/>
            <w:tcBorders>
              <w:top w:val="nil"/>
              <w:left w:val="nil"/>
              <w:bottom w:val="nil"/>
              <w:right w:val="nil"/>
            </w:tcBorders>
          </w:tcPr>
          <w:p w14:paraId="481BED6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1.001</w:t>
            </w:r>
          </w:p>
        </w:tc>
        <w:tc>
          <w:tcPr>
            <w:tcW w:w="1656" w:type="dxa"/>
            <w:tcBorders>
              <w:top w:val="nil"/>
              <w:left w:val="nil"/>
              <w:bottom w:val="nil"/>
              <w:right w:val="nil"/>
            </w:tcBorders>
          </w:tcPr>
          <w:p w14:paraId="726F901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2.194</w:t>
            </w:r>
            <w:r w:rsidRPr="002E7BF3">
              <w:rPr>
                <w:rFonts w:ascii="Times New Roman" w:hAnsi="Times New Roman" w:cs="Times New Roman"/>
                <w:sz w:val="16"/>
                <w:szCs w:val="16"/>
                <w:vertAlign w:val="superscript"/>
              </w:rPr>
              <w:t>*</w:t>
            </w:r>
          </w:p>
        </w:tc>
      </w:tr>
      <w:tr w:rsidR="006A4F42" w:rsidRPr="002E7BF3" w14:paraId="51AB8592" w14:textId="77777777" w:rsidTr="00015B88">
        <w:tc>
          <w:tcPr>
            <w:tcW w:w="2136" w:type="dxa"/>
            <w:tcBorders>
              <w:top w:val="nil"/>
              <w:left w:val="nil"/>
              <w:bottom w:val="nil"/>
              <w:right w:val="nil"/>
            </w:tcBorders>
          </w:tcPr>
          <w:p w14:paraId="246691E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932B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(0.74)</w:t>
            </w:r>
          </w:p>
        </w:tc>
        <w:tc>
          <w:tcPr>
            <w:tcW w:w="1656" w:type="dxa"/>
            <w:tcBorders>
              <w:top w:val="nil"/>
              <w:left w:val="nil"/>
              <w:bottom w:val="nil"/>
              <w:right w:val="nil"/>
            </w:tcBorders>
          </w:tcPr>
          <w:p w14:paraId="2C1BC63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(-0.93)</w:t>
            </w:r>
          </w:p>
        </w:tc>
        <w:tc>
          <w:tcPr>
            <w:tcW w:w="1656" w:type="dxa"/>
            <w:tcBorders>
              <w:top w:val="nil"/>
              <w:left w:val="nil"/>
              <w:bottom w:val="nil"/>
              <w:right w:val="nil"/>
            </w:tcBorders>
          </w:tcPr>
          <w:p w14:paraId="408EF74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(0.51)</w:t>
            </w:r>
          </w:p>
        </w:tc>
        <w:tc>
          <w:tcPr>
            <w:tcW w:w="1656" w:type="dxa"/>
            <w:tcBorders>
              <w:top w:val="nil"/>
              <w:left w:val="nil"/>
              <w:bottom w:val="nil"/>
              <w:right w:val="nil"/>
            </w:tcBorders>
          </w:tcPr>
          <w:p w14:paraId="47B04DF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(2.11)</w:t>
            </w:r>
          </w:p>
        </w:tc>
      </w:tr>
      <w:tr w:rsidR="006A4F42" w:rsidRPr="002E7BF3" w14:paraId="5B31F546" w14:textId="77777777" w:rsidTr="00015B88">
        <w:tc>
          <w:tcPr>
            <w:tcW w:w="2136" w:type="dxa"/>
            <w:tcBorders>
              <w:top w:val="nil"/>
              <w:left w:val="nil"/>
              <w:bottom w:val="nil"/>
              <w:right w:val="nil"/>
            </w:tcBorders>
          </w:tcPr>
          <w:p w14:paraId="3C301C8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2ABB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41D14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5CC0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04C7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49458C26" w14:textId="77777777" w:rsidTr="00015B88">
        <w:tc>
          <w:tcPr>
            <w:tcW w:w="2136" w:type="dxa"/>
            <w:tcBorders>
              <w:top w:val="nil"/>
              <w:left w:val="nil"/>
              <w:bottom w:val="nil"/>
              <w:right w:val="nil"/>
            </w:tcBorders>
          </w:tcPr>
          <w:p w14:paraId="269B774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L8.Chinn-Ito index, normalized</w:t>
            </w:r>
          </w:p>
        </w:tc>
        <w:tc>
          <w:tcPr>
            <w:tcW w:w="1656" w:type="dxa"/>
            <w:tcBorders>
              <w:top w:val="nil"/>
              <w:left w:val="nil"/>
              <w:bottom w:val="nil"/>
              <w:right w:val="nil"/>
            </w:tcBorders>
          </w:tcPr>
          <w:p w14:paraId="353C2B3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0.800</w:t>
            </w:r>
          </w:p>
        </w:tc>
        <w:tc>
          <w:tcPr>
            <w:tcW w:w="1656" w:type="dxa"/>
            <w:tcBorders>
              <w:top w:val="nil"/>
              <w:left w:val="nil"/>
              <w:bottom w:val="nil"/>
              <w:right w:val="nil"/>
            </w:tcBorders>
          </w:tcPr>
          <w:p w14:paraId="60520AC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2.704</w:t>
            </w:r>
          </w:p>
        </w:tc>
        <w:tc>
          <w:tcPr>
            <w:tcW w:w="1656" w:type="dxa"/>
            <w:tcBorders>
              <w:top w:val="nil"/>
              <w:left w:val="nil"/>
              <w:bottom w:val="nil"/>
              <w:right w:val="nil"/>
            </w:tcBorders>
          </w:tcPr>
          <w:p w14:paraId="467490E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-1.574</w:t>
            </w:r>
          </w:p>
        </w:tc>
        <w:tc>
          <w:tcPr>
            <w:tcW w:w="1656" w:type="dxa"/>
            <w:tcBorders>
              <w:top w:val="nil"/>
              <w:left w:val="nil"/>
              <w:bottom w:val="nil"/>
              <w:right w:val="nil"/>
            </w:tcBorders>
          </w:tcPr>
          <w:p w14:paraId="00E76CC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3.326</w:t>
            </w:r>
            <w:r w:rsidRPr="002E7BF3">
              <w:rPr>
                <w:rFonts w:ascii="Times New Roman" w:hAnsi="Times New Roman" w:cs="Times New Roman"/>
                <w:sz w:val="16"/>
                <w:szCs w:val="16"/>
                <w:vertAlign w:val="superscript"/>
              </w:rPr>
              <w:t>*</w:t>
            </w:r>
          </w:p>
        </w:tc>
      </w:tr>
      <w:tr w:rsidR="006A4F42" w:rsidRPr="002E7BF3" w14:paraId="68631D20" w14:textId="77777777" w:rsidTr="00015B88">
        <w:tc>
          <w:tcPr>
            <w:tcW w:w="2136" w:type="dxa"/>
            <w:tcBorders>
              <w:top w:val="nil"/>
              <w:left w:val="nil"/>
              <w:bottom w:val="nil"/>
              <w:right w:val="nil"/>
            </w:tcBorders>
          </w:tcPr>
          <w:p w14:paraId="0C1E76E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C567B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(0.49)</w:t>
            </w:r>
          </w:p>
        </w:tc>
        <w:tc>
          <w:tcPr>
            <w:tcW w:w="1656" w:type="dxa"/>
            <w:tcBorders>
              <w:top w:val="nil"/>
              <w:left w:val="nil"/>
              <w:bottom w:val="nil"/>
              <w:right w:val="nil"/>
            </w:tcBorders>
          </w:tcPr>
          <w:p w14:paraId="3B27EC5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(1.23)</w:t>
            </w:r>
          </w:p>
        </w:tc>
        <w:tc>
          <w:tcPr>
            <w:tcW w:w="1656" w:type="dxa"/>
            <w:tcBorders>
              <w:top w:val="nil"/>
              <w:left w:val="nil"/>
              <w:bottom w:val="nil"/>
              <w:right w:val="nil"/>
            </w:tcBorders>
          </w:tcPr>
          <w:p w14:paraId="05A25C7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(-0.96)</w:t>
            </w:r>
          </w:p>
        </w:tc>
        <w:tc>
          <w:tcPr>
            <w:tcW w:w="1656" w:type="dxa"/>
            <w:tcBorders>
              <w:top w:val="nil"/>
              <w:left w:val="nil"/>
              <w:bottom w:val="nil"/>
              <w:right w:val="nil"/>
            </w:tcBorders>
          </w:tcPr>
          <w:p w14:paraId="40C1DDB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(2.56)</w:t>
            </w:r>
          </w:p>
        </w:tc>
      </w:tr>
      <w:tr w:rsidR="006A4F42" w:rsidRPr="002E7BF3" w14:paraId="58139BBB" w14:textId="77777777" w:rsidTr="00015B88">
        <w:tc>
          <w:tcPr>
            <w:tcW w:w="2136" w:type="dxa"/>
            <w:tcBorders>
              <w:top w:val="nil"/>
              <w:left w:val="nil"/>
              <w:bottom w:val="nil"/>
              <w:right w:val="nil"/>
            </w:tcBorders>
          </w:tcPr>
          <w:p w14:paraId="3D61538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F3CE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5FA32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4304B"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BD8E9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54BC94F4" w14:textId="77777777" w:rsidTr="00015B88">
        <w:tc>
          <w:tcPr>
            <w:tcW w:w="2136" w:type="dxa"/>
            <w:tcBorders>
              <w:top w:val="nil"/>
              <w:left w:val="nil"/>
              <w:bottom w:val="nil"/>
              <w:right w:val="nil"/>
            </w:tcBorders>
          </w:tcPr>
          <w:p w14:paraId="034A383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L9.Chinn-Ito index, normalized</w:t>
            </w:r>
          </w:p>
        </w:tc>
        <w:tc>
          <w:tcPr>
            <w:tcW w:w="1656" w:type="dxa"/>
            <w:tcBorders>
              <w:top w:val="nil"/>
              <w:left w:val="nil"/>
              <w:bottom w:val="nil"/>
              <w:right w:val="nil"/>
            </w:tcBorders>
          </w:tcPr>
          <w:p w14:paraId="515B634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0.316</w:t>
            </w:r>
          </w:p>
        </w:tc>
        <w:tc>
          <w:tcPr>
            <w:tcW w:w="1656" w:type="dxa"/>
            <w:tcBorders>
              <w:top w:val="nil"/>
              <w:left w:val="nil"/>
              <w:bottom w:val="nil"/>
              <w:right w:val="nil"/>
            </w:tcBorders>
          </w:tcPr>
          <w:p w14:paraId="39FD929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0.985</w:t>
            </w:r>
          </w:p>
        </w:tc>
        <w:tc>
          <w:tcPr>
            <w:tcW w:w="1656" w:type="dxa"/>
            <w:tcBorders>
              <w:top w:val="nil"/>
              <w:left w:val="nil"/>
              <w:bottom w:val="nil"/>
              <w:right w:val="nil"/>
            </w:tcBorders>
          </w:tcPr>
          <w:p w14:paraId="4FEC660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1.445</w:t>
            </w:r>
          </w:p>
        </w:tc>
        <w:tc>
          <w:tcPr>
            <w:tcW w:w="1656" w:type="dxa"/>
            <w:tcBorders>
              <w:top w:val="nil"/>
              <w:left w:val="nil"/>
              <w:bottom w:val="nil"/>
              <w:right w:val="nil"/>
            </w:tcBorders>
          </w:tcPr>
          <w:p w14:paraId="3B12A12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1.402</w:t>
            </w:r>
          </w:p>
        </w:tc>
      </w:tr>
      <w:tr w:rsidR="006A4F42" w:rsidRPr="002E7BF3" w14:paraId="2F9A3DFD" w14:textId="77777777" w:rsidTr="00015B88">
        <w:tc>
          <w:tcPr>
            <w:tcW w:w="2136" w:type="dxa"/>
            <w:tcBorders>
              <w:top w:val="nil"/>
              <w:left w:val="nil"/>
              <w:bottom w:val="nil"/>
              <w:right w:val="nil"/>
            </w:tcBorders>
          </w:tcPr>
          <w:p w14:paraId="61AB3B4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E803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(0.18)</w:t>
            </w:r>
          </w:p>
        </w:tc>
        <w:tc>
          <w:tcPr>
            <w:tcW w:w="1656" w:type="dxa"/>
            <w:tcBorders>
              <w:top w:val="nil"/>
              <w:left w:val="nil"/>
              <w:bottom w:val="nil"/>
              <w:right w:val="nil"/>
            </w:tcBorders>
          </w:tcPr>
          <w:p w14:paraId="245A95C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(0.53)</w:t>
            </w:r>
          </w:p>
        </w:tc>
        <w:tc>
          <w:tcPr>
            <w:tcW w:w="1656" w:type="dxa"/>
            <w:tcBorders>
              <w:top w:val="nil"/>
              <w:left w:val="nil"/>
              <w:bottom w:val="nil"/>
              <w:right w:val="nil"/>
            </w:tcBorders>
          </w:tcPr>
          <w:p w14:paraId="422FCEA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(0.86)</w:t>
            </w:r>
          </w:p>
        </w:tc>
        <w:tc>
          <w:tcPr>
            <w:tcW w:w="1656" w:type="dxa"/>
            <w:tcBorders>
              <w:top w:val="nil"/>
              <w:left w:val="nil"/>
              <w:bottom w:val="nil"/>
              <w:right w:val="nil"/>
            </w:tcBorders>
          </w:tcPr>
          <w:p w14:paraId="3F18A5B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(1.66)</w:t>
            </w:r>
          </w:p>
        </w:tc>
      </w:tr>
      <w:tr w:rsidR="006A4F42" w:rsidRPr="002E7BF3" w14:paraId="7EA5DCFF" w14:textId="77777777" w:rsidTr="00015B88">
        <w:tc>
          <w:tcPr>
            <w:tcW w:w="2136" w:type="dxa"/>
            <w:tcBorders>
              <w:top w:val="nil"/>
              <w:left w:val="nil"/>
              <w:bottom w:val="nil"/>
              <w:right w:val="nil"/>
            </w:tcBorders>
          </w:tcPr>
          <w:p w14:paraId="4B48EAF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6A5687"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6423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A8567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AA69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2B2682DB" w14:textId="77777777" w:rsidTr="00015B88">
        <w:tc>
          <w:tcPr>
            <w:tcW w:w="2136" w:type="dxa"/>
            <w:tcBorders>
              <w:top w:val="nil"/>
              <w:left w:val="nil"/>
              <w:bottom w:val="nil"/>
              <w:right w:val="nil"/>
            </w:tcBorders>
          </w:tcPr>
          <w:p w14:paraId="3C1C234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L10.Chinn-Ito index, normalized</w:t>
            </w:r>
          </w:p>
        </w:tc>
        <w:tc>
          <w:tcPr>
            <w:tcW w:w="1656" w:type="dxa"/>
            <w:tcBorders>
              <w:top w:val="nil"/>
              <w:left w:val="nil"/>
              <w:bottom w:val="nil"/>
              <w:right w:val="nil"/>
            </w:tcBorders>
          </w:tcPr>
          <w:p w14:paraId="1E82A31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0.565</w:t>
            </w:r>
          </w:p>
        </w:tc>
        <w:tc>
          <w:tcPr>
            <w:tcW w:w="1656" w:type="dxa"/>
            <w:tcBorders>
              <w:top w:val="nil"/>
              <w:left w:val="nil"/>
              <w:bottom w:val="nil"/>
              <w:right w:val="nil"/>
            </w:tcBorders>
          </w:tcPr>
          <w:p w14:paraId="14B6FDE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-0.864</w:t>
            </w:r>
          </w:p>
        </w:tc>
        <w:tc>
          <w:tcPr>
            <w:tcW w:w="1656" w:type="dxa"/>
            <w:tcBorders>
              <w:top w:val="nil"/>
              <w:left w:val="nil"/>
              <w:bottom w:val="nil"/>
              <w:right w:val="nil"/>
            </w:tcBorders>
          </w:tcPr>
          <w:p w14:paraId="4B372CE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-0.545</w:t>
            </w:r>
          </w:p>
        </w:tc>
        <w:tc>
          <w:tcPr>
            <w:tcW w:w="1656" w:type="dxa"/>
            <w:tcBorders>
              <w:top w:val="nil"/>
              <w:left w:val="nil"/>
              <w:bottom w:val="nil"/>
              <w:right w:val="nil"/>
            </w:tcBorders>
          </w:tcPr>
          <w:p w14:paraId="1EC29DA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3.288</w:t>
            </w:r>
            <w:r w:rsidRPr="002E7BF3">
              <w:rPr>
                <w:rFonts w:ascii="Times New Roman" w:hAnsi="Times New Roman" w:cs="Times New Roman"/>
                <w:sz w:val="16"/>
                <w:szCs w:val="16"/>
                <w:vertAlign w:val="superscript"/>
              </w:rPr>
              <w:t>***</w:t>
            </w:r>
          </w:p>
        </w:tc>
      </w:tr>
      <w:tr w:rsidR="006A4F42" w:rsidRPr="002E7BF3" w14:paraId="3F293247" w14:textId="77777777" w:rsidTr="00015B88">
        <w:tc>
          <w:tcPr>
            <w:tcW w:w="2136" w:type="dxa"/>
            <w:tcBorders>
              <w:top w:val="nil"/>
              <w:left w:val="nil"/>
              <w:bottom w:val="nil"/>
              <w:right w:val="nil"/>
            </w:tcBorders>
          </w:tcPr>
          <w:p w14:paraId="7F76E31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F22FB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(0.49)</w:t>
            </w:r>
          </w:p>
        </w:tc>
        <w:tc>
          <w:tcPr>
            <w:tcW w:w="1656" w:type="dxa"/>
            <w:tcBorders>
              <w:top w:val="nil"/>
              <w:left w:val="nil"/>
              <w:bottom w:val="nil"/>
              <w:right w:val="nil"/>
            </w:tcBorders>
          </w:tcPr>
          <w:p w14:paraId="7C1E256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(-0.63)</w:t>
            </w:r>
          </w:p>
        </w:tc>
        <w:tc>
          <w:tcPr>
            <w:tcW w:w="1656" w:type="dxa"/>
            <w:tcBorders>
              <w:top w:val="nil"/>
              <w:left w:val="nil"/>
              <w:bottom w:val="nil"/>
              <w:right w:val="nil"/>
            </w:tcBorders>
          </w:tcPr>
          <w:p w14:paraId="2B8E902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(-0.36)</w:t>
            </w:r>
          </w:p>
        </w:tc>
        <w:tc>
          <w:tcPr>
            <w:tcW w:w="1656" w:type="dxa"/>
            <w:tcBorders>
              <w:top w:val="nil"/>
              <w:left w:val="nil"/>
              <w:bottom w:val="nil"/>
              <w:right w:val="nil"/>
            </w:tcBorders>
          </w:tcPr>
          <w:p w14:paraId="173DF69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(3.77)</w:t>
            </w:r>
          </w:p>
        </w:tc>
      </w:tr>
      <w:tr w:rsidR="006A4F42" w:rsidRPr="002E7BF3" w14:paraId="706CBA94" w14:textId="77777777" w:rsidTr="00015B88">
        <w:tc>
          <w:tcPr>
            <w:tcW w:w="2136" w:type="dxa"/>
            <w:tcBorders>
              <w:top w:val="nil"/>
              <w:left w:val="nil"/>
              <w:bottom w:val="nil"/>
              <w:right w:val="nil"/>
            </w:tcBorders>
          </w:tcPr>
          <w:p w14:paraId="2A7AB59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946B7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EBB4B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81577B"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05D29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09F933EE" w14:textId="77777777" w:rsidTr="00015B88">
        <w:tc>
          <w:tcPr>
            <w:tcW w:w="2136" w:type="dxa"/>
            <w:tcBorders>
              <w:top w:val="nil"/>
              <w:left w:val="nil"/>
              <w:bottom w:val="nil"/>
              <w:right w:val="nil"/>
            </w:tcBorders>
          </w:tcPr>
          <w:p w14:paraId="163EA3C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2E7BF3">
              <w:rPr>
                <w:rFonts w:ascii="Times New Roman" w:hAnsi="Times New Roman" w:cs="Times New Roman"/>
                <w:sz w:val="16"/>
                <w:szCs w:val="16"/>
              </w:rPr>
              <w:t>L.De</w:t>
            </w:r>
            <w:proofErr w:type="spellEnd"/>
            <w:r w:rsidRPr="002E7BF3">
              <w:rPr>
                <w:rFonts w:ascii="Times New Roman" w:hAnsi="Times New Roman" w:cs="Times New Roman"/>
                <w:sz w:val="16"/>
                <w:szCs w:val="16"/>
              </w:rPr>
              <w:t xml:space="preserve"> Facto CBI * Capital Account Openness</w:t>
            </w:r>
          </w:p>
        </w:tc>
        <w:tc>
          <w:tcPr>
            <w:tcW w:w="1656" w:type="dxa"/>
            <w:tcBorders>
              <w:top w:val="nil"/>
              <w:left w:val="nil"/>
              <w:bottom w:val="nil"/>
              <w:right w:val="nil"/>
            </w:tcBorders>
          </w:tcPr>
          <w:p w14:paraId="7C1E8F7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-0.420</w:t>
            </w:r>
          </w:p>
        </w:tc>
        <w:tc>
          <w:tcPr>
            <w:tcW w:w="1656" w:type="dxa"/>
            <w:tcBorders>
              <w:top w:val="nil"/>
              <w:left w:val="nil"/>
              <w:bottom w:val="nil"/>
              <w:right w:val="nil"/>
            </w:tcBorders>
          </w:tcPr>
          <w:p w14:paraId="3B72B79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-0.691</w:t>
            </w:r>
          </w:p>
        </w:tc>
        <w:tc>
          <w:tcPr>
            <w:tcW w:w="1656" w:type="dxa"/>
            <w:tcBorders>
              <w:top w:val="nil"/>
              <w:left w:val="nil"/>
              <w:bottom w:val="nil"/>
              <w:right w:val="nil"/>
            </w:tcBorders>
          </w:tcPr>
          <w:p w14:paraId="3AF9593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0.0847</w:t>
            </w:r>
          </w:p>
        </w:tc>
        <w:tc>
          <w:tcPr>
            <w:tcW w:w="1656" w:type="dxa"/>
            <w:tcBorders>
              <w:top w:val="nil"/>
              <w:left w:val="nil"/>
              <w:bottom w:val="nil"/>
              <w:right w:val="nil"/>
            </w:tcBorders>
          </w:tcPr>
          <w:p w14:paraId="0AE18D5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-1.194</w:t>
            </w:r>
            <w:r w:rsidRPr="002E7BF3">
              <w:rPr>
                <w:rFonts w:ascii="Times New Roman" w:hAnsi="Times New Roman" w:cs="Times New Roman"/>
                <w:sz w:val="16"/>
                <w:szCs w:val="16"/>
                <w:vertAlign w:val="superscript"/>
              </w:rPr>
              <w:t>*</w:t>
            </w:r>
          </w:p>
        </w:tc>
      </w:tr>
      <w:tr w:rsidR="006A4F42" w:rsidRPr="002E7BF3" w14:paraId="2FBC2F81" w14:textId="77777777" w:rsidTr="00015B88">
        <w:tc>
          <w:tcPr>
            <w:tcW w:w="2136" w:type="dxa"/>
            <w:tcBorders>
              <w:top w:val="nil"/>
              <w:left w:val="nil"/>
              <w:bottom w:val="nil"/>
              <w:right w:val="nil"/>
            </w:tcBorders>
          </w:tcPr>
          <w:p w14:paraId="3849F0B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3E88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(-0.64)</w:t>
            </w:r>
          </w:p>
        </w:tc>
        <w:tc>
          <w:tcPr>
            <w:tcW w:w="1656" w:type="dxa"/>
            <w:tcBorders>
              <w:top w:val="nil"/>
              <w:left w:val="nil"/>
              <w:bottom w:val="nil"/>
              <w:right w:val="nil"/>
            </w:tcBorders>
          </w:tcPr>
          <w:p w14:paraId="361D6E2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(-1.06)</w:t>
            </w:r>
          </w:p>
        </w:tc>
        <w:tc>
          <w:tcPr>
            <w:tcW w:w="1656" w:type="dxa"/>
            <w:tcBorders>
              <w:top w:val="nil"/>
              <w:left w:val="nil"/>
              <w:bottom w:val="nil"/>
              <w:right w:val="nil"/>
            </w:tcBorders>
          </w:tcPr>
          <w:p w14:paraId="2217642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(0.13)</w:t>
            </w:r>
          </w:p>
        </w:tc>
        <w:tc>
          <w:tcPr>
            <w:tcW w:w="1656" w:type="dxa"/>
            <w:tcBorders>
              <w:top w:val="nil"/>
              <w:left w:val="nil"/>
              <w:bottom w:val="nil"/>
              <w:right w:val="nil"/>
            </w:tcBorders>
          </w:tcPr>
          <w:p w14:paraId="7668DB9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(-2.13)</w:t>
            </w:r>
          </w:p>
        </w:tc>
      </w:tr>
      <w:tr w:rsidR="006A4F42" w:rsidRPr="002E7BF3" w14:paraId="0B001BC2" w14:textId="77777777" w:rsidTr="00015B88">
        <w:tc>
          <w:tcPr>
            <w:tcW w:w="2136" w:type="dxa"/>
            <w:tcBorders>
              <w:top w:val="nil"/>
              <w:left w:val="nil"/>
              <w:bottom w:val="nil"/>
              <w:right w:val="nil"/>
            </w:tcBorders>
          </w:tcPr>
          <w:p w14:paraId="61773C0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45F1E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5D978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A54B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E06E9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50DD4A41" w14:textId="77777777" w:rsidTr="00015B88">
        <w:tc>
          <w:tcPr>
            <w:tcW w:w="2136" w:type="dxa"/>
            <w:tcBorders>
              <w:top w:val="nil"/>
              <w:left w:val="nil"/>
              <w:bottom w:val="nil"/>
              <w:right w:val="nil"/>
            </w:tcBorders>
          </w:tcPr>
          <w:p w14:paraId="1E35A71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L2.De Facto CBI * Capital Account Openness</w:t>
            </w:r>
          </w:p>
        </w:tc>
        <w:tc>
          <w:tcPr>
            <w:tcW w:w="1656" w:type="dxa"/>
            <w:tcBorders>
              <w:top w:val="nil"/>
              <w:left w:val="nil"/>
              <w:bottom w:val="nil"/>
              <w:right w:val="nil"/>
            </w:tcBorders>
          </w:tcPr>
          <w:p w14:paraId="0B57C70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-0.873</w:t>
            </w:r>
          </w:p>
        </w:tc>
        <w:tc>
          <w:tcPr>
            <w:tcW w:w="1656" w:type="dxa"/>
            <w:tcBorders>
              <w:top w:val="nil"/>
              <w:left w:val="nil"/>
              <w:bottom w:val="nil"/>
              <w:right w:val="nil"/>
            </w:tcBorders>
          </w:tcPr>
          <w:p w14:paraId="417ABDF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-0.585</w:t>
            </w:r>
          </w:p>
        </w:tc>
        <w:tc>
          <w:tcPr>
            <w:tcW w:w="1656" w:type="dxa"/>
            <w:tcBorders>
              <w:top w:val="nil"/>
              <w:left w:val="nil"/>
              <w:bottom w:val="nil"/>
              <w:right w:val="nil"/>
            </w:tcBorders>
          </w:tcPr>
          <w:p w14:paraId="1CD7957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-0.599</w:t>
            </w:r>
          </w:p>
        </w:tc>
        <w:tc>
          <w:tcPr>
            <w:tcW w:w="1656" w:type="dxa"/>
            <w:tcBorders>
              <w:top w:val="nil"/>
              <w:left w:val="nil"/>
              <w:bottom w:val="nil"/>
              <w:right w:val="nil"/>
            </w:tcBorders>
          </w:tcPr>
          <w:p w14:paraId="158CAD3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-1.492</w:t>
            </w:r>
            <w:r w:rsidRPr="002E7BF3">
              <w:rPr>
                <w:rFonts w:ascii="Times New Roman" w:hAnsi="Times New Roman" w:cs="Times New Roman"/>
                <w:sz w:val="16"/>
                <w:szCs w:val="16"/>
                <w:vertAlign w:val="superscript"/>
              </w:rPr>
              <w:t>*</w:t>
            </w:r>
          </w:p>
        </w:tc>
      </w:tr>
      <w:tr w:rsidR="006A4F42" w:rsidRPr="002E7BF3" w14:paraId="1113A30E" w14:textId="77777777" w:rsidTr="00015B88">
        <w:tc>
          <w:tcPr>
            <w:tcW w:w="2136" w:type="dxa"/>
            <w:tcBorders>
              <w:top w:val="nil"/>
              <w:left w:val="nil"/>
              <w:bottom w:val="nil"/>
              <w:right w:val="nil"/>
            </w:tcBorders>
          </w:tcPr>
          <w:p w14:paraId="5476797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E28D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(-1.39)</w:t>
            </w:r>
          </w:p>
        </w:tc>
        <w:tc>
          <w:tcPr>
            <w:tcW w:w="1656" w:type="dxa"/>
            <w:tcBorders>
              <w:top w:val="nil"/>
              <w:left w:val="nil"/>
              <w:bottom w:val="nil"/>
              <w:right w:val="nil"/>
            </w:tcBorders>
          </w:tcPr>
          <w:p w14:paraId="00108CF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(-0.79)</w:t>
            </w:r>
          </w:p>
        </w:tc>
        <w:tc>
          <w:tcPr>
            <w:tcW w:w="1656" w:type="dxa"/>
            <w:tcBorders>
              <w:top w:val="nil"/>
              <w:left w:val="nil"/>
              <w:bottom w:val="nil"/>
              <w:right w:val="nil"/>
            </w:tcBorders>
          </w:tcPr>
          <w:p w14:paraId="15FC3AD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(-0.79)</w:t>
            </w:r>
          </w:p>
        </w:tc>
        <w:tc>
          <w:tcPr>
            <w:tcW w:w="1656" w:type="dxa"/>
            <w:tcBorders>
              <w:top w:val="nil"/>
              <w:left w:val="nil"/>
              <w:bottom w:val="nil"/>
              <w:right w:val="nil"/>
            </w:tcBorders>
          </w:tcPr>
          <w:p w14:paraId="086B226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(-2.57)</w:t>
            </w:r>
          </w:p>
        </w:tc>
      </w:tr>
      <w:tr w:rsidR="006A4F42" w:rsidRPr="002E7BF3" w14:paraId="41617537" w14:textId="77777777" w:rsidTr="00015B88">
        <w:tc>
          <w:tcPr>
            <w:tcW w:w="2136" w:type="dxa"/>
            <w:tcBorders>
              <w:top w:val="nil"/>
              <w:left w:val="nil"/>
              <w:bottom w:val="nil"/>
              <w:right w:val="nil"/>
            </w:tcBorders>
          </w:tcPr>
          <w:p w14:paraId="3963050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C3D27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F1F5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11D5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9FBEA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00A74168" w14:textId="77777777" w:rsidTr="00015B88">
        <w:tc>
          <w:tcPr>
            <w:tcW w:w="2136" w:type="dxa"/>
            <w:tcBorders>
              <w:top w:val="nil"/>
              <w:left w:val="nil"/>
              <w:bottom w:val="nil"/>
              <w:right w:val="nil"/>
            </w:tcBorders>
          </w:tcPr>
          <w:p w14:paraId="52DA9E7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L3.De Facto CBI * Capital Account Openness</w:t>
            </w:r>
          </w:p>
        </w:tc>
        <w:tc>
          <w:tcPr>
            <w:tcW w:w="1656" w:type="dxa"/>
            <w:tcBorders>
              <w:top w:val="nil"/>
              <w:left w:val="nil"/>
              <w:bottom w:val="nil"/>
              <w:right w:val="nil"/>
            </w:tcBorders>
          </w:tcPr>
          <w:p w14:paraId="27FD184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0.0328</w:t>
            </w:r>
          </w:p>
        </w:tc>
        <w:tc>
          <w:tcPr>
            <w:tcW w:w="1656" w:type="dxa"/>
            <w:tcBorders>
              <w:top w:val="nil"/>
              <w:left w:val="nil"/>
              <w:bottom w:val="nil"/>
              <w:right w:val="nil"/>
            </w:tcBorders>
          </w:tcPr>
          <w:p w14:paraId="3398998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-0.357</w:t>
            </w:r>
          </w:p>
        </w:tc>
        <w:tc>
          <w:tcPr>
            <w:tcW w:w="1656" w:type="dxa"/>
            <w:tcBorders>
              <w:top w:val="nil"/>
              <w:left w:val="nil"/>
              <w:bottom w:val="nil"/>
              <w:right w:val="nil"/>
            </w:tcBorders>
          </w:tcPr>
          <w:p w14:paraId="0047C6E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0.576</w:t>
            </w:r>
          </w:p>
        </w:tc>
        <w:tc>
          <w:tcPr>
            <w:tcW w:w="1656" w:type="dxa"/>
            <w:tcBorders>
              <w:top w:val="nil"/>
              <w:left w:val="nil"/>
              <w:bottom w:val="nil"/>
              <w:right w:val="nil"/>
            </w:tcBorders>
          </w:tcPr>
          <w:p w14:paraId="5CA6A8D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-2.021</w:t>
            </w:r>
            <w:r w:rsidRPr="002E7BF3">
              <w:rPr>
                <w:rFonts w:ascii="Times New Roman" w:hAnsi="Times New Roman" w:cs="Times New Roman"/>
                <w:sz w:val="16"/>
                <w:szCs w:val="16"/>
                <w:vertAlign w:val="superscript"/>
              </w:rPr>
              <w:t>***</w:t>
            </w:r>
          </w:p>
        </w:tc>
      </w:tr>
      <w:tr w:rsidR="006A4F42" w:rsidRPr="002E7BF3" w14:paraId="32C0A798" w14:textId="77777777" w:rsidTr="00015B88">
        <w:tc>
          <w:tcPr>
            <w:tcW w:w="2136" w:type="dxa"/>
            <w:tcBorders>
              <w:top w:val="nil"/>
              <w:left w:val="nil"/>
              <w:bottom w:val="nil"/>
              <w:right w:val="nil"/>
            </w:tcBorders>
          </w:tcPr>
          <w:p w14:paraId="2B84EEB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7150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(0.05)</w:t>
            </w:r>
          </w:p>
        </w:tc>
        <w:tc>
          <w:tcPr>
            <w:tcW w:w="1656" w:type="dxa"/>
            <w:tcBorders>
              <w:top w:val="nil"/>
              <w:left w:val="nil"/>
              <w:bottom w:val="nil"/>
              <w:right w:val="nil"/>
            </w:tcBorders>
          </w:tcPr>
          <w:p w14:paraId="617ED9D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(-0.41)</w:t>
            </w:r>
          </w:p>
        </w:tc>
        <w:tc>
          <w:tcPr>
            <w:tcW w:w="1656" w:type="dxa"/>
            <w:tcBorders>
              <w:top w:val="nil"/>
              <w:left w:val="nil"/>
              <w:bottom w:val="nil"/>
              <w:right w:val="nil"/>
            </w:tcBorders>
          </w:tcPr>
          <w:p w14:paraId="5A77EDF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(1.02)</w:t>
            </w:r>
          </w:p>
        </w:tc>
        <w:tc>
          <w:tcPr>
            <w:tcW w:w="1656" w:type="dxa"/>
            <w:tcBorders>
              <w:top w:val="nil"/>
              <w:left w:val="nil"/>
              <w:bottom w:val="nil"/>
              <w:right w:val="nil"/>
            </w:tcBorders>
          </w:tcPr>
          <w:p w14:paraId="45F0678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(-3.52)</w:t>
            </w:r>
          </w:p>
        </w:tc>
      </w:tr>
      <w:tr w:rsidR="006A4F42" w:rsidRPr="002E7BF3" w14:paraId="3E73CAF6" w14:textId="77777777" w:rsidTr="00015B88">
        <w:tc>
          <w:tcPr>
            <w:tcW w:w="2136" w:type="dxa"/>
            <w:tcBorders>
              <w:top w:val="nil"/>
              <w:left w:val="nil"/>
              <w:bottom w:val="nil"/>
              <w:right w:val="nil"/>
            </w:tcBorders>
          </w:tcPr>
          <w:p w14:paraId="23EA4E3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C8095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C567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2E85E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D4956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04C99086" w14:textId="77777777" w:rsidTr="00015B88">
        <w:tc>
          <w:tcPr>
            <w:tcW w:w="2136" w:type="dxa"/>
            <w:tcBorders>
              <w:top w:val="nil"/>
              <w:left w:val="nil"/>
              <w:bottom w:val="nil"/>
              <w:right w:val="nil"/>
            </w:tcBorders>
          </w:tcPr>
          <w:p w14:paraId="7B3E0A9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L4.De Facto CBI * Capital Account Openness</w:t>
            </w:r>
          </w:p>
        </w:tc>
        <w:tc>
          <w:tcPr>
            <w:tcW w:w="1656" w:type="dxa"/>
            <w:tcBorders>
              <w:top w:val="nil"/>
              <w:left w:val="nil"/>
              <w:bottom w:val="nil"/>
              <w:right w:val="nil"/>
            </w:tcBorders>
          </w:tcPr>
          <w:p w14:paraId="1629512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1.348</w:t>
            </w:r>
            <w:r w:rsidRPr="002E7BF3">
              <w:rPr>
                <w:rFonts w:ascii="Times New Roman" w:hAnsi="Times New Roman" w:cs="Times New Roman"/>
                <w:sz w:val="16"/>
                <w:szCs w:val="16"/>
                <w:vertAlign w:val="superscript"/>
              </w:rPr>
              <w:t>*</w:t>
            </w:r>
          </w:p>
        </w:tc>
        <w:tc>
          <w:tcPr>
            <w:tcW w:w="1656" w:type="dxa"/>
            <w:tcBorders>
              <w:top w:val="nil"/>
              <w:left w:val="nil"/>
              <w:bottom w:val="nil"/>
              <w:right w:val="nil"/>
            </w:tcBorders>
          </w:tcPr>
          <w:p w14:paraId="4A1ACFE2"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0.476</w:t>
            </w:r>
          </w:p>
        </w:tc>
        <w:tc>
          <w:tcPr>
            <w:tcW w:w="1656" w:type="dxa"/>
            <w:tcBorders>
              <w:top w:val="nil"/>
              <w:left w:val="nil"/>
              <w:bottom w:val="nil"/>
              <w:right w:val="nil"/>
            </w:tcBorders>
          </w:tcPr>
          <w:p w14:paraId="01A5E9F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-0.122</w:t>
            </w:r>
          </w:p>
        </w:tc>
        <w:tc>
          <w:tcPr>
            <w:tcW w:w="1656" w:type="dxa"/>
            <w:tcBorders>
              <w:top w:val="nil"/>
              <w:left w:val="nil"/>
              <w:bottom w:val="nil"/>
              <w:right w:val="nil"/>
            </w:tcBorders>
          </w:tcPr>
          <w:p w14:paraId="550D92E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-1.609</w:t>
            </w:r>
            <w:r w:rsidRPr="002E7BF3">
              <w:rPr>
                <w:rFonts w:ascii="Times New Roman" w:hAnsi="Times New Roman" w:cs="Times New Roman"/>
                <w:sz w:val="16"/>
                <w:szCs w:val="16"/>
                <w:vertAlign w:val="superscript"/>
              </w:rPr>
              <w:t>**</w:t>
            </w:r>
          </w:p>
        </w:tc>
      </w:tr>
      <w:tr w:rsidR="006A4F42" w:rsidRPr="002E7BF3" w14:paraId="5ACE2F4E" w14:textId="77777777" w:rsidTr="00015B88">
        <w:tc>
          <w:tcPr>
            <w:tcW w:w="2136" w:type="dxa"/>
            <w:tcBorders>
              <w:top w:val="nil"/>
              <w:left w:val="nil"/>
              <w:bottom w:val="nil"/>
              <w:right w:val="nil"/>
            </w:tcBorders>
          </w:tcPr>
          <w:p w14:paraId="43BA132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CF0D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(2.42)</w:t>
            </w:r>
          </w:p>
        </w:tc>
        <w:tc>
          <w:tcPr>
            <w:tcW w:w="1656" w:type="dxa"/>
            <w:tcBorders>
              <w:top w:val="nil"/>
              <w:left w:val="nil"/>
              <w:bottom w:val="nil"/>
              <w:right w:val="nil"/>
            </w:tcBorders>
          </w:tcPr>
          <w:p w14:paraId="5831559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(0.71)</w:t>
            </w:r>
          </w:p>
        </w:tc>
        <w:tc>
          <w:tcPr>
            <w:tcW w:w="1656" w:type="dxa"/>
            <w:tcBorders>
              <w:top w:val="nil"/>
              <w:left w:val="nil"/>
              <w:bottom w:val="nil"/>
              <w:right w:val="nil"/>
            </w:tcBorders>
          </w:tcPr>
          <w:p w14:paraId="77ADF6C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(-0.19)</w:t>
            </w:r>
          </w:p>
        </w:tc>
        <w:tc>
          <w:tcPr>
            <w:tcW w:w="1656" w:type="dxa"/>
            <w:tcBorders>
              <w:top w:val="nil"/>
              <w:left w:val="nil"/>
              <w:bottom w:val="nil"/>
              <w:right w:val="nil"/>
            </w:tcBorders>
          </w:tcPr>
          <w:p w14:paraId="67E1C1A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(-2.85)</w:t>
            </w:r>
          </w:p>
        </w:tc>
      </w:tr>
      <w:tr w:rsidR="006A4F42" w:rsidRPr="002E7BF3" w14:paraId="657BC106" w14:textId="77777777" w:rsidTr="00015B88">
        <w:tc>
          <w:tcPr>
            <w:tcW w:w="2136" w:type="dxa"/>
            <w:tcBorders>
              <w:top w:val="nil"/>
              <w:left w:val="nil"/>
              <w:bottom w:val="nil"/>
              <w:right w:val="nil"/>
            </w:tcBorders>
          </w:tcPr>
          <w:p w14:paraId="32F999C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8E3ED7"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0D912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855C5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4DFD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6D4D49CA" w14:textId="77777777" w:rsidTr="00015B88">
        <w:tc>
          <w:tcPr>
            <w:tcW w:w="2136" w:type="dxa"/>
            <w:tcBorders>
              <w:top w:val="nil"/>
              <w:left w:val="nil"/>
              <w:bottom w:val="nil"/>
              <w:right w:val="nil"/>
            </w:tcBorders>
          </w:tcPr>
          <w:p w14:paraId="57A8EA8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L5.De Facto CBI * Capital Account Openness</w:t>
            </w:r>
          </w:p>
        </w:tc>
        <w:tc>
          <w:tcPr>
            <w:tcW w:w="1656" w:type="dxa"/>
            <w:tcBorders>
              <w:top w:val="nil"/>
              <w:left w:val="nil"/>
              <w:bottom w:val="nil"/>
              <w:right w:val="nil"/>
            </w:tcBorders>
          </w:tcPr>
          <w:p w14:paraId="0639433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-0.874</w:t>
            </w:r>
          </w:p>
        </w:tc>
        <w:tc>
          <w:tcPr>
            <w:tcW w:w="1656" w:type="dxa"/>
            <w:tcBorders>
              <w:top w:val="nil"/>
              <w:left w:val="nil"/>
              <w:bottom w:val="nil"/>
              <w:right w:val="nil"/>
            </w:tcBorders>
          </w:tcPr>
          <w:p w14:paraId="5DD43B1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0.654</w:t>
            </w:r>
          </w:p>
        </w:tc>
        <w:tc>
          <w:tcPr>
            <w:tcW w:w="1656" w:type="dxa"/>
            <w:tcBorders>
              <w:top w:val="nil"/>
              <w:left w:val="nil"/>
              <w:bottom w:val="nil"/>
              <w:right w:val="nil"/>
            </w:tcBorders>
          </w:tcPr>
          <w:p w14:paraId="31ECD932"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0.305</w:t>
            </w:r>
          </w:p>
        </w:tc>
        <w:tc>
          <w:tcPr>
            <w:tcW w:w="1656" w:type="dxa"/>
            <w:tcBorders>
              <w:top w:val="nil"/>
              <w:left w:val="nil"/>
              <w:bottom w:val="nil"/>
              <w:right w:val="nil"/>
            </w:tcBorders>
          </w:tcPr>
          <w:p w14:paraId="66553132"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-1.966</w:t>
            </w:r>
            <w:r w:rsidRPr="002E7BF3">
              <w:rPr>
                <w:rFonts w:ascii="Times New Roman" w:hAnsi="Times New Roman" w:cs="Times New Roman"/>
                <w:sz w:val="16"/>
                <w:szCs w:val="16"/>
                <w:vertAlign w:val="superscript"/>
              </w:rPr>
              <w:t>**</w:t>
            </w:r>
          </w:p>
        </w:tc>
      </w:tr>
      <w:tr w:rsidR="006A4F42" w:rsidRPr="002E7BF3" w14:paraId="235ED88D" w14:textId="77777777" w:rsidTr="00015B88">
        <w:tc>
          <w:tcPr>
            <w:tcW w:w="2136" w:type="dxa"/>
            <w:tcBorders>
              <w:top w:val="nil"/>
              <w:left w:val="nil"/>
              <w:bottom w:val="nil"/>
              <w:right w:val="nil"/>
            </w:tcBorders>
          </w:tcPr>
          <w:p w14:paraId="4914C98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84700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(-1.44)</w:t>
            </w:r>
          </w:p>
        </w:tc>
        <w:tc>
          <w:tcPr>
            <w:tcW w:w="1656" w:type="dxa"/>
            <w:tcBorders>
              <w:top w:val="nil"/>
              <w:left w:val="nil"/>
              <w:bottom w:val="nil"/>
              <w:right w:val="nil"/>
            </w:tcBorders>
          </w:tcPr>
          <w:p w14:paraId="1CCB700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(0.89)</w:t>
            </w:r>
          </w:p>
        </w:tc>
        <w:tc>
          <w:tcPr>
            <w:tcW w:w="1656" w:type="dxa"/>
            <w:tcBorders>
              <w:top w:val="nil"/>
              <w:left w:val="nil"/>
              <w:bottom w:val="nil"/>
              <w:right w:val="nil"/>
            </w:tcBorders>
          </w:tcPr>
          <w:p w14:paraId="4396679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(0.52)</w:t>
            </w:r>
          </w:p>
        </w:tc>
        <w:tc>
          <w:tcPr>
            <w:tcW w:w="1656" w:type="dxa"/>
            <w:tcBorders>
              <w:top w:val="nil"/>
              <w:left w:val="nil"/>
              <w:bottom w:val="nil"/>
              <w:right w:val="nil"/>
            </w:tcBorders>
          </w:tcPr>
          <w:p w14:paraId="7C10963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(-2.91)</w:t>
            </w:r>
          </w:p>
        </w:tc>
      </w:tr>
      <w:tr w:rsidR="006A4F42" w:rsidRPr="002E7BF3" w14:paraId="37ECD043" w14:textId="77777777" w:rsidTr="00015B88">
        <w:tc>
          <w:tcPr>
            <w:tcW w:w="2136" w:type="dxa"/>
            <w:tcBorders>
              <w:top w:val="nil"/>
              <w:left w:val="nil"/>
              <w:bottom w:val="nil"/>
              <w:right w:val="nil"/>
            </w:tcBorders>
          </w:tcPr>
          <w:p w14:paraId="08A671B7"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6540C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44267"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24575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376A1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6FDAFFAC" w14:textId="77777777" w:rsidTr="00015B88">
        <w:tc>
          <w:tcPr>
            <w:tcW w:w="2136" w:type="dxa"/>
            <w:tcBorders>
              <w:top w:val="nil"/>
              <w:left w:val="nil"/>
              <w:bottom w:val="nil"/>
              <w:right w:val="nil"/>
            </w:tcBorders>
          </w:tcPr>
          <w:p w14:paraId="12FE7C2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L6.De Facto CBI * Capital Account Openness</w:t>
            </w:r>
          </w:p>
        </w:tc>
        <w:tc>
          <w:tcPr>
            <w:tcW w:w="1656" w:type="dxa"/>
            <w:tcBorders>
              <w:top w:val="nil"/>
              <w:left w:val="nil"/>
              <w:bottom w:val="nil"/>
              <w:right w:val="nil"/>
            </w:tcBorders>
          </w:tcPr>
          <w:p w14:paraId="47EC8CA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-0.0509</w:t>
            </w:r>
          </w:p>
        </w:tc>
        <w:tc>
          <w:tcPr>
            <w:tcW w:w="1656" w:type="dxa"/>
            <w:tcBorders>
              <w:top w:val="nil"/>
              <w:left w:val="nil"/>
              <w:bottom w:val="nil"/>
              <w:right w:val="nil"/>
            </w:tcBorders>
          </w:tcPr>
          <w:p w14:paraId="58DD936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-0.207</w:t>
            </w:r>
          </w:p>
        </w:tc>
        <w:tc>
          <w:tcPr>
            <w:tcW w:w="1656" w:type="dxa"/>
            <w:tcBorders>
              <w:top w:val="nil"/>
              <w:left w:val="nil"/>
              <w:bottom w:val="nil"/>
              <w:right w:val="nil"/>
            </w:tcBorders>
          </w:tcPr>
          <w:p w14:paraId="476CA5F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0.00672</w:t>
            </w:r>
          </w:p>
        </w:tc>
        <w:tc>
          <w:tcPr>
            <w:tcW w:w="1656" w:type="dxa"/>
            <w:tcBorders>
              <w:top w:val="nil"/>
              <w:left w:val="nil"/>
              <w:bottom w:val="nil"/>
              <w:right w:val="nil"/>
            </w:tcBorders>
          </w:tcPr>
          <w:p w14:paraId="2E28D75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-1.273</w:t>
            </w:r>
            <w:r w:rsidRPr="002E7BF3">
              <w:rPr>
                <w:rFonts w:ascii="Times New Roman" w:hAnsi="Times New Roman" w:cs="Times New Roman"/>
                <w:sz w:val="16"/>
                <w:szCs w:val="16"/>
                <w:vertAlign w:val="superscript"/>
              </w:rPr>
              <w:t>*</w:t>
            </w:r>
          </w:p>
        </w:tc>
      </w:tr>
      <w:tr w:rsidR="006A4F42" w:rsidRPr="002E7BF3" w14:paraId="2C85FEC8" w14:textId="77777777" w:rsidTr="00015B88">
        <w:tc>
          <w:tcPr>
            <w:tcW w:w="2136" w:type="dxa"/>
            <w:tcBorders>
              <w:top w:val="nil"/>
              <w:left w:val="nil"/>
              <w:bottom w:val="nil"/>
              <w:right w:val="nil"/>
            </w:tcBorders>
          </w:tcPr>
          <w:p w14:paraId="3F8F511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27811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(-0.09)</w:t>
            </w:r>
          </w:p>
        </w:tc>
        <w:tc>
          <w:tcPr>
            <w:tcW w:w="1656" w:type="dxa"/>
            <w:tcBorders>
              <w:top w:val="nil"/>
              <w:left w:val="nil"/>
              <w:bottom w:val="nil"/>
              <w:right w:val="nil"/>
            </w:tcBorders>
          </w:tcPr>
          <w:p w14:paraId="1E90ABC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(-0.31)</w:t>
            </w:r>
          </w:p>
        </w:tc>
        <w:tc>
          <w:tcPr>
            <w:tcW w:w="1656" w:type="dxa"/>
            <w:tcBorders>
              <w:top w:val="nil"/>
              <w:left w:val="nil"/>
              <w:bottom w:val="nil"/>
              <w:right w:val="nil"/>
            </w:tcBorders>
          </w:tcPr>
          <w:p w14:paraId="2F1B7392"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(0.01)</w:t>
            </w:r>
          </w:p>
        </w:tc>
        <w:tc>
          <w:tcPr>
            <w:tcW w:w="1656" w:type="dxa"/>
            <w:tcBorders>
              <w:top w:val="nil"/>
              <w:left w:val="nil"/>
              <w:bottom w:val="nil"/>
              <w:right w:val="nil"/>
            </w:tcBorders>
          </w:tcPr>
          <w:p w14:paraId="4B2D864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(-2.09)</w:t>
            </w:r>
          </w:p>
        </w:tc>
      </w:tr>
      <w:tr w:rsidR="006A4F42" w:rsidRPr="002E7BF3" w14:paraId="55DD1E53" w14:textId="77777777" w:rsidTr="00015B88">
        <w:tc>
          <w:tcPr>
            <w:tcW w:w="2136" w:type="dxa"/>
            <w:tcBorders>
              <w:top w:val="nil"/>
              <w:left w:val="nil"/>
              <w:bottom w:val="nil"/>
              <w:right w:val="nil"/>
            </w:tcBorders>
          </w:tcPr>
          <w:p w14:paraId="2B8C0B1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9208F5"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E812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DD9C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78D055"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22653EEB" w14:textId="77777777" w:rsidTr="00015B88">
        <w:tc>
          <w:tcPr>
            <w:tcW w:w="2136" w:type="dxa"/>
            <w:tcBorders>
              <w:top w:val="nil"/>
              <w:left w:val="nil"/>
              <w:bottom w:val="nil"/>
              <w:right w:val="nil"/>
            </w:tcBorders>
          </w:tcPr>
          <w:p w14:paraId="1EE1410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L7.De Facto CBI * Capital Account Openness</w:t>
            </w:r>
          </w:p>
        </w:tc>
        <w:tc>
          <w:tcPr>
            <w:tcW w:w="1656" w:type="dxa"/>
            <w:tcBorders>
              <w:top w:val="nil"/>
              <w:left w:val="nil"/>
              <w:bottom w:val="nil"/>
              <w:right w:val="nil"/>
            </w:tcBorders>
          </w:tcPr>
          <w:p w14:paraId="4287779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-0.832</w:t>
            </w:r>
          </w:p>
        </w:tc>
        <w:tc>
          <w:tcPr>
            <w:tcW w:w="1656" w:type="dxa"/>
            <w:tcBorders>
              <w:top w:val="nil"/>
              <w:left w:val="nil"/>
              <w:bottom w:val="nil"/>
              <w:right w:val="nil"/>
            </w:tcBorders>
          </w:tcPr>
          <w:p w14:paraId="6203A67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0.507</w:t>
            </w:r>
          </w:p>
        </w:tc>
        <w:tc>
          <w:tcPr>
            <w:tcW w:w="1656" w:type="dxa"/>
            <w:tcBorders>
              <w:top w:val="nil"/>
              <w:left w:val="nil"/>
              <w:bottom w:val="nil"/>
              <w:right w:val="nil"/>
            </w:tcBorders>
          </w:tcPr>
          <w:p w14:paraId="4116B99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-0.0592</w:t>
            </w:r>
          </w:p>
        </w:tc>
        <w:tc>
          <w:tcPr>
            <w:tcW w:w="1656" w:type="dxa"/>
            <w:tcBorders>
              <w:top w:val="nil"/>
              <w:left w:val="nil"/>
              <w:bottom w:val="nil"/>
              <w:right w:val="nil"/>
            </w:tcBorders>
          </w:tcPr>
          <w:p w14:paraId="1FDAA7D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-0.744</w:t>
            </w:r>
          </w:p>
        </w:tc>
      </w:tr>
      <w:tr w:rsidR="006A4F42" w:rsidRPr="002E7BF3" w14:paraId="04AA9816" w14:textId="77777777" w:rsidTr="00015B88">
        <w:tc>
          <w:tcPr>
            <w:tcW w:w="2136" w:type="dxa"/>
            <w:tcBorders>
              <w:top w:val="nil"/>
              <w:left w:val="nil"/>
              <w:bottom w:val="nil"/>
              <w:right w:val="nil"/>
            </w:tcBorders>
          </w:tcPr>
          <w:p w14:paraId="212B7B1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1ED4C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(-1.36)</w:t>
            </w:r>
          </w:p>
        </w:tc>
        <w:tc>
          <w:tcPr>
            <w:tcW w:w="1656" w:type="dxa"/>
            <w:tcBorders>
              <w:top w:val="nil"/>
              <w:left w:val="nil"/>
              <w:bottom w:val="nil"/>
              <w:right w:val="nil"/>
            </w:tcBorders>
          </w:tcPr>
          <w:p w14:paraId="65D6074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(0.69)</w:t>
            </w:r>
          </w:p>
        </w:tc>
        <w:tc>
          <w:tcPr>
            <w:tcW w:w="1656" w:type="dxa"/>
            <w:tcBorders>
              <w:top w:val="nil"/>
              <w:left w:val="nil"/>
              <w:bottom w:val="nil"/>
              <w:right w:val="nil"/>
            </w:tcBorders>
          </w:tcPr>
          <w:p w14:paraId="5EE1E39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(-0.08)</w:t>
            </w:r>
          </w:p>
        </w:tc>
        <w:tc>
          <w:tcPr>
            <w:tcW w:w="1656" w:type="dxa"/>
            <w:tcBorders>
              <w:top w:val="nil"/>
              <w:left w:val="nil"/>
              <w:bottom w:val="nil"/>
              <w:right w:val="nil"/>
            </w:tcBorders>
          </w:tcPr>
          <w:p w14:paraId="1AE6006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(-1.23)</w:t>
            </w:r>
          </w:p>
        </w:tc>
      </w:tr>
      <w:tr w:rsidR="006A4F42" w:rsidRPr="002E7BF3" w14:paraId="6C8C520C" w14:textId="77777777" w:rsidTr="00015B88">
        <w:tc>
          <w:tcPr>
            <w:tcW w:w="2136" w:type="dxa"/>
            <w:tcBorders>
              <w:top w:val="nil"/>
              <w:left w:val="nil"/>
              <w:bottom w:val="nil"/>
              <w:right w:val="nil"/>
            </w:tcBorders>
          </w:tcPr>
          <w:p w14:paraId="1F99329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36F0A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BCF3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08B3C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530C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7B24DE5C" w14:textId="77777777" w:rsidTr="00015B88">
        <w:tc>
          <w:tcPr>
            <w:tcW w:w="2136" w:type="dxa"/>
            <w:tcBorders>
              <w:top w:val="nil"/>
              <w:left w:val="nil"/>
              <w:bottom w:val="nil"/>
              <w:right w:val="nil"/>
            </w:tcBorders>
          </w:tcPr>
          <w:p w14:paraId="5E3492D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L8.De Facto CBI * Capital Account Openness</w:t>
            </w:r>
          </w:p>
        </w:tc>
        <w:tc>
          <w:tcPr>
            <w:tcW w:w="1656" w:type="dxa"/>
            <w:tcBorders>
              <w:top w:val="nil"/>
              <w:left w:val="nil"/>
              <w:bottom w:val="nil"/>
              <w:right w:val="nil"/>
            </w:tcBorders>
          </w:tcPr>
          <w:p w14:paraId="21F12A8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-0.547</w:t>
            </w:r>
          </w:p>
        </w:tc>
        <w:tc>
          <w:tcPr>
            <w:tcW w:w="1656" w:type="dxa"/>
            <w:tcBorders>
              <w:top w:val="nil"/>
              <w:left w:val="nil"/>
              <w:bottom w:val="nil"/>
              <w:right w:val="nil"/>
            </w:tcBorders>
          </w:tcPr>
          <w:p w14:paraId="3BF9454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-0.930</w:t>
            </w:r>
          </w:p>
        </w:tc>
        <w:tc>
          <w:tcPr>
            <w:tcW w:w="1656" w:type="dxa"/>
            <w:tcBorders>
              <w:top w:val="nil"/>
              <w:left w:val="nil"/>
              <w:bottom w:val="nil"/>
              <w:right w:val="nil"/>
            </w:tcBorders>
          </w:tcPr>
          <w:p w14:paraId="64E36C2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-0.197</w:t>
            </w:r>
          </w:p>
        </w:tc>
        <w:tc>
          <w:tcPr>
            <w:tcW w:w="1656" w:type="dxa"/>
            <w:tcBorders>
              <w:top w:val="nil"/>
              <w:left w:val="nil"/>
              <w:bottom w:val="nil"/>
              <w:right w:val="nil"/>
            </w:tcBorders>
          </w:tcPr>
          <w:p w14:paraId="03B96A0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-0.780</w:t>
            </w:r>
          </w:p>
        </w:tc>
      </w:tr>
      <w:tr w:rsidR="006A4F42" w:rsidRPr="002E7BF3" w14:paraId="2B72113D" w14:textId="77777777" w:rsidTr="00015B88">
        <w:tc>
          <w:tcPr>
            <w:tcW w:w="2136" w:type="dxa"/>
            <w:tcBorders>
              <w:top w:val="nil"/>
              <w:left w:val="nil"/>
              <w:bottom w:val="nil"/>
              <w:right w:val="nil"/>
            </w:tcBorders>
          </w:tcPr>
          <w:p w14:paraId="5073777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BBF13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(-0.72)</w:t>
            </w:r>
          </w:p>
        </w:tc>
        <w:tc>
          <w:tcPr>
            <w:tcW w:w="1656" w:type="dxa"/>
            <w:tcBorders>
              <w:top w:val="nil"/>
              <w:left w:val="nil"/>
              <w:bottom w:val="nil"/>
              <w:right w:val="nil"/>
            </w:tcBorders>
          </w:tcPr>
          <w:p w14:paraId="5D21C00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(-1.09)</w:t>
            </w:r>
          </w:p>
        </w:tc>
        <w:tc>
          <w:tcPr>
            <w:tcW w:w="1656" w:type="dxa"/>
            <w:tcBorders>
              <w:top w:val="nil"/>
              <w:left w:val="nil"/>
              <w:bottom w:val="nil"/>
              <w:right w:val="nil"/>
            </w:tcBorders>
          </w:tcPr>
          <w:p w14:paraId="72D04F2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(-0.33)</w:t>
            </w:r>
          </w:p>
        </w:tc>
        <w:tc>
          <w:tcPr>
            <w:tcW w:w="1656" w:type="dxa"/>
            <w:tcBorders>
              <w:top w:val="nil"/>
              <w:left w:val="nil"/>
              <w:bottom w:val="nil"/>
              <w:right w:val="nil"/>
            </w:tcBorders>
          </w:tcPr>
          <w:p w14:paraId="3C79E5C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(-1.25)</w:t>
            </w:r>
          </w:p>
        </w:tc>
      </w:tr>
      <w:tr w:rsidR="006A4F42" w:rsidRPr="002E7BF3" w14:paraId="157CBBB2" w14:textId="77777777" w:rsidTr="00015B88">
        <w:tc>
          <w:tcPr>
            <w:tcW w:w="2136" w:type="dxa"/>
            <w:tcBorders>
              <w:top w:val="nil"/>
              <w:left w:val="nil"/>
              <w:bottom w:val="nil"/>
              <w:right w:val="nil"/>
            </w:tcBorders>
          </w:tcPr>
          <w:p w14:paraId="520C1F3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1724F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F25F0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4E2C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EC54C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75283BBD" w14:textId="77777777" w:rsidTr="00015B88">
        <w:tc>
          <w:tcPr>
            <w:tcW w:w="2136" w:type="dxa"/>
            <w:tcBorders>
              <w:top w:val="nil"/>
              <w:left w:val="nil"/>
              <w:bottom w:val="nil"/>
              <w:right w:val="nil"/>
            </w:tcBorders>
          </w:tcPr>
          <w:p w14:paraId="6D3962F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lastRenderedPageBreak/>
              <w:t>L9.De Facto CBI * Capital Account Openness</w:t>
            </w:r>
          </w:p>
        </w:tc>
        <w:tc>
          <w:tcPr>
            <w:tcW w:w="1656" w:type="dxa"/>
            <w:tcBorders>
              <w:top w:val="nil"/>
              <w:left w:val="nil"/>
              <w:bottom w:val="nil"/>
              <w:right w:val="nil"/>
            </w:tcBorders>
          </w:tcPr>
          <w:p w14:paraId="4D97A77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0.381</w:t>
            </w:r>
          </w:p>
        </w:tc>
        <w:tc>
          <w:tcPr>
            <w:tcW w:w="1656" w:type="dxa"/>
            <w:tcBorders>
              <w:top w:val="nil"/>
              <w:left w:val="nil"/>
              <w:bottom w:val="nil"/>
              <w:right w:val="nil"/>
            </w:tcBorders>
          </w:tcPr>
          <w:p w14:paraId="4E00E13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-1.148</w:t>
            </w:r>
          </w:p>
        </w:tc>
        <w:tc>
          <w:tcPr>
            <w:tcW w:w="1656" w:type="dxa"/>
            <w:tcBorders>
              <w:top w:val="nil"/>
              <w:left w:val="nil"/>
              <w:bottom w:val="nil"/>
              <w:right w:val="nil"/>
            </w:tcBorders>
          </w:tcPr>
          <w:p w14:paraId="12CDCCE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0.615</w:t>
            </w:r>
          </w:p>
        </w:tc>
        <w:tc>
          <w:tcPr>
            <w:tcW w:w="1656" w:type="dxa"/>
            <w:tcBorders>
              <w:top w:val="nil"/>
              <w:left w:val="nil"/>
              <w:bottom w:val="nil"/>
              <w:right w:val="nil"/>
            </w:tcBorders>
          </w:tcPr>
          <w:p w14:paraId="7C3AC1C2"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-0.327</w:t>
            </w:r>
          </w:p>
        </w:tc>
      </w:tr>
      <w:tr w:rsidR="006A4F42" w:rsidRPr="002E7BF3" w14:paraId="1F90C07A" w14:textId="77777777" w:rsidTr="00015B88">
        <w:tc>
          <w:tcPr>
            <w:tcW w:w="2136" w:type="dxa"/>
            <w:tcBorders>
              <w:top w:val="nil"/>
              <w:left w:val="nil"/>
              <w:bottom w:val="nil"/>
              <w:right w:val="nil"/>
            </w:tcBorders>
          </w:tcPr>
          <w:p w14:paraId="2388C31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B00AF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(0.61)</w:t>
            </w:r>
          </w:p>
        </w:tc>
        <w:tc>
          <w:tcPr>
            <w:tcW w:w="1656" w:type="dxa"/>
            <w:tcBorders>
              <w:top w:val="nil"/>
              <w:left w:val="nil"/>
              <w:bottom w:val="nil"/>
              <w:right w:val="nil"/>
            </w:tcBorders>
          </w:tcPr>
          <w:p w14:paraId="0CA16A8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(-1.75)</w:t>
            </w:r>
          </w:p>
        </w:tc>
        <w:tc>
          <w:tcPr>
            <w:tcW w:w="1656" w:type="dxa"/>
            <w:tcBorders>
              <w:top w:val="nil"/>
              <w:left w:val="nil"/>
              <w:bottom w:val="nil"/>
              <w:right w:val="nil"/>
            </w:tcBorders>
          </w:tcPr>
          <w:p w14:paraId="27801A0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(1.01)</w:t>
            </w:r>
          </w:p>
        </w:tc>
        <w:tc>
          <w:tcPr>
            <w:tcW w:w="1656" w:type="dxa"/>
            <w:tcBorders>
              <w:top w:val="nil"/>
              <w:left w:val="nil"/>
              <w:bottom w:val="nil"/>
              <w:right w:val="nil"/>
            </w:tcBorders>
          </w:tcPr>
          <w:p w14:paraId="7874453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(-0.54)</w:t>
            </w:r>
          </w:p>
        </w:tc>
      </w:tr>
      <w:tr w:rsidR="006A4F42" w:rsidRPr="002E7BF3" w14:paraId="41E78A2C" w14:textId="77777777" w:rsidTr="00015B88">
        <w:tc>
          <w:tcPr>
            <w:tcW w:w="2136" w:type="dxa"/>
            <w:tcBorders>
              <w:top w:val="nil"/>
              <w:left w:val="nil"/>
              <w:bottom w:val="nil"/>
              <w:right w:val="nil"/>
            </w:tcBorders>
          </w:tcPr>
          <w:p w14:paraId="0F34CC4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8DB65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989BF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A5334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CA94B"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4997D03B" w14:textId="77777777" w:rsidTr="00015B88">
        <w:tc>
          <w:tcPr>
            <w:tcW w:w="2136" w:type="dxa"/>
            <w:tcBorders>
              <w:top w:val="nil"/>
              <w:left w:val="nil"/>
              <w:bottom w:val="nil"/>
              <w:right w:val="nil"/>
            </w:tcBorders>
          </w:tcPr>
          <w:p w14:paraId="6AAC916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L10.De Facto CBI * Capital Account Openness</w:t>
            </w:r>
          </w:p>
        </w:tc>
        <w:tc>
          <w:tcPr>
            <w:tcW w:w="1656" w:type="dxa"/>
            <w:tcBorders>
              <w:top w:val="nil"/>
              <w:left w:val="nil"/>
              <w:bottom w:val="nil"/>
              <w:right w:val="nil"/>
            </w:tcBorders>
          </w:tcPr>
          <w:p w14:paraId="7953DB7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-0.786</w:t>
            </w:r>
          </w:p>
        </w:tc>
        <w:tc>
          <w:tcPr>
            <w:tcW w:w="1656" w:type="dxa"/>
            <w:tcBorders>
              <w:top w:val="nil"/>
              <w:left w:val="nil"/>
              <w:bottom w:val="nil"/>
              <w:right w:val="nil"/>
            </w:tcBorders>
          </w:tcPr>
          <w:p w14:paraId="2117280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-1.223</w:t>
            </w:r>
          </w:p>
        </w:tc>
        <w:tc>
          <w:tcPr>
            <w:tcW w:w="1656" w:type="dxa"/>
            <w:tcBorders>
              <w:top w:val="nil"/>
              <w:left w:val="nil"/>
              <w:bottom w:val="nil"/>
              <w:right w:val="nil"/>
            </w:tcBorders>
          </w:tcPr>
          <w:p w14:paraId="1067F05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0.259</w:t>
            </w:r>
          </w:p>
        </w:tc>
        <w:tc>
          <w:tcPr>
            <w:tcW w:w="1656" w:type="dxa"/>
            <w:tcBorders>
              <w:top w:val="nil"/>
              <w:left w:val="nil"/>
              <w:bottom w:val="nil"/>
              <w:right w:val="nil"/>
            </w:tcBorders>
          </w:tcPr>
          <w:p w14:paraId="7E7AD70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-0.739</w:t>
            </w:r>
          </w:p>
        </w:tc>
      </w:tr>
      <w:tr w:rsidR="006A4F42" w:rsidRPr="002E7BF3" w14:paraId="0FEEA87A" w14:textId="77777777" w:rsidTr="00015B88">
        <w:tc>
          <w:tcPr>
            <w:tcW w:w="2136" w:type="dxa"/>
            <w:tcBorders>
              <w:top w:val="nil"/>
              <w:left w:val="nil"/>
              <w:bottom w:val="nil"/>
              <w:right w:val="nil"/>
            </w:tcBorders>
          </w:tcPr>
          <w:p w14:paraId="601C332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E4846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(-1.21)</w:t>
            </w:r>
          </w:p>
        </w:tc>
        <w:tc>
          <w:tcPr>
            <w:tcW w:w="1656" w:type="dxa"/>
            <w:tcBorders>
              <w:top w:val="nil"/>
              <w:left w:val="nil"/>
              <w:bottom w:val="nil"/>
              <w:right w:val="nil"/>
            </w:tcBorders>
          </w:tcPr>
          <w:p w14:paraId="3DB8B76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(-1.49)</w:t>
            </w:r>
          </w:p>
        </w:tc>
        <w:tc>
          <w:tcPr>
            <w:tcW w:w="1656" w:type="dxa"/>
            <w:tcBorders>
              <w:top w:val="nil"/>
              <w:left w:val="nil"/>
              <w:bottom w:val="nil"/>
              <w:right w:val="nil"/>
            </w:tcBorders>
          </w:tcPr>
          <w:p w14:paraId="72604BD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(0.39)</w:t>
            </w:r>
          </w:p>
        </w:tc>
        <w:tc>
          <w:tcPr>
            <w:tcW w:w="1656" w:type="dxa"/>
            <w:tcBorders>
              <w:top w:val="nil"/>
              <w:left w:val="nil"/>
              <w:bottom w:val="nil"/>
              <w:right w:val="nil"/>
            </w:tcBorders>
          </w:tcPr>
          <w:p w14:paraId="734A997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(-1.29)</w:t>
            </w:r>
          </w:p>
        </w:tc>
      </w:tr>
      <w:tr w:rsidR="006A4F42" w:rsidRPr="002E7BF3" w14:paraId="0FC45FF6" w14:textId="77777777" w:rsidTr="00015B88">
        <w:tc>
          <w:tcPr>
            <w:tcW w:w="2136" w:type="dxa"/>
            <w:tcBorders>
              <w:top w:val="nil"/>
              <w:left w:val="nil"/>
              <w:bottom w:val="nil"/>
              <w:right w:val="nil"/>
            </w:tcBorders>
          </w:tcPr>
          <w:p w14:paraId="51C20AF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2C6E5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92D98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B0C20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113FA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1F92E5C3" w14:textId="77777777" w:rsidTr="00015B88">
        <w:tc>
          <w:tcPr>
            <w:tcW w:w="2136" w:type="dxa"/>
            <w:tcBorders>
              <w:top w:val="nil"/>
              <w:left w:val="nil"/>
              <w:bottom w:val="nil"/>
              <w:right w:val="nil"/>
            </w:tcBorders>
          </w:tcPr>
          <w:p w14:paraId="7BA215F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2E7BF3">
              <w:rPr>
                <w:rFonts w:ascii="Times New Roman" w:hAnsi="Times New Roman" w:cs="Times New Roman"/>
                <w:sz w:val="16"/>
                <w:szCs w:val="16"/>
              </w:rPr>
              <w:t>L.More</w:t>
            </w:r>
            <w:proofErr w:type="spellEnd"/>
            <w:r w:rsidRPr="002E7BF3">
              <w:rPr>
                <w:rFonts w:ascii="Times New Roman" w:hAnsi="Times New Roman" w:cs="Times New Roman"/>
                <w:sz w:val="16"/>
                <w:szCs w:val="16"/>
              </w:rPr>
              <w:t xml:space="preserve"> Fixed Rate * Capital Account Openness</w:t>
            </w:r>
          </w:p>
        </w:tc>
        <w:tc>
          <w:tcPr>
            <w:tcW w:w="1656" w:type="dxa"/>
            <w:tcBorders>
              <w:top w:val="nil"/>
              <w:left w:val="nil"/>
              <w:bottom w:val="nil"/>
              <w:right w:val="nil"/>
            </w:tcBorders>
          </w:tcPr>
          <w:p w14:paraId="1430938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0.0299</w:t>
            </w:r>
          </w:p>
        </w:tc>
        <w:tc>
          <w:tcPr>
            <w:tcW w:w="1656" w:type="dxa"/>
            <w:tcBorders>
              <w:top w:val="nil"/>
              <w:left w:val="nil"/>
              <w:bottom w:val="nil"/>
              <w:right w:val="nil"/>
            </w:tcBorders>
          </w:tcPr>
          <w:p w14:paraId="26982E8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-0.0545</w:t>
            </w:r>
          </w:p>
        </w:tc>
        <w:tc>
          <w:tcPr>
            <w:tcW w:w="1656" w:type="dxa"/>
            <w:tcBorders>
              <w:top w:val="nil"/>
              <w:left w:val="nil"/>
              <w:bottom w:val="nil"/>
              <w:right w:val="nil"/>
            </w:tcBorders>
          </w:tcPr>
          <w:p w14:paraId="373EE43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0.175</w:t>
            </w:r>
          </w:p>
        </w:tc>
        <w:tc>
          <w:tcPr>
            <w:tcW w:w="1656" w:type="dxa"/>
            <w:tcBorders>
              <w:top w:val="nil"/>
              <w:left w:val="nil"/>
              <w:bottom w:val="nil"/>
              <w:right w:val="nil"/>
            </w:tcBorders>
          </w:tcPr>
          <w:p w14:paraId="02C6CC2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0.0560</w:t>
            </w:r>
          </w:p>
        </w:tc>
      </w:tr>
      <w:tr w:rsidR="006A4F42" w:rsidRPr="002E7BF3" w14:paraId="0328FDB1" w14:textId="77777777" w:rsidTr="00015B88">
        <w:tc>
          <w:tcPr>
            <w:tcW w:w="2136" w:type="dxa"/>
            <w:tcBorders>
              <w:top w:val="nil"/>
              <w:left w:val="nil"/>
              <w:bottom w:val="nil"/>
              <w:right w:val="nil"/>
            </w:tcBorders>
          </w:tcPr>
          <w:p w14:paraId="61852B67"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DEFCC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(0.16)</w:t>
            </w:r>
          </w:p>
        </w:tc>
        <w:tc>
          <w:tcPr>
            <w:tcW w:w="1656" w:type="dxa"/>
            <w:tcBorders>
              <w:top w:val="nil"/>
              <w:left w:val="nil"/>
              <w:bottom w:val="nil"/>
              <w:right w:val="nil"/>
            </w:tcBorders>
          </w:tcPr>
          <w:p w14:paraId="21949A3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(-0.23)</w:t>
            </w:r>
          </w:p>
        </w:tc>
        <w:tc>
          <w:tcPr>
            <w:tcW w:w="1656" w:type="dxa"/>
            <w:tcBorders>
              <w:top w:val="nil"/>
              <w:left w:val="nil"/>
              <w:bottom w:val="nil"/>
              <w:right w:val="nil"/>
            </w:tcBorders>
          </w:tcPr>
          <w:p w14:paraId="5CECF8B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(1.04)</w:t>
            </w:r>
          </w:p>
        </w:tc>
        <w:tc>
          <w:tcPr>
            <w:tcW w:w="1656" w:type="dxa"/>
            <w:tcBorders>
              <w:top w:val="nil"/>
              <w:left w:val="nil"/>
              <w:bottom w:val="nil"/>
              <w:right w:val="nil"/>
            </w:tcBorders>
          </w:tcPr>
          <w:p w14:paraId="0A0F2C7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(0.75)</w:t>
            </w:r>
          </w:p>
        </w:tc>
      </w:tr>
      <w:tr w:rsidR="006A4F42" w:rsidRPr="002E7BF3" w14:paraId="7930A5D6" w14:textId="77777777" w:rsidTr="00015B88">
        <w:tc>
          <w:tcPr>
            <w:tcW w:w="2136" w:type="dxa"/>
            <w:tcBorders>
              <w:top w:val="nil"/>
              <w:left w:val="nil"/>
              <w:bottom w:val="nil"/>
              <w:right w:val="nil"/>
            </w:tcBorders>
          </w:tcPr>
          <w:p w14:paraId="56990E7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CD010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ACC4C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4F2D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E4C39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000D6775" w14:textId="77777777" w:rsidTr="00015B88">
        <w:tc>
          <w:tcPr>
            <w:tcW w:w="2136" w:type="dxa"/>
            <w:tcBorders>
              <w:top w:val="nil"/>
              <w:left w:val="nil"/>
              <w:bottom w:val="nil"/>
              <w:right w:val="nil"/>
            </w:tcBorders>
          </w:tcPr>
          <w:p w14:paraId="5A56FA1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L2.More Fixed Rate * Capital Account Openness</w:t>
            </w:r>
          </w:p>
        </w:tc>
        <w:tc>
          <w:tcPr>
            <w:tcW w:w="1656" w:type="dxa"/>
            <w:tcBorders>
              <w:top w:val="nil"/>
              <w:left w:val="nil"/>
              <w:bottom w:val="nil"/>
              <w:right w:val="nil"/>
            </w:tcBorders>
          </w:tcPr>
          <w:p w14:paraId="55C59EE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0.161</w:t>
            </w:r>
          </w:p>
        </w:tc>
        <w:tc>
          <w:tcPr>
            <w:tcW w:w="1656" w:type="dxa"/>
            <w:tcBorders>
              <w:top w:val="nil"/>
              <w:left w:val="nil"/>
              <w:bottom w:val="nil"/>
              <w:right w:val="nil"/>
            </w:tcBorders>
          </w:tcPr>
          <w:p w14:paraId="196E97A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0.130</w:t>
            </w:r>
          </w:p>
        </w:tc>
        <w:tc>
          <w:tcPr>
            <w:tcW w:w="1656" w:type="dxa"/>
            <w:tcBorders>
              <w:top w:val="nil"/>
              <w:left w:val="nil"/>
              <w:bottom w:val="nil"/>
              <w:right w:val="nil"/>
            </w:tcBorders>
          </w:tcPr>
          <w:p w14:paraId="42BCCC4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0.151</w:t>
            </w:r>
          </w:p>
        </w:tc>
        <w:tc>
          <w:tcPr>
            <w:tcW w:w="1656" w:type="dxa"/>
            <w:tcBorders>
              <w:top w:val="nil"/>
              <w:left w:val="nil"/>
              <w:bottom w:val="nil"/>
              <w:right w:val="nil"/>
            </w:tcBorders>
          </w:tcPr>
          <w:p w14:paraId="5FF61EE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0.219</w:t>
            </w:r>
            <w:r w:rsidRPr="002E7BF3">
              <w:rPr>
                <w:rFonts w:ascii="Times New Roman" w:hAnsi="Times New Roman" w:cs="Times New Roman"/>
                <w:sz w:val="16"/>
                <w:szCs w:val="16"/>
                <w:vertAlign w:val="superscript"/>
              </w:rPr>
              <w:t>*</w:t>
            </w:r>
          </w:p>
        </w:tc>
      </w:tr>
      <w:tr w:rsidR="006A4F42" w:rsidRPr="002E7BF3" w14:paraId="3CAE78CD" w14:textId="77777777" w:rsidTr="00015B88">
        <w:tc>
          <w:tcPr>
            <w:tcW w:w="2136" w:type="dxa"/>
            <w:tcBorders>
              <w:top w:val="nil"/>
              <w:left w:val="nil"/>
              <w:bottom w:val="nil"/>
              <w:right w:val="nil"/>
            </w:tcBorders>
          </w:tcPr>
          <w:p w14:paraId="1D46A29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7247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(0.74)</w:t>
            </w:r>
          </w:p>
        </w:tc>
        <w:tc>
          <w:tcPr>
            <w:tcW w:w="1656" w:type="dxa"/>
            <w:tcBorders>
              <w:top w:val="nil"/>
              <w:left w:val="nil"/>
              <w:bottom w:val="nil"/>
              <w:right w:val="nil"/>
            </w:tcBorders>
          </w:tcPr>
          <w:p w14:paraId="0D9F9D0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(0.52)</w:t>
            </w:r>
          </w:p>
        </w:tc>
        <w:tc>
          <w:tcPr>
            <w:tcW w:w="1656" w:type="dxa"/>
            <w:tcBorders>
              <w:top w:val="nil"/>
              <w:left w:val="nil"/>
              <w:bottom w:val="nil"/>
              <w:right w:val="nil"/>
            </w:tcBorders>
          </w:tcPr>
          <w:p w14:paraId="3F58430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(0.88)</w:t>
            </w:r>
          </w:p>
        </w:tc>
        <w:tc>
          <w:tcPr>
            <w:tcW w:w="1656" w:type="dxa"/>
            <w:tcBorders>
              <w:top w:val="nil"/>
              <w:left w:val="nil"/>
              <w:bottom w:val="nil"/>
              <w:right w:val="nil"/>
            </w:tcBorders>
          </w:tcPr>
          <w:p w14:paraId="380F43F2"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(2.40)</w:t>
            </w:r>
          </w:p>
        </w:tc>
      </w:tr>
      <w:tr w:rsidR="006A4F42" w:rsidRPr="002E7BF3" w14:paraId="1EEB9B38" w14:textId="77777777" w:rsidTr="00015B88">
        <w:tc>
          <w:tcPr>
            <w:tcW w:w="2136" w:type="dxa"/>
            <w:tcBorders>
              <w:top w:val="nil"/>
              <w:left w:val="nil"/>
              <w:bottom w:val="nil"/>
              <w:right w:val="nil"/>
            </w:tcBorders>
          </w:tcPr>
          <w:p w14:paraId="0C5D1AC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DA0B8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8365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48B557"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61A45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222EFF9E" w14:textId="77777777" w:rsidTr="00015B88">
        <w:tc>
          <w:tcPr>
            <w:tcW w:w="2136" w:type="dxa"/>
            <w:tcBorders>
              <w:top w:val="nil"/>
              <w:left w:val="nil"/>
              <w:bottom w:val="nil"/>
              <w:right w:val="nil"/>
            </w:tcBorders>
          </w:tcPr>
          <w:p w14:paraId="4FAE6A7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L3.More Fixed Rate * Capital Account Openness</w:t>
            </w:r>
          </w:p>
        </w:tc>
        <w:tc>
          <w:tcPr>
            <w:tcW w:w="1656" w:type="dxa"/>
            <w:tcBorders>
              <w:top w:val="nil"/>
              <w:left w:val="nil"/>
              <w:bottom w:val="nil"/>
              <w:right w:val="nil"/>
            </w:tcBorders>
          </w:tcPr>
          <w:p w14:paraId="7138319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-0.184</w:t>
            </w:r>
          </w:p>
        </w:tc>
        <w:tc>
          <w:tcPr>
            <w:tcW w:w="1656" w:type="dxa"/>
            <w:tcBorders>
              <w:top w:val="nil"/>
              <w:left w:val="nil"/>
              <w:bottom w:val="nil"/>
              <w:right w:val="nil"/>
            </w:tcBorders>
          </w:tcPr>
          <w:p w14:paraId="13D4966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-0.0335</w:t>
            </w:r>
          </w:p>
        </w:tc>
        <w:tc>
          <w:tcPr>
            <w:tcW w:w="1656" w:type="dxa"/>
            <w:tcBorders>
              <w:top w:val="nil"/>
              <w:left w:val="nil"/>
              <w:bottom w:val="nil"/>
              <w:right w:val="nil"/>
            </w:tcBorders>
          </w:tcPr>
          <w:p w14:paraId="5D9AA7C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-0.0764</w:t>
            </w:r>
          </w:p>
        </w:tc>
        <w:tc>
          <w:tcPr>
            <w:tcW w:w="1656" w:type="dxa"/>
            <w:tcBorders>
              <w:top w:val="nil"/>
              <w:left w:val="nil"/>
              <w:bottom w:val="nil"/>
              <w:right w:val="nil"/>
            </w:tcBorders>
          </w:tcPr>
          <w:p w14:paraId="1123B6F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0.0359</w:t>
            </w:r>
          </w:p>
        </w:tc>
      </w:tr>
      <w:tr w:rsidR="006A4F42" w:rsidRPr="002E7BF3" w14:paraId="161A09F3" w14:textId="77777777" w:rsidTr="00015B88">
        <w:tc>
          <w:tcPr>
            <w:tcW w:w="2136" w:type="dxa"/>
            <w:tcBorders>
              <w:top w:val="nil"/>
              <w:left w:val="nil"/>
              <w:bottom w:val="nil"/>
              <w:right w:val="nil"/>
            </w:tcBorders>
          </w:tcPr>
          <w:p w14:paraId="00111ABB"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3B329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(-0.94)</w:t>
            </w:r>
          </w:p>
        </w:tc>
        <w:tc>
          <w:tcPr>
            <w:tcW w:w="1656" w:type="dxa"/>
            <w:tcBorders>
              <w:top w:val="nil"/>
              <w:left w:val="nil"/>
              <w:bottom w:val="nil"/>
              <w:right w:val="nil"/>
            </w:tcBorders>
          </w:tcPr>
          <w:p w14:paraId="1911206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(-0.16)</w:t>
            </w:r>
          </w:p>
        </w:tc>
        <w:tc>
          <w:tcPr>
            <w:tcW w:w="1656" w:type="dxa"/>
            <w:tcBorders>
              <w:top w:val="nil"/>
              <w:left w:val="nil"/>
              <w:bottom w:val="nil"/>
              <w:right w:val="nil"/>
            </w:tcBorders>
          </w:tcPr>
          <w:p w14:paraId="4114EA7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(-0.45)</w:t>
            </w:r>
          </w:p>
        </w:tc>
        <w:tc>
          <w:tcPr>
            <w:tcW w:w="1656" w:type="dxa"/>
            <w:tcBorders>
              <w:top w:val="nil"/>
              <w:left w:val="nil"/>
              <w:bottom w:val="nil"/>
              <w:right w:val="nil"/>
            </w:tcBorders>
          </w:tcPr>
          <w:p w14:paraId="5A73589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(0.47)</w:t>
            </w:r>
          </w:p>
        </w:tc>
      </w:tr>
      <w:tr w:rsidR="006A4F42" w:rsidRPr="002E7BF3" w14:paraId="200DD3FA" w14:textId="77777777" w:rsidTr="00015B88">
        <w:tc>
          <w:tcPr>
            <w:tcW w:w="2136" w:type="dxa"/>
            <w:tcBorders>
              <w:top w:val="nil"/>
              <w:left w:val="nil"/>
              <w:bottom w:val="nil"/>
              <w:right w:val="nil"/>
            </w:tcBorders>
          </w:tcPr>
          <w:p w14:paraId="7FFC5D2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8DC17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448DA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FC520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E3E67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36BC98FD" w14:textId="77777777" w:rsidTr="00015B88">
        <w:tc>
          <w:tcPr>
            <w:tcW w:w="2136" w:type="dxa"/>
            <w:tcBorders>
              <w:top w:val="nil"/>
              <w:left w:val="nil"/>
              <w:bottom w:val="nil"/>
              <w:right w:val="nil"/>
            </w:tcBorders>
          </w:tcPr>
          <w:p w14:paraId="4D89E8D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L4.More Fixed Rate * Capital Account Openness</w:t>
            </w:r>
          </w:p>
        </w:tc>
        <w:tc>
          <w:tcPr>
            <w:tcW w:w="1656" w:type="dxa"/>
            <w:tcBorders>
              <w:top w:val="nil"/>
              <w:left w:val="nil"/>
              <w:bottom w:val="nil"/>
              <w:right w:val="nil"/>
            </w:tcBorders>
          </w:tcPr>
          <w:p w14:paraId="3EB5B9A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-0.0840</w:t>
            </w:r>
          </w:p>
        </w:tc>
        <w:tc>
          <w:tcPr>
            <w:tcW w:w="1656" w:type="dxa"/>
            <w:tcBorders>
              <w:top w:val="nil"/>
              <w:left w:val="nil"/>
              <w:bottom w:val="nil"/>
              <w:right w:val="nil"/>
            </w:tcBorders>
          </w:tcPr>
          <w:p w14:paraId="5CA0DF3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0.166</w:t>
            </w:r>
          </w:p>
        </w:tc>
        <w:tc>
          <w:tcPr>
            <w:tcW w:w="1656" w:type="dxa"/>
            <w:tcBorders>
              <w:top w:val="nil"/>
              <w:left w:val="nil"/>
              <w:bottom w:val="nil"/>
              <w:right w:val="nil"/>
            </w:tcBorders>
          </w:tcPr>
          <w:p w14:paraId="22A011C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-0.0452</w:t>
            </w:r>
          </w:p>
        </w:tc>
        <w:tc>
          <w:tcPr>
            <w:tcW w:w="1656" w:type="dxa"/>
            <w:tcBorders>
              <w:top w:val="nil"/>
              <w:left w:val="nil"/>
              <w:bottom w:val="nil"/>
              <w:right w:val="nil"/>
            </w:tcBorders>
          </w:tcPr>
          <w:p w14:paraId="71D5EB9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0.00601</w:t>
            </w:r>
          </w:p>
        </w:tc>
      </w:tr>
      <w:tr w:rsidR="006A4F42" w:rsidRPr="002E7BF3" w14:paraId="0F0ED55E" w14:textId="77777777" w:rsidTr="00015B88">
        <w:tc>
          <w:tcPr>
            <w:tcW w:w="2136" w:type="dxa"/>
            <w:tcBorders>
              <w:top w:val="nil"/>
              <w:left w:val="nil"/>
              <w:bottom w:val="nil"/>
              <w:right w:val="nil"/>
            </w:tcBorders>
          </w:tcPr>
          <w:p w14:paraId="7C45E92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0EE67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(-0.47)</w:t>
            </w:r>
          </w:p>
        </w:tc>
        <w:tc>
          <w:tcPr>
            <w:tcW w:w="1656" w:type="dxa"/>
            <w:tcBorders>
              <w:top w:val="nil"/>
              <w:left w:val="nil"/>
              <w:bottom w:val="nil"/>
              <w:right w:val="nil"/>
            </w:tcBorders>
          </w:tcPr>
          <w:p w14:paraId="53AD61E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(0.79)</w:t>
            </w:r>
          </w:p>
        </w:tc>
        <w:tc>
          <w:tcPr>
            <w:tcW w:w="1656" w:type="dxa"/>
            <w:tcBorders>
              <w:top w:val="nil"/>
              <w:left w:val="nil"/>
              <w:bottom w:val="nil"/>
              <w:right w:val="nil"/>
            </w:tcBorders>
          </w:tcPr>
          <w:p w14:paraId="3D9133C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(-0.25)</w:t>
            </w:r>
          </w:p>
        </w:tc>
        <w:tc>
          <w:tcPr>
            <w:tcW w:w="1656" w:type="dxa"/>
            <w:tcBorders>
              <w:top w:val="nil"/>
              <w:left w:val="nil"/>
              <w:bottom w:val="nil"/>
              <w:right w:val="nil"/>
            </w:tcBorders>
          </w:tcPr>
          <w:p w14:paraId="067D46B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(0.10)</w:t>
            </w:r>
          </w:p>
        </w:tc>
      </w:tr>
      <w:tr w:rsidR="006A4F42" w:rsidRPr="002E7BF3" w14:paraId="241E485F" w14:textId="77777777" w:rsidTr="00015B88">
        <w:tc>
          <w:tcPr>
            <w:tcW w:w="2136" w:type="dxa"/>
            <w:tcBorders>
              <w:top w:val="nil"/>
              <w:left w:val="nil"/>
              <w:bottom w:val="nil"/>
              <w:right w:val="nil"/>
            </w:tcBorders>
          </w:tcPr>
          <w:p w14:paraId="471C266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FB150B"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62FA9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35855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4A5EA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2DD512B6" w14:textId="77777777" w:rsidTr="00015B88">
        <w:tc>
          <w:tcPr>
            <w:tcW w:w="2136" w:type="dxa"/>
            <w:tcBorders>
              <w:top w:val="nil"/>
              <w:left w:val="nil"/>
              <w:bottom w:val="nil"/>
              <w:right w:val="nil"/>
            </w:tcBorders>
          </w:tcPr>
          <w:p w14:paraId="38CB293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L5.More Fixed Rate * Capital Account Openness</w:t>
            </w:r>
          </w:p>
        </w:tc>
        <w:tc>
          <w:tcPr>
            <w:tcW w:w="1656" w:type="dxa"/>
            <w:tcBorders>
              <w:top w:val="nil"/>
              <w:left w:val="nil"/>
              <w:bottom w:val="nil"/>
              <w:right w:val="nil"/>
            </w:tcBorders>
          </w:tcPr>
          <w:p w14:paraId="64F938D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-0.117</w:t>
            </w:r>
          </w:p>
        </w:tc>
        <w:tc>
          <w:tcPr>
            <w:tcW w:w="1656" w:type="dxa"/>
            <w:tcBorders>
              <w:top w:val="nil"/>
              <w:left w:val="nil"/>
              <w:bottom w:val="nil"/>
              <w:right w:val="nil"/>
            </w:tcBorders>
          </w:tcPr>
          <w:p w14:paraId="48064E5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-0.0451</w:t>
            </w:r>
          </w:p>
        </w:tc>
        <w:tc>
          <w:tcPr>
            <w:tcW w:w="1656" w:type="dxa"/>
            <w:tcBorders>
              <w:top w:val="nil"/>
              <w:left w:val="nil"/>
              <w:bottom w:val="nil"/>
              <w:right w:val="nil"/>
            </w:tcBorders>
          </w:tcPr>
          <w:p w14:paraId="34F96A2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-0.164</w:t>
            </w:r>
          </w:p>
        </w:tc>
        <w:tc>
          <w:tcPr>
            <w:tcW w:w="1656" w:type="dxa"/>
            <w:tcBorders>
              <w:top w:val="nil"/>
              <w:left w:val="nil"/>
              <w:bottom w:val="nil"/>
              <w:right w:val="nil"/>
            </w:tcBorders>
          </w:tcPr>
          <w:p w14:paraId="5F6B2E1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-0.117</w:t>
            </w:r>
          </w:p>
        </w:tc>
      </w:tr>
      <w:tr w:rsidR="006A4F42" w:rsidRPr="002E7BF3" w14:paraId="0117D0E5" w14:textId="77777777" w:rsidTr="00015B88">
        <w:tc>
          <w:tcPr>
            <w:tcW w:w="2136" w:type="dxa"/>
            <w:tcBorders>
              <w:top w:val="nil"/>
              <w:left w:val="nil"/>
              <w:bottom w:val="nil"/>
              <w:right w:val="nil"/>
            </w:tcBorders>
          </w:tcPr>
          <w:p w14:paraId="623B937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5947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(-0.69)</w:t>
            </w:r>
          </w:p>
        </w:tc>
        <w:tc>
          <w:tcPr>
            <w:tcW w:w="1656" w:type="dxa"/>
            <w:tcBorders>
              <w:top w:val="nil"/>
              <w:left w:val="nil"/>
              <w:bottom w:val="nil"/>
              <w:right w:val="nil"/>
            </w:tcBorders>
          </w:tcPr>
          <w:p w14:paraId="5F6DC80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(-0.20)</w:t>
            </w:r>
          </w:p>
        </w:tc>
        <w:tc>
          <w:tcPr>
            <w:tcW w:w="1656" w:type="dxa"/>
            <w:tcBorders>
              <w:top w:val="nil"/>
              <w:left w:val="nil"/>
              <w:bottom w:val="nil"/>
              <w:right w:val="nil"/>
            </w:tcBorders>
          </w:tcPr>
          <w:p w14:paraId="119FF88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(-0.99)</w:t>
            </w:r>
          </w:p>
        </w:tc>
        <w:tc>
          <w:tcPr>
            <w:tcW w:w="1656" w:type="dxa"/>
            <w:tcBorders>
              <w:top w:val="nil"/>
              <w:left w:val="nil"/>
              <w:bottom w:val="nil"/>
              <w:right w:val="nil"/>
            </w:tcBorders>
          </w:tcPr>
          <w:p w14:paraId="410F400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(-1.57)</w:t>
            </w:r>
          </w:p>
        </w:tc>
      </w:tr>
      <w:tr w:rsidR="006A4F42" w:rsidRPr="002E7BF3" w14:paraId="160C9EC6" w14:textId="77777777" w:rsidTr="00015B88">
        <w:tc>
          <w:tcPr>
            <w:tcW w:w="2136" w:type="dxa"/>
            <w:tcBorders>
              <w:top w:val="nil"/>
              <w:left w:val="nil"/>
              <w:bottom w:val="nil"/>
              <w:right w:val="nil"/>
            </w:tcBorders>
          </w:tcPr>
          <w:p w14:paraId="09B582D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69149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71FA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9666D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F3BFA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106FCC5A" w14:textId="77777777" w:rsidTr="00015B88">
        <w:tc>
          <w:tcPr>
            <w:tcW w:w="2136" w:type="dxa"/>
            <w:tcBorders>
              <w:top w:val="nil"/>
              <w:left w:val="nil"/>
              <w:bottom w:val="nil"/>
              <w:right w:val="nil"/>
            </w:tcBorders>
          </w:tcPr>
          <w:p w14:paraId="7D33C66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L6.More Fixed Rate * Capital Account Openness</w:t>
            </w:r>
          </w:p>
        </w:tc>
        <w:tc>
          <w:tcPr>
            <w:tcW w:w="1656" w:type="dxa"/>
            <w:tcBorders>
              <w:top w:val="nil"/>
              <w:left w:val="nil"/>
              <w:bottom w:val="nil"/>
              <w:right w:val="nil"/>
            </w:tcBorders>
          </w:tcPr>
          <w:p w14:paraId="464E56C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0.373</w:t>
            </w:r>
            <w:r w:rsidRPr="002E7BF3">
              <w:rPr>
                <w:rFonts w:ascii="Times New Roman" w:hAnsi="Times New Roman" w:cs="Times New Roman"/>
                <w:sz w:val="16"/>
                <w:szCs w:val="16"/>
                <w:vertAlign w:val="superscript"/>
              </w:rPr>
              <w:t>*</w:t>
            </w:r>
          </w:p>
        </w:tc>
        <w:tc>
          <w:tcPr>
            <w:tcW w:w="1656" w:type="dxa"/>
            <w:tcBorders>
              <w:top w:val="nil"/>
              <w:left w:val="nil"/>
              <w:bottom w:val="nil"/>
              <w:right w:val="nil"/>
            </w:tcBorders>
          </w:tcPr>
          <w:p w14:paraId="4663B42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-0.192</w:t>
            </w:r>
          </w:p>
        </w:tc>
        <w:tc>
          <w:tcPr>
            <w:tcW w:w="1656" w:type="dxa"/>
            <w:tcBorders>
              <w:top w:val="nil"/>
              <w:left w:val="nil"/>
              <w:bottom w:val="nil"/>
              <w:right w:val="nil"/>
            </w:tcBorders>
          </w:tcPr>
          <w:p w14:paraId="7A04492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0.365</w:t>
            </w:r>
            <w:r w:rsidRPr="002E7BF3">
              <w:rPr>
                <w:rFonts w:ascii="Times New Roman" w:hAnsi="Times New Roman" w:cs="Times New Roman"/>
                <w:sz w:val="16"/>
                <w:szCs w:val="16"/>
                <w:vertAlign w:val="superscript"/>
              </w:rPr>
              <w:t>*</w:t>
            </w:r>
          </w:p>
        </w:tc>
        <w:tc>
          <w:tcPr>
            <w:tcW w:w="1656" w:type="dxa"/>
            <w:tcBorders>
              <w:top w:val="nil"/>
              <w:left w:val="nil"/>
              <w:bottom w:val="nil"/>
              <w:right w:val="nil"/>
            </w:tcBorders>
          </w:tcPr>
          <w:p w14:paraId="1176AA4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0.0939</w:t>
            </w:r>
          </w:p>
        </w:tc>
      </w:tr>
      <w:tr w:rsidR="006A4F42" w:rsidRPr="002E7BF3" w14:paraId="185454EC" w14:textId="77777777" w:rsidTr="00015B88">
        <w:tc>
          <w:tcPr>
            <w:tcW w:w="2136" w:type="dxa"/>
            <w:tcBorders>
              <w:top w:val="nil"/>
              <w:left w:val="nil"/>
              <w:bottom w:val="nil"/>
              <w:right w:val="nil"/>
            </w:tcBorders>
          </w:tcPr>
          <w:p w14:paraId="2BFF48A7"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92EBB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(2.24)</w:t>
            </w:r>
          </w:p>
        </w:tc>
        <w:tc>
          <w:tcPr>
            <w:tcW w:w="1656" w:type="dxa"/>
            <w:tcBorders>
              <w:top w:val="nil"/>
              <w:left w:val="nil"/>
              <w:bottom w:val="nil"/>
              <w:right w:val="nil"/>
            </w:tcBorders>
          </w:tcPr>
          <w:p w14:paraId="4E6A668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(-0.82)</w:t>
            </w:r>
          </w:p>
        </w:tc>
        <w:tc>
          <w:tcPr>
            <w:tcW w:w="1656" w:type="dxa"/>
            <w:tcBorders>
              <w:top w:val="nil"/>
              <w:left w:val="nil"/>
              <w:bottom w:val="nil"/>
              <w:right w:val="nil"/>
            </w:tcBorders>
          </w:tcPr>
          <w:p w14:paraId="62ED5F1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(2.03)</w:t>
            </w:r>
          </w:p>
        </w:tc>
        <w:tc>
          <w:tcPr>
            <w:tcW w:w="1656" w:type="dxa"/>
            <w:tcBorders>
              <w:top w:val="nil"/>
              <w:left w:val="nil"/>
              <w:bottom w:val="nil"/>
              <w:right w:val="nil"/>
            </w:tcBorders>
          </w:tcPr>
          <w:p w14:paraId="4765680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(1.18)</w:t>
            </w:r>
          </w:p>
        </w:tc>
      </w:tr>
      <w:tr w:rsidR="006A4F42" w:rsidRPr="002E7BF3" w14:paraId="7F35C798" w14:textId="77777777" w:rsidTr="00015B88">
        <w:tc>
          <w:tcPr>
            <w:tcW w:w="2136" w:type="dxa"/>
            <w:tcBorders>
              <w:top w:val="nil"/>
              <w:left w:val="nil"/>
              <w:bottom w:val="nil"/>
              <w:right w:val="nil"/>
            </w:tcBorders>
          </w:tcPr>
          <w:p w14:paraId="764A91A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3F05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E9217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B67BF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BFB955"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595CFC16" w14:textId="77777777" w:rsidTr="00015B88">
        <w:tc>
          <w:tcPr>
            <w:tcW w:w="2136" w:type="dxa"/>
            <w:tcBorders>
              <w:top w:val="nil"/>
              <w:left w:val="nil"/>
              <w:bottom w:val="nil"/>
              <w:right w:val="nil"/>
            </w:tcBorders>
          </w:tcPr>
          <w:p w14:paraId="4D370AA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L7.More Fixed Rate * Capital Account Openness</w:t>
            </w:r>
          </w:p>
        </w:tc>
        <w:tc>
          <w:tcPr>
            <w:tcW w:w="1656" w:type="dxa"/>
            <w:tcBorders>
              <w:top w:val="nil"/>
              <w:left w:val="nil"/>
              <w:bottom w:val="nil"/>
              <w:right w:val="nil"/>
            </w:tcBorders>
          </w:tcPr>
          <w:p w14:paraId="539F986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-0.101</w:t>
            </w:r>
          </w:p>
        </w:tc>
        <w:tc>
          <w:tcPr>
            <w:tcW w:w="1656" w:type="dxa"/>
            <w:tcBorders>
              <w:top w:val="nil"/>
              <w:left w:val="nil"/>
              <w:bottom w:val="nil"/>
              <w:right w:val="nil"/>
            </w:tcBorders>
          </w:tcPr>
          <w:p w14:paraId="2CA79AE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-0.0321</w:t>
            </w:r>
          </w:p>
        </w:tc>
        <w:tc>
          <w:tcPr>
            <w:tcW w:w="1656" w:type="dxa"/>
            <w:tcBorders>
              <w:top w:val="nil"/>
              <w:left w:val="nil"/>
              <w:bottom w:val="nil"/>
              <w:right w:val="nil"/>
            </w:tcBorders>
          </w:tcPr>
          <w:p w14:paraId="34EECC8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-0.117</w:t>
            </w:r>
          </w:p>
        </w:tc>
        <w:tc>
          <w:tcPr>
            <w:tcW w:w="1656" w:type="dxa"/>
            <w:tcBorders>
              <w:top w:val="nil"/>
              <w:left w:val="nil"/>
              <w:bottom w:val="nil"/>
              <w:right w:val="nil"/>
            </w:tcBorders>
          </w:tcPr>
          <w:p w14:paraId="48289EB2"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-0.0448</w:t>
            </w:r>
          </w:p>
        </w:tc>
      </w:tr>
      <w:tr w:rsidR="006A4F42" w:rsidRPr="002E7BF3" w14:paraId="11F010F9" w14:textId="77777777" w:rsidTr="00015B88">
        <w:tc>
          <w:tcPr>
            <w:tcW w:w="2136" w:type="dxa"/>
            <w:tcBorders>
              <w:top w:val="nil"/>
              <w:left w:val="nil"/>
              <w:bottom w:val="nil"/>
              <w:right w:val="nil"/>
            </w:tcBorders>
          </w:tcPr>
          <w:p w14:paraId="5F3FC7A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A846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(-0.65)</w:t>
            </w:r>
          </w:p>
        </w:tc>
        <w:tc>
          <w:tcPr>
            <w:tcW w:w="1656" w:type="dxa"/>
            <w:tcBorders>
              <w:top w:val="nil"/>
              <w:left w:val="nil"/>
              <w:bottom w:val="nil"/>
              <w:right w:val="nil"/>
            </w:tcBorders>
          </w:tcPr>
          <w:p w14:paraId="5616CC4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(-0.14)</w:t>
            </w:r>
          </w:p>
        </w:tc>
        <w:tc>
          <w:tcPr>
            <w:tcW w:w="1656" w:type="dxa"/>
            <w:tcBorders>
              <w:top w:val="nil"/>
              <w:left w:val="nil"/>
              <w:bottom w:val="nil"/>
              <w:right w:val="nil"/>
            </w:tcBorders>
          </w:tcPr>
          <w:p w14:paraId="43A847C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(-0.86)</w:t>
            </w:r>
          </w:p>
        </w:tc>
        <w:tc>
          <w:tcPr>
            <w:tcW w:w="1656" w:type="dxa"/>
            <w:tcBorders>
              <w:top w:val="nil"/>
              <w:left w:val="nil"/>
              <w:bottom w:val="nil"/>
              <w:right w:val="nil"/>
            </w:tcBorders>
          </w:tcPr>
          <w:p w14:paraId="29D600F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(-0.54)</w:t>
            </w:r>
          </w:p>
        </w:tc>
      </w:tr>
      <w:tr w:rsidR="006A4F42" w:rsidRPr="002E7BF3" w14:paraId="16BB3577" w14:textId="77777777" w:rsidTr="00015B88">
        <w:tc>
          <w:tcPr>
            <w:tcW w:w="2136" w:type="dxa"/>
            <w:tcBorders>
              <w:top w:val="nil"/>
              <w:left w:val="nil"/>
              <w:bottom w:val="nil"/>
              <w:right w:val="nil"/>
            </w:tcBorders>
          </w:tcPr>
          <w:p w14:paraId="41C7E2FE"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5C0F8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CB8A8C"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F100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6696F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58FD5AAA" w14:textId="77777777" w:rsidTr="00015B88">
        <w:tc>
          <w:tcPr>
            <w:tcW w:w="2136" w:type="dxa"/>
            <w:tcBorders>
              <w:top w:val="nil"/>
              <w:left w:val="nil"/>
              <w:bottom w:val="nil"/>
              <w:right w:val="nil"/>
            </w:tcBorders>
          </w:tcPr>
          <w:p w14:paraId="26FEC9A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L8.More Fixed Rate * Capital Account Openness</w:t>
            </w:r>
          </w:p>
        </w:tc>
        <w:tc>
          <w:tcPr>
            <w:tcW w:w="1656" w:type="dxa"/>
            <w:tcBorders>
              <w:top w:val="nil"/>
              <w:left w:val="nil"/>
              <w:bottom w:val="nil"/>
              <w:right w:val="nil"/>
            </w:tcBorders>
          </w:tcPr>
          <w:p w14:paraId="178A168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0.00104</w:t>
            </w:r>
          </w:p>
        </w:tc>
        <w:tc>
          <w:tcPr>
            <w:tcW w:w="1656" w:type="dxa"/>
            <w:tcBorders>
              <w:top w:val="nil"/>
              <w:left w:val="nil"/>
              <w:bottom w:val="nil"/>
              <w:right w:val="nil"/>
            </w:tcBorders>
          </w:tcPr>
          <w:p w14:paraId="2790231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-0.149</w:t>
            </w:r>
          </w:p>
        </w:tc>
        <w:tc>
          <w:tcPr>
            <w:tcW w:w="1656" w:type="dxa"/>
            <w:tcBorders>
              <w:top w:val="nil"/>
              <w:left w:val="nil"/>
              <w:bottom w:val="nil"/>
              <w:right w:val="nil"/>
            </w:tcBorders>
          </w:tcPr>
          <w:p w14:paraId="5F9F43E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-0.0569</w:t>
            </w:r>
          </w:p>
        </w:tc>
        <w:tc>
          <w:tcPr>
            <w:tcW w:w="1656" w:type="dxa"/>
            <w:tcBorders>
              <w:top w:val="nil"/>
              <w:left w:val="nil"/>
              <w:bottom w:val="nil"/>
              <w:right w:val="nil"/>
            </w:tcBorders>
          </w:tcPr>
          <w:p w14:paraId="7BFDF71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-0.0810</w:t>
            </w:r>
          </w:p>
        </w:tc>
      </w:tr>
      <w:tr w:rsidR="006A4F42" w:rsidRPr="002E7BF3" w14:paraId="680DCB19" w14:textId="77777777" w:rsidTr="00015B88">
        <w:tc>
          <w:tcPr>
            <w:tcW w:w="2136" w:type="dxa"/>
            <w:tcBorders>
              <w:top w:val="nil"/>
              <w:left w:val="nil"/>
              <w:bottom w:val="nil"/>
              <w:right w:val="nil"/>
            </w:tcBorders>
          </w:tcPr>
          <w:p w14:paraId="0A8C0AD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88C73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(0.01)</w:t>
            </w:r>
          </w:p>
        </w:tc>
        <w:tc>
          <w:tcPr>
            <w:tcW w:w="1656" w:type="dxa"/>
            <w:tcBorders>
              <w:top w:val="nil"/>
              <w:left w:val="nil"/>
              <w:bottom w:val="nil"/>
              <w:right w:val="nil"/>
            </w:tcBorders>
          </w:tcPr>
          <w:p w14:paraId="4F4EDB5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(-0.73)</w:t>
            </w:r>
          </w:p>
        </w:tc>
        <w:tc>
          <w:tcPr>
            <w:tcW w:w="1656" w:type="dxa"/>
            <w:tcBorders>
              <w:top w:val="nil"/>
              <w:left w:val="nil"/>
              <w:bottom w:val="nil"/>
              <w:right w:val="nil"/>
            </w:tcBorders>
          </w:tcPr>
          <w:p w14:paraId="1F41CDC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(-0.38)</w:t>
            </w:r>
          </w:p>
        </w:tc>
        <w:tc>
          <w:tcPr>
            <w:tcW w:w="1656" w:type="dxa"/>
            <w:tcBorders>
              <w:top w:val="nil"/>
              <w:left w:val="nil"/>
              <w:bottom w:val="nil"/>
              <w:right w:val="nil"/>
            </w:tcBorders>
          </w:tcPr>
          <w:p w14:paraId="3A80537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(-0.71)</w:t>
            </w:r>
          </w:p>
        </w:tc>
      </w:tr>
      <w:tr w:rsidR="006A4F42" w:rsidRPr="002E7BF3" w14:paraId="6F58CA13" w14:textId="77777777" w:rsidTr="00015B88">
        <w:tc>
          <w:tcPr>
            <w:tcW w:w="2136" w:type="dxa"/>
            <w:tcBorders>
              <w:top w:val="nil"/>
              <w:left w:val="nil"/>
              <w:bottom w:val="nil"/>
              <w:right w:val="nil"/>
            </w:tcBorders>
          </w:tcPr>
          <w:p w14:paraId="74356EF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0229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B37A5"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29167"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D0FBCD"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7ACB4626" w14:textId="77777777" w:rsidTr="00015B88">
        <w:tc>
          <w:tcPr>
            <w:tcW w:w="2136" w:type="dxa"/>
            <w:tcBorders>
              <w:top w:val="nil"/>
              <w:left w:val="nil"/>
              <w:bottom w:val="nil"/>
              <w:right w:val="nil"/>
            </w:tcBorders>
          </w:tcPr>
          <w:p w14:paraId="3C4D3C9B"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L9.More Fixed Rate * Capital Account Openness</w:t>
            </w:r>
          </w:p>
        </w:tc>
        <w:tc>
          <w:tcPr>
            <w:tcW w:w="1656" w:type="dxa"/>
            <w:tcBorders>
              <w:top w:val="nil"/>
              <w:left w:val="nil"/>
              <w:bottom w:val="nil"/>
              <w:right w:val="nil"/>
            </w:tcBorders>
          </w:tcPr>
          <w:p w14:paraId="7A1AC9F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0.0970</w:t>
            </w:r>
          </w:p>
        </w:tc>
        <w:tc>
          <w:tcPr>
            <w:tcW w:w="1656" w:type="dxa"/>
            <w:tcBorders>
              <w:top w:val="nil"/>
              <w:left w:val="nil"/>
              <w:bottom w:val="nil"/>
              <w:right w:val="nil"/>
            </w:tcBorders>
          </w:tcPr>
          <w:p w14:paraId="70C309C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0.109</w:t>
            </w:r>
          </w:p>
        </w:tc>
        <w:tc>
          <w:tcPr>
            <w:tcW w:w="1656" w:type="dxa"/>
            <w:tcBorders>
              <w:top w:val="nil"/>
              <w:left w:val="nil"/>
              <w:bottom w:val="nil"/>
              <w:right w:val="nil"/>
            </w:tcBorders>
          </w:tcPr>
          <w:p w14:paraId="055A293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-0.0800</w:t>
            </w:r>
          </w:p>
        </w:tc>
        <w:tc>
          <w:tcPr>
            <w:tcW w:w="1656" w:type="dxa"/>
            <w:tcBorders>
              <w:top w:val="nil"/>
              <w:left w:val="nil"/>
              <w:bottom w:val="nil"/>
              <w:right w:val="nil"/>
            </w:tcBorders>
          </w:tcPr>
          <w:p w14:paraId="6EEC502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-0.0214</w:t>
            </w:r>
          </w:p>
        </w:tc>
      </w:tr>
      <w:tr w:rsidR="006A4F42" w:rsidRPr="002E7BF3" w14:paraId="5164EC08" w14:textId="77777777" w:rsidTr="00015B88">
        <w:tc>
          <w:tcPr>
            <w:tcW w:w="2136" w:type="dxa"/>
            <w:tcBorders>
              <w:top w:val="nil"/>
              <w:left w:val="nil"/>
              <w:bottom w:val="nil"/>
              <w:right w:val="nil"/>
            </w:tcBorders>
          </w:tcPr>
          <w:p w14:paraId="634F0E5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E55CF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(0.63)</w:t>
            </w:r>
          </w:p>
        </w:tc>
        <w:tc>
          <w:tcPr>
            <w:tcW w:w="1656" w:type="dxa"/>
            <w:tcBorders>
              <w:top w:val="nil"/>
              <w:left w:val="nil"/>
              <w:bottom w:val="nil"/>
              <w:right w:val="nil"/>
            </w:tcBorders>
          </w:tcPr>
          <w:p w14:paraId="7C2D6A1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(0.64)</w:t>
            </w:r>
          </w:p>
        </w:tc>
        <w:tc>
          <w:tcPr>
            <w:tcW w:w="1656" w:type="dxa"/>
            <w:tcBorders>
              <w:top w:val="nil"/>
              <w:left w:val="nil"/>
              <w:bottom w:val="nil"/>
              <w:right w:val="nil"/>
            </w:tcBorders>
          </w:tcPr>
          <w:p w14:paraId="754CE5D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(-0.47)</w:t>
            </w:r>
          </w:p>
        </w:tc>
        <w:tc>
          <w:tcPr>
            <w:tcW w:w="1656" w:type="dxa"/>
            <w:tcBorders>
              <w:top w:val="nil"/>
              <w:left w:val="nil"/>
              <w:bottom w:val="nil"/>
              <w:right w:val="nil"/>
            </w:tcBorders>
          </w:tcPr>
          <w:p w14:paraId="2219C34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(-0.25)</w:t>
            </w:r>
          </w:p>
        </w:tc>
      </w:tr>
      <w:tr w:rsidR="006A4F42" w:rsidRPr="002E7BF3" w14:paraId="5680F450" w14:textId="77777777" w:rsidTr="00015B88">
        <w:tc>
          <w:tcPr>
            <w:tcW w:w="2136" w:type="dxa"/>
            <w:tcBorders>
              <w:top w:val="nil"/>
              <w:left w:val="nil"/>
              <w:bottom w:val="nil"/>
              <w:right w:val="nil"/>
            </w:tcBorders>
          </w:tcPr>
          <w:p w14:paraId="27BFD11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C42AB5"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A717B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4525D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C96DA9"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4C4948E9" w14:textId="77777777" w:rsidTr="00015B88">
        <w:tc>
          <w:tcPr>
            <w:tcW w:w="2136" w:type="dxa"/>
            <w:tcBorders>
              <w:top w:val="nil"/>
              <w:left w:val="nil"/>
              <w:bottom w:val="nil"/>
              <w:right w:val="nil"/>
            </w:tcBorders>
          </w:tcPr>
          <w:p w14:paraId="2C298E16"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513CA07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-0.135</w:t>
            </w:r>
          </w:p>
        </w:tc>
        <w:tc>
          <w:tcPr>
            <w:tcW w:w="1656" w:type="dxa"/>
            <w:tcBorders>
              <w:top w:val="nil"/>
              <w:left w:val="nil"/>
              <w:bottom w:val="nil"/>
              <w:right w:val="nil"/>
            </w:tcBorders>
          </w:tcPr>
          <w:p w14:paraId="1DE57B42"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0.218</w:t>
            </w:r>
          </w:p>
        </w:tc>
        <w:tc>
          <w:tcPr>
            <w:tcW w:w="1656" w:type="dxa"/>
            <w:tcBorders>
              <w:top w:val="nil"/>
              <w:left w:val="nil"/>
              <w:bottom w:val="nil"/>
              <w:right w:val="nil"/>
            </w:tcBorders>
          </w:tcPr>
          <w:p w14:paraId="07B64E0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0.0748</w:t>
            </w:r>
          </w:p>
        </w:tc>
        <w:tc>
          <w:tcPr>
            <w:tcW w:w="1656" w:type="dxa"/>
            <w:tcBorders>
              <w:top w:val="nil"/>
              <w:left w:val="nil"/>
              <w:bottom w:val="nil"/>
              <w:right w:val="nil"/>
            </w:tcBorders>
          </w:tcPr>
          <w:p w14:paraId="77DBF4B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-0.146</w:t>
            </w:r>
          </w:p>
        </w:tc>
      </w:tr>
      <w:tr w:rsidR="006A4F42" w:rsidRPr="002E7BF3" w14:paraId="4AE622C5" w14:textId="77777777" w:rsidTr="00015B88">
        <w:tc>
          <w:tcPr>
            <w:tcW w:w="2136" w:type="dxa"/>
            <w:tcBorders>
              <w:top w:val="nil"/>
              <w:left w:val="nil"/>
              <w:bottom w:val="nil"/>
              <w:right w:val="nil"/>
            </w:tcBorders>
          </w:tcPr>
          <w:p w14:paraId="327EE07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77376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(-1.10)</w:t>
            </w:r>
          </w:p>
        </w:tc>
        <w:tc>
          <w:tcPr>
            <w:tcW w:w="1656" w:type="dxa"/>
            <w:tcBorders>
              <w:top w:val="nil"/>
              <w:left w:val="nil"/>
              <w:bottom w:val="nil"/>
              <w:right w:val="nil"/>
            </w:tcBorders>
          </w:tcPr>
          <w:p w14:paraId="209597B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(1.49)</w:t>
            </w:r>
          </w:p>
        </w:tc>
        <w:tc>
          <w:tcPr>
            <w:tcW w:w="1656" w:type="dxa"/>
            <w:tcBorders>
              <w:top w:val="nil"/>
              <w:left w:val="nil"/>
              <w:bottom w:val="nil"/>
              <w:right w:val="nil"/>
            </w:tcBorders>
          </w:tcPr>
          <w:p w14:paraId="25EA999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(0.53)</w:t>
            </w:r>
          </w:p>
        </w:tc>
        <w:tc>
          <w:tcPr>
            <w:tcW w:w="1656" w:type="dxa"/>
            <w:tcBorders>
              <w:top w:val="nil"/>
              <w:left w:val="nil"/>
              <w:bottom w:val="nil"/>
              <w:right w:val="nil"/>
            </w:tcBorders>
          </w:tcPr>
          <w:p w14:paraId="3412A8E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(-1.27)</w:t>
            </w:r>
          </w:p>
        </w:tc>
      </w:tr>
      <w:tr w:rsidR="006A4F42" w:rsidRPr="002E7BF3" w14:paraId="1455A296" w14:textId="77777777" w:rsidTr="00015B88">
        <w:tc>
          <w:tcPr>
            <w:tcW w:w="2136" w:type="dxa"/>
            <w:tcBorders>
              <w:top w:val="nil"/>
              <w:left w:val="nil"/>
              <w:bottom w:val="nil"/>
              <w:right w:val="nil"/>
            </w:tcBorders>
          </w:tcPr>
          <w:p w14:paraId="79D0C7A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87C3E1"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727EC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5A12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B45CB7"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r>
      <w:tr w:rsidR="006A4F42" w:rsidRPr="002E7BF3" w14:paraId="4EA871D1" w14:textId="77777777" w:rsidTr="00015B88">
        <w:tc>
          <w:tcPr>
            <w:tcW w:w="2136" w:type="dxa"/>
            <w:tcBorders>
              <w:top w:val="nil"/>
              <w:left w:val="nil"/>
              <w:bottom w:val="nil"/>
              <w:right w:val="nil"/>
            </w:tcBorders>
          </w:tcPr>
          <w:p w14:paraId="344B209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Constant</w:t>
            </w:r>
          </w:p>
        </w:tc>
        <w:tc>
          <w:tcPr>
            <w:tcW w:w="1656" w:type="dxa"/>
            <w:tcBorders>
              <w:top w:val="nil"/>
              <w:left w:val="nil"/>
              <w:bottom w:val="nil"/>
              <w:right w:val="nil"/>
            </w:tcBorders>
          </w:tcPr>
          <w:p w14:paraId="412F3C3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C25FC9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859362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17F609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-8.858</w:t>
            </w:r>
            <w:r w:rsidRPr="002E7BF3">
              <w:rPr>
                <w:rFonts w:ascii="Times New Roman" w:hAnsi="Times New Roman" w:cs="Times New Roman"/>
                <w:sz w:val="16"/>
                <w:szCs w:val="16"/>
                <w:vertAlign w:val="superscript"/>
              </w:rPr>
              <w:t>***</w:t>
            </w:r>
          </w:p>
        </w:tc>
      </w:tr>
      <w:tr w:rsidR="006A4F42" w:rsidRPr="002E7BF3" w14:paraId="229AA394" w14:textId="77777777" w:rsidTr="00015B88">
        <w:tc>
          <w:tcPr>
            <w:tcW w:w="2136" w:type="dxa"/>
            <w:tcBorders>
              <w:top w:val="nil"/>
              <w:left w:val="nil"/>
              <w:bottom w:val="nil"/>
              <w:right w:val="nil"/>
            </w:tcBorders>
          </w:tcPr>
          <w:p w14:paraId="2F23424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B2987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C8F5AE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29E412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C375A9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(-4.40)</w:t>
            </w:r>
          </w:p>
        </w:tc>
      </w:tr>
      <w:tr w:rsidR="006A4F42" w:rsidRPr="002E7BF3" w14:paraId="23D5ADE1" w14:textId="77777777" w:rsidTr="00015B88">
        <w:tc>
          <w:tcPr>
            <w:tcW w:w="2136" w:type="dxa"/>
            <w:tcBorders>
              <w:top w:val="single" w:sz="4" w:space="0" w:color="auto"/>
              <w:left w:val="nil"/>
              <w:bottom w:val="nil"/>
              <w:right w:val="nil"/>
            </w:tcBorders>
          </w:tcPr>
          <w:p w14:paraId="2182271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1921FA9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79741E8"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0C82CF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A719E6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A4F42" w:rsidRPr="002E7BF3" w14:paraId="400B7322" w14:textId="77777777" w:rsidTr="00015B88">
        <w:tc>
          <w:tcPr>
            <w:tcW w:w="2136" w:type="dxa"/>
            <w:tcBorders>
              <w:top w:val="nil"/>
              <w:left w:val="nil"/>
              <w:bottom w:val="nil"/>
              <w:right w:val="nil"/>
            </w:tcBorders>
          </w:tcPr>
          <w:p w14:paraId="577C64E2"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Constant</w:t>
            </w:r>
          </w:p>
        </w:tc>
        <w:tc>
          <w:tcPr>
            <w:tcW w:w="1656" w:type="dxa"/>
            <w:tcBorders>
              <w:top w:val="nil"/>
              <w:left w:val="nil"/>
              <w:bottom w:val="nil"/>
              <w:right w:val="nil"/>
            </w:tcBorders>
          </w:tcPr>
          <w:p w14:paraId="5A370B4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-0.227</w:t>
            </w:r>
          </w:p>
        </w:tc>
        <w:tc>
          <w:tcPr>
            <w:tcW w:w="1656" w:type="dxa"/>
            <w:tcBorders>
              <w:top w:val="nil"/>
              <w:left w:val="nil"/>
              <w:bottom w:val="nil"/>
              <w:right w:val="nil"/>
            </w:tcBorders>
          </w:tcPr>
          <w:p w14:paraId="0CB80F6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0.829</w:t>
            </w:r>
          </w:p>
        </w:tc>
        <w:tc>
          <w:tcPr>
            <w:tcW w:w="1656" w:type="dxa"/>
            <w:tcBorders>
              <w:top w:val="nil"/>
              <w:left w:val="nil"/>
              <w:bottom w:val="nil"/>
              <w:right w:val="nil"/>
            </w:tcBorders>
          </w:tcPr>
          <w:p w14:paraId="0C33211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-1.304</w:t>
            </w:r>
          </w:p>
        </w:tc>
        <w:tc>
          <w:tcPr>
            <w:tcW w:w="1656" w:type="dxa"/>
            <w:tcBorders>
              <w:top w:val="nil"/>
              <w:left w:val="nil"/>
              <w:bottom w:val="nil"/>
              <w:right w:val="nil"/>
            </w:tcBorders>
          </w:tcPr>
          <w:p w14:paraId="2088ED7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A4F42" w:rsidRPr="002E7BF3" w14:paraId="1AD6D2A2" w14:textId="77777777" w:rsidTr="00015B88">
        <w:tc>
          <w:tcPr>
            <w:tcW w:w="2136" w:type="dxa"/>
            <w:tcBorders>
              <w:top w:val="nil"/>
              <w:left w:val="nil"/>
              <w:bottom w:val="nil"/>
              <w:right w:val="nil"/>
            </w:tcBorders>
          </w:tcPr>
          <w:p w14:paraId="124CA4F7"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61416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(-0.29)</w:t>
            </w:r>
          </w:p>
        </w:tc>
        <w:tc>
          <w:tcPr>
            <w:tcW w:w="1656" w:type="dxa"/>
            <w:tcBorders>
              <w:top w:val="nil"/>
              <w:left w:val="nil"/>
              <w:bottom w:val="nil"/>
              <w:right w:val="nil"/>
            </w:tcBorders>
          </w:tcPr>
          <w:p w14:paraId="2B1672D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(0.85)</w:t>
            </w:r>
          </w:p>
        </w:tc>
        <w:tc>
          <w:tcPr>
            <w:tcW w:w="1656" w:type="dxa"/>
            <w:tcBorders>
              <w:top w:val="nil"/>
              <w:left w:val="nil"/>
              <w:bottom w:val="nil"/>
              <w:right w:val="nil"/>
            </w:tcBorders>
          </w:tcPr>
          <w:p w14:paraId="17418AD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(-1.39)</w:t>
            </w:r>
          </w:p>
        </w:tc>
        <w:tc>
          <w:tcPr>
            <w:tcW w:w="1656" w:type="dxa"/>
            <w:tcBorders>
              <w:top w:val="nil"/>
              <w:left w:val="nil"/>
              <w:bottom w:val="nil"/>
              <w:right w:val="nil"/>
            </w:tcBorders>
          </w:tcPr>
          <w:p w14:paraId="4877111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A4F42" w:rsidRPr="002E7BF3" w14:paraId="631FE6C5" w14:textId="77777777" w:rsidTr="00015B88">
        <w:tc>
          <w:tcPr>
            <w:tcW w:w="2136" w:type="dxa"/>
            <w:tcBorders>
              <w:top w:val="single" w:sz="4" w:space="0" w:color="auto"/>
              <w:left w:val="nil"/>
              <w:bottom w:val="nil"/>
              <w:right w:val="nil"/>
            </w:tcBorders>
          </w:tcPr>
          <w:p w14:paraId="3E5B4454"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4E591C3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B9B36D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C93313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5D4E34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A4F42" w:rsidRPr="002E7BF3" w14:paraId="0EE0AF7F" w14:textId="77777777" w:rsidTr="00015B88">
        <w:tc>
          <w:tcPr>
            <w:tcW w:w="2136" w:type="dxa"/>
            <w:tcBorders>
              <w:top w:val="nil"/>
              <w:left w:val="nil"/>
              <w:bottom w:val="nil"/>
              <w:right w:val="nil"/>
            </w:tcBorders>
          </w:tcPr>
          <w:p w14:paraId="59E4F47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Constant</w:t>
            </w:r>
          </w:p>
        </w:tc>
        <w:tc>
          <w:tcPr>
            <w:tcW w:w="1656" w:type="dxa"/>
            <w:tcBorders>
              <w:top w:val="nil"/>
              <w:left w:val="nil"/>
              <w:bottom w:val="nil"/>
              <w:right w:val="nil"/>
            </w:tcBorders>
          </w:tcPr>
          <w:p w14:paraId="3F82B44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0.222</w:t>
            </w:r>
          </w:p>
        </w:tc>
        <w:tc>
          <w:tcPr>
            <w:tcW w:w="1656" w:type="dxa"/>
            <w:tcBorders>
              <w:top w:val="nil"/>
              <w:left w:val="nil"/>
              <w:bottom w:val="nil"/>
              <w:right w:val="nil"/>
            </w:tcBorders>
          </w:tcPr>
          <w:p w14:paraId="144B9D4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1.441</w:t>
            </w:r>
          </w:p>
        </w:tc>
        <w:tc>
          <w:tcPr>
            <w:tcW w:w="1656" w:type="dxa"/>
            <w:tcBorders>
              <w:top w:val="nil"/>
              <w:left w:val="nil"/>
              <w:bottom w:val="nil"/>
              <w:right w:val="nil"/>
            </w:tcBorders>
          </w:tcPr>
          <w:p w14:paraId="33DC91B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-0.00605</w:t>
            </w:r>
          </w:p>
        </w:tc>
        <w:tc>
          <w:tcPr>
            <w:tcW w:w="1656" w:type="dxa"/>
            <w:tcBorders>
              <w:top w:val="nil"/>
              <w:left w:val="nil"/>
              <w:bottom w:val="nil"/>
              <w:right w:val="nil"/>
            </w:tcBorders>
          </w:tcPr>
          <w:p w14:paraId="2FCE0D4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A4F42" w:rsidRPr="002E7BF3" w14:paraId="4804B734" w14:textId="77777777" w:rsidTr="00015B88">
        <w:tc>
          <w:tcPr>
            <w:tcW w:w="2136" w:type="dxa"/>
            <w:tcBorders>
              <w:top w:val="nil"/>
              <w:left w:val="nil"/>
              <w:bottom w:val="nil"/>
              <w:right w:val="nil"/>
            </w:tcBorders>
          </w:tcPr>
          <w:p w14:paraId="5CB945EB"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C3DB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(0.29)</w:t>
            </w:r>
          </w:p>
        </w:tc>
        <w:tc>
          <w:tcPr>
            <w:tcW w:w="1656" w:type="dxa"/>
            <w:tcBorders>
              <w:top w:val="nil"/>
              <w:left w:val="nil"/>
              <w:bottom w:val="nil"/>
              <w:right w:val="nil"/>
            </w:tcBorders>
          </w:tcPr>
          <w:p w14:paraId="329833D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(1.45)</w:t>
            </w:r>
          </w:p>
        </w:tc>
        <w:tc>
          <w:tcPr>
            <w:tcW w:w="1656" w:type="dxa"/>
            <w:tcBorders>
              <w:top w:val="nil"/>
              <w:left w:val="nil"/>
              <w:bottom w:val="nil"/>
              <w:right w:val="nil"/>
            </w:tcBorders>
          </w:tcPr>
          <w:p w14:paraId="14091526"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(-0.01)</w:t>
            </w:r>
          </w:p>
        </w:tc>
        <w:tc>
          <w:tcPr>
            <w:tcW w:w="1656" w:type="dxa"/>
            <w:tcBorders>
              <w:top w:val="nil"/>
              <w:left w:val="nil"/>
              <w:bottom w:val="nil"/>
              <w:right w:val="nil"/>
            </w:tcBorders>
          </w:tcPr>
          <w:p w14:paraId="3B7D1112"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A4F42" w:rsidRPr="002E7BF3" w14:paraId="34F32E3D" w14:textId="77777777" w:rsidTr="00015B88">
        <w:tc>
          <w:tcPr>
            <w:tcW w:w="2136" w:type="dxa"/>
            <w:tcBorders>
              <w:top w:val="single" w:sz="4" w:space="0" w:color="auto"/>
              <w:left w:val="nil"/>
              <w:bottom w:val="nil"/>
              <w:right w:val="nil"/>
            </w:tcBorders>
          </w:tcPr>
          <w:p w14:paraId="77F533A8"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14CBB83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6668C9D"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72D483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F373B8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A4F42" w:rsidRPr="002E7BF3" w14:paraId="4C1F392D" w14:textId="77777777" w:rsidTr="00015B88">
        <w:tc>
          <w:tcPr>
            <w:tcW w:w="2136" w:type="dxa"/>
            <w:tcBorders>
              <w:top w:val="nil"/>
              <w:left w:val="nil"/>
              <w:bottom w:val="nil"/>
              <w:right w:val="nil"/>
            </w:tcBorders>
          </w:tcPr>
          <w:p w14:paraId="7041BA97"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Constant</w:t>
            </w:r>
          </w:p>
        </w:tc>
        <w:tc>
          <w:tcPr>
            <w:tcW w:w="1656" w:type="dxa"/>
            <w:tcBorders>
              <w:top w:val="nil"/>
              <w:left w:val="nil"/>
              <w:bottom w:val="nil"/>
              <w:right w:val="nil"/>
            </w:tcBorders>
          </w:tcPr>
          <w:p w14:paraId="24A02A4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1.078</w:t>
            </w:r>
            <w:r w:rsidRPr="002E7BF3">
              <w:rPr>
                <w:rFonts w:ascii="Times New Roman" w:hAnsi="Times New Roman" w:cs="Times New Roman"/>
                <w:sz w:val="16"/>
                <w:szCs w:val="16"/>
                <w:vertAlign w:val="superscript"/>
              </w:rPr>
              <w:t>***</w:t>
            </w:r>
          </w:p>
        </w:tc>
        <w:tc>
          <w:tcPr>
            <w:tcW w:w="1656" w:type="dxa"/>
            <w:tcBorders>
              <w:top w:val="nil"/>
              <w:left w:val="nil"/>
              <w:bottom w:val="nil"/>
              <w:right w:val="nil"/>
            </w:tcBorders>
          </w:tcPr>
          <w:p w14:paraId="2F83476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3.002</w:t>
            </w:r>
            <w:r w:rsidRPr="002E7BF3">
              <w:rPr>
                <w:rFonts w:ascii="Times New Roman" w:hAnsi="Times New Roman" w:cs="Times New Roman"/>
                <w:sz w:val="16"/>
                <w:szCs w:val="16"/>
                <w:vertAlign w:val="superscript"/>
              </w:rPr>
              <w:t>***</w:t>
            </w:r>
          </w:p>
        </w:tc>
        <w:tc>
          <w:tcPr>
            <w:tcW w:w="1656" w:type="dxa"/>
            <w:tcBorders>
              <w:top w:val="nil"/>
              <w:left w:val="nil"/>
              <w:bottom w:val="nil"/>
              <w:right w:val="nil"/>
            </w:tcBorders>
          </w:tcPr>
          <w:p w14:paraId="5A57112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0.951</w:t>
            </w:r>
            <w:r w:rsidRPr="002E7BF3">
              <w:rPr>
                <w:rFonts w:ascii="Times New Roman" w:hAnsi="Times New Roman" w:cs="Times New Roman"/>
                <w:sz w:val="16"/>
                <w:szCs w:val="16"/>
                <w:vertAlign w:val="superscript"/>
              </w:rPr>
              <w:t>***</w:t>
            </w:r>
          </w:p>
        </w:tc>
        <w:tc>
          <w:tcPr>
            <w:tcW w:w="1656" w:type="dxa"/>
            <w:tcBorders>
              <w:top w:val="nil"/>
              <w:left w:val="nil"/>
              <w:bottom w:val="nil"/>
              <w:right w:val="nil"/>
            </w:tcBorders>
          </w:tcPr>
          <w:p w14:paraId="593B1EF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A4F42" w:rsidRPr="002E7BF3" w14:paraId="59F76438" w14:textId="77777777" w:rsidTr="00015B88">
        <w:tc>
          <w:tcPr>
            <w:tcW w:w="2136" w:type="dxa"/>
            <w:tcBorders>
              <w:top w:val="nil"/>
              <w:left w:val="nil"/>
              <w:bottom w:val="nil"/>
              <w:right w:val="nil"/>
            </w:tcBorders>
          </w:tcPr>
          <w:p w14:paraId="64E1589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FE874"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(3.42)</w:t>
            </w:r>
          </w:p>
        </w:tc>
        <w:tc>
          <w:tcPr>
            <w:tcW w:w="1656" w:type="dxa"/>
            <w:tcBorders>
              <w:top w:val="nil"/>
              <w:left w:val="nil"/>
              <w:bottom w:val="nil"/>
              <w:right w:val="nil"/>
            </w:tcBorders>
          </w:tcPr>
          <w:p w14:paraId="615576F1"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(3.73)</w:t>
            </w:r>
          </w:p>
        </w:tc>
        <w:tc>
          <w:tcPr>
            <w:tcW w:w="1656" w:type="dxa"/>
            <w:tcBorders>
              <w:top w:val="nil"/>
              <w:left w:val="nil"/>
              <w:bottom w:val="nil"/>
              <w:right w:val="nil"/>
            </w:tcBorders>
          </w:tcPr>
          <w:p w14:paraId="26C0DC5C"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(3.38)</w:t>
            </w:r>
          </w:p>
        </w:tc>
        <w:tc>
          <w:tcPr>
            <w:tcW w:w="1656" w:type="dxa"/>
            <w:tcBorders>
              <w:top w:val="nil"/>
              <w:left w:val="nil"/>
              <w:bottom w:val="nil"/>
              <w:right w:val="nil"/>
            </w:tcBorders>
          </w:tcPr>
          <w:p w14:paraId="4FD282F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A4F42" w:rsidRPr="002E7BF3" w14:paraId="5CB45B30" w14:textId="77777777" w:rsidTr="00015B88">
        <w:tc>
          <w:tcPr>
            <w:tcW w:w="2136" w:type="dxa"/>
            <w:tcBorders>
              <w:top w:val="single" w:sz="4" w:space="0" w:color="auto"/>
              <w:left w:val="nil"/>
              <w:bottom w:val="nil"/>
              <w:right w:val="nil"/>
            </w:tcBorders>
          </w:tcPr>
          <w:p w14:paraId="02CCA96A"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w:t>
            </w:r>
          </w:p>
        </w:tc>
        <w:tc>
          <w:tcPr>
            <w:tcW w:w="1656" w:type="dxa"/>
            <w:tcBorders>
              <w:top w:val="single" w:sz="4" w:space="0" w:color="auto"/>
              <w:left w:val="nil"/>
              <w:bottom w:val="nil"/>
              <w:right w:val="nil"/>
            </w:tcBorders>
          </w:tcPr>
          <w:p w14:paraId="008BFEA9"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5B540E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587045F"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7BF9B4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A4F42" w:rsidRPr="002E7BF3" w14:paraId="1F303A38" w14:textId="77777777" w:rsidTr="00015B88">
        <w:tc>
          <w:tcPr>
            <w:tcW w:w="2136" w:type="dxa"/>
            <w:tcBorders>
              <w:top w:val="nil"/>
              <w:left w:val="nil"/>
              <w:bottom w:val="nil"/>
              <w:right w:val="nil"/>
            </w:tcBorders>
          </w:tcPr>
          <w:p w14:paraId="0E1B3853"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lnsig2u</w:t>
            </w:r>
          </w:p>
        </w:tc>
        <w:tc>
          <w:tcPr>
            <w:tcW w:w="1656" w:type="dxa"/>
            <w:tcBorders>
              <w:top w:val="nil"/>
              <w:left w:val="nil"/>
              <w:bottom w:val="nil"/>
              <w:right w:val="nil"/>
            </w:tcBorders>
          </w:tcPr>
          <w:p w14:paraId="454C939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5C777C7"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04AD84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258AEA2"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2.269</w:t>
            </w:r>
            <w:r w:rsidRPr="002E7BF3">
              <w:rPr>
                <w:rFonts w:ascii="Times New Roman" w:hAnsi="Times New Roman" w:cs="Times New Roman"/>
                <w:sz w:val="16"/>
                <w:szCs w:val="16"/>
                <w:vertAlign w:val="superscript"/>
              </w:rPr>
              <w:t>***</w:t>
            </w:r>
          </w:p>
        </w:tc>
      </w:tr>
      <w:tr w:rsidR="006A4F42" w:rsidRPr="002E7BF3" w14:paraId="424BC502" w14:textId="77777777" w:rsidTr="00015B88">
        <w:tc>
          <w:tcPr>
            <w:tcW w:w="2136" w:type="dxa"/>
            <w:tcBorders>
              <w:top w:val="nil"/>
              <w:left w:val="nil"/>
              <w:bottom w:val="single" w:sz="4" w:space="0" w:color="auto"/>
              <w:right w:val="nil"/>
            </w:tcBorders>
          </w:tcPr>
          <w:p w14:paraId="1836471F"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5533365"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13E7A04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37FD987E"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16CFF08B"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(8.02)</w:t>
            </w:r>
          </w:p>
        </w:tc>
      </w:tr>
      <w:tr w:rsidR="006A4F42" w:rsidRPr="002E7BF3" w14:paraId="56763AA4" w14:textId="77777777" w:rsidTr="00015B88">
        <w:tc>
          <w:tcPr>
            <w:tcW w:w="2136" w:type="dxa"/>
            <w:tcBorders>
              <w:top w:val="nil"/>
              <w:left w:val="nil"/>
              <w:bottom w:val="single" w:sz="4" w:space="0" w:color="auto"/>
              <w:right w:val="nil"/>
            </w:tcBorders>
          </w:tcPr>
          <w:p w14:paraId="6FD1C6A0" w14:textId="77777777" w:rsidR="006A4F42" w:rsidRPr="002E7BF3" w:rsidRDefault="006A4F42" w:rsidP="00015B88">
            <w:pPr>
              <w:widowControl w:val="0"/>
              <w:autoSpaceDE w:val="0"/>
              <w:autoSpaceDN w:val="0"/>
              <w:adjustRightInd w:val="0"/>
              <w:spacing w:after="0" w:line="240" w:lineRule="auto"/>
              <w:rPr>
                <w:rFonts w:ascii="Times New Roman" w:hAnsi="Times New Roman" w:cs="Times New Roman"/>
                <w:sz w:val="16"/>
                <w:szCs w:val="16"/>
              </w:rPr>
            </w:pPr>
            <w:r w:rsidRPr="002E7BF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DBDCD5A"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1069</w:t>
            </w:r>
          </w:p>
        </w:tc>
        <w:tc>
          <w:tcPr>
            <w:tcW w:w="1656" w:type="dxa"/>
            <w:tcBorders>
              <w:top w:val="nil"/>
              <w:left w:val="nil"/>
              <w:bottom w:val="single" w:sz="4" w:space="0" w:color="auto"/>
              <w:right w:val="nil"/>
            </w:tcBorders>
          </w:tcPr>
          <w:p w14:paraId="557BDED2"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1070</w:t>
            </w:r>
          </w:p>
        </w:tc>
        <w:tc>
          <w:tcPr>
            <w:tcW w:w="1656" w:type="dxa"/>
            <w:tcBorders>
              <w:top w:val="nil"/>
              <w:left w:val="nil"/>
              <w:bottom w:val="single" w:sz="4" w:space="0" w:color="auto"/>
              <w:right w:val="nil"/>
            </w:tcBorders>
          </w:tcPr>
          <w:p w14:paraId="0C1FF210"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883</w:t>
            </w:r>
          </w:p>
        </w:tc>
        <w:tc>
          <w:tcPr>
            <w:tcW w:w="1656" w:type="dxa"/>
            <w:tcBorders>
              <w:top w:val="nil"/>
              <w:left w:val="nil"/>
              <w:bottom w:val="single" w:sz="4" w:space="0" w:color="auto"/>
              <w:right w:val="nil"/>
            </w:tcBorders>
          </w:tcPr>
          <w:p w14:paraId="40960623" w14:textId="77777777" w:rsidR="006A4F42" w:rsidRPr="002E7BF3" w:rsidRDefault="006A4F4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E7BF3">
              <w:rPr>
                <w:rFonts w:ascii="Times New Roman" w:hAnsi="Times New Roman" w:cs="Times New Roman"/>
                <w:sz w:val="16"/>
                <w:szCs w:val="16"/>
              </w:rPr>
              <w:t>2443</w:t>
            </w:r>
          </w:p>
        </w:tc>
      </w:tr>
    </w:tbl>
    <w:p w14:paraId="10B47BD3" w14:textId="77777777" w:rsidR="006A4F42" w:rsidRPr="002E7BF3" w:rsidRDefault="006A4F42" w:rsidP="006A4F42">
      <w:pPr>
        <w:widowControl w:val="0"/>
        <w:autoSpaceDE w:val="0"/>
        <w:autoSpaceDN w:val="0"/>
        <w:adjustRightInd w:val="0"/>
        <w:spacing w:after="0" w:line="240" w:lineRule="auto"/>
        <w:rPr>
          <w:rFonts w:ascii="Times New Roman" w:hAnsi="Times New Roman" w:cs="Times New Roman"/>
          <w:sz w:val="12"/>
          <w:szCs w:val="12"/>
        </w:rPr>
      </w:pPr>
      <w:r w:rsidRPr="002E7BF3">
        <w:rPr>
          <w:rFonts w:ascii="Times New Roman" w:hAnsi="Times New Roman" w:cs="Times New Roman"/>
          <w:i/>
          <w:iCs/>
          <w:sz w:val="12"/>
          <w:szCs w:val="12"/>
        </w:rPr>
        <w:t>t</w:t>
      </w:r>
      <w:r w:rsidRPr="002E7BF3">
        <w:rPr>
          <w:rFonts w:ascii="Times New Roman" w:hAnsi="Times New Roman" w:cs="Times New Roman"/>
          <w:sz w:val="12"/>
          <w:szCs w:val="12"/>
        </w:rPr>
        <w:t xml:space="preserve"> statistics in parentheses</w:t>
      </w:r>
    </w:p>
    <w:p w14:paraId="76FF03BF" w14:textId="77777777" w:rsidR="006A4F42" w:rsidRPr="002E7BF3" w:rsidRDefault="006A4F42" w:rsidP="006A4F42">
      <w:pPr>
        <w:widowControl w:val="0"/>
        <w:autoSpaceDE w:val="0"/>
        <w:autoSpaceDN w:val="0"/>
        <w:adjustRightInd w:val="0"/>
        <w:spacing w:after="0" w:line="240" w:lineRule="auto"/>
        <w:rPr>
          <w:rFonts w:ascii="Times New Roman" w:hAnsi="Times New Roman" w:cs="Times New Roman"/>
          <w:sz w:val="12"/>
          <w:szCs w:val="12"/>
        </w:rPr>
      </w:pPr>
      <w:r w:rsidRPr="002E7BF3">
        <w:rPr>
          <w:rFonts w:ascii="Times New Roman" w:hAnsi="Times New Roman" w:cs="Times New Roman"/>
          <w:sz w:val="12"/>
          <w:szCs w:val="12"/>
          <w:vertAlign w:val="superscript"/>
        </w:rPr>
        <w:t>*</w:t>
      </w:r>
      <w:r w:rsidRPr="002E7BF3">
        <w:rPr>
          <w:rFonts w:ascii="Times New Roman" w:hAnsi="Times New Roman" w:cs="Times New Roman"/>
          <w:sz w:val="12"/>
          <w:szCs w:val="12"/>
        </w:rPr>
        <w:t xml:space="preserve"> </w:t>
      </w:r>
      <w:r w:rsidRPr="002E7BF3">
        <w:rPr>
          <w:rFonts w:ascii="Times New Roman" w:hAnsi="Times New Roman" w:cs="Times New Roman"/>
          <w:i/>
          <w:iCs/>
          <w:sz w:val="12"/>
          <w:szCs w:val="12"/>
        </w:rPr>
        <w:t>p</w:t>
      </w:r>
      <w:r w:rsidRPr="002E7BF3">
        <w:rPr>
          <w:rFonts w:ascii="Times New Roman" w:hAnsi="Times New Roman" w:cs="Times New Roman"/>
          <w:sz w:val="12"/>
          <w:szCs w:val="12"/>
        </w:rPr>
        <w:t xml:space="preserve"> &lt; 0.05, </w:t>
      </w:r>
      <w:r w:rsidRPr="002E7BF3">
        <w:rPr>
          <w:rFonts w:ascii="Times New Roman" w:hAnsi="Times New Roman" w:cs="Times New Roman"/>
          <w:sz w:val="12"/>
          <w:szCs w:val="12"/>
          <w:vertAlign w:val="superscript"/>
        </w:rPr>
        <w:t>**</w:t>
      </w:r>
      <w:r w:rsidRPr="002E7BF3">
        <w:rPr>
          <w:rFonts w:ascii="Times New Roman" w:hAnsi="Times New Roman" w:cs="Times New Roman"/>
          <w:sz w:val="12"/>
          <w:szCs w:val="12"/>
        </w:rPr>
        <w:t xml:space="preserve"> </w:t>
      </w:r>
      <w:r w:rsidRPr="002E7BF3">
        <w:rPr>
          <w:rFonts w:ascii="Times New Roman" w:hAnsi="Times New Roman" w:cs="Times New Roman"/>
          <w:i/>
          <w:iCs/>
          <w:sz w:val="12"/>
          <w:szCs w:val="12"/>
        </w:rPr>
        <w:t>p</w:t>
      </w:r>
      <w:r w:rsidRPr="002E7BF3">
        <w:rPr>
          <w:rFonts w:ascii="Times New Roman" w:hAnsi="Times New Roman" w:cs="Times New Roman"/>
          <w:sz w:val="12"/>
          <w:szCs w:val="12"/>
        </w:rPr>
        <w:t xml:space="preserve"> &lt; 0.01, </w:t>
      </w:r>
      <w:r w:rsidRPr="002E7BF3">
        <w:rPr>
          <w:rFonts w:ascii="Times New Roman" w:hAnsi="Times New Roman" w:cs="Times New Roman"/>
          <w:sz w:val="12"/>
          <w:szCs w:val="12"/>
          <w:vertAlign w:val="superscript"/>
        </w:rPr>
        <w:t>***</w:t>
      </w:r>
      <w:r w:rsidRPr="002E7BF3">
        <w:rPr>
          <w:rFonts w:ascii="Times New Roman" w:hAnsi="Times New Roman" w:cs="Times New Roman"/>
          <w:sz w:val="12"/>
          <w:szCs w:val="12"/>
        </w:rPr>
        <w:t xml:space="preserve"> </w:t>
      </w:r>
      <w:r w:rsidRPr="002E7BF3">
        <w:rPr>
          <w:rFonts w:ascii="Times New Roman" w:hAnsi="Times New Roman" w:cs="Times New Roman"/>
          <w:i/>
          <w:iCs/>
          <w:sz w:val="12"/>
          <w:szCs w:val="12"/>
        </w:rPr>
        <w:t>p</w:t>
      </w:r>
      <w:r w:rsidRPr="002E7BF3">
        <w:rPr>
          <w:rFonts w:ascii="Times New Roman" w:hAnsi="Times New Roman" w:cs="Times New Roman"/>
          <w:sz w:val="12"/>
          <w:szCs w:val="12"/>
        </w:rPr>
        <w:t xml:space="preserve"> &lt; 0.001</w:t>
      </w:r>
    </w:p>
    <w:p w14:paraId="303FBC23" w14:textId="77777777" w:rsidR="006A4F42" w:rsidRPr="002E7BF3" w:rsidRDefault="006A4F42" w:rsidP="006A4F42">
      <w:pPr>
        <w:widowControl w:val="0"/>
        <w:autoSpaceDE w:val="0"/>
        <w:autoSpaceDN w:val="0"/>
        <w:adjustRightInd w:val="0"/>
        <w:spacing w:after="0" w:line="240" w:lineRule="auto"/>
        <w:rPr>
          <w:rFonts w:ascii="Times New Roman" w:hAnsi="Times New Roman" w:cs="Times New Roman"/>
          <w:sz w:val="16"/>
          <w:szCs w:val="16"/>
        </w:rPr>
      </w:pPr>
    </w:p>
    <w:p w14:paraId="46D4B055" w14:textId="77777777" w:rsidR="003A3222" w:rsidRPr="006F2982" w:rsidRDefault="003A3222" w:rsidP="006F2982"/>
    <w:p w14:paraId="3C8754F0" w14:textId="77777777" w:rsidR="006570EE" w:rsidRPr="00F47BE5" w:rsidRDefault="006570EE" w:rsidP="002338C3">
      <w:pPr>
        <w:widowControl w:val="0"/>
        <w:autoSpaceDE w:val="0"/>
        <w:autoSpaceDN w:val="0"/>
        <w:adjustRightInd w:val="0"/>
        <w:spacing w:after="0" w:line="240" w:lineRule="auto"/>
        <w:rPr>
          <w:strike/>
          <w:highlight w:val="yellow"/>
        </w:rPr>
      </w:pPr>
    </w:p>
    <w:p w14:paraId="0E6561DB" w14:textId="666FB410" w:rsidR="00DB7775" w:rsidRPr="005358C9" w:rsidRDefault="00221350" w:rsidP="00DB7775">
      <w:r w:rsidRPr="005358C9">
        <w:lastRenderedPageBreak/>
        <w:t>Table</w:t>
      </w:r>
      <w:r w:rsidR="00D10826" w:rsidRPr="005358C9">
        <w:t xml:space="preserve"> A1</w:t>
      </w:r>
      <w:r w:rsidR="00A002D9" w:rsidRPr="005358C9">
        <w:t>7</w:t>
      </w:r>
      <w:r w:rsidR="00D10826" w:rsidRPr="005358C9">
        <w:t>:</w:t>
      </w:r>
      <w:r w:rsidRPr="005358C9">
        <w:t xml:space="preserve"> </w:t>
      </w:r>
      <w:r w:rsidR="00DB7775" w:rsidRPr="005358C9">
        <w:t>Split sample democracies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1B0692" w14:paraId="319EA1D0" w14:textId="77777777" w:rsidTr="00F16287">
        <w:tc>
          <w:tcPr>
            <w:tcW w:w="2136" w:type="dxa"/>
            <w:tcBorders>
              <w:top w:val="single" w:sz="4" w:space="0" w:color="auto"/>
              <w:left w:val="nil"/>
              <w:bottom w:val="nil"/>
              <w:right w:val="nil"/>
            </w:tcBorders>
          </w:tcPr>
          <w:p w14:paraId="69B84CEF" w14:textId="77777777" w:rsidR="001B0692" w:rsidRDefault="001B069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5E6C53D9"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7CD9A2AA"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4442571B"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401490AF"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6FFF564C"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1B0692" w14:paraId="12F763A0" w14:textId="77777777" w:rsidTr="00F16287">
        <w:tc>
          <w:tcPr>
            <w:tcW w:w="2136" w:type="dxa"/>
            <w:tcBorders>
              <w:top w:val="nil"/>
              <w:left w:val="nil"/>
              <w:bottom w:val="nil"/>
              <w:right w:val="nil"/>
            </w:tcBorders>
          </w:tcPr>
          <w:p w14:paraId="2DB27A50" w14:textId="77777777" w:rsidR="001B0692" w:rsidRDefault="001B069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30B090F"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49674E8E"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1B3D69B7"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1E0D59F0"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01401878"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1B0692" w14:paraId="1BDAA73F" w14:textId="77777777" w:rsidTr="00F16287">
        <w:tc>
          <w:tcPr>
            <w:tcW w:w="2136" w:type="dxa"/>
            <w:tcBorders>
              <w:top w:val="single" w:sz="4" w:space="0" w:color="auto"/>
              <w:left w:val="nil"/>
              <w:bottom w:val="nil"/>
              <w:right w:val="nil"/>
            </w:tcBorders>
          </w:tcPr>
          <w:p w14:paraId="37B5B529" w14:textId="77777777" w:rsidR="001B0692" w:rsidRPr="001B0692" w:rsidRDefault="001B0692" w:rsidP="00F16287">
            <w:pPr>
              <w:widowControl w:val="0"/>
              <w:autoSpaceDE w:val="0"/>
              <w:autoSpaceDN w:val="0"/>
              <w:adjustRightInd w:val="0"/>
              <w:spacing w:after="0" w:line="240" w:lineRule="auto"/>
              <w:rPr>
                <w:rFonts w:ascii="Times New Roman" w:hAnsi="Times New Roman" w:cs="Times New Roman"/>
                <w:sz w:val="24"/>
                <w:szCs w:val="24"/>
                <w:lang w:val="fr-BE"/>
              </w:rPr>
            </w:pPr>
            <w:r w:rsidRPr="001B0692">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50F3C889"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0.0978</w:t>
            </w:r>
          </w:p>
        </w:tc>
        <w:tc>
          <w:tcPr>
            <w:tcW w:w="1656" w:type="dxa"/>
            <w:tcBorders>
              <w:top w:val="single" w:sz="4" w:space="0" w:color="auto"/>
              <w:left w:val="nil"/>
              <w:bottom w:val="nil"/>
              <w:right w:val="nil"/>
            </w:tcBorders>
          </w:tcPr>
          <w:p w14:paraId="336121D0"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0.122</w:t>
            </w:r>
          </w:p>
        </w:tc>
        <w:tc>
          <w:tcPr>
            <w:tcW w:w="1656" w:type="dxa"/>
            <w:tcBorders>
              <w:top w:val="single" w:sz="4" w:space="0" w:color="auto"/>
              <w:left w:val="nil"/>
              <w:bottom w:val="nil"/>
              <w:right w:val="nil"/>
            </w:tcBorders>
          </w:tcPr>
          <w:p w14:paraId="305AED93"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0.0716</w:t>
            </w:r>
          </w:p>
        </w:tc>
        <w:tc>
          <w:tcPr>
            <w:tcW w:w="1656" w:type="dxa"/>
            <w:tcBorders>
              <w:top w:val="single" w:sz="4" w:space="0" w:color="auto"/>
              <w:left w:val="nil"/>
              <w:bottom w:val="nil"/>
              <w:right w:val="nil"/>
            </w:tcBorders>
          </w:tcPr>
          <w:p w14:paraId="2B58DF0B"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-0.417</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0B717D25"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1.019</w:t>
            </w:r>
            <w:r>
              <w:rPr>
                <w:rFonts w:ascii="Times New Roman" w:hAnsi="Times New Roman" w:cs="Times New Roman"/>
                <w:sz w:val="24"/>
                <w:szCs w:val="24"/>
                <w:vertAlign w:val="superscript"/>
              </w:rPr>
              <w:t>***</w:t>
            </w:r>
          </w:p>
        </w:tc>
      </w:tr>
      <w:tr w:rsidR="001B0692" w14:paraId="135DA090" w14:textId="77777777" w:rsidTr="00F16287">
        <w:tc>
          <w:tcPr>
            <w:tcW w:w="2136" w:type="dxa"/>
            <w:tcBorders>
              <w:top w:val="nil"/>
              <w:left w:val="nil"/>
              <w:bottom w:val="nil"/>
              <w:right w:val="nil"/>
            </w:tcBorders>
          </w:tcPr>
          <w:p w14:paraId="2E4ED535" w14:textId="77777777" w:rsidR="001B0692" w:rsidRDefault="001B069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1562A5F"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w:t>
            </w:r>
          </w:p>
        </w:tc>
        <w:tc>
          <w:tcPr>
            <w:tcW w:w="1656" w:type="dxa"/>
            <w:tcBorders>
              <w:top w:val="nil"/>
              <w:left w:val="nil"/>
              <w:bottom w:val="nil"/>
              <w:right w:val="nil"/>
            </w:tcBorders>
          </w:tcPr>
          <w:p w14:paraId="01A4495F"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(0.81)</w:t>
            </w:r>
          </w:p>
        </w:tc>
        <w:tc>
          <w:tcPr>
            <w:tcW w:w="1656" w:type="dxa"/>
            <w:tcBorders>
              <w:top w:val="nil"/>
              <w:left w:val="nil"/>
              <w:bottom w:val="nil"/>
              <w:right w:val="nil"/>
            </w:tcBorders>
          </w:tcPr>
          <w:p w14:paraId="169F603C"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656" w:type="dxa"/>
            <w:tcBorders>
              <w:top w:val="nil"/>
              <w:left w:val="nil"/>
              <w:bottom w:val="nil"/>
              <w:right w:val="nil"/>
            </w:tcBorders>
          </w:tcPr>
          <w:p w14:paraId="7B3BA367"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1656" w:type="dxa"/>
            <w:tcBorders>
              <w:top w:val="nil"/>
              <w:left w:val="nil"/>
              <w:bottom w:val="nil"/>
              <w:right w:val="nil"/>
            </w:tcBorders>
          </w:tcPr>
          <w:p w14:paraId="39F8A84F"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(10.10)</w:t>
            </w:r>
          </w:p>
        </w:tc>
      </w:tr>
      <w:tr w:rsidR="001B0692" w14:paraId="67FABF55" w14:textId="77777777" w:rsidTr="00F16287">
        <w:tc>
          <w:tcPr>
            <w:tcW w:w="2136" w:type="dxa"/>
            <w:tcBorders>
              <w:top w:val="nil"/>
              <w:left w:val="nil"/>
              <w:bottom w:val="nil"/>
              <w:right w:val="nil"/>
            </w:tcBorders>
          </w:tcPr>
          <w:p w14:paraId="09E58131" w14:textId="77777777" w:rsidR="001B0692" w:rsidRDefault="001B069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499F637" w14:textId="77777777" w:rsidR="001B0692" w:rsidRDefault="001B069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1876569" w14:textId="77777777" w:rsidR="001B0692" w:rsidRDefault="001B069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24A4749" w14:textId="77777777" w:rsidR="001B0692" w:rsidRDefault="001B069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9D82B4" w14:textId="77777777" w:rsidR="001B0692" w:rsidRDefault="001B069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3ABFC4C" w14:textId="77777777" w:rsidR="001B0692" w:rsidRDefault="001B0692" w:rsidP="00F16287">
            <w:pPr>
              <w:widowControl w:val="0"/>
              <w:autoSpaceDE w:val="0"/>
              <w:autoSpaceDN w:val="0"/>
              <w:adjustRightInd w:val="0"/>
              <w:spacing w:after="0" w:line="240" w:lineRule="auto"/>
              <w:rPr>
                <w:rFonts w:ascii="Times New Roman" w:hAnsi="Times New Roman" w:cs="Times New Roman"/>
                <w:sz w:val="24"/>
                <w:szCs w:val="24"/>
              </w:rPr>
            </w:pPr>
          </w:p>
        </w:tc>
      </w:tr>
      <w:tr w:rsidR="001B0692" w14:paraId="54E90038" w14:textId="77777777" w:rsidTr="00F16287">
        <w:tc>
          <w:tcPr>
            <w:tcW w:w="2136" w:type="dxa"/>
            <w:tcBorders>
              <w:top w:val="nil"/>
              <w:left w:val="nil"/>
              <w:bottom w:val="nil"/>
              <w:right w:val="nil"/>
            </w:tcBorders>
          </w:tcPr>
          <w:p w14:paraId="198B03E9" w14:textId="77777777" w:rsidR="001B0692" w:rsidRDefault="001B0692"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0521C7EE"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-0.00893</w:t>
            </w:r>
          </w:p>
        </w:tc>
        <w:tc>
          <w:tcPr>
            <w:tcW w:w="1656" w:type="dxa"/>
            <w:tcBorders>
              <w:top w:val="nil"/>
              <w:left w:val="nil"/>
              <w:bottom w:val="nil"/>
              <w:right w:val="nil"/>
            </w:tcBorders>
          </w:tcPr>
          <w:p w14:paraId="7BFFB778"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C2E77C6"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0.00879</w:t>
            </w:r>
          </w:p>
        </w:tc>
        <w:tc>
          <w:tcPr>
            <w:tcW w:w="1656" w:type="dxa"/>
            <w:tcBorders>
              <w:top w:val="nil"/>
              <w:left w:val="nil"/>
              <w:bottom w:val="nil"/>
              <w:right w:val="nil"/>
            </w:tcBorders>
          </w:tcPr>
          <w:p w14:paraId="3DB5A01A"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0.00148</w:t>
            </w:r>
          </w:p>
        </w:tc>
        <w:tc>
          <w:tcPr>
            <w:tcW w:w="1656" w:type="dxa"/>
            <w:tcBorders>
              <w:top w:val="nil"/>
              <w:left w:val="nil"/>
              <w:bottom w:val="nil"/>
              <w:right w:val="nil"/>
            </w:tcBorders>
          </w:tcPr>
          <w:p w14:paraId="7BCBCF9F"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0.0112</w:t>
            </w:r>
          </w:p>
        </w:tc>
      </w:tr>
      <w:tr w:rsidR="001B0692" w14:paraId="5C45EDBE" w14:textId="77777777" w:rsidTr="00F16287">
        <w:tc>
          <w:tcPr>
            <w:tcW w:w="2136" w:type="dxa"/>
            <w:tcBorders>
              <w:top w:val="nil"/>
              <w:left w:val="nil"/>
              <w:bottom w:val="nil"/>
              <w:right w:val="nil"/>
            </w:tcBorders>
          </w:tcPr>
          <w:p w14:paraId="09BA4F1F" w14:textId="77777777" w:rsidR="001B0692" w:rsidRDefault="001B069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B7A0585"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(-0.84)</w:t>
            </w:r>
          </w:p>
        </w:tc>
        <w:tc>
          <w:tcPr>
            <w:tcW w:w="1656" w:type="dxa"/>
            <w:tcBorders>
              <w:top w:val="nil"/>
              <w:left w:val="nil"/>
              <w:bottom w:val="nil"/>
              <w:right w:val="nil"/>
            </w:tcBorders>
          </w:tcPr>
          <w:p w14:paraId="23328E11"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(-2.46)</w:t>
            </w:r>
          </w:p>
        </w:tc>
        <w:tc>
          <w:tcPr>
            <w:tcW w:w="1656" w:type="dxa"/>
            <w:tcBorders>
              <w:top w:val="nil"/>
              <w:left w:val="nil"/>
              <w:bottom w:val="nil"/>
              <w:right w:val="nil"/>
            </w:tcBorders>
          </w:tcPr>
          <w:p w14:paraId="6580F857"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(0.73)</w:t>
            </w:r>
          </w:p>
        </w:tc>
        <w:tc>
          <w:tcPr>
            <w:tcW w:w="1656" w:type="dxa"/>
            <w:tcBorders>
              <w:top w:val="nil"/>
              <w:left w:val="nil"/>
              <w:bottom w:val="nil"/>
              <w:right w:val="nil"/>
            </w:tcBorders>
          </w:tcPr>
          <w:p w14:paraId="1FC41D77"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656" w:type="dxa"/>
            <w:tcBorders>
              <w:top w:val="nil"/>
              <w:left w:val="nil"/>
              <w:bottom w:val="nil"/>
              <w:right w:val="nil"/>
            </w:tcBorders>
          </w:tcPr>
          <w:p w14:paraId="41AB1B5F"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1B0692" w14:paraId="3F7D7457" w14:textId="77777777" w:rsidTr="00F16287">
        <w:tc>
          <w:tcPr>
            <w:tcW w:w="2136" w:type="dxa"/>
            <w:tcBorders>
              <w:top w:val="nil"/>
              <w:left w:val="nil"/>
              <w:bottom w:val="nil"/>
              <w:right w:val="nil"/>
            </w:tcBorders>
          </w:tcPr>
          <w:p w14:paraId="01BE70E3" w14:textId="77777777" w:rsidR="001B0692" w:rsidRDefault="001B069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1FD664C" w14:textId="77777777" w:rsidR="001B0692" w:rsidRDefault="001B069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14A1D11" w14:textId="77777777" w:rsidR="001B0692" w:rsidRDefault="001B069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34A1380" w14:textId="77777777" w:rsidR="001B0692" w:rsidRDefault="001B069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BDAF14A" w14:textId="77777777" w:rsidR="001B0692" w:rsidRDefault="001B069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9676AEA" w14:textId="77777777" w:rsidR="001B0692" w:rsidRDefault="001B0692" w:rsidP="00F16287">
            <w:pPr>
              <w:widowControl w:val="0"/>
              <w:autoSpaceDE w:val="0"/>
              <w:autoSpaceDN w:val="0"/>
              <w:adjustRightInd w:val="0"/>
              <w:spacing w:after="0" w:line="240" w:lineRule="auto"/>
              <w:rPr>
                <w:rFonts w:ascii="Times New Roman" w:hAnsi="Times New Roman" w:cs="Times New Roman"/>
                <w:sz w:val="24"/>
                <w:szCs w:val="24"/>
              </w:rPr>
            </w:pPr>
          </w:p>
        </w:tc>
      </w:tr>
      <w:tr w:rsidR="001B0692" w14:paraId="43709E84" w14:textId="77777777" w:rsidTr="00F16287">
        <w:tc>
          <w:tcPr>
            <w:tcW w:w="2136" w:type="dxa"/>
            <w:tcBorders>
              <w:top w:val="nil"/>
              <w:left w:val="nil"/>
              <w:bottom w:val="nil"/>
              <w:right w:val="nil"/>
            </w:tcBorders>
          </w:tcPr>
          <w:p w14:paraId="4AE50592" w14:textId="77777777" w:rsidR="001B0692" w:rsidRDefault="001B0692"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4F139552"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D54381E"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0.579</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2F99BC1"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0.686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CD9388C"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45B08E2"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-0.201</w:t>
            </w:r>
            <w:r>
              <w:rPr>
                <w:rFonts w:ascii="Times New Roman" w:hAnsi="Times New Roman" w:cs="Times New Roman"/>
                <w:sz w:val="24"/>
                <w:szCs w:val="24"/>
                <w:vertAlign w:val="superscript"/>
              </w:rPr>
              <w:t>***</w:t>
            </w:r>
          </w:p>
        </w:tc>
      </w:tr>
      <w:tr w:rsidR="001B0692" w14:paraId="22DED5A3" w14:textId="77777777" w:rsidTr="00F16287">
        <w:tc>
          <w:tcPr>
            <w:tcW w:w="2136" w:type="dxa"/>
            <w:tcBorders>
              <w:top w:val="nil"/>
              <w:left w:val="nil"/>
              <w:bottom w:val="single" w:sz="4" w:space="0" w:color="auto"/>
              <w:right w:val="nil"/>
            </w:tcBorders>
          </w:tcPr>
          <w:p w14:paraId="527E14AE" w14:textId="77777777" w:rsidR="001B0692" w:rsidRDefault="001B0692"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49EC322C"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(7.75)</w:t>
            </w:r>
          </w:p>
        </w:tc>
        <w:tc>
          <w:tcPr>
            <w:tcW w:w="1656" w:type="dxa"/>
            <w:tcBorders>
              <w:top w:val="nil"/>
              <w:left w:val="nil"/>
              <w:bottom w:val="single" w:sz="4" w:space="0" w:color="auto"/>
              <w:right w:val="nil"/>
            </w:tcBorders>
          </w:tcPr>
          <w:p w14:paraId="054DAF75"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656" w:type="dxa"/>
            <w:tcBorders>
              <w:top w:val="nil"/>
              <w:left w:val="nil"/>
              <w:bottom w:val="single" w:sz="4" w:space="0" w:color="auto"/>
              <w:right w:val="nil"/>
            </w:tcBorders>
          </w:tcPr>
          <w:p w14:paraId="1050DD72"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(5.38)</w:t>
            </w:r>
          </w:p>
        </w:tc>
        <w:tc>
          <w:tcPr>
            <w:tcW w:w="1656" w:type="dxa"/>
            <w:tcBorders>
              <w:top w:val="nil"/>
              <w:left w:val="nil"/>
              <w:bottom w:val="single" w:sz="4" w:space="0" w:color="auto"/>
              <w:right w:val="nil"/>
            </w:tcBorders>
          </w:tcPr>
          <w:p w14:paraId="094C0BE6"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(2.22)</w:t>
            </w:r>
          </w:p>
        </w:tc>
        <w:tc>
          <w:tcPr>
            <w:tcW w:w="1656" w:type="dxa"/>
            <w:tcBorders>
              <w:top w:val="nil"/>
              <w:left w:val="nil"/>
              <w:bottom w:val="single" w:sz="4" w:space="0" w:color="auto"/>
              <w:right w:val="nil"/>
            </w:tcBorders>
          </w:tcPr>
          <w:p w14:paraId="457133D9"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(-3.83)</w:t>
            </w:r>
          </w:p>
        </w:tc>
      </w:tr>
      <w:tr w:rsidR="001B0692" w14:paraId="21FE8AF9" w14:textId="77777777" w:rsidTr="00F16287">
        <w:tc>
          <w:tcPr>
            <w:tcW w:w="2136" w:type="dxa"/>
            <w:tcBorders>
              <w:top w:val="nil"/>
              <w:left w:val="nil"/>
              <w:bottom w:val="single" w:sz="4" w:space="0" w:color="auto"/>
              <w:right w:val="nil"/>
            </w:tcBorders>
          </w:tcPr>
          <w:p w14:paraId="59B6A4D5" w14:textId="77777777" w:rsidR="001B0692" w:rsidRDefault="001B0692"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4EDE5851"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903</w:t>
            </w:r>
          </w:p>
        </w:tc>
        <w:tc>
          <w:tcPr>
            <w:tcW w:w="1656" w:type="dxa"/>
            <w:tcBorders>
              <w:top w:val="nil"/>
              <w:left w:val="nil"/>
              <w:bottom w:val="single" w:sz="4" w:space="0" w:color="auto"/>
              <w:right w:val="nil"/>
            </w:tcBorders>
          </w:tcPr>
          <w:p w14:paraId="42EF0C91"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903</w:t>
            </w:r>
          </w:p>
        </w:tc>
        <w:tc>
          <w:tcPr>
            <w:tcW w:w="1656" w:type="dxa"/>
            <w:tcBorders>
              <w:top w:val="nil"/>
              <w:left w:val="nil"/>
              <w:bottom w:val="single" w:sz="4" w:space="0" w:color="auto"/>
              <w:right w:val="nil"/>
            </w:tcBorders>
          </w:tcPr>
          <w:p w14:paraId="67C1FB27"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656" w:type="dxa"/>
            <w:tcBorders>
              <w:top w:val="nil"/>
              <w:left w:val="nil"/>
              <w:bottom w:val="single" w:sz="4" w:space="0" w:color="auto"/>
              <w:right w:val="nil"/>
            </w:tcBorders>
          </w:tcPr>
          <w:p w14:paraId="17CCF743"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1419</w:t>
            </w:r>
          </w:p>
        </w:tc>
        <w:tc>
          <w:tcPr>
            <w:tcW w:w="1656" w:type="dxa"/>
            <w:tcBorders>
              <w:top w:val="nil"/>
              <w:left w:val="nil"/>
              <w:bottom w:val="single" w:sz="4" w:space="0" w:color="auto"/>
              <w:right w:val="nil"/>
            </w:tcBorders>
          </w:tcPr>
          <w:p w14:paraId="2D3694FD" w14:textId="77777777" w:rsidR="001B0692" w:rsidRDefault="001B0692"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2289</w:t>
            </w:r>
          </w:p>
        </w:tc>
      </w:tr>
    </w:tbl>
    <w:p w14:paraId="3D263CDC" w14:textId="77777777" w:rsidR="001B0692" w:rsidRDefault="001B0692" w:rsidP="001B069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7EF9ABEB" w14:textId="074391FC" w:rsidR="001B0692" w:rsidRDefault="001B0692" w:rsidP="001B069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6442CA4" w14:textId="77777777" w:rsidR="002C364A" w:rsidRDefault="002C364A" w:rsidP="001B0692">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2C364A" w14:paraId="63D2F176" w14:textId="77777777" w:rsidTr="00F16287">
        <w:tc>
          <w:tcPr>
            <w:tcW w:w="2136" w:type="dxa"/>
            <w:tcBorders>
              <w:top w:val="single" w:sz="4" w:space="0" w:color="auto"/>
              <w:left w:val="nil"/>
              <w:bottom w:val="nil"/>
              <w:right w:val="nil"/>
            </w:tcBorders>
          </w:tcPr>
          <w:p w14:paraId="7FD7C0F1"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1311D49D"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2E1656A4"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2A068F9F"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58C08986"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6D68AD72"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2C364A" w14:paraId="619AFD8B" w14:textId="77777777" w:rsidTr="00F16287">
        <w:tc>
          <w:tcPr>
            <w:tcW w:w="2136" w:type="dxa"/>
            <w:tcBorders>
              <w:top w:val="nil"/>
              <w:left w:val="nil"/>
              <w:bottom w:val="nil"/>
              <w:right w:val="nil"/>
            </w:tcBorders>
          </w:tcPr>
          <w:p w14:paraId="2E86303B"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CF524A4"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138BA649"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6F76F7FD"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42148AF6"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2923E87E"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2C364A" w14:paraId="654F3583" w14:textId="77777777" w:rsidTr="00F16287">
        <w:tc>
          <w:tcPr>
            <w:tcW w:w="2136" w:type="dxa"/>
            <w:tcBorders>
              <w:top w:val="single" w:sz="4" w:space="0" w:color="auto"/>
              <w:left w:val="nil"/>
              <w:bottom w:val="nil"/>
              <w:right w:val="nil"/>
            </w:tcBorders>
          </w:tcPr>
          <w:p w14:paraId="11FD9A2F"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4910CB00"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-0.178</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2448953F"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-0.0142</w:t>
            </w:r>
          </w:p>
        </w:tc>
        <w:tc>
          <w:tcPr>
            <w:tcW w:w="1656" w:type="dxa"/>
            <w:tcBorders>
              <w:top w:val="single" w:sz="4" w:space="0" w:color="auto"/>
              <w:left w:val="nil"/>
              <w:bottom w:val="nil"/>
              <w:right w:val="nil"/>
            </w:tcBorders>
          </w:tcPr>
          <w:p w14:paraId="0F9247FD"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-0.222</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79E06DED"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-0.0115</w:t>
            </w:r>
          </w:p>
        </w:tc>
        <w:tc>
          <w:tcPr>
            <w:tcW w:w="1656" w:type="dxa"/>
            <w:tcBorders>
              <w:top w:val="single" w:sz="4" w:space="0" w:color="auto"/>
              <w:left w:val="nil"/>
              <w:bottom w:val="nil"/>
              <w:right w:val="nil"/>
            </w:tcBorders>
          </w:tcPr>
          <w:p w14:paraId="31E62611"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0.0476</w:t>
            </w:r>
          </w:p>
        </w:tc>
      </w:tr>
      <w:tr w:rsidR="002C364A" w14:paraId="2128A87F" w14:textId="77777777" w:rsidTr="00F16287">
        <w:tc>
          <w:tcPr>
            <w:tcW w:w="2136" w:type="dxa"/>
            <w:tcBorders>
              <w:top w:val="nil"/>
              <w:left w:val="nil"/>
              <w:bottom w:val="nil"/>
              <w:right w:val="nil"/>
            </w:tcBorders>
          </w:tcPr>
          <w:p w14:paraId="2AC4CC8A"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AE79DD4"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1656" w:type="dxa"/>
            <w:tcBorders>
              <w:top w:val="nil"/>
              <w:left w:val="nil"/>
              <w:bottom w:val="nil"/>
              <w:right w:val="nil"/>
            </w:tcBorders>
          </w:tcPr>
          <w:p w14:paraId="029EA3BD"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656" w:type="dxa"/>
            <w:tcBorders>
              <w:top w:val="nil"/>
              <w:left w:val="nil"/>
              <w:bottom w:val="nil"/>
              <w:right w:val="nil"/>
            </w:tcBorders>
          </w:tcPr>
          <w:p w14:paraId="1AFC3559"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(-2.68)</w:t>
            </w:r>
          </w:p>
        </w:tc>
        <w:tc>
          <w:tcPr>
            <w:tcW w:w="1656" w:type="dxa"/>
            <w:tcBorders>
              <w:top w:val="nil"/>
              <w:left w:val="nil"/>
              <w:bottom w:val="nil"/>
              <w:right w:val="nil"/>
            </w:tcBorders>
          </w:tcPr>
          <w:p w14:paraId="589746D6"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c>
          <w:tcPr>
            <w:tcW w:w="1656" w:type="dxa"/>
            <w:tcBorders>
              <w:top w:val="nil"/>
              <w:left w:val="nil"/>
              <w:bottom w:val="nil"/>
              <w:right w:val="nil"/>
            </w:tcBorders>
          </w:tcPr>
          <w:p w14:paraId="3E8576BB"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2C364A" w14:paraId="7874028F" w14:textId="77777777" w:rsidTr="00F16287">
        <w:tc>
          <w:tcPr>
            <w:tcW w:w="2136" w:type="dxa"/>
            <w:tcBorders>
              <w:top w:val="nil"/>
              <w:left w:val="nil"/>
              <w:bottom w:val="nil"/>
              <w:right w:val="nil"/>
            </w:tcBorders>
          </w:tcPr>
          <w:p w14:paraId="2FD4CB55"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1894264"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9C4A6E1"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842FA8D"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C92D3E1"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7D744B7"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p>
        </w:tc>
      </w:tr>
      <w:tr w:rsidR="002C364A" w14:paraId="116F51AD" w14:textId="77777777" w:rsidTr="00F16287">
        <w:tc>
          <w:tcPr>
            <w:tcW w:w="2136" w:type="dxa"/>
            <w:tcBorders>
              <w:top w:val="nil"/>
              <w:left w:val="nil"/>
              <w:bottom w:val="nil"/>
              <w:right w:val="nil"/>
            </w:tcBorders>
          </w:tcPr>
          <w:p w14:paraId="15931F3D"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4822213B"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-0.00293</w:t>
            </w:r>
          </w:p>
        </w:tc>
        <w:tc>
          <w:tcPr>
            <w:tcW w:w="1656" w:type="dxa"/>
            <w:tcBorders>
              <w:top w:val="nil"/>
              <w:left w:val="nil"/>
              <w:bottom w:val="nil"/>
              <w:right w:val="nil"/>
            </w:tcBorders>
          </w:tcPr>
          <w:p w14:paraId="6061A581"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-0.00997</w:t>
            </w:r>
          </w:p>
        </w:tc>
        <w:tc>
          <w:tcPr>
            <w:tcW w:w="1656" w:type="dxa"/>
            <w:tcBorders>
              <w:top w:val="nil"/>
              <w:left w:val="nil"/>
              <w:bottom w:val="nil"/>
              <w:right w:val="nil"/>
            </w:tcBorders>
          </w:tcPr>
          <w:p w14:paraId="1D17343C"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0.00849</w:t>
            </w:r>
          </w:p>
        </w:tc>
        <w:tc>
          <w:tcPr>
            <w:tcW w:w="1656" w:type="dxa"/>
            <w:tcBorders>
              <w:top w:val="nil"/>
              <w:left w:val="nil"/>
              <w:bottom w:val="nil"/>
              <w:right w:val="nil"/>
            </w:tcBorders>
          </w:tcPr>
          <w:p w14:paraId="1E3BAAA1"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0.00735</w:t>
            </w:r>
          </w:p>
        </w:tc>
        <w:tc>
          <w:tcPr>
            <w:tcW w:w="1656" w:type="dxa"/>
            <w:tcBorders>
              <w:top w:val="nil"/>
              <w:left w:val="nil"/>
              <w:bottom w:val="nil"/>
              <w:right w:val="nil"/>
            </w:tcBorders>
          </w:tcPr>
          <w:p w14:paraId="720DAB3E"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0.0240</w:t>
            </w:r>
            <w:r>
              <w:rPr>
                <w:rFonts w:ascii="Times New Roman" w:hAnsi="Times New Roman" w:cs="Times New Roman"/>
                <w:sz w:val="24"/>
                <w:szCs w:val="24"/>
                <w:vertAlign w:val="superscript"/>
              </w:rPr>
              <w:t>***</w:t>
            </w:r>
          </w:p>
        </w:tc>
      </w:tr>
      <w:tr w:rsidR="002C364A" w14:paraId="357A7A44" w14:textId="77777777" w:rsidTr="00F16287">
        <w:tc>
          <w:tcPr>
            <w:tcW w:w="2136" w:type="dxa"/>
            <w:tcBorders>
              <w:top w:val="nil"/>
              <w:left w:val="nil"/>
              <w:bottom w:val="nil"/>
              <w:right w:val="nil"/>
            </w:tcBorders>
          </w:tcPr>
          <w:p w14:paraId="769D1FE7"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4DDDAC1"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656" w:type="dxa"/>
            <w:tcBorders>
              <w:top w:val="nil"/>
              <w:left w:val="nil"/>
              <w:bottom w:val="nil"/>
              <w:right w:val="nil"/>
            </w:tcBorders>
          </w:tcPr>
          <w:p w14:paraId="4E1DDF13"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(-1.44)</w:t>
            </w:r>
          </w:p>
        </w:tc>
        <w:tc>
          <w:tcPr>
            <w:tcW w:w="1656" w:type="dxa"/>
            <w:tcBorders>
              <w:top w:val="nil"/>
              <w:left w:val="nil"/>
              <w:bottom w:val="nil"/>
              <w:right w:val="nil"/>
            </w:tcBorders>
          </w:tcPr>
          <w:p w14:paraId="6B03C83F"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(0.81)</w:t>
            </w:r>
          </w:p>
        </w:tc>
        <w:tc>
          <w:tcPr>
            <w:tcW w:w="1656" w:type="dxa"/>
            <w:tcBorders>
              <w:top w:val="nil"/>
              <w:left w:val="nil"/>
              <w:bottom w:val="nil"/>
              <w:right w:val="nil"/>
            </w:tcBorders>
          </w:tcPr>
          <w:p w14:paraId="0B260BC1"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w:t>
            </w:r>
          </w:p>
        </w:tc>
        <w:tc>
          <w:tcPr>
            <w:tcW w:w="1656" w:type="dxa"/>
            <w:tcBorders>
              <w:top w:val="nil"/>
              <w:left w:val="nil"/>
              <w:bottom w:val="nil"/>
              <w:right w:val="nil"/>
            </w:tcBorders>
          </w:tcPr>
          <w:p w14:paraId="4D9DB01F"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(3.85)</w:t>
            </w:r>
          </w:p>
        </w:tc>
      </w:tr>
      <w:tr w:rsidR="002C364A" w14:paraId="6C63F614" w14:textId="77777777" w:rsidTr="00F16287">
        <w:tc>
          <w:tcPr>
            <w:tcW w:w="2136" w:type="dxa"/>
            <w:tcBorders>
              <w:top w:val="nil"/>
              <w:left w:val="nil"/>
              <w:bottom w:val="nil"/>
              <w:right w:val="nil"/>
            </w:tcBorders>
          </w:tcPr>
          <w:p w14:paraId="36B156D9"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C5D9BFF"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E366552"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7D9D2E8"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A7CD923"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2A2D8CC"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p>
        </w:tc>
      </w:tr>
      <w:tr w:rsidR="002C364A" w14:paraId="2E4657CB" w14:textId="77777777" w:rsidTr="00F16287">
        <w:tc>
          <w:tcPr>
            <w:tcW w:w="2136" w:type="dxa"/>
            <w:tcBorders>
              <w:top w:val="nil"/>
              <w:left w:val="nil"/>
              <w:bottom w:val="nil"/>
              <w:right w:val="nil"/>
            </w:tcBorders>
          </w:tcPr>
          <w:p w14:paraId="51E453BA"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3F6CE727"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FECA22D"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4167E7A"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DFED7E7"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-0.0367</w:t>
            </w:r>
          </w:p>
        </w:tc>
        <w:tc>
          <w:tcPr>
            <w:tcW w:w="1656" w:type="dxa"/>
            <w:tcBorders>
              <w:top w:val="nil"/>
              <w:left w:val="nil"/>
              <w:bottom w:val="nil"/>
              <w:right w:val="nil"/>
            </w:tcBorders>
          </w:tcPr>
          <w:p w14:paraId="24AD7AA2"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0.133</w:t>
            </w:r>
            <w:r>
              <w:rPr>
                <w:rFonts w:ascii="Times New Roman" w:hAnsi="Times New Roman" w:cs="Times New Roman"/>
                <w:sz w:val="24"/>
                <w:szCs w:val="24"/>
                <w:vertAlign w:val="superscript"/>
              </w:rPr>
              <w:t>**</w:t>
            </w:r>
          </w:p>
        </w:tc>
      </w:tr>
      <w:tr w:rsidR="002C364A" w14:paraId="51A0B588" w14:textId="77777777" w:rsidTr="00F16287">
        <w:tc>
          <w:tcPr>
            <w:tcW w:w="2136" w:type="dxa"/>
            <w:tcBorders>
              <w:top w:val="nil"/>
              <w:left w:val="nil"/>
              <w:bottom w:val="single" w:sz="4" w:space="0" w:color="auto"/>
              <w:right w:val="nil"/>
            </w:tcBorders>
          </w:tcPr>
          <w:p w14:paraId="5BA2D066"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1021C81A"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(10.40)</w:t>
            </w:r>
          </w:p>
        </w:tc>
        <w:tc>
          <w:tcPr>
            <w:tcW w:w="1656" w:type="dxa"/>
            <w:tcBorders>
              <w:top w:val="nil"/>
              <w:left w:val="nil"/>
              <w:bottom w:val="single" w:sz="4" w:space="0" w:color="auto"/>
              <w:right w:val="nil"/>
            </w:tcBorders>
          </w:tcPr>
          <w:p w14:paraId="7B064843"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(7.00)</w:t>
            </w:r>
          </w:p>
        </w:tc>
        <w:tc>
          <w:tcPr>
            <w:tcW w:w="1656" w:type="dxa"/>
            <w:tcBorders>
              <w:top w:val="nil"/>
              <w:left w:val="nil"/>
              <w:bottom w:val="single" w:sz="4" w:space="0" w:color="auto"/>
              <w:right w:val="nil"/>
            </w:tcBorders>
          </w:tcPr>
          <w:p w14:paraId="3B0F22BC"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(8.98)</w:t>
            </w:r>
          </w:p>
        </w:tc>
        <w:tc>
          <w:tcPr>
            <w:tcW w:w="1656" w:type="dxa"/>
            <w:tcBorders>
              <w:top w:val="nil"/>
              <w:left w:val="nil"/>
              <w:bottom w:val="single" w:sz="4" w:space="0" w:color="auto"/>
              <w:right w:val="nil"/>
            </w:tcBorders>
          </w:tcPr>
          <w:p w14:paraId="4EB44B75"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w:t>
            </w:r>
          </w:p>
        </w:tc>
        <w:tc>
          <w:tcPr>
            <w:tcW w:w="1656" w:type="dxa"/>
            <w:tcBorders>
              <w:top w:val="nil"/>
              <w:left w:val="nil"/>
              <w:bottom w:val="single" w:sz="4" w:space="0" w:color="auto"/>
              <w:right w:val="nil"/>
            </w:tcBorders>
          </w:tcPr>
          <w:p w14:paraId="75BF9414"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2C364A" w14:paraId="0E235AB6" w14:textId="77777777" w:rsidTr="00F16287">
        <w:tc>
          <w:tcPr>
            <w:tcW w:w="2136" w:type="dxa"/>
            <w:tcBorders>
              <w:top w:val="nil"/>
              <w:left w:val="nil"/>
              <w:bottom w:val="single" w:sz="4" w:space="0" w:color="auto"/>
              <w:right w:val="nil"/>
            </w:tcBorders>
          </w:tcPr>
          <w:p w14:paraId="1D60FC66" w14:textId="77777777" w:rsidR="002C364A" w:rsidRDefault="002C364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2CBF8E4D"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1066</w:t>
            </w:r>
          </w:p>
        </w:tc>
        <w:tc>
          <w:tcPr>
            <w:tcW w:w="1656" w:type="dxa"/>
            <w:tcBorders>
              <w:top w:val="nil"/>
              <w:left w:val="nil"/>
              <w:bottom w:val="single" w:sz="4" w:space="0" w:color="auto"/>
              <w:right w:val="nil"/>
            </w:tcBorders>
          </w:tcPr>
          <w:p w14:paraId="4BC2F11F"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1065</w:t>
            </w:r>
          </w:p>
        </w:tc>
        <w:tc>
          <w:tcPr>
            <w:tcW w:w="1656" w:type="dxa"/>
            <w:tcBorders>
              <w:top w:val="nil"/>
              <w:left w:val="nil"/>
              <w:bottom w:val="single" w:sz="4" w:space="0" w:color="auto"/>
              <w:right w:val="nil"/>
            </w:tcBorders>
          </w:tcPr>
          <w:p w14:paraId="10A9013D"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903</w:t>
            </w:r>
          </w:p>
        </w:tc>
        <w:tc>
          <w:tcPr>
            <w:tcW w:w="1656" w:type="dxa"/>
            <w:tcBorders>
              <w:top w:val="nil"/>
              <w:left w:val="nil"/>
              <w:bottom w:val="single" w:sz="4" w:space="0" w:color="auto"/>
              <w:right w:val="nil"/>
            </w:tcBorders>
          </w:tcPr>
          <w:p w14:paraId="3EA145DF"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1805</w:t>
            </w:r>
          </w:p>
        </w:tc>
        <w:tc>
          <w:tcPr>
            <w:tcW w:w="1656" w:type="dxa"/>
            <w:tcBorders>
              <w:top w:val="nil"/>
              <w:left w:val="nil"/>
              <w:bottom w:val="single" w:sz="4" w:space="0" w:color="auto"/>
              <w:right w:val="nil"/>
            </w:tcBorders>
          </w:tcPr>
          <w:p w14:paraId="4C024524" w14:textId="77777777" w:rsidR="002C364A" w:rsidRDefault="002C364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2413</w:t>
            </w:r>
          </w:p>
        </w:tc>
      </w:tr>
    </w:tbl>
    <w:p w14:paraId="7D5BA96B" w14:textId="77777777" w:rsidR="00DB7775" w:rsidRDefault="00DB7775" w:rsidP="00DB777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 xml:space="preserve"> statistics in parentheses</w:t>
      </w:r>
    </w:p>
    <w:p w14:paraId="407F5BA4" w14:textId="77777777" w:rsidR="00DB7775" w:rsidRDefault="00DB7775" w:rsidP="00DB777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0.001</w:t>
      </w:r>
    </w:p>
    <w:p w14:paraId="58FEEF68" w14:textId="606285BA" w:rsidR="00DB7775" w:rsidRDefault="00DB7775" w:rsidP="00DB7775">
      <w:pPr>
        <w:rPr>
          <w:highlight w:val="yellow"/>
        </w:rPr>
      </w:pPr>
    </w:p>
    <w:p w14:paraId="358EBAB9" w14:textId="77777777" w:rsidR="0054248A" w:rsidRPr="00102C68" w:rsidRDefault="0054248A" w:rsidP="00DB7775">
      <w:pPr>
        <w:rPr>
          <w:highlight w:val="yellow"/>
        </w:rPr>
      </w:pPr>
    </w:p>
    <w:p w14:paraId="5E55C6C6" w14:textId="40FB2760" w:rsidR="00DB7775" w:rsidRPr="009A4143" w:rsidRDefault="00D10826" w:rsidP="00DB7775">
      <w:r w:rsidRPr="002C364A">
        <w:lastRenderedPageBreak/>
        <w:t>Table A1</w:t>
      </w:r>
      <w:r w:rsidR="00A002D9" w:rsidRPr="002C364A">
        <w:t>8</w:t>
      </w:r>
      <w:r w:rsidRPr="002C364A">
        <w:t xml:space="preserve">: </w:t>
      </w:r>
      <w:r w:rsidR="00DB7775" w:rsidRPr="002C364A">
        <w:t>Split sample autocracies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693758" w14:paraId="611875C4" w14:textId="77777777" w:rsidTr="00F16287">
        <w:tc>
          <w:tcPr>
            <w:tcW w:w="2136" w:type="dxa"/>
            <w:tcBorders>
              <w:top w:val="single" w:sz="4" w:space="0" w:color="auto"/>
              <w:left w:val="nil"/>
              <w:bottom w:val="nil"/>
              <w:right w:val="nil"/>
            </w:tcBorders>
          </w:tcPr>
          <w:p w14:paraId="5311A03F" w14:textId="77777777" w:rsidR="00693758" w:rsidRDefault="00693758"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663D5FDC"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5B9365FE"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40BCB0C4"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21D633D6"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318F4A0C"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693758" w14:paraId="7AEF19C1" w14:textId="77777777" w:rsidTr="00F16287">
        <w:tc>
          <w:tcPr>
            <w:tcW w:w="2136" w:type="dxa"/>
            <w:tcBorders>
              <w:top w:val="nil"/>
              <w:left w:val="nil"/>
              <w:bottom w:val="nil"/>
              <w:right w:val="nil"/>
            </w:tcBorders>
          </w:tcPr>
          <w:p w14:paraId="026ABE04" w14:textId="77777777" w:rsidR="00693758" w:rsidRDefault="00693758"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40862D0"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60C3AAB7"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4D792790"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3BEFAD88"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74E11BA9"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693758" w14:paraId="32FC8918" w14:textId="77777777" w:rsidTr="00F16287">
        <w:tc>
          <w:tcPr>
            <w:tcW w:w="2136" w:type="dxa"/>
            <w:tcBorders>
              <w:top w:val="single" w:sz="4" w:space="0" w:color="auto"/>
              <w:left w:val="nil"/>
              <w:bottom w:val="nil"/>
              <w:right w:val="nil"/>
            </w:tcBorders>
          </w:tcPr>
          <w:p w14:paraId="41BBE897" w14:textId="77777777" w:rsidR="00693758" w:rsidRPr="00693758" w:rsidRDefault="00693758" w:rsidP="00F16287">
            <w:pPr>
              <w:widowControl w:val="0"/>
              <w:autoSpaceDE w:val="0"/>
              <w:autoSpaceDN w:val="0"/>
              <w:adjustRightInd w:val="0"/>
              <w:spacing w:after="0" w:line="240" w:lineRule="auto"/>
              <w:rPr>
                <w:rFonts w:ascii="Times New Roman" w:hAnsi="Times New Roman" w:cs="Times New Roman"/>
                <w:sz w:val="24"/>
                <w:szCs w:val="24"/>
                <w:lang w:val="fr-BE"/>
              </w:rPr>
            </w:pPr>
            <w:r w:rsidRPr="00693758">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60D6BCD9"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0.245</w:t>
            </w:r>
          </w:p>
        </w:tc>
        <w:tc>
          <w:tcPr>
            <w:tcW w:w="1656" w:type="dxa"/>
            <w:tcBorders>
              <w:top w:val="single" w:sz="4" w:space="0" w:color="auto"/>
              <w:left w:val="nil"/>
              <w:bottom w:val="nil"/>
              <w:right w:val="nil"/>
            </w:tcBorders>
          </w:tcPr>
          <w:p w14:paraId="2917C26D"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0.127</w:t>
            </w:r>
          </w:p>
        </w:tc>
        <w:tc>
          <w:tcPr>
            <w:tcW w:w="1656" w:type="dxa"/>
            <w:tcBorders>
              <w:top w:val="single" w:sz="4" w:space="0" w:color="auto"/>
              <w:left w:val="nil"/>
              <w:bottom w:val="nil"/>
              <w:right w:val="nil"/>
            </w:tcBorders>
          </w:tcPr>
          <w:p w14:paraId="0F8A912A"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0.297</w:t>
            </w:r>
          </w:p>
        </w:tc>
        <w:tc>
          <w:tcPr>
            <w:tcW w:w="1656" w:type="dxa"/>
            <w:tcBorders>
              <w:top w:val="single" w:sz="4" w:space="0" w:color="auto"/>
              <w:left w:val="nil"/>
              <w:bottom w:val="nil"/>
              <w:right w:val="nil"/>
            </w:tcBorders>
          </w:tcPr>
          <w:p w14:paraId="51EFA943"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-0.486</w:t>
            </w:r>
          </w:p>
        </w:tc>
        <w:tc>
          <w:tcPr>
            <w:tcW w:w="1656" w:type="dxa"/>
            <w:tcBorders>
              <w:top w:val="single" w:sz="4" w:space="0" w:color="auto"/>
              <w:left w:val="nil"/>
              <w:bottom w:val="nil"/>
              <w:right w:val="nil"/>
            </w:tcBorders>
          </w:tcPr>
          <w:p w14:paraId="723D413C"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1.217</w:t>
            </w:r>
            <w:r>
              <w:rPr>
                <w:rFonts w:ascii="Times New Roman" w:hAnsi="Times New Roman" w:cs="Times New Roman"/>
                <w:sz w:val="24"/>
                <w:szCs w:val="24"/>
                <w:vertAlign w:val="superscript"/>
              </w:rPr>
              <w:t>**</w:t>
            </w:r>
          </w:p>
        </w:tc>
      </w:tr>
      <w:tr w:rsidR="00693758" w14:paraId="68DB73C8" w14:textId="77777777" w:rsidTr="00F16287">
        <w:tc>
          <w:tcPr>
            <w:tcW w:w="2136" w:type="dxa"/>
            <w:tcBorders>
              <w:top w:val="nil"/>
              <w:left w:val="nil"/>
              <w:bottom w:val="nil"/>
              <w:right w:val="nil"/>
            </w:tcBorders>
          </w:tcPr>
          <w:p w14:paraId="1D241F95" w14:textId="77777777" w:rsidR="00693758" w:rsidRDefault="00693758"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DDC6402"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w:t>
            </w:r>
          </w:p>
        </w:tc>
        <w:tc>
          <w:tcPr>
            <w:tcW w:w="1656" w:type="dxa"/>
            <w:tcBorders>
              <w:top w:val="nil"/>
              <w:left w:val="nil"/>
              <w:bottom w:val="nil"/>
              <w:right w:val="nil"/>
            </w:tcBorders>
          </w:tcPr>
          <w:p w14:paraId="5AF56223"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56" w:type="dxa"/>
            <w:tcBorders>
              <w:top w:val="nil"/>
              <w:left w:val="nil"/>
              <w:bottom w:val="nil"/>
              <w:right w:val="nil"/>
            </w:tcBorders>
          </w:tcPr>
          <w:p w14:paraId="12C2C883"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656" w:type="dxa"/>
            <w:tcBorders>
              <w:top w:val="nil"/>
              <w:left w:val="nil"/>
              <w:bottom w:val="nil"/>
              <w:right w:val="nil"/>
            </w:tcBorders>
          </w:tcPr>
          <w:p w14:paraId="5592FD5D"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(-1.61)</w:t>
            </w:r>
          </w:p>
        </w:tc>
        <w:tc>
          <w:tcPr>
            <w:tcW w:w="1656" w:type="dxa"/>
            <w:tcBorders>
              <w:top w:val="nil"/>
              <w:left w:val="nil"/>
              <w:bottom w:val="nil"/>
              <w:right w:val="nil"/>
            </w:tcBorders>
          </w:tcPr>
          <w:p w14:paraId="030EC656"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(3.30)</w:t>
            </w:r>
          </w:p>
        </w:tc>
      </w:tr>
      <w:tr w:rsidR="00693758" w14:paraId="06452641" w14:textId="77777777" w:rsidTr="00F16287">
        <w:tc>
          <w:tcPr>
            <w:tcW w:w="2136" w:type="dxa"/>
            <w:tcBorders>
              <w:top w:val="nil"/>
              <w:left w:val="nil"/>
              <w:bottom w:val="nil"/>
              <w:right w:val="nil"/>
            </w:tcBorders>
          </w:tcPr>
          <w:p w14:paraId="45F5B5BF" w14:textId="77777777" w:rsidR="00693758" w:rsidRDefault="00693758"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E4A350D" w14:textId="77777777" w:rsidR="00693758" w:rsidRDefault="00693758"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FE23DA9" w14:textId="77777777" w:rsidR="00693758" w:rsidRDefault="00693758"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5648C09" w14:textId="77777777" w:rsidR="00693758" w:rsidRDefault="00693758"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D5CF0B1" w14:textId="77777777" w:rsidR="00693758" w:rsidRDefault="00693758"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18A6B5A" w14:textId="77777777" w:rsidR="00693758" w:rsidRDefault="00693758" w:rsidP="00F16287">
            <w:pPr>
              <w:widowControl w:val="0"/>
              <w:autoSpaceDE w:val="0"/>
              <w:autoSpaceDN w:val="0"/>
              <w:adjustRightInd w:val="0"/>
              <w:spacing w:after="0" w:line="240" w:lineRule="auto"/>
              <w:rPr>
                <w:rFonts w:ascii="Times New Roman" w:hAnsi="Times New Roman" w:cs="Times New Roman"/>
                <w:sz w:val="24"/>
                <w:szCs w:val="24"/>
              </w:rPr>
            </w:pPr>
          </w:p>
        </w:tc>
      </w:tr>
      <w:tr w:rsidR="00693758" w14:paraId="0C6B7660" w14:textId="77777777" w:rsidTr="00F16287">
        <w:tc>
          <w:tcPr>
            <w:tcW w:w="2136" w:type="dxa"/>
            <w:tcBorders>
              <w:top w:val="nil"/>
              <w:left w:val="nil"/>
              <w:bottom w:val="nil"/>
              <w:right w:val="nil"/>
            </w:tcBorders>
          </w:tcPr>
          <w:p w14:paraId="25D934D3" w14:textId="77777777" w:rsidR="00693758" w:rsidRDefault="0069375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18CC58BF"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-0.0172</w:t>
            </w:r>
          </w:p>
        </w:tc>
        <w:tc>
          <w:tcPr>
            <w:tcW w:w="1656" w:type="dxa"/>
            <w:tcBorders>
              <w:top w:val="nil"/>
              <w:left w:val="nil"/>
              <w:bottom w:val="nil"/>
              <w:right w:val="nil"/>
            </w:tcBorders>
          </w:tcPr>
          <w:p w14:paraId="727565E9"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CD38346"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95FCFFF"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BBB52FC"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0.000476</w:t>
            </w:r>
          </w:p>
        </w:tc>
      </w:tr>
      <w:tr w:rsidR="00693758" w14:paraId="2F7B0E4E" w14:textId="77777777" w:rsidTr="00F16287">
        <w:tc>
          <w:tcPr>
            <w:tcW w:w="2136" w:type="dxa"/>
            <w:tcBorders>
              <w:top w:val="nil"/>
              <w:left w:val="nil"/>
              <w:bottom w:val="nil"/>
              <w:right w:val="nil"/>
            </w:tcBorders>
          </w:tcPr>
          <w:p w14:paraId="11A8F8D9" w14:textId="77777777" w:rsidR="00693758" w:rsidRDefault="00693758"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A5F6A9C"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656" w:type="dxa"/>
            <w:tcBorders>
              <w:top w:val="nil"/>
              <w:left w:val="nil"/>
              <w:bottom w:val="nil"/>
              <w:right w:val="nil"/>
            </w:tcBorders>
          </w:tcPr>
          <w:p w14:paraId="5989AAFA"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656" w:type="dxa"/>
            <w:tcBorders>
              <w:top w:val="nil"/>
              <w:left w:val="nil"/>
              <w:bottom w:val="nil"/>
              <w:right w:val="nil"/>
            </w:tcBorders>
          </w:tcPr>
          <w:p w14:paraId="11711D87"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(-2.38)</w:t>
            </w:r>
          </w:p>
        </w:tc>
        <w:tc>
          <w:tcPr>
            <w:tcW w:w="1656" w:type="dxa"/>
            <w:tcBorders>
              <w:top w:val="nil"/>
              <w:left w:val="nil"/>
              <w:bottom w:val="nil"/>
              <w:right w:val="nil"/>
            </w:tcBorders>
          </w:tcPr>
          <w:p w14:paraId="3B867C51"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(2.70)</w:t>
            </w:r>
          </w:p>
        </w:tc>
        <w:tc>
          <w:tcPr>
            <w:tcW w:w="1656" w:type="dxa"/>
            <w:tcBorders>
              <w:top w:val="nil"/>
              <w:left w:val="nil"/>
              <w:bottom w:val="nil"/>
              <w:right w:val="nil"/>
            </w:tcBorders>
          </w:tcPr>
          <w:p w14:paraId="315BF2B6"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r>
      <w:tr w:rsidR="00693758" w14:paraId="7027C70A" w14:textId="77777777" w:rsidTr="00F16287">
        <w:tc>
          <w:tcPr>
            <w:tcW w:w="2136" w:type="dxa"/>
            <w:tcBorders>
              <w:top w:val="nil"/>
              <w:left w:val="nil"/>
              <w:bottom w:val="nil"/>
              <w:right w:val="nil"/>
            </w:tcBorders>
          </w:tcPr>
          <w:p w14:paraId="1EE0862D" w14:textId="77777777" w:rsidR="00693758" w:rsidRDefault="00693758"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6883CE6" w14:textId="77777777" w:rsidR="00693758" w:rsidRDefault="00693758"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3950125" w14:textId="77777777" w:rsidR="00693758" w:rsidRDefault="00693758"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59CE1F" w14:textId="77777777" w:rsidR="00693758" w:rsidRDefault="00693758"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E454166" w14:textId="77777777" w:rsidR="00693758" w:rsidRDefault="00693758"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1EA9A22" w14:textId="77777777" w:rsidR="00693758" w:rsidRDefault="00693758" w:rsidP="00F16287">
            <w:pPr>
              <w:widowControl w:val="0"/>
              <w:autoSpaceDE w:val="0"/>
              <w:autoSpaceDN w:val="0"/>
              <w:adjustRightInd w:val="0"/>
              <w:spacing w:after="0" w:line="240" w:lineRule="auto"/>
              <w:rPr>
                <w:rFonts w:ascii="Times New Roman" w:hAnsi="Times New Roman" w:cs="Times New Roman"/>
                <w:sz w:val="24"/>
                <w:szCs w:val="24"/>
              </w:rPr>
            </w:pPr>
          </w:p>
        </w:tc>
      </w:tr>
      <w:tr w:rsidR="00693758" w14:paraId="07B58440" w14:textId="77777777" w:rsidTr="00F16287">
        <w:tc>
          <w:tcPr>
            <w:tcW w:w="2136" w:type="dxa"/>
            <w:tcBorders>
              <w:top w:val="nil"/>
              <w:left w:val="nil"/>
              <w:bottom w:val="nil"/>
              <w:right w:val="nil"/>
            </w:tcBorders>
          </w:tcPr>
          <w:p w14:paraId="410BCFC8" w14:textId="77777777" w:rsidR="00693758" w:rsidRDefault="0069375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7D2EFCF3"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0.278</w:t>
            </w:r>
          </w:p>
        </w:tc>
        <w:tc>
          <w:tcPr>
            <w:tcW w:w="1656" w:type="dxa"/>
            <w:tcBorders>
              <w:top w:val="nil"/>
              <w:left w:val="nil"/>
              <w:bottom w:val="nil"/>
              <w:right w:val="nil"/>
            </w:tcBorders>
          </w:tcPr>
          <w:p w14:paraId="0EAAF98E"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0.230</w:t>
            </w:r>
          </w:p>
        </w:tc>
        <w:tc>
          <w:tcPr>
            <w:tcW w:w="1656" w:type="dxa"/>
            <w:tcBorders>
              <w:top w:val="nil"/>
              <w:left w:val="nil"/>
              <w:bottom w:val="nil"/>
              <w:right w:val="nil"/>
            </w:tcBorders>
          </w:tcPr>
          <w:p w14:paraId="5034790D"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814D7F8"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2ADFC51"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-0.133</w:t>
            </w:r>
          </w:p>
        </w:tc>
      </w:tr>
      <w:tr w:rsidR="00693758" w14:paraId="62162A49" w14:textId="77777777" w:rsidTr="00F16287">
        <w:tc>
          <w:tcPr>
            <w:tcW w:w="2136" w:type="dxa"/>
            <w:tcBorders>
              <w:top w:val="nil"/>
              <w:left w:val="nil"/>
              <w:bottom w:val="single" w:sz="4" w:space="0" w:color="auto"/>
              <w:right w:val="nil"/>
            </w:tcBorders>
          </w:tcPr>
          <w:p w14:paraId="599F300A" w14:textId="77777777" w:rsidR="00693758" w:rsidRDefault="00693758"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4B02D097"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w:t>
            </w:r>
          </w:p>
        </w:tc>
        <w:tc>
          <w:tcPr>
            <w:tcW w:w="1656" w:type="dxa"/>
            <w:tcBorders>
              <w:top w:val="nil"/>
              <w:left w:val="nil"/>
              <w:bottom w:val="single" w:sz="4" w:space="0" w:color="auto"/>
              <w:right w:val="nil"/>
            </w:tcBorders>
          </w:tcPr>
          <w:p w14:paraId="46090C58"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(1.23)</w:t>
            </w:r>
          </w:p>
        </w:tc>
        <w:tc>
          <w:tcPr>
            <w:tcW w:w="1656" w:type="dxa"/>
            <w:tcBorders>
              <w:top w:val="nil"/>
              <w:left w:val="nil"/>
              <w:bottom w:val="single" w:sz="4" w:space="0" w:color="auto"/>
              <w:right w:val="nil"/>
            </w:tcBorders>
          </w:tcPr>
          <w:p w14:paraId="642B5D7D"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(2.16)</w:t>
            </w:r>
          </w:p>
        </w:tc>
        <w:tc>
          <w:tcPr>
            <w:tcW w:w="1656" w:type="dxa"/>
            <w:tcBorders>
              <w:top w:val="nil"/>
              <w:left w:val="nil"/>
              <w:bottom w:val="single" w:sz="4" w:space="0" w:color="auto"/>
              <w:right w:val="nil"/>
            </w:tcBorders>
          </w:tcPr>
          <w:p w14:paraId="6EAE7639"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6" w:type="dxa"/>
            <w:tcBorders>
              <w:top w:val="nil"/>
              <w:left w:val="nil"/>
              <w:bottom w:val="single" w:sz="4" w:space="0" w:color="auto"/>
              <w:right w:val="nil"/>
            </w:tcBorders>
          </w:tcPr>
          <w:p w14:paraId="35FA658A"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(-0.88)</w:t>
            </w:r>
          </w:p>
        </w:tc>
      </w:tr>
      <w:tr w:rsidR="00693758" w14:paraId="26D74BE8" w14:textId="77777777" w:rsidTr="00F16287">
        <w:tc>
          <w:tcPr>
            <w:tcW w:w="2136" w:type="dxa"/>
            <w:tcBorders>
              <w:top w:val="nil"/>
              <w:left w:val="nil"/>
              <w:bottom w:val="single" w:sz="4" w:space="0" w:color="auto"/>
              <w:right w:val="nil"/>
            </w:tcBorders>
          </w:tcPr>
          <w:p w14:paraId="0761137B" w14:textId="77777777" w:rsidR="00693758" w:rsidRDefault="00693758"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32350ACF"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401</w:t>
            </w:r>
          </w:p>
        </w:tc>
        <w:tc>
          <w:tcPr>
            <w:tcW w:w="1656" w:type="dxa"/>
            <w:tcBorders>
              <w:top w:val="nil"/>
              <w:left w:val="nil"/>
              <w:bottom w:val="single" w:sz="4" w:space="0" w:color="auto"/>
              <w:right w:val="nil"/>
            </w:tcBorders>
          </w:tcPr>
          <w:p w14:paraId="37EC78B9"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401</w:t>
            </w:r>
          </w:p>
        </w:tc>
        <w:tc>
          <w:tcPr>
            <w:tcW w:w="1656" w:type="dxa"/>
            <w:tcBorders>
              <w:top w:val="nil"/>
              <w:left w:val="nil"/>
              <w:bottom w:val="single" w:sz="4" w:space="0" w:color="auto"/>
              <w:right w:val="nil"/>
            </w:tcBorders>
          </w:tcPr>
          <w:p w14:paraId="05E01CAA"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311</w:t>
            </w:r>
          </w:p>
        </w:tc>
        <w:tc>
          <w:tcPr>
            <w:tcW w:w="1656" w:type="dxa"/>
            <w:tcBorders>
              <w:top w:val="nil"/>
              <w:left w:val="nil"/>
              <w:bottom w:val="single" w:sz="4" w:space="0" w:color="auto"/>
              <w:right w:val="nil"/>
            </w:tcBorders>
          </w:tcPr>
          <w:p w14:paraId="01B855DE"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585</w:t>
            </w:r>
          </w:p>
        </w:tc>
        <w:tc>
          <w:tcPr>
            <w:tcW w:w="1656" w:type="dxa"/>
            <w:tcBorders>
              <w:top w:val="nil"/>
              <w:left w:val="nil"/>
              <w:bottom w:val="single" w:sz="4" w:space="0" w:color="auto"/>
              <w:right w:val="nil"/>
            </w:tcBorders>
          </w:tcPr>
          <w:p w14:paraId="17C2CA4B" w14:textId="77777777" w:rsidR="00693758" w:rsidRDefault="00693758"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1710</w:t>
            </w:r>
          </w:p>
        </w:tc>
      </w:tr>
    </w:tbl>
    <w:p w14:paraId="2C87D7A7" w14:textId="77777777" w:rsidR="00693758" w:rsidRDefault="00693758" w:rsidP="0069375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7268E95F" w14:textId="77777777" w:rsidR="00693758" w:rsidRDefault="00693758" w:rsidP="00693758">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3DCDDB32" w14:textId="77777777" w:rsidR="00693758" w:rsidRDefault="00693758" w:rsidP="00693758">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E606AB" w14:paraId="599C991C" w14:textId="77777777" w:rsidTr="00F16287">
        <w:tc>
          <w:tcPr>
            <w:tcW w:w="2136" w:type="dxa"/>
            <w:tcBorders>
              <w:top w:val="single" w:sz="4" w:space="0" w:color="auto"/>
              <w:left w:val="nil"/>
              <w:bottom w:val="nil"/>
              <w:right w:val="nil"/>
            </w:tcBorders>
          </w:tcPr>
          <w:p w14:paraId="0066D4F4"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040448B8"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3366778A"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7D04AFEC"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37DDF2FF"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58C0056A"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E606AB" w14:paraId="798349A1" w14:textId="77777777" w:rsidTr="00F16287">
        <w:tc>
          <w:tcPr>
            <w:tcW w:w="2136" w:type="dxa"/>
            <w:tcBorders>
              <w:top w:val="nil"/>
              <w:left w:val="nil"/>
              <w:bottom w:val="nil"/>
              <w:right w:val="nil"/>
            </w:tcBorders>
          </w:tcPr>
          <w:p w14:paraId="67AAACB3"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9B02D97"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16D1B62D"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0646984B"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5D4D34B5"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75EBFE2F"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E606AB" w14:paraId="358C9DE0" w14:textId="77777777" w:rsidTr="00F16287">
        <w:tc>
          <w:tcPr>
            <w:tcW w:w="2136" w:type="dxa"/>
            <w:tcBorders>
              <w:top w:val="single" w:sz="4" w:space="0" w:color="auto"/>
              <w:left w:val="nil"/>
              <w:bottom w:val="nil"/>
              <w:right w:val="nil"/>
            </w:tcBorders>
          </w:tcPr>
          <w:p w14:paraId="3CACAFBB"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47DE77B8"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-0.0406</w:t>
            </w:r>
          </w:p>
        </w:tc>
        <w:tc>
          <w:tcPr>
            <w:tcW w:w="1656" w:type="dxa"/>
            <w:tcBorders>
              <w:top w:val="single" w:sz="4" w:space="0" w:color="auto"/>
              <w:left w:val="nil"/>
              <w:bottom w:val="nil"/>
              <w:right w:val="nil"/>
            </w:tcBorders>
          </w:tcPr>
          <w:p w14:paraId="3CA39F11"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-0.00190</w:t>
            </w:r>
          </w:p>
        </w:tc>
        <w:tc>
          <w:tcPr>
            <w:tcW w:w="1656" w:type="dxa"/>
            <w:tcBorders>
              <w:top w:val="single" w:sz="4" w:space="0" w:color="auto"/>
              <w:left w:val="nil"/>
              <w:bottom w:val="nil"/>
              <w:right w:val="nil"/>
            </w:tcBorders>
          </w:tcPr>
          <w:p w14:paraId="6C1A251E"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0.106</w:t>
            </w:r>
          </w:p>
        </w:tc>
        <w:tc>
          <w:tcPr>
            <w:tcW w:w="1656" w:type="dxa"/>
            <w:tcBorders>
              <w:top w:val="single" w:sz="4" w:space="0" w:color="auto"/>
              <w:left w:val="nil"/>
              <w:bottom w:val="nil"/>
              <w:right w:val="nil"/>
            </w:tcBorders>
          </w:tcPr>
          <w:p w14:paraId="420ED6DA"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0.0661</w:t>
            </w:r>
          </w:p>
        </w:tc>
        <w:tc>
          <w:tcPr>
            <w:tcW w:w="1656" w:type="dxa"/>
            <w:tcBorders>
              <w:top w:val="single" w:sz="4" w:space="0" w:color="auto"/>
              <w:left w:val="nil"/>
              <w:bottom w:val="nil"/>
              <w:right w:val="nil"/>
            </w:tcBorders>
          </w:tcPr>
          <w:p w14:paraId="4E5532D9"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-0.00218</w:t>
            </w:r>
          </w:p>
        </w:tc>
      </w:tr>
      <w:tr w:rsidR="00E606AB" w14:paraId="78F8A0C0" w14:textId="77777777" w:rsidTr="00F16287">
        <w:tc>
          <w:tcPr>
            <w:tcW w:w="2136" w:type="dxa"/>
            <w:tcBorders>
              <w:top w:val="nil"/>
              <w:left w:val="nil"/>
              <w:bottom w:val="nil"/>
              <w:right w:val="nil"/>
            </w:tcBorders>
          </w:tcPr>
          <w:p w14:paraId="6E917B8E"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E3DE6FA"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656" w:type="dxa"/>
            <w:tcBorders>
              <w:top w:val="nil"/>
              <w:left w:val="nil"/>
              <w:bottom w:val="nil"/>
              <w:right w:val="nil"/>
            </w:tcBorders>
          </w:tcPr>
          <w:p w14:paraId="07D2F059"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656" w:type="dxa"/>
            <w:tcBorders>
              <w:top w:val="nil"/>
              <w:left w:val="nil"/>
              <w:bottom w:val="nil"/>
              <w:right w:val="nil"/>
            </w:tcBorders>
          </w:tcPr>
          <w:p w14:paraId="425B2C8C"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656" w:type="dxa"/>
            <w:tcBorders>
              <w:top w:val="nil"/>
              <w:left w:val="nil"/>
              <w:bottom w:val="nil"/>
              <w:right w:val="nil"/>
            </w:tcBorders>
          </w:tcPr>
          <w:p w14:paraId="3EC8C2C3"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1656" w:type="dxa"/>
            <w:tcBorders>
              <w:top w:val="nil"/>
              <w:left w:val="nil"/>
              <w:bottom w:val="nil"/>
              <w:right w:val="nil"/>
            </w:tcBorders>
          </w:tcPr>
          <w:p w14:paraId="36E48CC1"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E606AB" w14:paraId="74C530B4" w14:textId="77777777" w:rsidTr="00F16287">
        <w:tc>
          <w:tcPr>
            <w:tcW w:w="2136" w:type="dxa"/>
            <w:tcBorders>
              <w:top w:val="nil"/>
              <w:left w:val="nil"/>
              <w:bottom w:val="nil"/>
              <w:right w:val="nil"/>
            </w:tcBorders>
          </w:tcPr>
          <w:p w14:paraId="753BE161"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5423B5B"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8EBC1F1"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77BF0A5"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8CBEFB0"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2B7159E"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p>
        </w:tc>
      </w:tr>
      <w:tr w:rsidR="00E606AB" w14:paraId="19F19C0A" w14:textId="77777777" w:rsidTr="00F16287">
        <w:tc>
          <w:tcPr>
            <w:tcW w:w="2136" w:type="dxa"/>
            <w:tcBorders>
              <w:top w:val="nil"/>
              <w:left w:val="nil"/>
              <w:bottom w:val="nil"/>
              <w:right w:val="nil"/>
            </w:tcBorders>
          </w:tcPr>
          <w:p w14:paraId="4BEA4F38"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76EDEB7C"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-0.00927</w:t>
            </w:r>
          </w:p>
        </w:tc>
        <w:tc>
          <w:tcPr>
            <w:tcW w:w="1656" w:type="dxa"/>
            <w:tcBorders>
              <w:top w:val="nil"/>
              <w:left w:val="nil"/>
              <w:bottom w:val="nil"/>
              <w:right w:val="nil"/>
            </w:tcBorders>
          </w:tcPr>
          <w:p w14:paraId="206FF394"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-0.0120</w:t>
            </w:r>
          </w:p>
        </w:tc>
        <w:tc>
          <w:tcPr>
            <w:tcW w:w="1656" w:type="dxa"/>
            <w:tcBorders>
              <w:top w:val="nil"/>
              <w:left w:val="nil"/>
              <w:bottom w:val="nil"/>
              <w:right w:val="nil"/>
            </w:tcBorders>
          </w:tcPr>
          <w:p w14:paraId="01E02E3D"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-0.0133</w:t>
            </w:r>
          </w:p>
        </w:tc>
        <w:tc>
          <w:tcPr>
            <w:tcW w:w="1656" w:type="dxa"/>
            <w:tcBorders>
              <w:top w:val="nil"/>
              <w:left w:val="nil"/>
              <w:bottom w:val="nil"/>
              <w:right w:val="nil"/>
            </w:tcBorders>
          </w:tcPr>
          <w:p w14:paraId="105A99DA"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0.0481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ECD02CE"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0.00417</w:t>
            </w:r>
          </w:p>
        </w:tc>
      </w:tr>
      <w:tr w:rsidR="00E606AB" w14:paraId="5D83964E" w14:textId="77777777" w:rsidTr="00F16287">
        <w:tc>
          <w:tcPr>
            <w:tcW w:w="2136" w:type="dxa"/>
            <w:tcBorders>
              <w:top w:val="nil"/>
              <w:left w:val="nil"/>
              <w:bottom w:val="nil"/>
              <w:right w:val="nil"/>
            </w:tcBorders>
          </w:tcPr>
          <w:p w14:paraId="64FBE134"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DFB8339"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(-0.93)</w:t>
            </w:r>
          </w:p>
        </w:tc>
        <w:tc>
          <w:tcPr>
            <w:tcW w:w="1656" w:type="dxa"/>
            <w:tcBorders>
              <w:top w:val="nil"/>
              <w:left w:val="nil"/>
              <w:bottom w:val="nil"/>
              <w:right w:val="nil"/>
            </w:tcBorders>
          </w:tcPr>
          <w:p w14:paraId="24E5FACC"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(-1.66)</w:t>
            </w:r>
          </w:p>
        </w:tc>
        <w:tc>
          <w:tcPr>
            <w:tcW w:w="1656" w:type="dxa"/>
            <w:tcBorders>
              <w:top w:val="nil"/>
              <w:left w:val="nil"/>
              <w:bottom w:val="nil"/>
              <w:right w:val="nil"/>
            </w:tcBorders>
          </w:tcPr>
          <w:p w14:paraId="25D33CD4"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(-0.94)</w:t>
            </w:r>
          </w:p>
        </w:tc>
        <w:tc>
          <w:tcPr>
            <w:tcW w:w="1656" w:type="dxa"/>
            <w:tcBorders>
              <w:top w:val="nil"/>
              <w:left w:val="nil"/>
              <w:bottom w:val="nil"/>
              <w:right w:val="nil"/>
            </w:tcBorders>
          </w:tcPr>
          <w:p w14:paraId="33D146E4"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(2.87)</w:t>
            </w:r>
          </w:p>
        </w:tc>
        <w:tc>
          <w:tcPr>
            <w:tcW w:w="1656" w:type="dxa"/>
            <w:tcBorders>
              <w:top w:val="nil"/>
              <w:left w:val="nil"/>
              <w:bottom w:val="nil"/>
              <w:right w:val="nil"/>
            </w:tcBorders>
          </w:tcPr>
          <w:p w14:paraId="7E99634E"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(0.73)</w:t>
            </w:r>
          </w:p>
        </w:tc>
      </w:tr>
      <w:tr w:rsidR="00E606AB" w14:paraId="106FE592" w14:textId="77777777" w:rsidTr="00F16287">
        <w:tc>
          <w:tcPr>
            <w:tcW w:w="2136" w:type="dxa"/>
            <w:tcBorders>
              <w:top w:val="nil"/>
              <w:left w:val="nil"/>
              <w:bottom w:val="nil"/>
              <w:right w:val="nil"/>
            </w:tcBorders>
          </w:tcPr>
          <w:p w14:paraId="1C2A08A1"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399B73F"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B17AC8E"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6436DB3"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3D422A7"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C42241A"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p>
        </w:tc>
      </w:tr>
      <w:tr w:rsidR="00E606AB" w14:paraId="1421EAFE" w14:textId="77777777" w:rsidTr="00F16287">
        <w:tc>
          <w:tcPr>
            <w:tcW w:w="2136" w:type="dxa"/>
            <w:tcBorders>
              <w:top w:val="nil"/>
              <w:left w:val="nil"/>
              <w:bottom w:val="nil"/>
              <w:right w:val="nil"/>
            </w:tcBorders>
          </w:tcPr>
          <w:p w14:paraId="2FC6C9B6"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78352361"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299B3F65"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3DBC29C"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0C5A7FF"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9CACCDD"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0.326</w:t>
            </w:r>
            <w:r>
              <w:rPr>
                <w:rFonts w:ascii="Times New Roman" w:hAnsi="Times New Roman" w:cs="Times New Roman"/>
                <w:sz w:val="24"/>
                <w:szCs w:val="24"/>
                <w:vertAlign w:val="superscript"/>
              </w:rPr>
              <w:t>***</w:t>
            </w:r>
          </w:p>
        </w:tc>
      </w:tr>
      <w:tr w:rsidR="00E606AB" w14:paraId="3FA02D73" w14:textId="77777777" w:rsidTr="00F16287">
        <w:tc>
          <w:tcPr>
            <w:tcW w:w="2136" w:type="dxa"/>
            <w:tcBorders>
              <w:top w:val="nil"/>
              <w:left w:val="nil"/>
              <w:bottom w:val="single" w:sz="4" w:space="0" w:color="auto"/>
              <w:right w:val="nil"/>
            </w:tcBorders>
          </w:tcPr>
          <w:p w14:paraId="7440C84B"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7450E406"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(2.99)</w:t>
            </w:r>
          </w:p>
        </w:tc>
        <w:tc>
          <w:tcPr>
            <w:tcW w:w="1656" w:type="dxa"/>
            <w:tcBorders>
              <w:top w:val="nil"/>
              <w:left w:val="nil"/>
              <w:bottom w:val="single" w:sz="4" w:space="0" w:color="auto"/>
              <w:right w:val="nil"/>
            </w:tcBorders>
          </w:tcPr>
          <w:p w14:paraId="5E48A0E8"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1656" w:type="dxa"/>
            <w:tcBorders>
              <w:top w:val="nil"/>
              <w:left w:val="nil"/>
              <w:bottom w:val="single" w:sz="4" w:space="0" w:color="auto"/>
              <w:right w:val="nil"/>
            </w:tcBorders>
          </w:tcPr>
          <w:p w14:paraId="2351BF52"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(2.70)</w:t>
            </w:r>
          </w:p>
        </w:tc>
        <w:tc>
          <w:tcPr>
            <w:tcW w:w="1656" w:type="dxa"/>
            <w:tcBorders>
              <w:top w:val="nil"/>
              <w:left w:val="nil"/>
              <w:bottom w:val="single" w:sz="4" w:space="0" w:color="auto"/>
              <w:right w:val="nil"/>
            </w:tcBorders>
          </w:tcPr>
          <w:p w14:paraId="12257ADE"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656" w:type="dxa"/>
            <w:tcBorders>
              <w:top w:val="nil"/>
              <w:left w:val="nil"/>
              <w:bottom w:val="single" w:sz="4" w:space="0" w:color="auto"/>
              <w:right w:val="nil"/>
            </w:tcBorders>
          </w:tcPr>
          <w:p w14:paraId="42E75477"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(5.91)</w:t>
            </w:r>
          </w:p>
        </w:tc>
      </w:tr>
      <w:tr w:rsidR="00E606AB" w14:paraId="7C80F162" w14:textId="77777777" w:rsidTr="00F16287">
        <w:tc>
          <w:tcPr>
            <w:tcW w:w="2136" w:type="dxa"/>
            <w:tcBorders>
              <w:top w:val="nil"/>
              <w:left w:val="nil"/>
              <w:bottom w:val="single" w:sz="4" w:space="0" w:color="auto"/>
              <w:right w:val="nil"/>
            </w:tcBorders>
          </w:tcPr>
          <w:p w14:paraId="7EFC74E8" w14:textId="77777777" w:rsidR="00E606AB" w:rsidRDefault="00E606AB"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361DEA35"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449</w:t>
            </w:r>
          </w:p>
        </w:tc>
        <w:tc>
          <w:tcPr>
            <w:tcW w:w="1656" w:type="dxa"/>
            <w:tcBorders>
              <w:top w:val="nil"/>
              <w:left w:val="nil"/>
              <w:bottom w:val="single" w:sz="4" w:space="0" w:color="auto"/>
              <w:right w:val="nil"/>
            </w:tcBorders>
          </w:tcPr>
          <w:p w14:paraId="34AECBE5"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450</w:t>
            </w:r>
          </w:p>
        </w:tc>
        <w:tc>
          <w:tcPr>
            <w:tcW w:w="1656" w:type="dxa"/>
            <w:tcBorders>
              <w:top w:val="nil"/>
              <w:left w:val="nil"/>
              <w:bottom w:val="single" w:sz="4" w:space="0" w:color="auto"/>
              <w:right w:val="nil"/>
            </w:tcBorders>
          </w:tcPr>
          <w:p w14:paraId="30D0E576"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341</w:t>
            </w:r>
          </w:p>
        </w:tc>
        <w:tc>
          <w:tcPr>
            <w:tcW w:w="1656" w:type="dxa"/>
            <w:tcBorders>
              <w:top w:val="nil"/>
              <w:left w:val="nil"/>
              <w:bottom w:val="single" w:sz="4" w:space="0" w:color="auto"/>
              <w:right w:val="nil"/>
            </w:tcBorders>
          </w:tcPr>
          <w:p w14:paraId="58FFAE77"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678</w:t>
            </w:r>
          </w:p>
        </w:tc>
        <w:tc>
          <w:tcPr>
            <w:tcW w:w="1656" w:type="dxa"/>
            <w:tcBorders>
              <w:top w:val="nil"/>
              <w:left w:val="nil"/>
              <w:bottom w:val="single" w:sz="4" w:space="0" w:color="auto"/>
              <w:right w:val="nil"/>
            </w:tcBorders>
          </w:tcPr>
          <w:p w14:paraId="63D4F9D3" w14:textId="77777777" w:rsidR="00E606AB" w:rsidRDefault="00E606AB"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1820</w:t>
            </w:r>
          </w:p>
        </w:tc>
      </w:tr>
    </w:tbl>
    <w:p w14:paraId="79B945B8" w14:textId="77777777" w:rsidR="00DB7775" w:rsidRDefault="00DB7775" w:rsidP="00DB777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 xml:space="preserve"> statistics in parentheses</w:t>
      </w:r>
    </w:p>
    <w:p w14:paraId="53B48D44" w14:textId="65904397" w:rsidR="00DB7775" w:rsidRDefault="00DB7775" w:rsidP="00C75D5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0.001</w:t>
      </w:r>
    </w:p>
    <w:p w14:paraId="6A7DD690" w14:textId="5C61879B" w:rsidR="0080493E" w:rsidRDefault="0080493E" w:rsidP="00C75D55">
      <w:pPr>
        <w:widowControl w:val="0"/>
        <w:autoSpaceDE w:val="0"/>
        <w:autoSpaceDN w:val="0"/>
        <w:adjustRightInd w:val="0"/>
        <w:spacing w:after="0" w:line="240" w:lineRule="auto"/>
        <w:rPr>
          <w:rFonts w:ascii="Times New Roman" w:hAnsi="Times New Roman" w:cs="Times New Roman"/>
          <w:sz w:val="20"/>
          <w:szCs w:val="20"/>
        </w:rPr>
      </w:pPr>
    </w:p>
    <w:p w14:paraId="074AE14D" w14:textId="77777777" w:rsidR="001F565F" w:rsidRDefault="001F565F" w:rsidP="001F565F">
      <w:r w:rsidRPr="0054248A">
        <w:t>IVS</w:t>
      </w:r>
    </w:p>
    <w:p w14:paraId="5EB1F07B" w14:textId="08FD2EEE" w:rsidR="001F565F" w:rsidRDefault="001F565F" w:rsidP="001F565F">
      <w:r>
        <w:lastRenderedPageBreak/>
        <w:t>Tertiary ed, democracies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1F565F" w14:paraId="302E5F11" w14:textId="77777777" w:rsidTr="00BB0D32">
        <w:tc>
          <w:tcPr>
            <w:tcW w:w="2136" w:type="dxa"/>
            <w:tcBorders>
              <w:top w:val="single" w:sz="4" w:space="0" w:color="auto"/>
              <w:left w:val="nil"/>
              <w:bottom w:val="nil"/>
              <w:right w:val="nil"/>
            </w:tcBorders>
          </w:tcPr>
          <w:p w14:paraId="6B6390A6"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65B114B5"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55744CE1"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69B62782"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0C1682EB"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56A918EF"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1F565F" w14:paraId="20E40649" w14:textId="77777777" w:rsidTr="00BB0D32">
        <w:tc>
          <w:tcPr>
            <w:tcW w:w="2136" w:type="dxa"/>
            <w:tcBorders>
              <w:top w:val="nil"/>
              <w:left w:val="nil"/>
              <w:bottom w:val="nil"/>
              <w:right w:val="nil"/>
            </w:tcBorders>
          </w:tcPr>
          <w:p w14:paraId="7E01EBA2"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AB9AB9A"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2FF8EF44"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7BFFBFA4"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1D6802C5"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3A3F13B6"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1F565F" w14:paraId="7EBD4631" w14:textId="77777777" w:rsidTr="00BB0D32">
        <w:tc>
          <w:tcPr>
            <w:tcW w:w="2136" w:type="dxa"/>
            <w:tcBorders>
              <w:top w:val="single" w:sz="4" w:space="0" w:color="auto"/>
              <w:left w:val="nil"/>
              <w:bottom w:val="nil"/>
              <w:right w:val="nil"/>
            </w:tcBorders>
          </w:tcPr>
          <w:p w14:paraId="66D1D7D6"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 Jure CBI (CNW Index)</w:t>
            </w:r>
          </w:p>
        </w:tc>
        <w:tc>
          <w:tcPr>
            <w:tcW w:w="1656" w:type="dxa"/>
            <w:tcBorders>
              <w:top w:val="single" w:sz="4" w:space="0" w:color="auto"/>
              <w:left w:val="nil"/>
              <w:bottom w:val="nil"/>
              <w:right w:val="nil"/>
            </w:tcBorders>
          </w:tcPr>
          <w:p w14:paraId="1B522B39"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-0.627</w:t>
            </w:r>
          </w:p>
        </w:tc>
        <w:tc>
          <w:tcPr>
            <w:tcW w:w="1656" w:type="dxa"/>
            <w:tcBorders>
              <w:top w:val="single" w:sz="4" w:space="0" w:color="auto"/>
              <w:left w:val="nil"/>
              <w:bottom w:val="nil"/>
              <w:right w:val="nil"/>
            </w:tcBorders>
          </w:tcPr>
          <w:p w14:paraId="3A50F490"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-1.840</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4EC2FD65"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0.237</w:t>
            </w:r>
          </w:p>
        </w:tc>
        <w:tc>
          <w:tcPr>
            <w:tcW w:w="1656" w:type="dxa"/>
            <w:tcBorders>
              <w:top w:val="single" w:sz="4" w:space="0" w:color="auto"/>
              <w:left w:val="nil"/>
              <w:bottom w:val="nil"/>
              <w:right w:val="nil"/>
            </w:tcBorders>
          </w:tcPr>
          <w:p w14:paraId="297FF7AA"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6.915</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2D4D04C8"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1.054</w:t>
            </w:r>
            <w:r>
              <w:rPr>
                <w:rFonts w:ascii="Times New Roman" w:hAnsi="Times New Roman" w:cs="Times New Roman"/>
                <w:sz w:val="24"/>
                <w:szCs w:val="24"/>
                <w:vertAlign w:val="superscript"/>
              </w:rPr>
              <w:t>***</w:t>
            </w:r>
          </w:p>
        </w:tc>
      </w:tr>
      <w:tr w:rsidR="001F565F" w14:paraId="29E45918" w14:textId="77777777" w:rsidTr="00BB0D32">
        <w:tc>
          <w:tcPr>
            <w:tcW w:w="2136" w:type="dxa"/>
            <w:tcBorders>
              <w:top w:val="nil"/>
              <w:left w:val="nil"/>
              <w:bottom w:val="nil"/>
              <w:right w:val="nil"/>
            </w:tcBorders>
          </w:tcPr>
          <w:p w14:paraId="3E3AC854"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024022C"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656" w:type="dxa"/>
            <w:tcBorders>
              <w:top w:val="nil"/>
              <w:left w:val="nil"/>
              <w:bottom w:val="nil"/>
              <w:right w:val="nil"/>
            </w:tcBorders>
          </w:tcPr>
          <w:p w14:paraId="30745303"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(-3.02)</w:t>
            </w:r>
          </w:p>
        </w:tc>
        <w:tc>
          <w:tcPr>
            <w:tcW w:w="1656" w:type="dxa"/>
            <w:tcBorders>
              <w:top w:val="nil"/>
              <w:left w:val="nil"/>
              <w:bottom w:val="nil"/>
              <w:right w:val="nil"/>
            </w:tcBorders>
          </w:tcPr>
          <w:p w14:paraId="79A16BD5"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w:t>
            </w:r>
          </w:p>
        </w:tc>
        <w:tc>
          <w:tcPr>
            <w:tcW w:w="1656" w:type="dxa"/>
            <w:tcBorders>
              <w:top w:val="nil"/>
              <w:left w:val="nil"/>
              <w:bottom w:val="nil"/>
              <w:right w:val="nil"/>
            </w:tcBorders>
          </w:tcPr>
          <w:p w14:paraId="40B2D11A"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(10.47)</w:t>
            </w:r>
          </w:p>
        </w:tc>
        <w:tc>
          <w:tcPr>
            <w:tcW w:w="1656" w:type="dxa"/>
            <w:tcBorders>
              <w:top w:val="nil"/>
              <w:left w:val="nil"/>
              <w:bottom w:val="nil"/>
              <w:right w:val="nil"/>
            </w:tcBorders>
          </w:tcPr>
          <w:p w14:paraId="270C9CB3"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1F565F" w14:paraId="1F470063" w14:textId="77777777" w:rsidTr="00BB0D32">
        <w:tc>
          <w:tcPr>
            <w:tcW w:w="2136" w:type="dxa"/>
            <w:tcBorders>
              <w:top w:val="nil"/>
              <w:left w:val="nil"/>
              <w:bottom w:val="nil"/>
              <w:right w:val="nil"/>
            </w:tcBorders>
          </w:tcPr>
          <w:p w14:paraId="383AADEF"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E2F76DA"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DEF588B"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224B40D"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51C0B3F"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FE85663"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r>
      <w:tr w:rsidR="001F565F" w14:paraId="651402BF" w14:textId="77777777" w:rsidTr="00BB0D32">
        <w:tc>
          <w:tcPr>
            <w:tcW w:w="2136" w:type="dxa"/>
            <w:tcBorders>
              <w:top w:val="nil"/>
              <w:left w:val="nil"/>
              <w:bottom w:val="nil"/>
              <w:right w:val="nil"/>
            </w:tcBorders>
          </w:tcPr>
          <w:p w14:paraId="01E6A970"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08FEEE81"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0.0529</w:t>
            </w:r>
          </w:p>
        </w:tc>
        <w:tc>
          <w:tcPr>
            <w:tcW w:w="1656" w:type="dxa"/>
            <w:tcBorders>
              <w:top w:val="nil"/>
              <w:left w:val="nil"/>
              <w:bottom w:val="nil"/>
              <w:right w:val="nil"/>
            </w:tcBorders>
          </w:tcPr>
          <w:p w14:paraId="371082EA"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0.0732</w:t>
            </w:r>
          </w:p>
        </w:tc>
        <w:tc>
          <w:tcPr>
            <w:tcW w:w="1656" w:type="dxa"/>
            <w:tcBorders>
              <w:top w:val="nil"/>
              <w:left w:val="nil"/>
              <w:bottom w:val="nil"/>
              <w:right w:val="nil"/>
            </w:tcBorders>
          </w:tcPr>
          <w:p w14:paraId="0F7B1063"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0.0523</w:t>
            </w:r>
          </w:p>
        </w:tc>
        <w:tc>
          <w:tcPr>
            <w:tcW w:w="1656" w:type="dxa"/>
            <w:tcBorders>
              <w:top w:val="nil"/>
              <w:left w:val="nil"/>
              <w:bottom w:val="nil"/>
              <w:right w:val="nil"/>
            </w:tcBorders>
          </w:tcPr>
          <w:p w14:paraId="7F3051CB"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BBEE2E9"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-0.0475</w:t>
            </w:r>
            <w:r>
              <w:rPr>
                <w:rFonts w:ascii="Times New Roman" w:hAnsi="Times New Roman" w:cs="Times New Roman"/>
                <w:sz w:val="24"/>
                <w:szCs w:val="24"/>
                <w:vertAlign w:val="superscript"/>
              </w:rPr>
              <w:t>**</w:t>
            </w:r>
          </w:p>
        </w:tc>
      </w:tr>
      <w:tr w:rsidR="001F565F" w14:paraId="44F16084" w14:textId="77777777" w:rsidTr="00BB0D32">
        <w:tc>
          <w:tcPr>
            <w:tcW w:w="2136" w:type="dxa"/>
            <w:tcBorders>
              <w:top w:val="nil"/>
              <w:left w:val="nil"/>
              <w:bottom w:val="nil"/>
              <w:right w:val="nil"/>
            </w:tcBorders>
          </w:tcPr>
          <w:p w14:paraId="4BBA4E33"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556DB2F"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(1.31)</w:t>
            </w:r>
          </w:p>
        </w:tc>
        <w:tc>
          <w:tcPr>
            <w:tcW w:w="1656" w:type="dxa"/>
            <w:tcBorders>
              <w:top w:val="nil"/>
              <w:left w:val="nil"/>
              <w:bottom w:val="nil"/>
              <w:right w:val="nil"/>
            </w:tcBorders>
          </w:tcPr>
          <w:p w14:paraId="3023800E"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(1.79)</w:t>
            </w:r>
          </w:p>
        </w:tc>
        <w:tc>
          <w:tcPr>
            <w:tcW w:w="1656" w:type="dxa"/>
            <w:tcBorders>
              <w:top w:val="nil"/>
              <w:left w:val="nil"/>
              <w:bottom w:val="nil"/>
              <w:right w:val="nil"/>
            </w:tcBorders>
          </w:tcPr>
          <w:p w14:paraId="5CF454BA"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w:t>
            </w:r>
          </w:p>
        </w:tc>
        <w:tc>
          <w:tcPr>
            <w:tcW w:w="1656" w:type="dxa"/>
            <w:tcBorders>
              <w:top w:val="nil"/>
              <w:left w:val="nil"/>
              <w:bottom w:val="nil"/>
              <w:right w:val="nil"/>
            </w:tcBorders>
          </w:tcPr>
          <w:p w14:paraId="246353E4"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656" w:type="dxa"/>
            <w:tcBorders>
              <w:top w:val="nil"/>
              <w:left w:val="nil"/>
              <w:bottom w:val="nil"/>
              <w:right w:val="nil"/>
            </w:tcBorders>
          </w:tcPr>
          <w:p w14:paraId="11961006"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(-2.74)</w:t>
            </w:r>
          </w:p>
        </w:tc>
      </w:tr>
      <w:tr w:rsidR="001F565F" w14:paraId="7E811EEF" w14:textId="77777777" w:rsidTr="00BB0D32">
        <w:tc>
          <w:tcPr>
            <w:tcW w:w="2136" w:type="dxa"/>
            <w:tcBorders>
              <w:top w:val="nil"/>
              <w:left w:val="nil"/>
              <w:bottom w:val="nil"/>
              <w:right w:val="nil"/>
            </w:tcBorders>
          </w:tcPr>
          <w:p w14:paraId="7B10737A"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12B131F"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C895338"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B4A65B5"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02CACD7"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CEF9703"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r>
      <w:tr w:rsidR="001F565F" w14:paraId="0C4E5D0C" w14:textId="77777777" w:rsidTr="00BB0D32">
        <w:tc>
          <w:tcPr>
            <w:tcW w:w="2136" w:type="dxa"/>
            <w:tcBorders>
              <w:top w:val="nil"/>
              <w:left w:val="nil"/>
              <w:bottom w:val="nil"/>
              <w:right w:val="nil"/>
            </w:tcBorders>
          </w:tcPr>
          <w:p w14:paraId="3A8CB6A7"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4347FA03"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B4F1AA9"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1.062</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4BE8981"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0.288</w:t>
            </w:r>
          </w:p>
        </w:tc>
        <w:tc>
          <w:tcPr>
            <w:tcW w:w="1656" w:type="dxa"/>
            <w:tcBorders>
              <w:top w:val="nil"/>
              <w:left w:val="nil"/>
              <w:bottom w:val="nil"/>
              <w:right w:val="nil"/>
            </w:tcBorders>
          </w:tcPr>
          <w:p w14:paraId="7CADF7F8"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-3.024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90EEAB1"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0.262</w:t>
            </w:r>
          </w:p>
        </w:tc>
      </w:tr>
      <w:tr w:rsidR="001F565F" w14:paraId="727D67A9" w14:textId="77777777" w:rsidTr="00BB0D32">
        <w:tc>
          <w:tcPr>
            <w:tcW w:w="2136" w:type="dxa"/>
            <w:tcBorders>
              <w:top w:val="nil"/>
              <w:left w:val="nil"/>
              <w:bottom w:val="single" w:sz="4" w:space="0" w:color="auto"/>
              <w:right w:val="nil"/>
            </w:tcBorders>
          </w:tcPr>
          <w:p w14:paraId="3554598C"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7FFC0E92"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(2.62)</w:t>
            </w:r>
          </w:p>
        </w:tc>
        <w:tc>
          <w:tcPr>
            <w:tcW w:w="1656" w:type="dxa"/>
            <w:tcBorders>
              <w:top w:val="nil"/>
              <w:left w:val="nil"/>
              <w:bottom w:val="single" w:sz="4" w:space="0" w:color="auto"/>
              <w:right w:val="nil"/>
            </w:tcBorders>
          </w:tcPr>
          <w:p w14:paraId="03C7F885"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(3.51)</w:t>
            </w:r>
          </w:p>
        </w:tc>
        <w:tc>
          <w:tcPr>
            <w:tcW w:w="1656" w:type="dxa"/>
            <w:tcBorders>
              <w:top w:val="nil"/>
              <w:left w:val="nil"/>
              <w:bottom w:val="single" w:sz="4" w:space="0" w:color="auto"/>
              <w:right w:val="nil"/>
            </w:tcBorders>
          </w:tcPr>
          <w:p w14:paraId="2995B500"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656" w:type="dxa"/>
            <w:tcBorders>
              <w:top w:val="nil"/>
              <w:left w:val="nil"/>
              <w:bottom w:val="single" w:sz="4" w:space="0" w:color="auto"/>
              <w:right w:val="nil"/>
            </w:tcBorders>
          </w:tcPr>
          <w:p w14:paraId="6F4D7AB1"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(-8.58)</w:t>
            </w:r>
          </w:p>
        </w:tc>
        <w:tc>
          <w:tcPr>
            <w:tcW w:w="1656" w:type="dxa"/>
            <w:tcBorders>
              <w:top w:val="nil"/>
              <w:left w:val="nil"/>
              <w:bottom w:val="single" w:sz="4" w:space="0" w:color="auto"/>
              <w:right w:val="nil"/>
            </w:tcBorders>
          </w:tcPr>
          <w:p w14:paraId="0A68D343"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(1.69)</w:t>
            </w:r>
          </w:p>
        </w:tc>
      </w:tr>
      <w:tr w:rsidR="001F565F" w14:paraId="6B08A6EC" w14:textId="77777777" w:rsidTr="00BB0D32">
        <w:tc>
          <w:tcPr>
            <w:tcW w:w="2136" w:type="dxa"/>
            <w:tcBorders>
              <w:top w:val="nil"/>
              <w:left w:val="nil"/>
              <w:bottom w:val="single" w:sz="4" w:space="0" w:color="auto"/>
              <w:right w:val="nil"/>
            </w:tcBorders>
          </w:tcPr>
          <w:p w14:paraId="4FFEB2AF"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7919B9D0"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628</w:t>
            </w:r>
          </w:p>
        </w:tc>
        <w:tc>
          <w:tcPr>
            <w:tcW w:w="1656" w:type="dxa"/>
            <w:tcBorders>
              <w:top w:val="nil"/>
              <w:left w:val="nil"/>
              <w:bottom w:val="single" w:sz="4" w:space="0" w:color="auto"/>
              <w:right w:val="nil"/>
            </w:tcBorders>
          </w:tcPr>
          <w:p w14:paraId="6AFA6363"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628</w:t>
            </w:r>
          </w:p>
        </w:tc>
        <w:tc>
          <w:tcPr>
            <w:tcW w:w="1656" w:type="dxa"/>
            <w:tcBorders>
              <w:top w:val="nil"/>
              <w:left w:val="nil"/>
              <w:bottom w:val="single" w:sz="4" w:space="0" w:color="auto"/>
              <w:right w:val="nil"/>
            </w:tcBorders>
          </w:tcPr>
          <w:p w14:paraId="22C3AC80"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518</w:t>
            </w:r>
          </w:p>
        </w:tc>
        <w:tc>
          <w:tcPr>
            <w:tcW w:w="1656" w:type="dxa"/>
            <w:tcBorders>
              <w:top w:val="nil"/>
              <w:left w:val="nil"/>
              <w:bottom w:val="single" w:sz="4" w:space="0" w:color="auto"/>
              <w:right w:val="nil"/>
            </w:tcBorders>
          </w:tcPr>
          <w:p w14:paraId="47BD74C1"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1324</w:t>
            </w:r>
          </w:p>
        </w:tc>
        <w:tc>
          <w:tcPr>
            <w:tcW w:w="1656" w:type="dxa"/>
            <w:tcBorders>
              <w:top w:val="nil"/>
              <w:left w:val="nil"/>
              <w:bottom w:val="single" w:sz="4" w:space="0" w:color="auto"/>
              <w:right w:val="nil"/>
            </w:tcBorders>
          </w:tcPr>
          <w:p w14:paraId="4A34EA2D"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1416</w:t>
            </w:r>
          </w:p>
        </w:tc>
      </w:tr>
    </w:tbl>
    <w:p w14:paraId="45F89F20" w14:textId="77777777" w:rsidR="001F565F" w:rsidRDefault="001F565F" w:rsidP="001F565F">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6DFD5DF9" w14:textId="77777777" w:rsidR="001F565F" w:rsidRDefault="001F565F" w:rsidP="001F565F">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1F565F" w14:paraId="61B06CD2" w14:textId="77777777" w:rsidTr="00BB0D32">
        <w:tc>
          <w:tcPr>
            <w:tcW w:w="2136" w:type="dxa"/>
            <w:tcBorders>
              <w:top w:val="single" w:sz="4" w:space="0" w:color="auto"/>
              <w:left w:val="nil"/>
              <w:bottom w:val="nil"/>
              <w:right w:val="nil"/>
            </w:tcBorders>
          </w:tcPr>
          <w:p w14:paraId="2C0B0102"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3D3284C4"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561C2147"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103584FA"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703B18AC"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262E84FC"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1F565F" w14:paraId="50EDC4CB" w14:textId="77777777" w:rsidTr="00BB0D32">
        <w:tc>
          <w:tcPr>
            <w:tcW w:w="2136" w:type="dxa"/>
            <w:tcBorders>
              <w:top w:val="nil"/>
              <w:left w:val="nil"/>
              <w:bottom w:val="nil"/>
              <w:right w:val="nil"/>
            </w:tcBorders>
          </w:tcPr>
          <w:p w14:paraId="484B93BF"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6FEFF7"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5F558795"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6F3F4973"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69F1B750"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79125FAF"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1F565F" w14:paraId="72E8D9CF" w14:textId="77777777" w:rsidTr="00BB0D32">
        <w:tc>
          <w:tcPr>
            <w:tcW w:w="2136" w:type="dxa"/>
            <w:tcBorders>
              <w:top w:val="single" w:sz="4" w:space="0" w:color="auto"/>
              <w:left w:val="nil"/>
              <w:bottom w:val="nil"/>
              <w:right w:val="nil"/>
            </w:tcBorders>
          </w:tcPr>
          <w:p w14:paraId="4CA38247"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37C9B22A"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-1.041</w:t>
            </w:r>
          </w:p>
        </w:tc>
        <w:tc>
          <w:tcPr>
            <w:tcW w:w="1656" w:type="dxa"/>
            <w:tcBorders>
              <w:top w:val="single" w:sz="4" w:space="0" w:color="auto"/>
              <w:left w:val="nil"/>
              <w:bottom w:val="nil"/>
              <w:right w:val="nil"/>
            </w:tcBorders>
          </w:tcPr>
          <w:p w14:paraId="4FC4BCF7"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-2.132</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4992230D"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0.756</w:t>
            </w:r>
          </w:p>
        </w:tc>
        <w:tc>
          <w:tcPr>
            <w:tcW w:w="1656" w:type="dxa"/>
            <w:tcBorders>
              <w:top w:val="single" w:sz="4" w:space="0" w:color="auto"/>
              <w:left w:val="nil"/>
              <w:bottom w:val="nil"/>
              <w:right w:val="nil"/>
            </w:tcBorders>
          </w:tcPr>
          <w:p w14:paraId="065782F7"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26.19</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6647FE04"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10.95</w:t>
            </w:r>
          </w:p>
        </w:tc>
      </w:tr>
      <w:tr w:rsidR="001F565F" w14:paraId="0148AE30" w14:textId="77777777" w:rsidTr="00BB0D32">
        <w:tc>
          <w:tcPr>
            <w:tcW w:w="2136" w:type="dxa"/>
            <w:tcBorders>
              <w:top w:val="nil"/>
              <w:left w:val="nil"/>
              <w:bottom w:val="nil"/>
              <w:right w:val="nil"/>
            </w:tcBorders>
          </w:tcPr>
          <w:p w14:paraId="69F8CBCA"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8AEEC50"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656" w:type="dxa"/>
            <w:tcBorders>
              <w:top w:val="nil"/>
              <w:left w:val="nil"/>
              <w:bottom w:val="nil"/>
              <w:right w:val="nil"/>
            </w:tcBorders>
          </w:tcPr>
          <w:p w14:paraId="39AC6A11"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(-2.01)</w:t>
            </w:r>
          </w:p>
        </w:tc>
        <w:tc>
          <w:tcPr>
            <w:tcW w:w="1656" w:type="dxa"/>
            <w:tcBorders>
              <w:top w:val="nil"/>
              <w:left w:val="nil"/>
              <w:bottom w:val="nil"/>
              <w:right w:val="nil"/>
            </w:tcBorders>
          </w:tcPr>
          <w:p w14:paraId="266DE013"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656" w:type="dxa"/>
            <w:tcBorders>
              <w:top w:val="nil"/>
              <w:left w:val="nil"/>
              <w:bottom w:val="nil"/>
              <w:right w:val="nil"/>
            </w:tcBorders>
          </w:tcPr>
          <w:p w14:paraId="603A00D5"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(2.38)</w:t>
            </w:r>
          </w:p>
        </w:tc>
        <w:tc>
          <w:tcPr>
            <w:tcW w:w="1656" w:type="dxa"/>
            <w:tcBorders>
              <w:top w:val="nil"/>
              <w:left w:val="nil"/>
              <w:bottom w:val="nil"/>
              <w:right w:val="nil"/>
            </w:tcBorders>
          </w:tcPr>
          <w:p w14:paraId="2C3ED39B"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(0.84)</w:t>
            </w:r>
          </w:p>
        </w:tc>
      </w:tr>
      <w:tr w:rsidR="001F565F" w14:paraId="3A7A670B" w14:textId="77777777" w:rsidTr="00BB0D32">
        <w:tc>
          <w:tcPr>
            <w:tcW w:w="2136" w:type="dxa"/>
            <w:tcBorders>
              <w:top w:val="nil"/>
              <w:left w:val="nil"/>
              <w:bottom w:val="nil"/>
              <w:right w:val="nil"/>
            </w:tcBorders>
          </w:tcPr>
          <w:p w14:paraId="5C4F28D9"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3DEFCA0"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C8E6BB9"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EC7A418"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BEF31B7"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2532335"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r>
      <w:tr w:rsidR="001F565F" w14:paraId="7F076821" w14:textId="77777777" w:rsidTr="00BB0D32">
        <w:tc>
          <w:tcPr>
            <w:tcW w:w="2136" w:type="dxa"/>
            <w:tcBorders>
              <w:top w:val="nil"/>
              <w:left w:val="nil"/>
              <w:bottom w:val="nil"/>
              <w:right w:val="nil"/>
            </w:tcBorders>
          </w:tcPr>
          <w:p w14:paraId="04CFF315"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38AD1730"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0.00996</w:t>
            </w:r>
          </w:p>
        </w:tc>
        <w:tc>
          <w:tcPr>
            <w:tcW w:w="1656" w:type="dxa"/>
            <w:tcBorders>
              <w:top w:val="nil"/>
              <w:left w:val="nil"/>
              <w:bottom w:val="nil"/>
              <w:right w:val="nil"/>
            </w:tcBorders>
          </w:tcPr>
          <w:p w14:paraId="635F6CDE"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-0.0124</w:t>
            </w:r>
          </w:p>
        </w:tc>
        <w:tc>
          <w:tcPr>
            <w:tcW w:w="1656" w:type="dxa"/>
            <w:tcBorders>
              <w:top w:val="nil"/>
              <w:left w:val="nil"/>
              <w:bottom w:val="nil"/>
              <w:right w:val="nil"/>
            </w:tcBorders>
          </w:tcPr>
          <w:p w14:paraId="5EE07815"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0.0805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46BABFF"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0.273</w:t>
            </w:r>
          </w:p>
        </w:tc>
        <w:tc>
          <w:tcPr>
            <w:tcW w:w="1656" w:type="dxa"/>
            <w:tcBorders>
              <w:top w:val="nil"/>
              <w:left w:val="nil"/>
              <w:bottom w:val="nil"/>
              <w:right w:val="nil"/>
            </w:tcBorders>
          </w:tcPr>
          <w:p w14:paraId="11B244D5"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0.0434</w:t>
            </w:r>
          </w:p>
        </w:tc>
      </w:tr>
      <w:tr w:rsidR="001F565F" w14:paraId="5ECBEA58" w14:textId="77777777" w:rsidTr="00BB0D32">
        <w:tc>
          <w:tcPr>
            <w:tcW w:w="2136" w:type="dxa"/>
            <w:tcBorders>
              <w:top w:val="nil"/>
              <w:left w:val="nil"/>
              <w:bottom w:val="nil"/>
              <w:right w:val="nil"/>
            </w:tcBorders>
          </w:tcPr>
          <w:p w14:paraId="5A32C880"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942C2EB"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656" w:type="dxa"/>
            <w:tcBorders>
              <w:top w:val="nil"/>
              <w:left w:val="nil"/>
              <w:bottom w:val="nil"/>
              <w:right w:val="nil"/>
            </w:tcBorders>
          </w:tcPr>
          <w:p w14:paraId="413CAB34"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w:t>
            </w:r>
          </w:p>
        </w:tc>
        <w:tc>
          <w:tcPr>
            <w:tcW w:w="1656" w:type="dxa"/>
            <w:tcBorders>
              <w:top w:val="nil"/>
              <w:left w:val="nil"/>
              <w:bottom w:val="nil"/>
              <w:right w:val="nil"/>
            </w:tcBorders>
          </w:tcPr>
          <w:p w14:paraId="4F80D111"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(2.66)</w:t>
            </w:r>
          </w:p>
        </w:tc>
        <w:tc>
          <w:tcPr>
            <w:tcW w:w="1656" w:type="dxa"/>
            <w:tcBorders>
              <w:top w:val="nil"/>
              <w:left w:val="nil"/>
              <w:bottom w:val="nil"/>
              <w:right w:val="nil"/>
            </w:tcBorders>
          </w:tcPr>
          <w:p w14:paraId="1BE15797"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(1.56)</w:t>
            </w:r>
          </w:p>
        </w:tc>
        <w:tc>
          <w:tcPr>
            <w:tcW w:w="1656" w:type="dxa"/>
            <w:tcBorders>
              <w:top w:val="nil"/>
              <w:left w:val="nil"/>
              <w:bottom w:val="nil"/>
              <w:right w:val="nil"/>
            </w:tcBorders>
          </w:tcPr>
          <w:p w14:paraId="2EE9EA3D"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r>
      <w:tr w:rsidR="001F565F" w14:paraId="57F9F6A1" w14:textId="77777777" w:rsidTr="00BB0D32">
        <w:tc>
          <w:tcPr>
            <w:tcW w:w="2136" w:type="dxa"/>
            <w:tcBorders>
              <w:top w:val="nil"/>
              <w:left w:val="nil"/>
              <w:bottom w:val="nil"/>
              <w:right w:val="nil"/>
            </w:tcBorders>
          </w:tcPr>
          <w:p w14:paraId="4FEA170C"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2830278"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702B100"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D4D2D0F"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4C66D0B"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B521B9C"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r>
      <w:tr w:rsidR="001F565F" w14:paraId="13742988" w14:textId="77777777" w:rsidTr="00BB0D32">
        <w:tc>
          <w:tcPr>
            <w:tcW w:w="2136" w:type="dxa"/>
            <w:tcBorders>
              <w:top w:val="nil"/>
              <w:left w:val="nil"/>
              <w:bottom w:val="nil"/>
              <w:right w:val="nil"/>
            </w:tcBorders>
          </w:tcPr>
          <w:p w14:paraId="2B7758DA"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1C987F49"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1.680</w:t>
            </w:r>
          </w:p>
        </w:tc>
        <w:tc>
          <w:tcPr>
            <w:tcW w:w="1656" w:type="dxa"/>
            <w:tcBorders>
              <w:top w:val="nil"/>
              <w:left w:val="nil"/>
              <w:bottom w:val="nil"/>
              <w:right w:val="nil"/>
            </w:tcBorders>
          </w:tcPr>
          <w:p w14:paraId="2157D010"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2.514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0D5C6A9"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-0.421</w:t>
            </w:r>
          </w:p>
        </w:tc>
        <w:tc>
          <w:tcPr>
            <w:tcW w:w="1656" w:type="dxa"/>
            <w:tcBorders>
              <w:top w:val="nil"/>
              <w:left w:val="nil"/>
              <w:bottom w:val="nil"/>
              <w:right w:val="nil"/>
            </w:tcBorders>
          </w:tcPr>
          <w:p w14:paraId="64331ADB"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-25.90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179A3F1E"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-9.375</w:t>
            </w:r>
          </w:p>
        </w:tc>
      </w:tr>
      <w:tr w:rsidR="001F565F" w14:paraId="613EA8EB" w14:textId="77777777" w:rsidTr="00BB0D32">
        <w:tc>
          <w:tcPr>
            <w:tcW w:w="2136" w:type="dxa"/>
            <w:tcBorders>
              <w:top w:val="nil"/>
              <w:left w:val="nil"/>
              <w:bottom w:val="single" w:sz="4" w:space="0" w:color="auto"/>
              <w:right w:val="nil"/>
            </w:tcBorders>
          </w:tcPr>
          <w:p w14:paraId="6A6A12C2"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025E79D7"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6" w:type="dxa"/>
            <w:tcBorders>
              <w:top w:val="nil"/>
              <w:left w:val="nil"/>
              <w:bottom w:val="single" w:sz="4" w:space="0" w:color="auto"/>
              <w:right w:val="nil"/>
            </w:tcBorders>
          </w:tcPr>
          <w:p w14:paraId="7D74ED04"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(2.66)</w:t>
            </w:r>
          </w:p>
        </w:tc>
        <w:tc>
          <w:tcPr>
            <w:tcW w:w="1656" w:type="dxa"/>
            <w:tcBorders>
              <w:top w:val="nil"/>
              <w:left w:val="nil"/>
              <w:bottom w:val="single" w:sz="4" w:space="0" w:color="auto"/>
              <w:right w:val="nil"/>
            </w:tcBorders>
          </w:tcPr>
          <w:p w14:paraId="09B5B057"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656" w:type="dxa"/>
            <w:tcBorders>
              <w:top w:val="nil"/>
              <w:left w:val="nil"/>
              <w:bottom w:val="single" w:sz="4" w:space="0" w:color="auto"/>
              <w:right w:val="nil"/>
            </w:tcBorders>
          </w:tcPr>
          <w:p w14:paraId="1A3AA3CB"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(-2.41)</w:t>
            </w:r>
          </w:p>
        </w:tc>
        <w:tc>
          <w:tcPr>
            <w:tcW w:w="1656" w:type="dxa"/>
            <w:tcBorders>
              <w:top w:val="nil"/>
              <w:left w:val="nil"/>
              <w:bottom w:val="single" w:sz="4" w:space="0" w:color="auto"/>
              <w:right w:val="nil"/>
            </w:tcBorders>
          </w:tcPr>
          <w:p w14:paraId="56AA6056"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(-0.79)</w:t>
            </w:r>
          </w:p>
        </w:tc>
      </w:tr>
      <w:tr w:rsidR="001F565F" w14:paraId="61B944FA" w14:textId="77777777" w:rsidTr="00BB0D32">
        <w:tc>
          <w:tcPr>
            <w:tcW w:w="2136" w:type="dxa"/>
            <w:tcBorders>
              <w:top w:val="nil"/>
              <w:left w:val="nil"/>
              <w:bottom w:val="single" w:sz="4" w:space="0" w:color="auto"/>
              <w:right w:val="nil"/>
            </w:tcBorders>
          </w:tcPr>
          <w:p w14:paraId="3BE32BDE" w14:textId="77777777" w:rsidR="001F565F" w:rsidRDefault="001F565F" w:rsidP="00BB0D3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1516BE17"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731</w:t>
            </w:r>
          </w:p>
        </w:tc>
        <w:tc>
          <w:tcPr>
            <w:tcW w:w="1656" w:type="dxa"/>
            <w:tcBorders>
              <w:top w:val="nil"/>
              <w:left w:val="nil"/>
              <w:bottom w:val="single" w:sz="4" w:space="0" w:color="auto"/>
              <w:right w:val="nil"/>
            </w:tcBorders>
          </w:tcPr>
          <w:p w14:paraId="2487350D"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730</w:t>
            </w:r>
          </w:p>
        </w:tc>
        <w:tc>
          <w:tcPr>
            <w:tcW w:w="1656" w:type="dxa"/>
            <w:tcBorders>
              <w:top w:val="nil"/>
              <w:left w:val="nil"/>
              <w:bottom w:val="single" w:sz="4" w:space="0" w:color="auto"/>
              <w:right w:val="nil"/>
            </w:tcBorders>
          </w:tcPr>
          <w:p w14:paraId="720AEC24"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607</w:t>
            </w:r>
          </w:p>
        </w:tc>
        <w:tc>
          <w:tcPr>
            <w:tcW w:w="1656" w:type="dxa"/>
            <w:tcBorders>
              <w:top w:val="nil"/>
              <w:left w:val="nil"/>
              <w:bottom w:val="single" w:sz="4" w:space="0" w:color="auto"/>
              <w:right w:val="nil"/>
            </w:tcBorders>
          </w:tcPr>
          <w:p w14:paraId="281218AA"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1617</w:t>
            </w:r>
          </w:p>
        </w:tc>
        <w:tc>
          <w:tcPr>
            <w:tcW w:w="1656" w:type="dxa"/>
            <w:tcBorders>
              <w:top w:val="nil"/>
              <w:left w:val="nil"/>
              <w:bottom w:val="single" w:sz="4" w:space="0" w:color="auto"/>
              <w:right w:val="nil"/>
            </w:tcBorders>
          </w:tcPr>
          <w:p w14:paraId="594907B3" w14:textId="77777777" w:rsidR="001F565F" w:rsidRDefault="001F565F" w:rsidP="00BB0D3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1421</w:t>
            </w:r>
          </w:p>
        </w:tc>
      </w:tr>
    </w:tbl>
    <w:p w14:paraId="1B981AB1" w14:textId="77777777" w:rsidR="001F565F" w:rsidRDefault="001F565F" w:rsidP="001F565F">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3544B30C" w14:textId="77777777" w:rsidR="001F565F" w:rsidRDefault="001F565F" w:rsidP="001F565F">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249C2D89" w14:textId="731DAE45" w:rsidR="001F565F" w:rsidRDefault="001F565F" w:rsidP="00C75D55">
      <w:pPr>
        <w:widowControl w:val="0"/>
        <w:autoSpaceDE w:val="0"/>
        <w:autoSpaceDN w:val="0"/>
        <w:adjustRightInd w:val="0"/>
        <w:spacing w:after="0" w:line="240" w:lineRule="auto"/>
        <w:rPr>
          <w:rFonts w:ascii="Times New Roman" w:hAnsi="Times New Roman" w:cs="Times New Roman"/>
          <w:sz w:val="20"/>
          <w:szCs w:val="20"/>
        </w:rPr>
      </w:pPr>
    </w:p>
    <w:p w14:paraId="54B38D91" w14:textId="77777777" w:rsidR="001F565F" w:rsidRDefault="001F565F" w:rsidP="00C75D55">
      <w:pPr>
        <w:widowControl w:val="0"/>
        <w:autoSpaceDE w:val="0"/>
        <w:autoSpaceDN w:val="0"/>
        <w:adjustRightInd w:val="0"/>
        <w:spacing w:after="0" w:line="240" w:lineRule="auto"/>
        <w:rPr>
          <w:rFonts w:ascii="Times New Roman" w:hAnsi="Times New Roman" w:cs="Times New Roman"/>
          <w:sz w:val="20"/>
          <w:szCs w:val="20"/>
        </w:rPr>
      </w:pPr>
    </w:p>
    <w:p w14:paraId="6134E5BF" w14:textId="5BDEE94B" w:rsidR="0080493E" w:rsidRDefault="0080493E" w:rsidP="00C75D5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IVS</w:t>
      </w:r>
    </w:p>
    <w:p w14:paraId="11A8D364" w14:textId="1E466D6F" w:rsidR="0080493E" w:rsidRDefault="0080493E" w:rsidP="00C75D5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Tertiary Ed</w:t>
      </w:r>
      <w:r w:rsidR="001F565F">
        <w:rPr>
          <w:rFonts w:ascii="Times New Roman" w:hAnsi="Times New Roman" w:cs="Times New Roman"/>
          <w:sz w:val="20"/>
          <w:szCs w:val="20"/>
        </w:rPr>
        <w:t>, nondemocracies</w:t>
      </w:r>
    </w:p>
    <w:p w14:paraId="4D901B87" w14:textId="2C7CE84E" w:rsidR="0080493E" w:rsidRDefault="0080493E" w:rsidP="00C75D55">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E26EB2" w14:paraId="6BE44A07" w14:textId="77777777" w:rsidTr="00015B88">
        <w:tc>
          <w:tcPr>
            <w:tcW w:w="2136" w:type="dxa"/>
            <w:tcBorders>
              <w:top w:val="single" w:sz="4" w:space="0" w:color="auto"/>
              <w:left w:val="nil"/>
              <w:bottom w:val="nil"/>
              <w:right w:val="nil"/>
            </w:tcBorders>
          </w:tcPr>
          <w:p w14:paraId="7A69BF9F"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45E941AE"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20898110"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5628F5EA"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7C6EE733"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45A87D86"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E26EB2" w14:paraId="0A92B61F" w14:textId="77777777" w:rsidTr="00015B88">
        <w:tc>
          <w:tcPr>
            <w:tcW w:w="2136" w:type="dxa"/>
            <w:tcBorders>
              <w:top w:val="nil"/>
              <w:left w:val="nil"/>
              <w:bottom w:val="nil"/>
              <w:right w:val="nil"/>
            </w:tcBorders>
          </w:tcPr>
          <w:p w14:paraId="2FF8F245"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C730120"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62FF3470"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738BAACA"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5023FC1F"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0F8C0B1B"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E26EB2" w14:paraId="63D2000D" w14:textId="77777777" w:rsidTr="00015B88">
        <w:tc>
          <w:tcPr>
            <w:tcW w:w="2136" w:type="dxa"/>
            <w:tcBorders>
              <w:top w:val="single" w:sz="4" w:space="0" w:color="auto"/>
              <w:left w:val="nil"/>
              <w:bottom w:val="nil"/>
              <w:right w:val="nil"/>
            </w:tcBorders>
          </w:tcPr>
          <w:p w14:paraId="3961764A"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 Jure CBI (CNW Index)</w:t>
            </w:r>
          </w:p>
        </w:tc>
        <w:tc>
          <w:tcPr>
            <w:tcW w:w="1656" w:type="dxa"/>
            <w:tcBorders>
              <w:top w:val="single" w:sz="4" w:space="0" w:color="auto"/>
              <w:left w:val="nil"/>
              <w:bottom w:val="nil"/>
              <w:right w:val="nil"/>
            </w:tcBorders>
          </w:tcPr>
          <w:p w14:paraId="6B03C31B"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-3.703</w:t>
            </w:r>
          </w:p>
        </w:tc>
        <w:tc>
          <w:tcPr>
            <w:tcW w:w="1656" w:type="dxa"/>
            <w:tcBorders>
              <w:top w:val="single" w:sz="4" w:space="0" w:color="auto"/>
              <w:left w:val="nil"/>
              <w:bottom w:val="nil"/>
              <w:right w:val="nil"/>
            </w:tcBorders>
          </w:tcPr>
          <w:p w14:paraId="0A60D4EE"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-1.342</w:t>
            </w:r>
          </w:p>
        </w:tc>
        <w:tc>
          <w:tcPr>
            <w:tcW w:w="1656" w:type="dxa"/>
            <w:tcBorders>
              <w:top w:val="single" w:sz="4" w:space="0" w:color="auto"/>
              <w:left w:val="nil"/>
              <w:bottom w:val="nil"/>
              <w:right w:val="nil"/>
            </w:tcBorders>
          </w:tcPr>
          <w:p w14:paraId="3FD55426"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-1.153</w:t>
            </w:r>
          </w:p>
        </w:tc>
        <w:tc>
          <w:tcPr>
            <w:tcW w:w="1656" w:type="dxa"/>
            <w:tcBorders>
              <w:top w:val="single" w:sz="4" w:space="0" w:color="auto"/>
              <w:left w:val="nil"/>
              <w:bottom w:val="nil"/>
              <w:right w:val="nil"/>
            </w:tcBorders>
          </w:tcPr>
          <w:p w14:paraId="760A1DA7"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13.85</w:t>
            </w:r>
          </w:p>
        </w:tc>
        <w:tc>
          <w:tcPr>
            <w:tcW w:w="1656" w:type="dxa"/>
            <w:tcBorders>
              <w:top w:val="single" w:sz="4" w:space="0" w:color="auto"/>
              <w:left w:val="nil"/>
              <w:bottom w:val="nil"/>
              <w:right w:val="nil"/>
            </w:tcBorders>
          </w:tcPr>
          <w:p w14:paraId="7D20866D"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8.403</w:t>
            </w:r>
          </w:p>
        </w:tc>
      </w:tr>
      <w:tr w:rsidR="00E26EB2" w14:paraId="66DE9A17" w14:textId="77777777" w:rsidTr="00015B88">
        <w:tc>
          <w:tcPr>
            <w:tcW w:w="2136" w:type="dxa"/>
            <w:tcBorders>
              <w:top w:val="nil"/>
              <w:left w:val="nil"/>
              <w:bottom w:val="nil"/>
              <w:right w:val="nil"/>
            </w:tcBorders>
          </w:tcPr>
          <w:p w14:paraId="0A58E7B0"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FBD132C"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(-1.02)</w:t>
            </w:r>
          </w:p>
        </w:tc>
        <w:tc>
          <w:tcPr>
            <w:tcW w:w="1656" w:type="dxa"/>
            <w:tcBorders>
              <w:top w:val="nil"/>
              <w:left w:val="nil"/>
              <w:bottom w:val="nil"/>
              <w:right w:val="nil"/>
            </w:tcBorders>
          </w:tcPr>
          <w:p w14:paraId="6395365B"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w:t>
            </w:r>
          </w:p>
        </w:tc>
        <w:tc>
          <w:tcPr>
            <w:tcW w:w="1656" w:type="dxa"/>
            <w:tcBorders>
              <w:top w:val="nil"/>
              <w:left w:val="nil"/>
              <w:bottom w:val="nil"/>
              <w:right w:val="nil"/>
            </w:tcBorders>
          </w:tcPr>
          <w:p w14:paraId="6E5323D0"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656" w:type="dxa"/>
            <w:tcBorders>
              <w:top w:val="nil"/>
              <w:left w:val="nil"/>
              <w:bottom w:val="nil"/>
              <w:right w:val="nil"/>
            </w:tcBorders>
          </w:tcPr>
          <w:p w14:paraId="0691CBD7"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(1.38)</w:t>
            </w:r>
          </w:p>
        </w:tc>
        <w:tc>
          <w:tcPr>
            <w:tcW w:w="1656" w:type="dxa"/>
            <w:tcBorders>
              <w:top w:val="nil"/>
              <w:left w:val="nil"/>
              <w:bottom w:val="nil"/>
              <w:right w:val="nil"/>
            </w:tcBorders>
          </w:tcPr>
          <w:p w14:paraId="2245B287"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E26EB2" w14:paraId="330D01C8" w14:textId="77777777" w:rsidTr="00015B88">
        <w:tc>
          <w:tcPr>
            <w:tcW w:w="2136" w:type="dxa"/>
            <w:tcBorders>
              <w:top w:val="nil"/>
              <w:left w:val="nil"/>
              <w:bottom w:val="nil"/>
              <w:right w:val="nil"/>
            </w:tcBorders>
          </w:tcPr>
          <w:p w14:paraId="04CA5547"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1362E00"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68FB274"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1BE0108"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13A512B"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548C07A"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p>
        </w:tc>
      </w:tr>
      <w:tr w:rsidR="00E26EB2" w14:paraId="65206F51" w14:textId="77777777" w:rsidTr="00015B88">
        <w:tc>
          <w:tcPr>
            <w:tcW w:w="2136" w:type="dxa"/>
            <w:tcBorders>
              <w:top w:val="nil"/>
              <w:left w:val="nil"/>
              <w:bottom w:val="nil"/>
              <w:right w:val="nil"/>
            </w:tcBorders>
          </w:tcPr>
          <w:p w14:paraId="150A19FE"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3F93F1ED"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0.103</w:t>
            </w:r>
          </w:p>
        </w:tc>
        <w:tc>
          <w:tcPr>
            <w:tcW w:w="1656" w:type="dxa"/>
            <w:tcBorders>
              <w:top w:val="nil"/>
              <w:left w:val="nil"/>
              <w:bottom w:val="nil"/>
              <w:right w:val="nil"/>
            </w:tcBorders>
          </w:tcPr>
          <w:p w14:paraId="29B4E3F8"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0.0277</w:t>
            </w:r>
          </w:p>
        </w:tc>
        <w:tc>
          <w:tcPr>
            <w:tcW w:w="1656" w:type="dxa"/>
            <w:tcBorders>
              <w:top w:val="nil"/>
              <w:left w:val="nil"/>
              <w:bottom w:val="nil"/>
              <w:right w:val="nil"/>
            </w:tcBorders>
          </w:tcPr>
          <w:p w14:paraId="1B9A76E4"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0.0769</w:t>
            </w:r>
          </w:p>
        </w:tc>
        <w:tc>
          <w:tcPr>
            <w:tcW w:w="1656" w:type="dxa"/>
            <w:tcBorders>
              <w:top w:val="nil"/>
              <w:left w:val="nil"/>
              <w:bottom w:val="nil"/>
              <w:right w:val="nil"/>
            </w:tcBorders>
          </w:tcPr>
          <w:p w14:paraId="0FCFBB7C"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-0.955</w:t>
            </w:r>
          </w:p>
        </w:tc>
        <w:tc>
          <w:tcPr>
            <w:tcW w:w="1656" w:type="dxa"/>
            <w:tcBorders>
              <w:top w:val="nil"/>
              <w:left w:val="nil"/>
              <w:bottom w:val="nil"/>
              <w:right w:val="nil"/>
            </w:tcBorders>
          </w:tcPr>
          <w:p w14:paraId="2F582F6F"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-0.292</w:t>
            </w:r>
          </w:p>
        </w:tc>
      </w:tr>
      <w:tr w:rsidR="00E26EB2" w14:paraId="63C3CD88" w14:textId="77777777" w:rsidTr="00015B88">
        <w:tc>
          <w:tcPr>
            <w:tcW w:w="2136" w:type="dxa"/>
            <w:tcBorders>
              <w:top w:val="nil"/>
              <w:left w:val="nil"/>
              <w:bottom w:val="nil"/>
              <w:right w:val="nil"/>
            </w:tcBorders>
          </w:tcPr>
          <w:p w14:paraId="285B66E5"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5872B51"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656" w:type="dxa"/>
            <w:tcBorders>
              <w:top w:val="nil"/>
              <w:left w:val="nil"/>
              <w:bottom w:val="nil"/>
              <w:right w:val="nil"/>
            </w:tcBorders>
          </w:tcPr>
          <w:p w14:paraId="3D95B13F"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(0.82)</w:t>
            </w:r>
          </w:p>
        </w:tc>
        <w:tc>
          <w:tcPr>
            <w:tcW w:w="1656" w:type="dxa"/>
            <w:tcBorders>
              <w:top w:val="nil"/>
              <w:left w:val="nil"/>
              <w:bottom w:val="nil"/>
              <w:right w:val="nil"/>
            </w:tcBorders>
          </w:tcPr>
          <w:p w14:paraId="32BD8A2A"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w:t>
            </w:r>
          </w:p>
        </w:tc>
        <w:tc>
          <w:tcPr>
            <w:tcW w:w="1656" w:type="dxa"/>
            <w:tcBorders>
              <w:top w:val="nil"/>
              <w:left w:val="nil"/>
              <w:bottom w:val="nil"/>
              <w:right w:val="nil"/>
            </w:tcBorders>
          </w:tcPr>
          <w:p w14:paraId="2C6A43A7"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(-1.77)</w:t>
            </w:r>
          </w:p>
        </w:tc>
        <w:tc>
          <w:tcPr>
            <w:tcW w:w="1656" w:type="dxa"/>
            <w:tcBorders>
              <w:top w:val="nil"/>
              <w:left w:val="nil"/>
              <w:bottom w:val="nil"/>
              <w:right w:val="nil"/>
            </w:tcBorders>
          </w:tcPr>
          <w:p w14:paraId="03B221B5"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(-0.68)</w:t>
            </w:r>
          </w:p>
        </w:tc>
      </w:tr>
      <w:tr w:rsidR="00E26EB2" w14:paraId="788E2603" w14:textId="77777777" w:rsidTr="00015B88">
        <w:tc>
          <w:tcPr>
            <w:tcW w:w="2136" w:type="dxa"/>
            <w:tcBorders>
              <w:top w:val="nil"/>
              <w:left w:val="nil"/>
              <w:bottom w:val="nil"/>
              <w:right w:val="nil"/>
            </w:tcBorders>
          </w:tcPr>
          <w:p w14:paraId="69B0BDC2"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C6CB622"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1941D74"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A3AC296"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B47A6FE"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6DE4872"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p>
        </w:tc>
      </w:tr>
      <w:tr w:rsidR="00E26EB2" w14:paraId="133E0A52" w14:textId="77777777" w:rsidTr="00015B88">
        <w:tc>
          <w:tcPr>
            <w:tcW w:w="2136" w:type="dxa"/>
            <w:tcBorders>
              <w:top w:val="nil"/>
              <w:left w:val="nil"/>
              <w:bottom w:val="nil"/>
              <w:right w:val="nil"/>
            </w:tcBorders>
          </w:tcPr>
          <w:p w14:paraId="005530D0"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5F3E4871"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1.047</w:t>
            </w:r>
          </w:p>
        </w:tc>
        <w:tc>
          <w:tcPr>
            <w:tcW w:w="1656" w:type="dxa"/>
            <w:tcBorders>
              <w:top w:val="nil"/>
              <w:left w:val="nil"/>
              <w:bottom w:val="nil"/>
              <w:right w:val="nil"/>
            </w:tcBorders>
          </w:tcPr>
          <w:p w14:paraId="736E0FAF"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656" w:type="dxa"/>
            <w:tcBorders>
              <w:top w:val="nil"/>
              <w:left w:val="nil"/>
              <w:bottom w:val="nil"/>
              <w:right w:val="nil"/>
            </w:tcBorders>
          </w:tcPr>
          <w:p w14:paraId="605CA5BB"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0.353</w:t>
            </w:r>
          </w:p>
        </w:tc>
        <w:tc>
          <w:tcPr>
            <w:tcW w:w="1656" w:type="dxa"/>
            <w:tcBorders>
              <w:top w:val="nil"/>
              <w:left w:val="nil"/>
              <w:bottom w:val="nil"/>
              <w:right w:val="nil"/>
            </w:tcBorders>
          </w:tcPr>
          <w:p w14:paraId="5D4EEC32"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1.351</w:t>
            </w:r>
          </w:p>
        </w:tc>
        <w:tc>
          <w:tcPr>
            <w:tcW w:w="1656" w:type="dxa"/>
            <w:tcBorders>
              <w:top w:val="nil"/>
              <w:left w:val="nil"/>
              <w:bottom w:val="nil"/>
              <w:right w:val="nil"/>
            </w:tcBorders>
          </w:tcPr>
          <w:p w14:paraId="37C81E45"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-0.851</w:t>
            </w:r>
          </w:p>
        </w:tc>
      </w:tr>
      <w:tr w:rsidR="00E26EB2" w14:paraId="70D02B5A" w14:textId="77777777" w:rsidTr="00015B88">
        <w:tc>
          <w:tcPr>
            <w:tcW w:w="2136" w:type="dxa"/>
            <w:tcBorders>
              <w:top w:val="nil"/>
              <w:left w:val="nil"/>
              <w:bottom w:val="single" w:sz="4" w:space="0" w:color="auto"/>
              <w:right w:val="nil"/>
            </w:tcBorders>
          </w:tcPr>
          <w:p w14:paraId="4E1EA9AE"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09605367"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w:t>
            </w:r>
          </w:p>
        </w:tc>
        <w:tc>
          <w:tcPr>
            <w:tcW w:w="1656" w:type="dxa"/>
            <w:tcBorders>
              <w:top w:val="nil"/>
              <w:left w:val="nil"/>
              <w:bottom w:val="single" w:sz="4" w:space="0" w:color="auto"/>
              <w:right w:val="nil"/>
            </w:tcBorders>
          </w:tcPr>
          <w:p w14:paraId="4F6C4C11"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656" w:type="dxa"/>
            <w:tcBorders>
              <w:top w:val="nil"/>
              <w:left w:val="nil"/>
              <w:bottom w:val="single" w:sz="4" w:space="0" w:color="auto"/>
              <w:right w:val="nil"/>
            </w:tcBorders>
          </w:tcPr>
          <w:p w14:paraId="08AF041E"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656" w:type="dxa"/>
            <w:tcBorders>
              <w:top w:val="nil"/>
              <w:left w:val="nil"/>
              <w:bottom w:val="single" w:sz="4" w:space="0" w:color="auto"/>
              <w:right w:val="nil"/>
            </w:tcBorders>
          </w:tcPr>
          <w:p w14:paraId="3D3DA181"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(0.68)</w:t>
            </w:r>
          </w:p>
        </w:tc>
        <w:tc>
          <w:tcPr>
            <w:tcW w:w="1656" w:type="dxa"/>
            <w:tcBorders>
              <w:top w:val="nil"/>
              <w:left w:val="nil"/>
              <w:bottom w:val="single" w:sz="4" w:space="0" w:color="auto"/>
              <w:right w:val="nil"/>
            </w:tcBorders>
          </w:tcPr>
          <w:p w14:paraId="0069AAF5"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w:t>
            </w:r>
          </w:p>
        </w:tc>
      </w:tr>
      <w:tr w:rsidR="00E26EB2" w14:paraId="5B98C2BE" w14:textId="77777777" w:rsidTr="00015B88">
        <w:tc>
          <w:tcPr>
            <w:tcW w:w="2136" w:type="dxa"/>
            <w:tcBorders>
              <w:top w:val="nil"/>
              <w:left w:val="nil"/>
              <w:bottom w:val="single" w:sz="4" w:space="0" w:color="auto"/>
              <w:right w:val="nil"/>
            </w:tcBorders>
          </w:tcPr>
          <w:p w14:paraId="7D1C1E4B" w14:textId="77777777" w:rsidR="00E26EB2" w:rsidRDefault="00E26EB2"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3AC3228D"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211</w:t>
            </w:r>
          </w:p>
        </w:tc>
        <w:tc>
          <w:tcPr>
            <w:tcW w:w="1656" w:type="dxa"/>
            <w:tcBorders>
              <w:top w:val="nil"/>
              <w:left w:val="nil"/>
              <w:bottom w:val="single" w:sz="4" w:space="0" w:color="auto"/>
              <w:right w:val="nil"/>
            </w:tcBorders>
          </w:tcPr>
          <w:p w14:paraId="6B114613"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211</w:t>
            </w:r>
          </w:p>
        </w:tc>
        <w:tc>
          <w:tcPr>
            <w:tcW w:w="1656" w:type="dxa"/>
            <w:tcBorders>
              <w:top w:val="nil"/>
              <w:left w:val="nil"/>
              <w:bottom w:val="single" w:sz="4" w:space="0" w:color="auto"/>
              <w:right w:val="nil"/>
            </w:tcBorders>
          </w:tcPr>
          <w:p w14:paraId="10BA325A"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157</w:t>
            </w:r>
          </w:p>
        </w:tc>
        <w:tc>
          <w:tcPr>
            <w:tcW w:w="1656" w:type="dxa"/>
            <w:tcBorders>
              <w:top w:val="nil"/>
              <w:left w:val="nil"/>
              <w:bottom w:val="single" w:sz="4" w:space="0" w:color="auto"/>
              <w:right w:val="nil"/>
            </w:tcBorders>
          </w:tcPr>
          <w:p w14:paraId="522A6C74"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504</w:t>
            </w:r>
          </w:p>
        </w:tc>
        <w:tc>
          <w:tcPr>
            <w:tcW w:w="1656" w:type="dxa"/>
            <w:tcBorders>
              <w:top w:val="nil"/>
              <w:left w:val="nil"/>
              <w:bottom w:val="single" w:sz="4" w:space="0" w:color="auto"/>
              <w:right w:val="nil"/>
            </w:tcBorders>
          </w:tcPr>
          <w:p w14:paraId="408F7C1A" w14:textId="77777777" w:rsidR="00E26EB2" w:rsidRDefault="00E26EB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642</w:t>
            </w:r>
          </w:p>
        </w:tc>
      </w:tr>
    </w:tbl>
    <w:p w14:paraId="0E73CFF0" w14:textId="77777777" w:rsidR="00E26EB2" w:rsidRDefault="00E26EB2" w:rsidP="00E26EB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0BFCE6A8" w14:textId="77777777" w:rsidR="00E26EB2" w:rsidRDefault="00E26EB2" w:rsidP="00E26EB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8850C0" w14:paraId="3B9A5C2E" w14:textId="77777777" w:rsidTr="00015B88">
        <w:tc>
          <w:tcPr>
            <w:tcW w:w="2136" w:type="dxa"/>
            <w:tcBorders>
              <w:top w:val="single" w:sz="4" w:space="0" w:color="auto"/>
              <w:left w:val="nil"/>
              <w:bottom w:val="nil"/>
              <w:right w:val="nil"/>
            </w:tcBorders>
          </w:tcPr>
          <w:p w14:paraId="17D7600D"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3C8C7E42"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74D471E8"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1522B982"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70337D2D"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02561619"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8850C0" w14:paraId="26D20B55" w14:textId="77777777" w:rsidTr="00015B88">
        <w:tc>
          <w:tcPr>
            <w:tcW w:w="2136" w:type="dxa"/>
            <w:tcBorders>
              <w:top w:val="nil"/>
              <w:left w:val="nil"/>
              <w:bottom w:val="nil"/>
              <w:right w:val="nil"/>
            </w:tcBorders>
          </w:tcPr>
          <w:p w14:paraId="2BCF12CD"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21114E5"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245B678A"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619FE482"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4E0E4517"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147D527C"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8850C0" w14:paraId="7007F385" w14:textId="77777777" w:rsidTr="00015B88">
        <w:tc>
          <w:tcPr>
            <w:tcW w:w="2136" w:type="dxa"/>
            <w:tcBorders>
              <w:top w:val="single" w:sz="4" w:space="0" w:color="auto"/>
              <w:left w:val="nil"/>
              <w:bottom w:val="nil"/>
              <w:right w:val="nil"/>
            </w:tcBorders>
          </w:tcPr>
          <w:p w14:paraId="63097CC4"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7E045094"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-7.591</w:t>
            </w:r>
          </w:p>
        </w:tc>
        <w:tc>
          <w:tcPr>
            <w:tcW w:w="1656" w:type="dxa"/>
            <w:tcBorders>
              <w:top w:val="single" w:sz="4" w:space="0" w:color="auto"/>
              <w:left w:val="nil"/>
              <w:bottom w:val="nil"/>
              <w:right w:val="nil"/>
            </w:tcBorders>
          </w:tcPr>
          <w:p w14:paraId="069434C1"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-5.331</w:t>
            </w:r>
          </w:p>
        </w:tc>
        <w:tc>
          <w:tcPr>
            <w:tcW w:w="1656" w:type="dxa"/>
            <w:tcBorders>
              <w:top w:val="single" w:sz="4" w:space="0" w:color="auto"/>
              <w:left w:val="nil"/>
              <w:bottom w:val="nil"/>
              <w:right w:val="nil"/>
            </w:tcBorders>
          </w:tcPr>
          <w:p w14:paraId="7EB894AB"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-15.12</w:t>
            </w:r>
          </w:p>
        </w:tc>
        <w:tc>
          <w:tcPr>
            <w:tcW w:w="1656" w:type="dxa"/>
            <w:tcBorders>
              <w:top w:val="single" w:sz="4" w:space="0" w:color="auto"/>
              <w:left w:val="nil"/>
              <w:bottom w:val="nil"/>
              <w:right w:val="nil"/>
            </w:tcBorders>
          </w:tcPr>
          <w:p w14:paraId="0A2C6C0B"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-2.783</w:t>
            </w:r>
          </w:p>
        </w:tc>
        <w:tc>
          <w:tcPr>
            <w:tcW w:w="1656" w:type="dxa"/>
            <w:tcBorders>
              <w:top w:val="single" w:sz="4" w:space="0" w:color="auto"/>
              <w:left w:val="nil"/>
              <w:bottom w:val="nil"/>
              <w:right w:val="nil"/>
            </w:tcBorders>
          </w:tcPr>
          <w:p w14:paraId="6539A8A7"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-2.278</w:t>
            </w:r>
          </w:p>
        </w:tc>
      </w:tr>
      <w:tr w:rsidR="008850C0" w14:paraId="7AAA2B3E" w14:textId="77777777" w:rsidTr="00015B88">
        <w:tc>
          <w:tcPr>
            <w:tcW w:w="2136" w:type="dxa"/>
            <w:tcBorders>
              <w:top w:val="nil"/>
              <w:left w:val="nil"/>
              <w:bottom w:val="nil"/>
              <w:right w:val="nil"/>
            </w:tcBorders>
          </w:tcPr>
          <w:p w14:paraId="7C1621E2"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81EE2F2"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(-0.70)</w:t>
            </w:r>
          </w:p>
        </w:tc>
        <w:tc>
          <w:tcPr>
            <w:tcW w:w="1656" w:type="dxa"/>
            <w:tcBorders>
              <w:top w:val="nil"/>
              <w:left w:val="nil"/>
              <w:bottom w:val="nil"/>
              <w:right w:val="nil"/>
            </w:tcBorders>
          </w:tcPr>
          <w:p w14:paraId="53F543E4"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(-0.59)</w:t>
            </w:r>
          </w:p>
        </w:tc>
        <w:tc>
          <w:tcPr>
            <w:tcW w:w="1656" w:type="dxa"/>
            <w:tcBorders>
              <w:top w:val="nil"/>
              <w:left w:val="nil"/>
              <w:bottom w:val="nil"/>
              <w:right w:val="nil"/>
            </w:tcBorders>
          </w:tcPr>
          <w:p w14:paraId="033A63EA"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656" w:type="dxa"/>
            <w:tcBorders>
              <w:top w:val="nil"/>
              <w:left w:val="nil"/>
              <w:bottom w:val="nil"/>
              <w:right w:val="nil"/>
            </w:tcBorders>
          </w:tcPr>
          <w:p w14:paraId="7217B290"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(-0.87)</w:t>
            </w:r>
          </w:p>
        </w:tc>
        <w:tc>
          <w:tcPr>
            <w:tcW w:w="1656" w:type="dxa"/>
            <w:tcBorders>
              <w:top w:val="nil"/>
              <w:left w:val="nil"/>
              <w:bottom w:val="nil"/>
              <w:right w:val="nil"/>
            </w:tcBorders>
          </w:tcPr>
          <w:p w14:paraId="122A451D"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8850C0" w14:paraId="219BAA6A" w14:textId="77777777" w:rsidTr="00015B88">
        <w:tc>
          <w:tcPr>
            <w:tcW w:w="2136" w:type="dxa"/>
            <w:tcBorders>
              <w:top w:val="nil"/>
              <w:left w:val="nil"/>
              <w:bottom w:val="nil"/>
              <w:right w:val="nil"/>
            </w:tcBorders>
          </w:tcPr>
          <w:p w14:paraId="6D49F530"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9502274"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246AB43"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C24EB21"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F5D16E5"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1443B17"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p>
        </w:tc>
      </w:tr>
      <w:tr w:rsidR="008850C0" w14:paraId="1E647F1B" w14:textId="77777777" w:rsidTr="00015B88">
        <w:tc>
          <w:tcPr>
            <w:tcW w:w="2136" w:type="dxa"/>
            <w:tcBorders>
              <w:top w:val="nil"/>
              <w:left w:val="nil"/>
              <w:bottom w:val="nil"/>
              <w:right w:val="nil"/>
            </w:tcBorders>
          </w:tcPr>
          <w:p w14:paraId="6BE55BCD"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58FFC99F"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-0.0924</w:t>
            </w:r>
          </w:p>
        </w:tc>
        <w:tc>
          <w:tcPr>
            <w:tcW w:w="1656" w:type="dxa"/>
            <w:tcBorders>
              <w:top w:val="nil"/>
              <w:left w:val="nil"/>
              <w:bottom w:val="nil"/>
              <w:right w:val="nil"/>
            </w:tcBorders>
          </w:tcPr>
          <w:p w14:paraId="67E6C63B"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-0.0624</w:t>
            </w:r>
          </w:p>
        </w:tc>
        <w:tc>
          <w:tcPr>
            <w:tcW w:w="1656" w:type="dxa"/>
            <w:tcBorders>
              <w:top w:val="nil"/>
              <w:left w:val="nil"/>
              <w:bottom w:val="nil"/>
              <w:right w:val="nil"/>
            </w:tcBorders>
          </w:tcPr>
          <w:p w14:paraId="1B4FADBD"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-0.245</w:t>
            </w:r>
          </w:p>
        </w:tc>
        <w:tc>
          <w:tcPr>
            <w:tcW w:w="1656" w:type="dxa"/>
            <w:tcBorders>
              <w:top w:val="nil"/>
              <w:left w:val="nil"/>
              <w:bottom w:val="nil"/>
              <w:right w:val="nil"/>
            </w:tcBorders>
          </w:tcPr>
          <w:p w14:paraId="5AC8D924"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663F1DBB"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-0.0598</w:t>
            </w:r>
          </w:p>
        </w:tc>
      </w:tr>
      <w:tr w:rsidR="008850C0" w14:paraId="4DC12ABC" w14:textId="77777777" w:rsidTr="00015B88">
        <w:tc>
          <w:tcPr>
            <w:tcW w:w="2136" w:type="dxa"/>
            <w:tcBorders>
              <w:top w:val="nil"/>
              <w:left w:val="nil"/>
              <w:bottom w:val="nil"/>
              <w:right w:val="nil"/>
            </w:tcBorders>
          </w:tcPr>
          <w:p w14:paraId="106CDF11"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BB641C1"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w:t>
            </w:r>
          </w:p>
        </w:tc>
        <w:tc>
          <w:tcPr>
            <w:tcW w:w="1656" w:type="dxa"/>
            <w:tcBorders>
              <w:top w:val="nil"/>
              <w:left w:val="nil"/>
              <w:bottom w:val="nil"/>
              <w:right w:val="nil"/>
            </w:tcBorders>
          </w:tcPr>
          <w:p w14:paraId="5A0553E4"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656" w:type="dxa"/>
            <w:tcBorders>
              <w:top w:val="nil"/>
              <w:left w:val="nil"/>
              <w:bottom w:val="nil"/>
              <w:right w:val="nil"/>
            </w:tcBorders>
          </w:tcPr>
          <w:p w14:paraId="1970364F"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w:t>
            </w:r>
          </w:p>
        </w:tc>
        <w:tc>
          <w:tcPr>
            <w:tcW w:w="1656" w:type="dxa"/>
            <w:tcBorders>
              <w:top w:val="nil"/>
              <w:left w:val="nil"/>
              <w:bottom w:val="nil"/>
              <w:right w:val="nil"/>
            </w:tcBorders>
          </w:tcPr>
          <w:p w14:paraId="00E03E6F"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(-3.77)</w:t>
            </w:r>
          </w:p>
        </w:tc>
        <w:tc>
          <w:tcPr>
            <w:tcW w:w="1656" w:type="dxa"/>
            <w:tcBorders>
              <w:top w:val="nil"/>
              <w:left w:val="nil"/>
              <w:bottom w:val="nil"/>
              <w:right w:val="nil"/>
            </w:tcBorders>
          </w:tcPr>
          <w:p w14:paraId="35C7D19C"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8850C0" w14:paraId="2BC92585" w14:textId="77777777" w:rsidTr="00015B88">
        <w:tc>
          <w:tcPr>
            <w:tcW w:w="2136" w:type="dxa"/>
            <w:tcBorders>
              <w:top w:val="nil"/>
              <w:left w:val="nil"/>
              <w:bottom w:val="nil"/>
              <w:right w:val="nil"/>
            </w:tcBorders>
          </w:tcPr>
          <w:p w14:paraId="0691442B"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DF0DF3F"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CB11B26"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16B6189"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F89B1CA"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076773D"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p>
        </w:tc>
      </w:tr>
      <w:tr w:rsidR="008850C0" w14:paraId="4E1D3A66" w14:textId="77777777" w:rsidTr="00015B88">
        <w:tc>
          <w:tcPr>
            <w:tcW w:w="2136" w:type="dxa"/>
            <w:tcBorders>
              <w:top w:val="nil"/>
              <w:left w:val="nil"/>
              <w:bottom w:val="nil"/>
              <w:right w:val="nil"/>
            </w:tcBorders>
          </w:tcPr>
          <w:p w14:paraId="5EB1284C"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4D63C24D"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7.725</w:t>
            </w:r>
          </w:p>
        </w:tc>
        <w:tc>
          <w:tcPr>
            <w:tcW w:w="1656" w:type="dxa"/>
            <w:tcBorders>
              <w:top w:val="nil"/>
              <w:left w:val="nil"/>
              <w:bottom w:val="nil"/>
              <w:right w:val="nil"/>
            </w:tcBorders>
          </w:tcPr>
          <w:p w14:paraId="0721E3E2"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5.330</w:t>
            </w:r>
          </w:p>
        </w:tc>
        <w:tc>
          <w:tcPr>
            <w:tcW w:w="1656" w:type="dxa"/>
            <w:tcBorders>
              <w:top w:val="nil"/>
              <w:left w:val="nil"/>
              <w:bottom w:val="nil"/>
              <w:right w:val="nil"/>
            </w:tcBorders>
          </w:tcPr>
          <w:p w14:paraId="3A301BC2"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15.71</w:t>
            </w:r>
          </w:p>
        </w:tc>
        <w:tc>
          <w:tcPr>
            <w:tcW w:w="1656" w:type="dxa"/>
            <w:tcBorders>
              <w:top w:val="nil"/>
              <w:left w:val="nil"/>
              <w:bottom w:val="nil"/>
              <w:right w:val="nil"/>
            </w:tcBorders>
          </w:tcPr>
          <w:p w14:paraId="62A5C654"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6.401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CB67117"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3.028</w:t>
            </w:r>
          </w:p>
        </w:tc>
      </w:tr>
      <w:tr w:rsidR="008850C0" w14:paraId="69B45B7F" w14:textId="77777777" w:rsidTr="00015B88">
        <w:tc>
          <w:tcPr>
            <w:tcW w:w="2136" w:type="dxa"/>
            <w:tcBorders>
              <w:top w:val="nil"/>
              <w:left w:val="nil"/>
              <w:bottom w:val="single" w:sz="4" w:space="0" w:color="auto"/>
              <w:right w:val="nil"/>
            </w:tcBorders>
          </w:tcPr>
          <w:p w14:paraId="525639FD"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50FB7E12"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w:t>
            </w:r>
          </w:p>
        </w:tc>
        <w:tc>
          <w:tcPr>
            <w:tcW w:w="1656" w:type="dxa"/>
            <w:tcBorders>
              <w:top w:val="nil"/>
              <w:left w:val="nil"/>
              <w:bottom w:val="single" w:sz="4" w:space="0" w:color="auto"/>
              <w:right w:val="nil"/>
            </w:tcBorders>
          </w:tcPr>
          <w:p w14:paraId="5B20463D"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656" w:type="dxa"/>
            <w:tcBorders>
              <w:top w:val="nil"/>
              <w:left w:val="nil"/>
              <w:bottom w:val="single" w:sz="4" w:space="0" w:color="auto"/>
              <w:right w:val="nil"/>
            </w:tcBorders>
          </w:tcPr>
          <w:p w14:paraId="003379DD"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1656" w:type="dxa"/>
            <w:tcBorders>
              <w:top w:val="nil"/>
              <w:left w:val="nil"/>
              <w:bottom w:val="single" w:sz="4" w:space="0" w:color="auto"/>
              <w:right w:val="nil"/>
            </w:tcBorders>
          </w:tcPr>
          <w:p w14:paraId="51D6D5BF"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(2.31)</w:t>
            </w:r>
          </w:p>
        </w:tc>
        <w:tc>
          <w:tcPr>
            <w:tcW w:w="1656" w:type="dxa"/>
            <w:tcBorders>
              <w:top w:val="nil"/>
              <w:left w:val="nil"/>
              <w:bottom w:val="single" w:sz="4" w:space="0" w:color="auto"/>
              <w:right w:val="nil"/>
            </w:tcBorders>
          </w:tcPr>
          <w:p w14:paraId="39D2DEA6"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w:t>
            </w:r>
          </w:p>
        </w:tc>
      </w:tr>
      <w:tr w:rsidR="008850C0" w14:paraId="6F64E3F8" w14:textId="77777777" w:rsidTr="00015B88">
        <w:tc>
          <w:tcPr>
            <w:tcW w:w="2136" w:type="dxa"/>
            <w:tcBorders>
              <w:top w:val="nil"/>
              <w:left w:val="nil"/>
              <w:bottom w:val="single" w:sz="4" w:space="0" w:color="auto"/>
              <w:right w:val="nil"/>
            </w:tcBorders>
          </w:tcPr>
          <w:p w14:paraId="47270522" w14:textId="77777777" w:rsidR="008850C0" w:rsidRDefault="008850C0"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3EFCB5B4"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212</w:t>
            </w:r>
          </w:p>
        </w:tc>
        <w:tc>
          <w:tcPr>
            <w:tcW w:w="1656" w:type="dxa"/>
            <w:tcBorders>
              <w:top w:val="nil"/>
              <w:left w:val="nil"/>
              <w:bottom w:val="single" w:sz="4" w:space="0" w:color="auto"/>
              <w:right w:val="nil"/>
            </w:tcBorders>
          </w:tcPr>
          <w:p w14:paraId="7FD397BF"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213</w:t>
            </w:r>
          </w:p>
        </w:tc>
        <w:tc>
          <w:tcPr>
            <w:tcW w:w="1656" w:type="dxa"/>
            <w:tcBorders>
              <w:top w:val="nil"/>
              <w:left w:val="nil"/>
              <w:bottom w:val="single" w:sz="4" w:space="0" w:color="auto"/>
              <w:right w:val="nil"/>
            </w:tcBorders>
          </w:tcPr>
          <w:p w14:paraId="73718706"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162</w:t>
            </w:r>
          </w:p>
        </w:tc>
        <w:tc>
          <w:tcPr>
            <w:tcW w:w="1656" w:type="dxa"/>
            <w:tcBorders>
              <w:top w:val="nil"/>
              <w:left w:val="nil"/>
              <w:bottom w:val="single" w:sz="4" w:space="0" w:color="auto"/>
              <w:right w:val="nil"/>
            </w:tcBorders>
          </w:tcPr>
          <w:p w14:paraId="6555EF22"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656" w:type="dxa"/>
            <w:tcBorders>
              <w:top w:val="nil"/>
              <w:left w:val="nil"/>
              <w:bottom w:val="single" w:sz="4" w:space="0" w:color="auto"/>
              <w:right w:val="nil"/>
            </w:tcBorders>
          </w:tcPr>
          <w:p w14:paraId="2CC3D23B" w14:textId="77777777" w:rsidR="008850C0" w:rsidRDefault="008850C0"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618</w:t>
            </w:r>
          </w:p>
        </w:tc>
      </w:tr>
    </w:tbl>
    <w:p w14:paraId="0C8A8653" w14:textId="77777777" w:rsidR="008850C0" w:rsidRDefault="008850C0" w:rsidP="008850C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394FE0EA" w14:textId="77777777" w:rsidR="008850C0" w:rsidRDefault="008850C0" w:rsidP="008850C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487444C7" w14:textId="77777777" w:rsidR="008850C0" w:rsidRDefault="008850C0" w:rsidP="008850C0">
      <w:pPr>
        <w:widowControl w:val="0"/>
        <w:autoSpaceDE w:val="0"/>
        <w:autoSpaceDN w:val="0"/>
        <w:adjustRightInd w:val="0"/>
        <w:spacing w:after="0" w:line="240" w:lineRule="auto"/>
        <w:rPr>
          <w:rFonts w:ascii="Times New Roman" w:hAnsi="Times New Roman" w:cs="Times New Roman"/>
          <w:sz w:val="24"/>
          <w:szCs w:val="24"/>
        </w:rPr>
      </w:pPr>
    </w:p>
    <w:p w14:paraId="11D08A34" w14:textId="77777777" w:rsidR="00C75D55" w:rsidRPr="00102C68" w:rsidRDefault="00C75D55" w:rsidP="00C75D55">
      <w:pPr>
        <w:widowControl w:val="0"/>
        <w:autoSpaceDE w:val="0"/>
        <w:autoSpaceDN w:val="0"/>
        <w:adjustRightInd w:val="0"/>
        <w:spacing w:after="0" w:line="240" w:lineRule="auto"/>
        <w:rPr>
          <w:rFonts w:ascii="Times New Roman" w:hAnsi="Times New Roman" w:cs="Times New Roman"/>
          <w:sz w:val="20"/>
          <w:szCs w:val="20"/>
          <w:highlight w:val="yellow"/>
        </w:rPr>
      </w:pPr>
    </w:p>
    <w:p w14:paraId="0F5FEFB7" w14:textId="7B22BA36" w:rsidR="007039A5" w:rsidRPr="00895D38" w:rsidRDefault="00D10826" w:rsidP="007039A5">
      <w:r w:rsidRPr="00E606AB">
        <w:t xml:space="preserve">Table </w:t>
      </w:r>
      <w:r w:rsidR="00C75D55" w:rsidRPr="00E606AB">
        <w:t>A1</w:t>
      </w:r>
      <w:r w:rsidR="00A002D9" w:rsidRPr="00E606AB">
        <w:t>9</w:t>
      </w:r>
      <w:r w:rsidR="00C75D55" w:rsidRPr="00E606AB">
        <w:t xml:space="preserve">: </w:t>
      </w:r>
      <w:r w:rsidRPr="00E606AB">
        <w:t>Democracy Interaction Term Analysis</w:t>
      </w:r>
    </w:p>
    <w:tbl>
      <w:tblPr>
        <w:tblW w:w="10416" w:type="dxa"/>
        <w:tblLayout w:type="fixed"/>
        <w:tblLook w:val="0000" w:firstRow="0" w:lastRow="0" w:firstColumn="0" w:lastColumn="0" w:noHBand="0" w:noVBand="0"/>
      </w:tblPr>
      <w:tblGrid>
        <w:gridCol w:w="2136"/>
        <w:gridCol w:w="1656"/>
        <w:gridCol w:w="1656"/>
        <w:gridCol w:w="1656"/>
        <w:gridCol w:w="1656"/>
        <w:gridCol w:w="1656"/>
      </w:tblGrid>
      <w:tr w:rsidR="00D83A54" w14:paraId="07993CF9" w14:textId="77777777" w:rsidTr="00F16287">
        <w:tc>
          <w:tcPr>
            <w:tcW w:w="2136" w:type="dxa"/>
            <w:tcBorders>
              <w:top w:val="single" w:sz="4" w:space="0" w:color="auto"/>
              <w:left w:val="nil"/>
              <w:bottom w:val="nil"/>
              <w:right w:val="nil"/>
            </w:tcBorders>
          </w:tcPr>
          <w:p w14:paraId="3A38C486"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2ED812DD"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32586C06"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0534DD74"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58205241"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6B005A68"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D83A54" w14:paraId="06B98D63" w14:textId="77777777" w:rsidTr="00F16287">
        <w:tc>
          <w:tcPr>
            <w:tcW w:w="2136" w:type="dxa"/>
            <w:tcBorders>
              <w:top w:val="nil"/>
              <w:left w:val="nil"/>
              <w:bottom w:val="nil"/>
              <w:right w:val="nil"/>
            </w:tcBorders>
          </w:tcPr>
          <w:p w14:paraId="1CC4D33B"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5E84FCE"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7C4A75B6"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4F92CC30"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4DB03E0E"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7D497925"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D83A54" w14:paraId="6DA7A607" w14:textId="77777777" w:rsidTr="00F16287">
        <w:tc>
          <w:tcPr>
            <w:tcW w:w="2136" w:type="dxa"/>
            <w:tcBorders>
              <w:top w:val="single" w:sz="4" w:space="0" w:color="auto"/>
              <w:left w:val="nil"/>
              <w:bottom w:val="nil"/>
              <w:right w:val="nil"/>
            </w:tcBorders>
          </w:tcPr>
          <w:p w14:paraId="1771B5B5" w14:textId="77777777" w:rsidR="00D83A54" w:rsidRPr="00C26875" w:rsidRDefault="00D83A54" w:rsidP="00F16287">
            <w:pPr>
              <w:widowControl w:val="0"/>
              <w:autoSpaceDE w:val="0"/>
              <w:autoSpaceDN w:val="0"/>
              <w:adjustRightInd w:val="0"/>
              <w:spacing w:after="0" w:line="240" w:lineRule="auto"/>
              <w:rPr>
                <w:rFonts w:ascii="Times New Roman" w:hAnsi="Times New Roman" w:cs="Times New Roman"/>
                <w:sz w:val="24"/>
                <w:szCs w:val="24"/>
                <w:lang w:val="fr-BE"/>
              </w:rPr>
            </w:pPr>
            <w:r w:rsidRPr="00C26875">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005490B6"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0.398</w:t>
            </w:r>
          </w:p>
        </w:tc>
        <w:tc>
          <w:tcPr>
            <w:tcW w:w="1656" w:type="dxa"/>
            <w:tcBorders>
              <w:top w:val="single" w:sz="4" w:space="0" w:color="auto"/>
              <w:left w:val="nil"/>
              <w:bottom w:val="nil"/>
              <w:right w:val="nil"/>
            </w:tcBorders>
          </w:tcPr>
          <w:p w14:paraId="4740532F"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-0.205</w:t>
            </w:r>
          </w:p>
        </w:tc>
        <w:tc>
          <w:tcPr>
            <w:tcW w:w="1656" w:type="dxa"/>
            <w:tcBorders>
              <w:top w:val="single" w:sz="4" w:space="0" w:color="auto"/>
              <w:left w:val="nil"/>
              <w:bottom w:val="nil"/>
              <w:right w:val="nil"/>
            </w:tcBorders>
          </w:tcPr>
          <w:p w14:paraId="09C40D58"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0.722</w:t>
            </w:r>
          </w:p>
        </w:tc>
        <w:tc>
          <w:tcPr>
            <w:tcW w:w="1656" w:type="dxa"/>
            <w:tcBorders>
              <w:top w:val="single" w:sz="4" w:space="0" w:color="auto"/>
              <w:left w:val="nil"/>
              <w:bottom w:val="nil"/>
              <w:right w:val="nil"/>
            </w:tcBorders>
          </w:tcPr>
          <w:p w14:paraId="41408D9C"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-0.728</w:t>
            </w:r>
            <w:r>
              <w:rPr>
                <w:rFonts w:ascii="Times New Roman" w:hAnsi="Times New Roman" w:cs="Times New Roman"/>
                <w:sz w:val="24"/>
                <w:szCs w:val="24"/>
                <w:vertAlign w:val="superscript"/>
              </w:rPr>
              <w:t>*</w:t>
            </w:r>
          </w:p>
        </w:tc>
        <w:tc>
          <w:tcPr>
            <w:tcW w:w="1656" w:type="dxa"/>
            <w:tcBorders>
              <w:top w:val="single" w:sz="4" w:space="0" w:color="auto"/>
              <w:left w:val="nil"/>
              <w:bottom w:val="nil"/>
              <w:right w:val="nil"/>
            </w:tcBorders>
          </w:tcPr>
          <w:p w14:paraId="64856CB1"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0.962</w:t>
            </w:r>
            <w:r>
              <w:rPr>
                <w:rFonts w:ascii="Times New Roman" w:hAnsi="Times New Roman" w:cs="Times New Roman"/>
                <w:sz w:val="24"/>
                <w:szCs w:val="24"/>
                <w:vertAlign w:val="superscript"/>
              </w:rPr>
              <w:t>***</w:t>
            </w:r>
          </w:p>
        </w:tc>
      </w:tr>
      <w:tr w:rsidR="00D83A54" w14:paraId="2E78943C" w14:textId="77777777" w:rsidTr="00F16287">
        <w:tc>
          <w:tcPr>
            <w:tcW w:w="2136" w:type="dxa"/>
            <w:tcBorders>
              <w:top w:val="nil"/>
              <w:left w:val="nil"/>
              <w:bottom w:val="nil"/>
              <w:right w:val="nil"/>
            </w:tcBorders>
          </w:tcPr>
          <w:p w14:paraId="539951AE"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BDF52DC"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1656" w:type="dxa"/>
            <w:tcBorders>
              <w:top w:val="nil"/>
              <w:left w:val="nil"/>
              <w:bottom w:val="nil"/>
              <w:right w:val="nil"/>
            </w:tcBorders>
          </w:tcPr>
          <w:p w14:paraId="017A82D0"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w:t>
            </w:r>
          </w:p>
        </w:tc>
        <w:tc>
          <w:tcPr>
            <w:tcW w:w="1656" w:type="dxa"/>
            <w:tcBorders>
              <w:top w:val="nil"/>
              <w:left w:val="nil"/>
              <w:bottom w:val="nil"/>
              <w:right w:val="nil"/>
            </w:tcBorders>
          </w:tcPr>
          <w:p w14:paraId="53F92494"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w:t>
            </w:r>
          </w:p>
        </w:tc>
        <w:tc>
          <w:tcPr>
            <w:tcW w:w="1656" w:type="dxa"/>
            <w:tcBorders>
              <w:top w:val="nil"/>
              <w:left w:val="nil"/>
              <w:bottom w:val="nil"/>
              <w:right w:val="nil"/>
            </w:tcBorders>
          </w:tcPr>
          <w:p w14:paraId="17FD1264"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(-2.42)</w:t>
            </w:r>
          </w:p>
        </w:tc>
        <w:tc>
          <w:tcPr>
            <w:tcW w:w="1656" w:type="dxa"/>
            <w:tcBorders>
              <w:top w:val="nil"/>
              <w:left w:val="nil"/>
              <w:bottom w:val="nil"/>
              <w:right w:val="nil"/>
            </w:tcBorders>
          </w:tcPr>
          <w:p w14:paraId="62B7565A"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D83A54" w14:paraId="68EBEFF3" w14:textId="77777777" w:rsidTr="00F16287">
        <w:tc>
          <w:tcPr>
            <w:tcW w:w="2136" w:type="dxa"/>
            <w:tcBorders>
              <w:top w:val="nil"/>
              <w:left w:val="nil"/>
              <w:bottom w:val="nil"/>
              <w:right w:val="nil"/>
            </w:tcBorders>
          </w:tcPr>
          <w:p w14:paraId="62DB9DF5"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E47A9E1"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E4CE977"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7A55412"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C970837"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922D902"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r>
      <w:tr w:rsidR="00D83A54" w14:paraId="56EFDC38" w14:textId="77777777" w:rsidTr="00F16287">
        <w:tc>
          <w:tcPr>
            <w:tcW w:w="2136" w:type="dxa"/>
            <w:tcBorders>
              <w:top w:val="nil"/>
              <w:left w:val="nil"/>
              <w:bottom w:val="nil"/>
              <w:right w:val="nil"/>
            </w:tcBorders>
          </w:tcPr>
          <w:p w14:paraId="3E612F65"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316401AB"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-0.00541</w:t>
            </w:r>
          </w:p>
        </w:tc>
        <w:tc>
          <w:tcPr>
            <w:tcW w:w="1656" w:type="dxa"/>
            <w:tcBorders>
              <w:top w:val="nil"/>
              <w:left w:val="nil"/>
              <w:bottom w:val="nil"/>
              <w:right w:val="nil"/>
            </w:tcBorders>
          </w:tcPr>
          <w:p w14:paraId="64A0DE00"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A71A0E3"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435D3BF"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0.0162</w:t>
            </w:r>
          </w:p>
        </w:tc>
        <w:tc>
          <w:tcPr>
            <w:tcW w:w="1656" w:type="dxa"/>
            <w:tcBorders>
              <w:top w:val="nil"/>
              <w:left w:val="nil"/>
              <w:bottom w:val="nil"/>
              <w:right w:val="nil"/>
            </w:tcBorders>
          </w:tcPr>
          <w:p w14:paraId="60091177"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0.00266</w:t>
            </w:r>
          </w:p>
        </w:tc>
      </w:tr>
      <w:tr w:rsidR="00D83A54" w14:paraId="01A622BC" w14:textId="77777777" w:rsidTr="00F16287">
        <w:tc>
          <w:tcPr>
            <w:tcW w:w="2136" w:type="dxa"/>
            <w:tcBorders>
              <w:top w:val="nil"/>
              <w:left w:val="nil"/>
              <w:bottom w:val="nil"/>
              <w:right w:val="nil"/>
            </w:tcBorders>
          </w:tcPr>
          <w:p w14:paraId="4AE02FF4"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59C74CA"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w:t>
            </w:r>
          </w:p>
        </w:tc>
        <w:tc>
          <w:tcPr>
            <w:tcW w:w="1656" w:type="dxa"/>
            <w:tcBorders>
              <w:top w:val="nil"/>
              <w:left w:val="nil"/>
              <w:bottom w:val="nil"/>
              <w:right w:val="nil"/>
            </w:tcBorders>
          </w:tcPr>
          <w:p w14:paraId="2E39385C"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(-2.92)</w:t>
            </w:r>
          </w:p>
        </w:tc>
        <w:tc>
          <w:tcPr>
            <w:tcW w:w="1656" w:type="dxa"/>
            <w:tcBorders>
              <w:top w:val="nil"/>
              <w:left w:val="nil"/>
              <w:bottom w:val="nil"/>
              <w:right w:val="nil"/>
            </w:tcBorders>
          </w:tcPr>
          <w:p w14:paraId="6433E621"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(-2.35)</w:t>
            </w:r>
          </w:p>
        </w:tc>
        <w:tc>
          <w:tcPr>
            <w:tcW w:w="1656" w:type="dxa"/>
            <w:tcBorders>
              <w:top w:val="nil"/>
              <w:left w:val="nil"/>
              <w:bottom w:val="nil"/>
              <w:right w:val="nil"/>
            </w:tcBorders>
          </w:tcPr>
          <w:p w14:paraId="36106F7C"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(1.78)</w:t>
            </w:r>
          </w:p>
        </w:tc>
        <w:tc>
          <w:tcPr>
            <w:tcW w:w="1656" w:type="dxa"/>
            <w:tcBorders>
              <w:top w:val="nil"/>
              <w:left w:val="nil"/>
              <w:bottom w:val="nil"/>
              <w:right w:val="nil"/>
            </w:tcBorders>
          </w:tcPr>
          <w:p w14:paraId="2F91A650"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w:t>
            </w:r>
          </w:p>
        </w:tc>
      </w:tr>
      <w:tr w:rsidR="00D83A54" w14:paraId="29CE9E0B" w14:textId="77777777" w:rsidTr="00F16287">
        <w:tc>
          <w:tcPr>
            <w:tcW w:w="2136" w:type="dxa"/>
            <w:tcBorders>
              <w:top w:val="nil"/>
              <w:left w:val="nil"/>
              <w:bottom w:val="nil"/>
              <w:right w:val="nil"/>
            </w:tcBorders>
          </w:tcPr>
          <w:p w14:paraId="5D8F2757"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7E5126A"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A0061B3"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BB0C6CD"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7C777D8"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A4D7D5A"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r>
      <w:tr w:rsidR="00D83A54" w14:paraId="4766C8A0" w14:textId="77777777" w:rsidTr="00F16287">
        <w:tc>
          <w:tcPr>
            <w:tcW w:w="2136" w:type="dxa"/>
            <w:tcBorders>
              <w:top w:val="nil"/>
              <w:left w:val="nil"/>
              <w:bottom w:val="nil"/>
              <w:right w:val="nil"/>
            </w:tcBorders>
          </w:tcPr>
          <w:p w14:paraId="7691D63F" w14:textId="5CF44482" w:rsidR="00D83A54" w:rsidRDefault="001F3A7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Democracy</w:t>
            </w:r>
          </w:p>
        </w:tc>
        <w:tc>
          <w:tcPr>
            <w:tcW w:w="1656" w:type="dxa"/>
            <w:tcBorders>
              <w:top w:val="nil"/>
              <w:left w:val="nil"/>
              <w:bottom w:val="nil"/>
              <w:right w:val="nil"/>
            </w:tcBorders>
          </w:tcPr>
          <w:p w14:paraId="53D52F50"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0.713</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484F6CA"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0.323</w:t>
            </w:r>
          </w:p>
        </w:tc>
        <w:tc>
          <w:tcPr>
            <w:tcW w:w="1656" w:type="dxa"/>
            <w:tcBorders>
              <w:top w:val="nil"/>
              <w:left w:val="nil"/>
              <w:bottom w:val="nil"/>
              <w:right w:val="nil"/>
            </w:tcBorders>
          </w:tcPr>
          <w:p w14:paraId="6BFC7E58"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087E370"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0.188</w:t>
            </w:r>
          </w:p>
        </w:tc>
        <w:tc>
          <w:tcPr>
            <w:tcW w:w="1656" w:type="dxa"/>
            <w:tcBorders>
              <w:top w:val="nil"/>
              <w:left w:val="nil"/>
              <w:bottom w:val="nil"/>
              <w:right w:val="nil"/>
            </w:tcBorders>
          </w:tcPr>
          <w:p w14:paraId="082D2811"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-0.0392</w:t>
            </w:r>
          </w:p>
        </w:tc>
      </w:tr>
      <w:tr w:rsidR="00D83A54" w14:paraId="4F46DF1B" w14:textId="77777777" w:rsidTr="00F16287">
        <w:tc>
          <w:tcPr>
            <w:tcW w:w="2136" w:type="dxa"/>
            <w:tcBorders>
              <w:top w:val="nil"/>
              <w:left w:val="nil"/>
              <w:bottom w:val="nil"/>
              <w:right w:val="nil"/>
            </w:tcBorders>
          </w:tcPr>
          <w:p w14:paraId="4D2B81A8"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919FA94"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(3.68)</w:t>
            </w:r>
          </w:p>
        </w:tc>
        <w:tc>
          <w:tcPr>
            <w:tcW w:w="1656" w:type="dxa"/>
            <w:tcBorders>
              <w:top w:val="nil"/>
              <w:left w:val="nil"/>
              <w:bottom w:val="nil"/>
              <w:right w:val="nil"/>
            </w:tcBorders>
          </w:tcPr>
          <w:p w14:paraId="14AEAC80"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(1.72)</w:t>
            </w:r>
          </w:p>
        </w:tc>
        <w:tc>
          <w:tcPr>
            <w:tcW w:w="1656" w:type="dxa"/>
            <w:tcBorders>
              <w:top w:val="nil"/>
              <w:left w:val="nil"/>
              <w:bottom w:val="nil"/>
              <w:right w:val="nil"/>
            </w:tcBorders>
          </w:tcPr>
          <w:p w14:paraId="0C1C6ED7"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(2.15)</w:t>
            </w:r>
          </w:p>
        </w:tc>
        <w:tc>
          <w:tcPr>
            <w:tcW w:w="1656" w:type="dxa"/>
            <w:tcBorders>
              <w:top w:val="nil"/>
              <w:left w:val="nil"/>
              <w:bottom w:val="nil"/>
              <w:right w:val="nil"/>
            </w:tcBorders>
          </w:tcPr>
          <w:p w14:paraId="39D4D465"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(0.89)</w:t>
            </w:r>
          </w:p>
        </w:tc>
        <w:tc>
          <w:tcPr>
            <w:tcW w:w="1656" w:type="dxa"/>
            <w:tcBorders>
              <w:top w:val="nil"/>
              <w:left w:val="nil"/>
              <w:bottom w:val="nil"/>
              <w:right w:val="nil"/>
            </w:tcBorders>
          </w:tcPr>
          <w:p w14:paraId="34E4F990"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w:t>
            </w:r>
          </w:p>
        </w:tc>
      </w:tr>
      <w:tr w:rsidR="00D83A54" w14:paraId="3EAC3620" w14:textId="77777777" w:rsidTr="00F16287">
        <w:tc>
          <w:tcPr>
            <w:tcW w:w="2136" w:type="dxa"/>
            <w:tcBorders>
              <w:top w:val="nil"/>
              <w:left w:val="nil"/>
              <w:bottom w:val="nil"/>
              <w:right w:val="nil"/>
            </w:tcBorders>
          </w:tcPr>
          <w:p w14:paraId="6CE9E7D2"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46F5B66"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F12387D"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90DE47C"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503310E"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67DAEEB"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r>
      <w:tr w:rsidR="00D83A54" w14:paraId="15B683E4" w14:textId="77777777" w:rsidTr="00F16287">
        <w:tc>
          <w:tcPr>
            <w:tcW w:w="2136" w:type="dxa"/>
            <w:tcBorders>
              <w:top w:val="nil"/>
              <w:left w:val="nil"/>
              <w:bottom w:val="nil"/>
              <w:right w:val="nil"/>
            </w:tcBorders>
          </w:tcPr>
          <w:p w14:paraId="6FA551C6" w14:textId="5744D6C5" w:rsidR="00D83A54" w:rsidRDefault="001F3A7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Polity Democracy * </w:t>
            </w:r>
            <w:r w:rsidR="00D83A54">
              <w:rPr>
                <w:rFonts w:ascii="Times New Roman" w:hAnsi="Times New Roman" w:cs="Times New Roman"/>
                <w:sz w:val="24"/>
                <w:szCs w:val="24"/>
              </w:rPr>
              <w:t>De Jure CBI (CNW Index)</w:t>
            </w:r>
          </w:p>
        </w:tc>
        <w:tc>
          <w:tcPr>
            <w:tcW w:w="1656" w:type="dxa"/>
            <w:tcBorders>
              <w:top w:val="nil"/>
              <w:left w:val="nil"/>
              <w:bottom w:val="nil"/>
              <w:right w:val="nil"/>
            </w:tcBorders>
          </w:tcPr>
          <w:p w14:paraId="343F0534"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-0.253</w:t>
            </w:r>
          </w:p>
        </w:tc>
        <w:tc>
          <w:tcPr>
            <w:tcW w:w="1656" w:type="dxa"/>
            <w:tcBorders>
              <w:top w:val="nil"/>
              <w:left w:val="nil"/>
              <w:bottom w:val="nil"/>
              <w:right w:val="nil"/>
            </w:tcBorders>
          </w:tcPr>
          <w:p w14:paraId="70B7617F"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0.392</w:t>
            </w:r>
          </w:p>
        </w:tc>
        <w:tc>
          <w:tcPr>
            <w:tcW w:w="1656" w:type="dxa"/>
            <w:tcBorders>
              <w:top w:val="nil"/>
              <w:left w:val="nil"/>
              <w:bottom w:val="nil"/>
              <w:right w:val="nil"/>
            </w:tcBorders>
          </w:tcPr>
          <w:p w14:paraId="46243B86"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-0.618</w:t>
            </w:r>
          </w:p>
        </w:tc>
        <w:tc>
          <w:tcPr>
            <w:tcW w:w="1656" w:type="dxa"/>
            <w:tcBorders>
              <w:top w:val="nil"/>
              <w:left w:val="nil"/>
              <w:bottom w:val="nil"/>
              <w:right w:val="nil"/>
            </w:tcBorders>
          </w:tcPr>
          <w:p w14:paraId="770C5D37"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0.339</w:t>
            </w:r>
          </w:p>
        </w:tc>
        <w:tc>
          <w:tcPr>
            <w:tcW w:w="1656" w:type="dxa"/>
            <w:tcBorders>
              <w:top w:val="nil"/>
              <w:left w:val="nil"/>
              <w:bottom w:val="nil"/>
              <w:right w:val="nil"/>
            </w:tcBorders>
          </w:tcPr>
          <w:p w14:paraId="30610982"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0.00927</w:t>
            </w:r>
          </w:p>
        </w:tc>
      </w:tr>
      <w:tr w:rsidR="00D83A54" w14:paraId="72D61E8F" w14:textId="77777777" w:rsidTr="00F16287">
        <w:tc>
          <w:tcPr>
            <w:tcW w:w="2136" w:type="dxa"/>
            <w:tcBorders>
              <w:top w:val="nil"/>
              <w:left w:val="nil"/>
              <w:bottom w:val="nil"/>
              <w:right w:val="nil"/>
            </w:tcBorders>
          </w:tcPr>
          <w:p w14:paraId="15EE7622"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836A195"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656" w:type="dxa"/>
            <w:tcBorders>
              <w:top w:val="nil"/>
              <w:left w:val="nil"/>
              <w:bottom w:val="nil"/>
              <w:right w:val="nil"/>
            </w:tcBorders>
          </w:tcPr>
          <w:p w14:paraId="62E1C9E9"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w:t>
            </w:r>
          </w:p>
        </w:tc>
        <w:tc>
          <w:tcPr>
            <w:tcW w:w="1656" w:type="dxa"/>
            <w:tcBorders>
              <w:top w:val="nil"/>
              <w:left w:val="nil"/>
              <w:bottom w:val="nil"/>
              <w:right w:val="nil"/>
            </w:tcBorders>
          </w:tcPr>
          <w:p w14:paraId="0B0BE85C"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(-1.39)</w:t>
            </w:r>
          </w:p>
        </w:tc>
        <w:tc>
          <w:tcPr>
            <w:tcW w:w="1656" w:type="dxa"/>
            <w:tcBorders>
              <w:top w:val="nil"/>
              <w:left w:val="nil"/>
              <w:bottom w:val="nil"/>
              <w:right w:val="nil"/>
            </w:tcBorders>
          </w:tcPr>
          <w:p w14:paraId="62DDB66F"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(0.97)</w:t>
            </w:r>
          </w:p>
        </w:tc>
        <w:tc>
          <w:tcPr>
            <w:tcW w:w="1656" w:type="dxa"/>
            <w:tcBorders>
              <w:top w:val="nil"/>
              <w:left w:val="nil"/>
              <w:bottom w:val="nil"/>
              <w:right w:val="nil"/>
            </w:tcBorders>
          </w:tcPr>
          <w:p w14:paraId="6EACB62F"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r>
      <w:tr w:rsidR="00D83A54" w14:paraId="39632422" w14:textId="77777777" w:rsidTr="00F16287">
        <w:tc>
          <w:tcPr>
            <w:tcW w:w="2136" w:type="dxa"/>
            <w:tcBorders>
              <w:top w:val="nil"/>
              <w:left w:val="nil"/>
              <w:bottom w:val="nil"/>
              <w:right w:val="nil"/>
            </w:tcBorders>
          </w:tcPr>
          <w:p w14:paraId="1B5F4CF6"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2183A55"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68294DC"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A95AECA"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B5F4052"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0334176"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r>
      <w:tr w:rsidR="00D83A54" w14:paraId="56EBF0DE" w14:textId="77777777" w:rsidTr="00F16287">
        <w:tc>
          <w:tcPr>
            <w:tcW w:w="2136" w:type="dxa"/>
            <w:tcBorders>
              <w:top w:val="nil"/>
              <w:left w:val="nil"/>
              <w:bottom w:val="nil"/>
              <w:right w:val="nil"/>
            </w:tcBorders>
          </w:tcPr>
          <w:p w14:paraId="2B6E0525" w14:textId="3829EA54" w:rsidR="00D83A54" w:rsidRDefault="001F3A7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Democracy *</w:t>
            </w:r>
            <w:r w:rsidR="00D83A54">
              <w:rPr>
                <w:rFonts w:ascii="Times New Roman" w:hAnsi="Times New Roman" w:cs="Times New Roman"/>
                <w:sz w:val="24"/>
                <w:szCs w:val="24"/>
              </w:rPr>
              <w:t xml:space="preserve"> Exchange Rate Classification (RR inverted, higher = more fixed)</w:t>
            </w:r>
          </w:p>
        </w:tc>
        <w:tc>
          <w:tcPr>
            <w:tcW w:w="1656" w:type="dxa"/>
            <w:tcBorders>
              <w:top w:val="nil"/>
              <w:left w:val="nil"/>
              <w:bottom w:val="nil"/>
              <w:right w:val="nil"/>
            </w:tcBorders>
          </w:tcPr>
          <w:p w14:paraId="36C81949"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-0.00787</w:t>
            </w:r>
          </w:p>
        </w:tc>
        <w:tc>
          <w:tcPr>
            <w:tcW w:w="1656" w:type="dxa"/>
            <w:tcBorders>
              <w:top w:val="nil"/>
              <w:left w:val="nil"/>
              <w:bottom w:val="nil"/>
              <w:right w:val="nil"/>
            </w:tcBorders>
          </w:tcPr>
          <w:p w14:paraId="357ECBE1"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0.00416</w:t>
            </w:r>
          </w:p>
        </w:tc>
        <w:tc>
          <w:tcPr>
            <w:tcW w:w="1656" w:type="dxa"/>
            <w:tcBorders>
              <w:top w:val="nil"/>
              <w:left w:val="nil"/>
              <w:bottom w:val="nil"/>
              <w:right w:val="nil"/>
            </w:tcBorders>
          </w:tcPr>
          <w:p w14:paraId="5C603FB8"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0.0301</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3794C88"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-0.0131</w:t>
            </w:r>
          </w:p>
        </w:tc>
        <w:tc>
          <w:tcPr>
            <w:tcW w:w="1656" w:type="dxa"/>
            <w:tcBorders>
              <w:top w:val="nil"/>
              <w:left w:val="nil"/>
              <w:bottom w:val="nil"/>
              <w:right w:val="nil"/>
            </w:tcBorders>
          </w:tcPr>
          <w:p w14:paraId="0F7A03AE"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0.00832</w:t>
            </w:r>
          </w:p>
        </w:tc>
      </w:tr>
      <w:tr w:rsidR="00D83A54" w14:paraId="5C5F9928" w14:textId="77777777" w:rsidTr="00F16287">
        <w:tc>
          <w:tcPr>
            <w:tcW w:w="2136" w:type="dxa"/>
            <w:tcBorders>
              <w:top w:val="nil"/>
              <w:left w:val="nil"/>
              <w:bottom w:val="nil"/>
              <w:right w:val="nil"/>
            </w:tcBorders>
          </w:tcPr>
          <w:p w14:paraId="34845981"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46A7012"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(-0.68)</w:t>
            </w:r>
          </w:p>
        </w:tc>
        <w:tc>
          <w:tcPr>
            <w:tcW w:w="1656" w:type="dxa"/>
            <w:tcBorders>
              <w:top w:val="nil"/>
              <w:left w:val="nil"/>
              <w:bottom w:val="nil"/>
              <w:right w:val="nil"/>
            </w:tcBorders>
          </w:tcPr>
          <w:p w14:paraId="125A43F3"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656" w:type="dxa"/>
            <w:tcBorders>
              <w:top w:val="nil"/>
              <w:left w:val="nil"/>
              <w:bottom w:val="nil"/>
              <w:right w:val="nil"/>
            </w:tcBorders>
          </w:tcPr>
          <w:p w14:paraId="2BED79DA"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(2.06)</w:t>
            </w:r>
          </w:p>
        </w:tc>
        <w:tc>
          <w:tcPr>
            <w:tcW w:w="1656" w:type="dxa"/>
            <w:tcBorders>
              <w:top w:val="nil"/>
              <w:left w:val="nil"/>
              <w:bottom w:val="nil"/>
              <w:right w:val="nil"/>
            </w:tcBorders>
          </w:tcPr>
          <w:p w14:paraId="506858FE"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(-1.31)</w:t>
            </w:r>
          </w:p>
        </w:tc>
        <w:tc>
          <w:tcPr>
            <w:tcW w:w="1656" w:type="dxa"/>
            <w:tcBorders>
              <w:top w:val="nil"/>
              <w:left w:val="nil"/>
              <w:bottom w:val="nil"/>
              <w:right w:val="nil"/>
            </w:tcBorders>
          </w:tcPr>
          <w:p w14:paraId="4E2AD5F9"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w:t>
            </w:r>
          </w:p>
        </w:tc>
      </w:tr>
      <w:tr w:rsidR="00D83A54" w14:paraId="1953D371" w14:textId="77777777" w:rsidTr="00F16287">
        <w:tc>
          <w:tcPr>
            <w:tcW w:w="2136" w:type="dxa"/>
            <w:tcBorders>
              <w:top w:val="nil"/>
              <w:left w:val="nil"/>
              <w:bottom w:val="nil"/>
              <w:right w:val="nil"/>
            </w:tcBorders>
          </w:tcPr>
          <w:p w14:paraId="5A837C5B"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1468D53"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AA8499A"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51C3F02"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7AA1F8E"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4897B81"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r>
      <w:tr w:rsidR="00D83A54" w14:paraId="51DB3E94" w14:textId="77777777" w:rsidTr="00F16287">
        <w:tc>
          <w:tcPr>
            <w:tcW w:w="2136" w:type="dxa"/>
            <w:tcBorders>
              <w:top w:val="nil"/>
              <w:left w:val="nil"/>
              <w:bottom w:val="nil"/>
              <w:right w:val="nil"/>
            </w:tcBorders>
          </w:tcPr>
          <w:p w14:paraId="3FE345C8"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0CF8D82F"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0.142</w:t>
            </w:r>
          </w:p>
        </w:tc>
        <w:tc>
          <w:tcPr>
            <w:tcW w:w="1656" w:type="dxa"/>
            <w:tcBorders>
              <w:top w:val="nil"/>
              <w:left w:val="nil"/>
              <w:bottom w:val="nil"/>
              <w:right w:val="nil"/>
            </w:tcBorders>
          </w:tcPr>
          <w:p w14:paraId="418A4456"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0.289</w:t>
            </w:r>
          </w:p>
        </w:tc>
        <w:tc>
          <w:tcPr>
            <w:tcW w:w="1656" w:type="dxa"/>
            <w:tcBorders>
              <w:top w:val="nil"/>
              <w:left w:val="nil"/>
              <w:bottom w:val="nil"/>
              <w:right w:val="nil"/>
            </w:tcBorders>
          </w:tcPr>
          <w:p w14:paraId="706C7919"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0.255</w:t>
            </w:r>
          </w:p>
        </w:tc>
        <w:tc>
          <w:tcPr>
            <w:tcW w:w="1656" w:type="dxa"/>
            <w:tcBorders>
              <w:top w:val="nil"/>
              <w:left w:val="nil"/>
              <w:bottom w:val="nil"/>
              <w:right w:val="nil"/>
            </w:tcBorders>
          </w:tcPr>
          <w:p w14:paraId="0C6E9677"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-0.0721</w:t>
            </w:r>
          </w:p>
        </w:tc>
        <w:tc>
          <w:tcPr>
            <w:tcW w:w="1656" w:type="dxa"/>
            <w:tcBorders>
              <w:top w:val="nil"/>
              <w:left w:val="nil"/>
              <w:bottom w:val="nil"/>
              <w:right w:val="nil"/>
            </w:tcBorders>
          </w:tcPr>
          <w:p w14:paraId="098F19BE"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-0.0996</w:t>
            </w:r>
          </w:p>
        </w:tc>
      </w:tr>
      <w:tr w:rsidR="00D83A54" w14:paraId="0ABFB4E9" w14:textId="77777777" w:rsidTr="00F16287">
        <w:tc>
          <w:tcPr>
            <w:tcW w:w="2136" w:type="dxa"/>
            <w:tcBorders>
              <w:top w:val="nil"/>
              <w:left w:val="nil"/>
              <w:bottom w:val="single" w:sz="4" w:space="0" w:color="auto"/>
              <w:right w:val="nil"/>
            </w:tcBorders>
          </w:tcPr>
          <w:p w14:paraId="62FC8237"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0C1C58A4"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(0.81)</w:t>
            </w:r>
          </w:p>
        </w:tc>
        <w:tc>
          <w:tcPr>
            <w:tcW w:w="1656" w:type="dxa"/>
            <w:tcBorders>
              <w:top w:val="nil"/>
              <w:left w:val="nil"/>
              <w:bottom w:val="single" w:sz="4" w:space="0" w:color="auto"/>
              <w:right w:val="nil"/>
            </w:tcBorders>
          </w:tcPr>
          <w:p w14:paraId="36814B31"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(1.72)</w:t>
            </w:r>
          </w:p>
        </w:tc>
        <w:tc>
          <w:tcPr>
            <w:tcW w:w="1656" w:type="dxa"/>
            <w:tcBorders>
              <w:top w:val="nil"/>
              <w:left w:val="nil"/>
              <w:bottom w:val="single" w:sz="4" w:space="0" w:color="auto"/>
              <w:right w:val="nil"/>
            </w:tcBorders>
          </w:tcPr>
          <w:p w14:paraId="192E78CF"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1656" w:type="dxa"/>
            <w:tcBorders>
              <w:top w:val="nil"/>
              <w:left w:val="nil"/>
              <w:bottom w:val="single" w:sz="4" w:space="0" w:color="auto"/>
              <w:right w:val="nil"/>
            </w:tcBorders>
          </w:tcPr>
          <w:p w14:paraId="26DD6728"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656" w:type="dxa"/>
            <w:tcBorders>
              <w:top w:val="nil"/>
              <w:left w:val="nil"/>
              <w:bottom w:val="single" w:sz="4" w:space="0" w:color="auto"/>
              <w:right w:val="nil"/>
            </w:tcBorders>
          </w:tcPr>
          <w:p w14:paraId="16CB27B9"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w:t>
            </w:r>
          </w:p>
        </w:tc>
      </w:tr>
      <w:tr w:rsidR="00D83A54" w14:paraId="7705BAEB" w14:textId="77777777" w:rsidTr="00F16287">
        <w:tc>
          <w:tcPr>
            <w:tcW w:w="2136" w:type="dxa"/>
            <w:tcBorders>
              <w:top w:val="nil"/>
              <w:left w:val="nil"/>
              <w:bottom w:val="single" w:sz="4" w:space="0" w:color="auto"/>
              <w:right w:val="nil"/>
            </w:tcBorders>
          </w:tcPr>
          <w:p w14:paraId="778BF3CE" w14:textId="77777777" w:rsidR="00D83A54" w:rsidRDefault="00D83A54"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4F1529A2"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1304</w:t>
            </w:r>
          </w:p>
        </w:tc>
        <w:tc>
          <w:tcPr>
            <w:tcW w:w="1656" w:type="dxa"/>
            <w:tcBorders>
              <w:top w:val="nil"/>
              <w:left w:val="nil"/>
              <w:bottom w:val="single" w:sz="4" w:space="0" w:color="auto"/>
              <w:right w:val="nil"/>
            </w:tcBorders>
          </w:tcPr>
          <w:p w14:paraId="79EB192B"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1304</w:t>
            </w:r>
          </w:p>
        </w:tc>
        <w:tc>
          <w:tcPr>
            <w:tcW w:w="1656" w:type="dxa"/>
            <w:tcBorders>
              <w:top w:val="nil"/>
              <w:left w:val="nil"/>
              <w:bottom w:val="single" w:sz="4" w:space="0" w:color="auto"/>
              <w:right w:val="nil"/>
            </w:tcBorders>
          </w:tcPr>
          <w:p w14:paraId="4B318759"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1079</w:t>
            </w:r>
          </w:p>
        </w:tc>
        <w:tc>
          <w:tcPr>
            <w:tcW w:w="1656" w:type="dxa"/>
            <w:tcBorders>
              <w:top w:val="nil"/>
              <w:left w:val="nil"/>
              <w:bottom w:val="single" w:sz="4" w:space="0" w:color="auto"/>
              <w:right w:val="nil"/>
            </w:tcBorders>
          </w:tcPr>
          <w:p w14:paraId="46223D92"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2004</w:t>
            </w:r>
          </w:p>
        </w:tc>
        <w:tc>
          <w:tcPr>
            <w:tcW w:w="1656" w:type="dxa"/>
            <w:tcBorders>
              <w:top w:val="nil"/>
              <w:left w:val="nil"/>
              <w:bottom w:val="single" w:sz="4" w:space="0" w:color="auto"/>
              <w:right w:val="nil"/>
            </w:tcBorders>
          </w:tcPr>
          <w:p w14:paraId="2AA0D485" w14:textId="77777777" w:rsidR="00D83A54" w:rsidRDefault="00D83A54"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3999</w:t>
            </w:r>
          </w:p>
        </w:tc>
      </w:tr>
    </w:tbl>
    <w:p w14:paraId="31E0C9F3" w14:textId="77777777" w:rsidR="00D83A54" w:rsidRDefault="00D83A54" w:rsidP="00D83A54">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7B03D6E" w14:textId="77777777" w:rsidR="00D83A54" w:rsidRDefault="00D83A54" w:rsidP="00D83A54">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F3169BE" w14:textId="77777777" w:rsidR="00D83A54" w:rsidRDefault="00D83A54" w:rsidP="00D83A54">
      <w:pPr>
        <w:widowControl w:val="0"/>
        <w:autoSpaceDE w:val="0"/>
        <w:autoSpaceDN w:val="0"/>
        <w:adjustRightInd w:val="0"/>
        <w:spacing w:after="0" w:line="240" w:lineRule="auto"/>
        <w:rPr>
          <w:rFonts w:ascii="Times New Roman" w:hAnsi="Times New Roman" w:cs="Times New Roman"/>
          <w:sz w:val="24"/>
          <w:szCs w:val="24"/>
        </w:rPr>
      </w:pPr>
    </w:p>
    <w:tbl>
      <w:tblPr>
        <w:tblW w:w="10416" w:type="dxa"/>
        <w:tblLayout w:type="fixed"/>
        <w:tblLook w:val="0000" w:firstRow="0" w:lastRow="0" w:firstColumn="0" w:lastColumn="0" w:noHBand="0" w:noVBand="0"/>
      </w:tblPr>
      <w:tblGrid>
        <w:gridCol w:w="2136"/>
        <w:gridCol w:w="1656"/>
        <w:gridCol w:w="1656"/>
        <w:gridCol w:w="1656"/>
        <w:gridCol w:w="1656"/>
        <w:gridCol w:w="1656"/>
      </w:tblGrid>
      <w:tr w:rsidR="00D26C76" w14:paraId="1542C5DB" w14:textId="77777777" w:rsidTr="00F16287">
        <w:tc>
          <w:tcPr>
            <w:tcW w:w="2136" w:type="dxa"/>
            <w:tcBorders>
              <w:top w:val="single" w:sz="4" w:space="0" w:color="auto"/>
              <w:left w:val="nil"/>
              <w:bottom w:val="nil"/>
              <w:right w:val="nil"/>
            </w:tcBorders>
          </w:tcPr>
          <w:p w14:paraId="443C7BC5"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5F65038A"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4145B035"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56" w:type="dxa"/>
            <w:tcBorders>
              <w:top w:val="single" w:sz="4" w:space="0" w:color="auto"/>
              <w:left w:val="nil"/>
              <w:bottom w:val="nil"/>
              <w:right w:val="nil"/>
            </w:tcBorders>
          </w:tcPr>
          <w:p w14:paraId="2985AA63"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56" w:type="dxa"/>
            <w:tcBorders>
              <w:top w:val="single" w:sz="4" w:space="0" w:color="auto"/>
              <w:left w:val="nil"/>
              <w:bottom w:val="nil"/>
              <w:right w:val="nil"/>
            </w:tcBorders>
          </w:tcPr>
          <w:p w14:paraId="07E6563C"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56" w:type="dxa"/>
            <w:tcBorders>
              <w:top w:val="single" w:sz="4" w:space="0" w:color="auto"/>
              <w:left w:val="nil"/>
              <w:bottom w:val="nil"/>
              <w:right w:val="nil"/>
            </w:tcBorders>
          </w:tcPr>
          <w:p w14:paraId="2A86ED1A"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D26C76" w14:paraId="5BE0B133" w14:textId="77777777" w:rsidTr="00F16287">
        <w:tc>
          <w:tcPr>
            <w:tcW w:w="2136" w:type="dxa"/>
            <w:tcBorders>
              <w:top w:val="nil"/>
              <w:left w:val="nil"/>
              <w:bottom w:val="nil"/>
              <w:right w:val="nil"/>
            </w:tcBorders>
          </w:tcPr>
          <w:p w14:paraId="3DAD1A02"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4CB8217"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7E4A6B24"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c>
          <w:tcPr>
            <w:tcW w:w="1656" w:type="dxa"/>
            <w:tcBorders>
              <w:top w:val="nil"/>
              <w:left w:val="nil"/>
              <w:bottom w:val="nil"/>
              <w:right w:val="nil"/>
            </w:tcBorders>
          </w:tcPr>
          <w:p w14:paraId="07FD4C87"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c>
          <w:tcPr>
            <w:tcW w:w="1656" w:type="dxa"/>
            <w:tcBorders>
              <w:top w:val="nil"/>
              <w:left w:val="nil"/>
              <w:bottom w:val="nil"/>
              <w:right w:val="nil"/>
            </w:tcBorders>
          </w:tcPr>
          <w:p w14:paraId="1B6D81AE"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WB Political Stability (Absence of Violence)</w:t>
            </w:r>
          </w:p>
        </w:tc>
        <w:tc>
          <w:tcPr>
            <w:tcW w:w="1656" w:type="dxa"/>
            <w:tcBorders>
              <w:top w:val="nil"/>
              <w:left w:val="nil"/>
              <w:bottom w:val="nil"/>
              <w:right w:val="nil"/>
            </w:tcBorders>
          </w:tcPr>
          <w:p w14:paraId="5314B13F"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Instability Event Indicator</w:t>
            </w:r>
          </w:p>
        </w:tc>
      </w:tr>
      <w:tr w:rsidR="00D26C76" w14:paraId="0A00AF86" w14:textId="77777777" w:rsidTr="00F16287">
        <w:tc>
          <w:tcPr>
            <w:tcW w:w="2136" w:type="dxa"/>
            <w:tcBorders>
              <w:top w:val="single" w:sz="4" w:space="0" w:color="auto"/>
              <w:left w:val="nil"/>
              <w:bottom w:val="nil"/>
              <w:right w:val="nil"/>
            </w:tcBorders>
          </w:tcPr>
          <w:p w14:paraId="55FAE045"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147AA2BE"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-0.00453</w:t>
            </w:r>
          </w:p>
        </w:tc>
        <w:tc>
          <w:tcPr>
            <w:tcW w:w="1656" w:type="dxa"/>
            <w:tcBorders>
              <w:top w:val="single" w:sz="4" w:space="0" w:color="auto"/>
              <w:left w:val="nil"/>
              <w:bottom w:val="nil"/>
              <w:right w:val="nil"/>
            </w:tcBorders>
          </w:tcPr>
          <w:p w14:paraId="3FC2072D"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0.0342</w:t>
            </w:r>
          </w:p>
        </w:tc>
        <w:tc>
          <w:tcPr>
            <w:tcW w:w="1656" w:type="dxa"/>
            <w:tcBorders>
              <w:top w:val="single" w:sz="4" w:space="0" w:color="auto"/>
              <w:left w:val="nil"/>
              <w:bottom w:val="nil"/>
              <w:right w:val="nil"/>
            </w:tcBorders>
          </w:tcPr>
          <w:p w14:paraId="119A0D03"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-0.0344</w:t>
            </w:r>
          </w:p>
        </w:tc>
        <w:tc>
          <w:tcPr>
            <w:tcW w:w="1656" w:type="dxa"/>
            <w:tcBorders>
              <w:top w:val="single" w:sz="4" w:space="0" w:color="auto"/>
              <w:left w:val="nil"/>
              <w:bottom w:val="nil"/>
              <w:right w:val="nil"/>
            </w:tcBorders>
          </w:tcPr>
          <w:p w14:paraId="5DF1E063"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0.0646</w:t>
            </w:r>
          </w:p>
        </w:tc>
        <w:tc>
          <w:tcPr>
            <w:tcW w:w="1656" w:type="dxa"/>
            <w:tcBorders>
              <w:top w:val="single" w:sz="4" w:space="0" w:color="auto"/>
              <w:left w:val="nil"/>
              <w:bottom w:val="nil"/>
              <w:right w:val="nil"/>
            </w:tcBorders>
          </w:tcPr>
          <w:p w14:paraId="233A2DED"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-0.0156</w:t>
            </w:r>
          </w:p>
        </w:tc>
      </w:tr>
      <w:tr w:rsidR="00D26C76" w14:paraId="45635FDB" w14:textId="77777777" w:rsidTr="00F16287">
        <w:tc>
          <w:tcPr>
            <w:tcW w:w="2136" w:type="dxa"/>
            <w:tcBorders>
              <w:top w:val="nil"/>
              <w:left w:val="nil"/>
              <w:bottom w:val="nil"/>
              <w:right w:val="nil"/>
            </w:tcBorders>
          </w:tcPr>
          <w:p w14:paraId="575A53A9"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F486C23"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656" w:type="dxa"/>
            <w:tcBorders>
              <w:top w:val="nil"/>
              <w:left w:val="nil"/>
              <w:bottom w:val="nil"/>
              <w:right w:val="nil"/>
            </w:tcBorders>
          </w:tcPr>
          <w:p w14:paraId="58694A36"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656" w:type="dxa"/>
            <w:tcBorders>
              <w:top w:val="nil"/>
              <w:left w:val="nil"/>
              <w:bottom w:val="nil"/>
              <w:right w:val="nil"/>
            </w:tcBorders>
          </w:tcPr>
          <w:p w14:paraId="5A50EF1A"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w:t>
            </w:r>
          </w:p>
        </w:tc>
        <w:tc>
          <w:tcPr>
            <w:tcW w:w="1656" w:type="dxa"/>
            <w:tcBorders>
              <w:top w:val="nil"/>
              <w:left w:val="nil"/>
              <w:bottom w:val="nil"/>
              <w:right w:val="nil"/>
            </w:tcBorders>
          </w:tcPr>
          <w:p w14:paraId="6DF1B174"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(1.21)</w:t>
            </w:r>
          </w:p>
        </w:tc>
        <w:tc>
          <w:tcPr>
            <w:tcW w:w="1656" w:type="dxa"/>
            <w:tcBorders>
              <w:top w:val="nil"/>
              <w:left w:val="nil"/>
              <w:bottom w:val="nil"/>
              <w:right w:val="nil"/>
            </w:tcBorders>
          </w:tcPr>
          <w:p w14:paraId="6C319664"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w:t>
            </w:r>
          </w:p>
        </w:tc>
      </w:tr>
      <w:tr w:rsidR="00D26C76" w14:paraId="667DCA4B" w14:textId="77777777" w:rsidTr="00F16287">
        <w:tc>
          <w:tcPr>
            <w:tcW w:w="2136" w:type="dxa"/>
            <w:tcBorders>
              <w:top w:val="nil"/>
              <w:left w:val="nil"/>
              <w:bottom w:val="nil"/>
              <w:right w:val="nil"/>
            </w:tcBorders>
          </w:tcPr>
          <w:p w14:paraId="10613332"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F5C872"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F17C1F7"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D78E0A4"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14EF175"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C91F556"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r>
      <w:tr w:rsidR="00D26C76" w14:paraId="36E888D8" w14:textId="77777777" w:rsidTr="00F16287">
        <w:tc>
          <w:tcPr>
            <w:tcW w:w="2136" w:type="dxa"/>
            <w:tcBorders>
              <w:top w:val="nil"/>
              <w:left w:val="nil"/>
              <w:bottom w:val="nil"/>
              <w:right w:val="nil"/>
            </w:tcBorders>
          </w:tcPr>
          <w:p w14:paraId="02C6883A"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Exchange Rate </w:t>
            </w:r>
            <w:r>
              <w:rPr>
                <w:rFonts w:ascii="Times New Roman" w:hAnsi="Times New Roman" w:cs="Times New Roman"/>
                <w:sz w:val="24"/>
                <w:szCs w:val="24"/>
              </w:rPr>
              <w:lastRenderedPageBreak/>
              <w:t>Classification (RR inverted, higher = more fixed)</w:t>
            </w:r>
          </w:p>
        </w:tc>
        <w:tc>
          <w:tcPr>
            <w:tcW w:w="1656" w:type="dxa"/>
            <w:tcBorders>
              <w:top w:val="nil"/>
              <w:left w:val="nil"/>
              <w:bottom w:val="nil"/>
              <w:right w:val="nil"/>
            </w:tcBorders>
          </w:tcPr>
          <w:p w14:paraId="1564B88B"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0.00369</w:t>
            </w:r>
          </w:p>
        </w:tc>
        <w:tc>
          <w:tcPr>
            <w:tcW w:w="1656" w:type="dxa"/>
            <w:tcBorders>
              <w:top w:val="nil"/>
              <w:left w:val="nil"/>
              <w:bottom w:val="nil"/>
              <w:right w:val="nil"/>
            </w:tcBorders>
          </w:tcPr>
          <w:p w14:paraId="54086B10"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-0.0150</w:t>
            </w:r>
          </w:p>
        </w:tc>
        <w:tc>
          <w:tcPr>
            <w:tcW w:w="1656" w:type="dxa"/>
            <w:tcBorders>
              <w:top w:val="nil"/>
              <w:left w:val="nil"/>
              <w:bottom w:val="nil"/>
              <w:right w:val="nil"/>
            </w:tcBorders>
          </w:tcPr>
          <w:p w14:paraId="620028FD"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-0.00334</w:t>
            </w:r>
          </w:p>
        </w:tc>
        <w:tc>
          <w:tcPr>
            <w:tcW w:w="1656" w:type="dxa"/>
            <w:tcBorders>
              <w:top w:val="nil"/>
              <w:left w:val="nil"/>
              <w:bottom w:val="nil"/>
              <w:right w:val="nil"/>
            </w:tcBorders>
          </w:tcPr>
          <w:p w14:paraId="3B316C7E"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721BFDE7"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0.00649</w:t>
            </w:r>
          </w:p>
        </w:tc>
      </w:tr>
      <w:tr w:rsidR="00D26C76" w14:paraId="5B142DB1" w14:textId="77777777" w:rsidTr="00F16287">
        <w:tc>
          <w:tcPr>
            <w:tcW w:w="2136" w:type="dxa"/>
            <w:tcBorders>
              <w:top w:val="nil"/>
              <w:left w:val="nil"/>
              <w:bottom w:val="nil"/>
              <w:right w:val="nil"/>
            </w:tcBorders>
          </w:tcPr>
          <w:p w14:paraId="11D69F1D"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1A2CA70"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(0.37)</w:t>
            </w:r>
          </w:p>
        </w:tc>
        <w:tc>
          <w:tcPr>
            <w:tcW w:w="1656" w:type="dxa"/>
            <w:tcBorders>
              <w:top w:val="nil"/>
              <w:left w:val="nil"/>
              <w:bottom w:val="nil"/>
              <w:right w:val="nil"/>
            </w:tcBorders>
          </w:tcPr>
          <w:p w14:paraId="0D3D1FA7"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(-1.74)</w:t>
            </w:r>
          </w:p>
        </w:tc>
        <w:tc>
          <w:tcPr>
            <w:tcW w:w="1656" w:type="dxa"/>
            <w:tcBorders>
              <w:top w:val="nil"/>
              <w:left w:val="nil"/>
              <w:bottom w:val="nil"/>
              <w:right w:val="nil"/>
            </w:tcBorders>
          </w:tcPr>
          <w:p w14:paraId="7CF411F8"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w:t>
            </w:r>
          </w:p>
        </w:tc>
        <w:tc>
          <w:tcPr>
            <w:tcW w:w="1656" w:type="dxa"/>
            <w:tcBorders>
              <w:top w:val="nil"/>
              <w:left w:val="nil"/>
              <w:bottom w:val="nil"/>
              <w:right w:val="nil"/>
            </w:tcBorders>
          </w:tcPr>
          <w:p w14:paraId="3A626229"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656" w:type="dxa"/>
            <w:tcBorders>
              <w:top w:val="nil"/>
              <w:left w:val="nil"/>
              <w:bottom w:val="nil"/>
              <w:right w:val="nil"/>
            </w:tcBorders>
          </w:tcPr>
          <w:p w14:paraId="6B5C9D87"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w:t>
            </w:r>
          </w:p>
        </w:tc>
      </w:tr>
      <w:tr w:rsidR="00D26C76" w14:paraId="7EE745E5" w14:textId="77777777" w:rsidTr="00F16287">
        <w:tc>
          <w:tcPr>
            <w:tcW w:w="2136" w:type="dxa"/>
            <w:tcBorders>
              <w:top w:val="nil"/>
              <w:left w:val="nil"/>
              <w:bottom w:val="nil"/>
              <w:right w:val="nil"/>
            </w:tcBorders>
          </w:tcPr>
          <w:p w14:paraId="3029BDA3"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C5CE3FD"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2A34F95"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E30C577"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0146B3A"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A6279CC"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r>
      <w:tr w:rsidR="00D26C76" w14:paraId="7DA18801" w14:textId="77777777" w:rsidTr="00F16287">
        <w:tc>
          <w:tcPr>
            <w:tcW w:w="2136" w:type="dxa"/>
            <w:tcBorders>
              <w:top w:val="nil"/>
              <w:left w:val="nil"/>
              <w:bottom w:val="nil"/>
              <w:right w:val="nil"/>
            </w:tcBorders>
          </w:tcPr>
          <w:p w14:paraId="09716AA4" w14:textId="7DF4B930" w:rsidR="00D26C76" w:rsidRDefault="001F3A7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Democracy</w:t>
            </w:r>
          </w:p>
        </w:tc>
        <w:tc>
          <w:tcPr>
            <w:tcW w:w="1656" w:type="dxa"/>
            <w:tcBorders>
              <w:top w:val="nil"/>
              <w:left w:val="nil"/>
              <w:bottom w:val="nil"/>
              <w:right w:val="nil"/>
            </w:tcBorders>
          </w:tcPr>
          <w:p w14:paraId="5F14C036"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0.684</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A1EBF05"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892EFC4"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80520F2"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07CDCF97"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-0.0167</w:t>
            </w:r>
          </w:p>
        </w:tc>
      </w:tr>
      <w:tr w:rsidR="00D26C76" w14:paraId="3466D9AB" w14:textId="77777777" w:rsidTr="00F16287">
        <w:tc>
          <w:tcPr>
            <w:tcW w:w="2136" w:type="dxa"/>
            <w:tcBorders>
              <w:top w:val="nil"/>
              <w:left w:val="nil"/>
              <w:bottom w:val="nil"/>
              <w:right w:val="nil"/>
            </w:tcBorders>
          </w:tcPr>
          <w:p w14:paraId="38EB7863"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C7648B4"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(4.33)</w:t>
            </w:r>
          </w:p>
        </w:tc>
        <w:tc>
          <w:tcPr>
            <w:tcW w:w="1656" w:type="dxa"/>
            <w:tcBorders>
              <w:top w:val="nil"/>
              <w:left w:val="nil"/>
              <w:bottom w:val="nil"/>
              <w:right w:val="nil"/>
            </w:tcBorders>
          </w:tcPr>
          <w:p w14:paraId="20CFF9F5"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(3.14)</w:t>
            </w:r>
          </w:p>
        </w:tc>
        <w:tc>
          <w:tcPr>
            <w:tcW w:w="1656" w:type="dxa"/>
            <w:tcBorders>
              <w:top w:val="nil"/>
              <w:left w:val="nil"/>
              <w:bottom w:val="nil"/>
              <w:right w:val="nil"/>
            </w:tcBorders>
          </w:tcPr>
          <w:p w14:paraId="65B4FA4D"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(3.02)</w:t>
            </w:r>
          </w:p>
        </w:tc>
        <w:tc>
          <w:tcPr>
            <w:tcW w:w="1656" w:type="dxa"/>
            <w:tcBorders>
              <w:top w:val="nil"/>
              <w:left w:val="nil"/>
              <w:bottom w:val="nil"/>
              <w:right w:val="nil"/>
            </w:tcBorders>
          </w:tcPr>
          <w:p w14:paraId="6AF3550E"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(2.65)</w:t>
            </w:r>
          </w:p>
        </w:tc>
        <w:tc>
          <w:tcPr>
            <w:tcW w:w="1656" w:type="dxa"/>
            <w:tcBorders>
              <w:top w:val="nil"/>
              <w:left w:val="nil"/>
              <w:bottom w:val="nil"/>
              <w:right w:val="nil"/>
            </w:tcBorders>
          </w:tcPr>
          <w:p w14:paraId="1412E84F"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w:t>
            </w:r>
          </w:p>
        </w:tc>
      </w:tr>
      <w:tr w:rsidR="00D26C76" w14:paraId="7EE09A38" w14:textId="77777777" w:rsidTr="00F16287">
        <w:tc>
          <w:tcPr>
            <w:tcW w:w="2136" w:type="dxa"/>
            <w:tcBorders>
              <w:top w:val="nil"/>
              <w:left w:val="nil"/>
              <w:bottom w:val="nil"/>
              <w:right w:val="nil"/>
            </w:tcBorders>
          </w:tcPr>
          <w:p w14:paraId="68B94D16"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7CF2846"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148D2C1"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1CA2155"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26DB74E"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61E2E3C"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r>
      <w:tr w:rsidR="00D26C76" w14:paraId="06EE3767" w14:textId="77777777" w:rsidTr="00F16287">
        <w:tc>
          <w:tcPr>
            <w:tcW w:w="2136" w:type="dxa"/>
            <w:tcBorders>
              <w:top w:val="nil"/>
              <w:left w:val="nil"/>
              <w:bottom w:val="nil"/>
              <w:right w:val="nil"/>
            </w:tcBorders>
          </w:tcPr>
          <w:p w14:paraId="0989623D" w14:textId="3CC2066A" w:rsidR="00D26C76" w:rsidRDefault="001F3A7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Polity Democracy * </w:t>
            </w:r>
            <w:r w:rsidR="00D26C76">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768A766E"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-0.173</w:t>
            </w:r>
          </w:p>
        </w:tc>
        <w:tc>
          <w:tcPr>
            <w:tcW w:w="1656" w:type="dxa"/>
            <w:tcBorders>
              <w:top w:val="nil"/>
              <w:left w:val="nil"/>
              <w:bottom w:val="nil"/>
              <w:right w:val="nil"/>
            </w:tcBorders>
          </w:tcPr>
          <w:p w14:paraId="38EE439C"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-0.0557</w:t>
            </w:r>
          </w:p>
        </w:tc>
        <w:tc>
          <w:tcPr>
            <w:tcW w:w="1656" w:type="dxa"/>
            <w:tcBorders>
              <w:top w:val="nil"/>
              <w:left w:val="nil"/>
              <w:bottom w:val="nil"/>
              <w:right w:val="nil"/>
            </w:tcBorders>
          </w:tcPr>
          <w:p w14:paraId="27A49602"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-0.184</w:t>
            </w:r>
          </w:p>
        </w:tc>
        <w:tc>
          <w:tcPr>
            <w:tcW w:w="1656" w:type="dxa"/>
            <w:tcBorders>
              <w:top w:val="nil"/>
              <w:left w:val="nil"/>
              <w:bottom w:val="nil"/>
              <w:right w:val="nil"/>
            </w:tcBorders>
          </w:tcPr>
          <w:p w14:paraId="701B9880"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-0.0770</w:t>
            </w:r>
          </w:p>
        </w:tc>
        <w:tc>
          <w:tcPr>
            <w:tcW w:w="1656" w:type="dxa"/>
            <w:tcBorders>
              <w:top w:val="nil"/>
              <w:left w:val="nil"/>
              <w:bottom w:val="nil"/>
              <w:right w:val="nil"/>
            </w:tcBorders>
          </w:tcPr>
          <w:p w14:paraId="6DB6552B"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0.0672</w:t>
            </w:r>
          </w:p>
        </w:tc>
      </w:tr>
      <w:tr w:rsidR="00D26C76" w14:paraId="5983EC37" w14:textId="77777777" w:rsidTr="00F16287">
        <w:tc>
          <w:tcPr>
            <w:tcW w:w="2136" w:type="dxa"/>
            <w:tcBorders>
              <w:top w:val="nil"/>
              <w:left w:val="nil"/>
              <w:bottom w:val="nil"/>
              <w:right w:val="nil"/>
            </w:tcBorders>
          </w:tcPr>
          <w:p w14:paraId="7BD029BB"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DDD76D"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w:t>
            </w:r>
          </w:p>
        </w:tc>
        <w:tc>
          <w:tcPr>
            <w:tcW w:w="1656" w:type="dxa"/>
            <w:tcBorders>
              <w:top w:val="nil"/>
              <w:left w:val="nil"/>
              <w:bottom w:val="nil"/>
              <w:right w:val="nil"/>
            </w:tcBorders>
          </w:tcPr>
          <w:p w14:paraId="089E7167"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656" w:type="dxa"/>
            <w:tcBorders>
              <w:top w:val="nil"/>
              <w:left w:val="nil"/>
              <w:bottom w:val="nil"/>
              <w:right w:val="nil"/>
            </w:tcBorders>
          </w:tcPr>
          <w:p w14:paraId="4171392F"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w:t>
            </w:r>
          </w:p>
        </w:tc>
        <w:tc>
          <w:tcPr>
            <w:tcW w:w="1656" w:type="dxa"/>
            <w:tcBorders>
              <w:top w:val="nil"/>
              <w:left w:val="nil"/>
              <w:bottom w:val="nil"/>
              <w:right w:val="nil"/>
            </w:tcBorders>
          </w:tcPr>
          <w:p w14:paraId="2FABA5D4"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(-1.30)</w:t>
            </w:r>
          </w:p>
        </w:tc>
        <w:tc>
          <w:tcPr>
            <w:tcW w:w="1656" w:type="dxa"/>
            <w:tcBorders>
              <w:top w:val="nil"/>
              <w:left w:val="nil"/>
              <w:bottom w:val="nil"/>
              <w:right w:val="nil"/>
            </w:tcBorders>
          </w:tcPr>
          <w:p w14:paraId="6705831D"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(1.63)</w:t>
            </w:r>
          </w:p>
        </w:tc>
      </w:tr>
      <w:tr w:rsidR="00D26C76" w14:paraId="47CFE3D2" w14:textId="77777777" w:rsidTr="00F16287">
        <w:tc>
          <w:tcPr>
            <w:tcW w:w="2136" w:type="dxa"/>
            <w:tcBorders>
              <w:top w:val="nil"/>
              <w:left w:val="nil"/>
              <w:bottom w:val="nil"/>
              <w:right w:val="nil"/>
            </w:tcBorders>
          </w:tcPr>
          <w:p w14:paraId="3509DD69"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67FE068"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2D0D8C4"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11888A8"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53F6A60"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CE0D173"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r>
      <w:tr w:rsidR="00D26C76" w14:paraId="09A486FA" w14:textId="77777777" w:rsidTr="00F16287">
        <w:tc>
          <w:tcPr>
            <w:tcW w:w="2136" w:type="dxa"/>
            <w:tcBorders>
              <w:top w:val="nil"/>
              <w:left w:val="nil"/>
              <w:bottom w:val="nil"/>
              <w:right w:val="nil"/>
            </w:tcBorders>
          </w:tcPr>
          <w:p w14:paraId="0D63CE3A" w14:textId="0997FF1A" w:rsidR="00D26C76" w:rsidRDefault="001F3A7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Polity Democracy * </w:t>
            </w:r>
            <w:r w:rsidR="00D26C76">
              <w:rPr>
                <w:rFonts w:ascii="Times New Roman" w:hAnsi="Times New Roman" w:cs="Times New Roman"/>
                <w:sz w:val="24"/>
                <w:szCs w:val="24"/>
              </w:rPr>
              <w:t xml:space="preserve"> Exchange Rate Classification (RR inverted, higher = more fixed)</w:t>
            </w:r>
          </w:p>
        </w:tc>
        <w:tc>
          <w:tcPr>
            <w:tcW w:w="1656" w:type="dxa"/>
            <w:tcBorders>
              <w:top w:val="nil"/>
              <w:left w:val="nil"/>
              <w:bottom w:val="nil"/>
              <w:right w:val="nil"/>
            </w:tcBorders>
          </w:tcPr>
          <w:p w14:paraId="48EB3FDE"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-0.0105</w:t>
            </w:r>
          </w:p>
        </w:tc>
        <w:tc>
          <w:tcPr>
            <w:tcW w:w="1656" w:type="dxa"/>
            <w:tcBorders>
              <w:top w:val="nil"/>
              <w:left w:val="nil"/>
              <w:bottom w:val="nil"/>
              <w:right w:val="nil"/>
            </w:tcBorders>
          </w:tcPr>
          <w:p w14:paraId="03FDF55A"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0.00244</w:t>
            </w:r>
          </w:p>
        </w:tc>
        <w:tc>
          <w:tcPr>
            <w:tcW w:w="1656" w:type="dxa"/>
            <w:tcBorders>
              <w:top w:val="nil"/>
              <w:left w:val="nil"/>
              <w:bottom w:val="nil"/>
              <w:right w:val="nil"/>
            </w:tcBorders>
          </w:tcPr>
          <w:p w14:paraId="40BA3F08"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0.00600</w:t>
            </w:r>
          </w:p>
        </w:tc>
        <w:tc>
          <w:tcPr>
            <w:tcW w:w="1656" w:type="dxa"/>
            <w:tcBorders>
              <w:top w:val="nil"/>
              <w:left w:val="nil"/>
              <w:bottom w:val="nil"/>
              <w:right w:val="nil"/>
            </w:tcBorders>
          </w:tcPr>
          <w:p w14:paraId="4410FEBB"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-0.0178</w:t>
            </w:r>
          </w:p>
        </w:tc>
        <w:tc>
          <w:tcPr>
            <w:tcW w:w="1656" w:type="dxa"/>
            <w:tcBorders>
              <w:top w:val="nil"/>
              <w:left w:val="nil"/>
              <w:bottom w:val="nil"/>
              <w:right w:val="nil"/>
            </w:tcBorders>
          </w:tcPr>
          <w:p w14:paraId="5B092A31"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0.0121</w:t>
            </w:r>
          </w:p>
        </w:tc>
      </w:tr>
      <w:tr w:rsidR="00D26C76" w14:paraId="2687EC2B" w14:textId="77777777" w:rsidTr="00F16287">
        <w:tc>
          <w:tcPr>
            <w:tcW w:w="2136" w:type="dxa"/>
            <w:tcBorders>
              <w:top w:val="nil"/>
              <w:left w:val="nil"/>
              <w:bottom w:val="nil"/>
              <w:right w:val="nil"/>
            </w:tcBorders>
          </w:tcPr>
          <w:p w14:paraId="07DACAE3"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FA6246E"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(-0.85)</w:t>
            </w:r>
          </w:p>
        </w:tc>
        <w:tc>
          <w:tcPr>
            <w:tcW w:w="1656" w:type="dxa"/>
            <w:tcBorders>
              <w:top w:val="nil"/>
              <w:left w:val="nil"/>
              <w:bottom w:val="nil"/>
              <w:right w:val="nil"/>
            </w:tcBorders>
          </w:tcPr>
          <w:p w14:paraId="53D0721E"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w:t>
            </w:r>
          </w:p>
        </w:tc>
        <w:tc>
          <w:tcPr>
            <w:tcW w:w="1656" w:type="dxa"/>
            <w:tcBorders>
              <w:top w:val="nil"/>
              <w:left w:val="nil"/>
              <w:bottom w:val="nil"/>
              <w:right w:val="nil"/>
            </w:tcBorders>
          </w:tcPr>
          <w:p w14:paraId="7EB6C0F0"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w:t>
            </w:r>
          </w:p>
        </w:tc>
        <w:tc>
          <w:tcPr>
            <w:tcW w:w="1656" w:type="dxa"/>
            <w:tcBorders>
              <w:top w:val="nil"/>
              <w:left w:val="nil"/>
              <w:bottom w:val="nil"/>
              <w:right w:val="nil"/>
            </w:tcBorders>
          </w:tcPr>
          <w:p w14:paraId="4414A170"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(-1.43)</w:t>
            </w:r>
          </w:p>
        </w:tc>
        <w:tc>
          <w:tcPr>
            <w:tcW w:w="1656" w:type="dxa"/>
            <w:tcBorders>
              <w:top w:val="nil"/>
              <w:left w:val="nil"/>
              <w:bottom w:val="nil"/>
              <w:right w:val="nil"/>
            </w:tcBorders>
          </w:tcPr>
          <w:p w14:paraId="66820F0A"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(1.60)</w:t>
            </w:r>
          </w:p>
        </w:tc>
      </w:tr>
      <w:tr w:rsidR="00D26C76" w14:paraId="12E05503" w14:textId="77777777" w:rsidTr="00F16287">
        <w:tc>
          <w:tcPr>
            <w:tcW w:w="2136" w:type="dxa"/>
            <w:tcBorders>
              <w:top w:val="nil"/>
              <w:left w:val="nil"/>
              <w:bottom w:val="nil"/>
              <w:right w:val="nil"/>
            </w:tcBorders>
          </w:tcPr>
          <w:p w14:paraId="477BF8ED"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A0964A0"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56647BC"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FDAC9A4"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7768A52"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9A53B4A"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r>
      <w:tr w:rsidR="00D26C76" w14:paraId="33A08694" w14:textId="77777777" w:rsidTr="00F16287">
        <w:tc>
          <w:tcPr>
            <w:tcW w:w="2136" w:type="dxa"/>
            <w:tcBorders>
              <w:top w:val="nil"/>
              <w:left w:val="nil"/>
              <w:bottom w:val="nil"/>
              <w:right w:val="nil"/>
            </w:tcBorders>
          </w:tcPr>
          <w:p w14:paraId="432A005F"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3D5D23C3"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931D538"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0.183</w:t>
            </w:r>
          </w:p>
        </w:tc>
        <w:tc>
          <w:tcPr>
            <w:tcW w:w="1656" w:type="dxa"/>
            <w:tcBorders>
              <w:top w:val="nil"/>
              <w:left w:val="nil"/>
              <w:bottom w:val="nil"/>
              <w:right w:val="nil"/>
            </w:tcBorders>
          </w:tcPr>
          <w:p w14:paraId="47CD95F7"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0.437</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4FF0FA7"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-0.578</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8085B3A"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0.243</w:t>
            </w:r>
            <w:r>
              <w:rPr>
                <w:rFonts w:ascii="Times New Roman" w:hAnsi="Times New Roman" w:cs="Times New Roman"/>
                <w:sz w:val="24"/>
                <w:szCs w:val="24"/>
                <w:vertAlign w:val="superscript"/>
              </w:rPr>
              <w:t>***</w:t>
            </w:r>
          </w:p>
        </w:tc>
      </w:tr>
      <w:tr w:rsidR="00D26C76" w14:paraId="454F6E5C" w14:textId="77777777" w:rsidTr="00F16287">
        <w:tc>
          <w:tcPr>
            <w:tcW w:w="2136" w:type="dxa"/>
            <w:tcBorders>
              <w:top w:val="nil"/>
              <w:left w:val="nil"/>
              <w:bottom w:val="single" w:sz="4" w:space="0" w:color="auto"/>
              <w:right w:val="nil"/>
            </w:tcBorders>
          </w:tcPr>
          <w:p w14:paraId="3057B2AF"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2F6EB207"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(2.61)</w:t>
            </w:r>
          </w:p>
        </w:tc>
        <w:tc>
          <w:tcPr>
            <w:tcW w:w="1656" w:type="dxa"/>
            <w:tcBorders>
              <w:top w:val="nil"/>
              <w:left w:val="nil"/>
              <w:bottom w:val="single" w:sz="4" w:space="0" w:color="auto"/>
              <w:right w:val="nil"/>
            </w:tcBorders>
          </w:tcPr>
          <w:p w14:paraId="44B070D6"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(1.69)</w:t>
            </w:r>
          </w:p>
        </w:tc>
        <w:tc>
          <w:tcPr>
            <w:tcW w:w="1656" w:type="dxa"/>
            <w:tcBorders>
              <w:top w:val="nil"/>
              <w:left w:val="nil"/>
              <w:bottom w:val="single" w:sz="4" w:space="0" w:color="auto"/>
              <w:right w:val="nil"/>
            </w:tcBorders>
          </w:tcPr>
          <w:p w14:paraId="3FE5A7B8"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(2.79)</w:t>
            </w:r>
          </w:p>
        </w:tc>
        <w:tc>
          <w:tcPr>
            <w:tcW w:w="1656" w:type="dxa"/>
            <w:tcBorders>
              <w:top w:val="nil"/>
              <w:left w:val="nil"/>
              <w:bottom w:val="single" w:sz="4" w:space="0" w:color="auto"/>
              <w:right w:val="nil"/>
            </w:tcBorders>
          </w:tcPr>
          <w:p w14:paraId="68601FD9"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(-4.56)</w:t>
            </w:r>
          </w:p>
        </w:tc>
        <w:tc>
          <w:tcPr>
            <w:tcW w:w="1656" w:type="dxa"/>
            <w:tcBorders>
              <w:top w:val="nil"/>
              <w:left w:val="nil"/>
              <w:bottom w:val="single" w:sz="4" w:space="0" w:color="auto"/>
              <w:right w:val="nil"/>
            </w:tcBorders>
          </w:tcPr>
          <w:p w14:paraId="4AB2B826"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(4.10)</w:t>
            </w:r>
          </w:p>
        </w:tc>
      </w:tr>
      <w:tr w:rsidR="00D26C76" w14:paraId="1301B0BB" w14:textId="77777777" w:rsidTr="00F16287">
        <w:tc>
          <w:tcPr>
            <w:tcW w:w="2136" w:type="dxa"/>
            <w:tcBorders>
              <w:top w:val="nil"/>
              <w:left w:val="nil"/>
              <w:bottom w:val="single" w:sz="4" w:space="0" w:color="auto"/>
              <w:right w:val="nil"/>
            </w:tcBorders>
          </w:tcPr>
          <w:p w14:paraId="1349901F" w14:textId="77777777" w:rsidR="00D26C76" w:rsidRDefault="00D26C76"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082AC0CB"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1515</w:t>
            </w:r>
          </w:p>
        </w:tc>
        <w:tc>
          <w:tcPr>
            <w:tcW w:w="1656" w:type="dxa"/>
            <w:tcBorders>
              <w:top w:val="nil"/>
              <w:left w:val="nil"/>
              <w:bottom w:val="single" w:sz="4" w:space="0" w:color="auto"/>
              <w:right w:val="nil"/>
            </w:tcBorders>
          </w:tcPr>
          <w:p w14:paraId="6B32E2D1"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1515</w:t>
            </w:r>
          </w:p>
        </w:tc>
        <w:tc>
          <w:tcPr>
            <w:tcW w:w="1656" w:type="dxa"/>
            <w:tcBorders>
              <w:top w:val="nil"/>
              <w:left w:val="nil"/>
              <w:bottom w:val="single" w:sz="4" w:space="0" w:color="auto"/>
              <w:right w:val="nil"/>
            </w:tcBorders>
          </w:tcPr>
          <w:p w14:paraId="1A34592D"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1244</w:t>
            </w:r>
          </w:p>
        </w:tc>
        <w:tc>
          <w:tcPr>
            <w:tcW w:w="1656" w:type="dxa"/>
            <w:tcBorders>
              <w:top w:val="nil"/>
              <w:left w:val="nil"/>
              <w:bottom w:val="single" w:sz="4" w:space="0" w:color="auto"/>
              <w:right w:val="nil"/>
            </w:tcBorders>
          </w:tcPr>
          <w:p w14:paraId="654DC087"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2483</w:t>
            </w:r>
          </w:p>
        </w:tc>
        <w:tc>
          <w:tcPr>
            <w:tcW w:w="1656" w:type="dxa"/>
            <w:tcBorders>
              <w:top w:val="nil"/>
              <w:left w:val="nil"/>
              <w:bottom w:val="single" w:sz="4" w:space="0" w:color="auto"/>
              <w:right w:val="nil"/>
            </w:tcBorders>
          </w:tcPr>
          <w:p w14:paraId="72DFE92F" w14:textId="77777777" w:rsidR="00D26C76" w:rsidRDefault="00D26C76"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4233</w:t>
            </w:r>
          </w:p>
        </w:tc>
      </w:tr>
    </w:tbl>
    <w:p w14:paraId="42E5A4C4" w14:textId="77777777" w:rsidR="007039A5" w:rsidRDefault="007039A5" w:rsidP="007039A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 xml:space="preserve"> statistics in parentheses</w:t>
      </w:r>
    </w:p>
    <w:p w14:paraId="7EEEBAD5" w14:textId="77777777" w:rsidR="007039A5" w:rsidRDefault="007039A5" w:rsidP="007039A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0.001</w:t>
      </w:r>
    </w:p>
    <w:p w14:paraId="7056B799" w14:textId="48C5D8D2" w:rsidR="007039A5" w:rsidRDefault="007039A5" w:rsidP="00DB7775">
      <w:pPr>
        <w:rPr>
          <w:highlight w:val="yellow"/>
        </w:rPr>
      </w:pPr>
    </w:p>
    <w:p w14:paraId="691BC0E9" w14:textId="7301C9B8" w:rsidR="00C2037E" w:rsidRDefault="000C463F" w:rsidP="00DB7775">
      <w:r w:rsidRPr="000C463F">
        <w:t>Lags- linear</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48356D" w:rsidRPr="00610934" w14:paraId="2FCF95B2" w14:textId="77777777" w:rsidTr="00015B88">
        <w:tc>
          <w:tcPr>
            <w:tcW w:w="2136" w:type="dxa"/>
            <w:tcBorders>
              <w:top w:val="single" w:sz="4" w:space="0" w:color="auto"/>
              <w:left w:val="nil"/>
              <w:bottom w:val="nil"/>
              <w:right w:val="nil"/>
            </w:tcBorders>
          </w:tcPr>
          <w:p w14:paraId="0EED955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B87646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w:t>
            </w:r>
          </w:p>
        </w:tc>
        <w:tc>
          <w:tcPr>
            <w:tcW w:w="1656" w:type="dxa"/>
            <w:tcBorders>
              <w:top w:val="single" w:sz="4" w:space="0" w:color="auto"/>
              <w:left w:val="nil"/>
              <w:bottom w:val="nil"/>
              <w:right w:val="nil"/>
            </w:tcBorders>
          </w:tcPr>
          <w:p w14:paraId="2424956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w:t>
            </w:r>
          </w:p>
        </w:tc>
        <w:tc>
          <w:tcPr>
            <w:tcW w:w="1656" w:type="dxa"/>
            <w:tcBorders>
              <w:top w:val="single" w:sz="4" w:space="0" w:color="auto"/>
              <w:left w:val="nil"/>
              <w:bottom w:val="nil"/>
              <w:right w:val="nil"/>
            </w:tcBorders>
          </w:tcPr>
          <w:p w14:paraId="2A85125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w:t>
            </w:r>
          </w:p>
        </w:tc>
        <w:tc>
          <w:tcPr>
            <w:tcW w:w="1656" w:type="dxa"/>
            <w:tcBorders>
              <w:top w:val="single" w:sz="4" w:space="0" w:color="auto"/>
              <w:left w:val="nil"/>
              <w:bottom w:val="nil"/>
              <w:right w:val="nil"/>
            </w:tcBorders>
          </w:tcPr>
          <w:p w14:paraId="4E1CB59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(4)</w:t>
            </w:r>
          </w:p>
        </w:tc>
        <w:tc>
          <w:tcPr>
            <w:tcW w:w="1656" w:type="dxa"/>
            <w:tcBorders>
              <w:top w:val="single" w:sz="4" w:space="0" w:color="auto"/>
              <w:left w:val="nil"/>
              <w:bottom w:val="nil"/>
              <w:right w:val="nil"/>
            </w:tcBorders>
          </w:tcPr>
          <w:p w14:paraId="3E6E7D7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(5)</w:t>
            </w:r>
          </w:p>
        </w:tc>
      </w:tr>
      <w:tr w:rsidR="0048356D" w:rsidRPr="00610934" w14:paraId="39E45EAF" w14:textId="77777777" w:rsidTr="00015B88">
        <w:tc>
          <w:tcPr>
            <w:tcW w:w="2136" w:type="dxa"/>
            <w:tcBorders>
              <w:top w:val="nil"/>
              <w:left w:val="nil"/>
              <w:bottom w:val="nil"/>
              <w:right w:val="nil"/>
            </w:tcBorders>
          </w:tcPr>
          <w:p w14:paraId="49AE9D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D3034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Head of Govt. Turnover</w:t>
            </w:r>
          </w:p>
        </w:tc>
        <w:tc>
          <w:tcPr>
            <w:tcW w:w="1656" w:type="dxa"/>
            <w:tcBorders>
              <w:top w:val="nil"/>
              <w:left w:val="nil"/>
              <w:bottom w:val="nil"/>
              <w:right w:val="nil"/>
            </w:tcBorders>
          </w:tcPr>
          <w:p w14:paraId="1C30A32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Head of State Turnover</w:t>
            </w:r>
          </w:p>
        </w:tc>
        <w:tc>
          <w:tcPr>
            <w:tcW w:w="1656" w:type="dxa"/>
            <w:tcBorders>
              <w:top w:val="nil"/>
              <w:left w:val="nil"/>
              <w:bottom w:val="nil"/>
              <w:right w:val="nil"/>
            </w:tcBorders>
          </w:tcPr>
          <w:p w14:paraId="10EF5D5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Lower House Turnover</w:t>
            </w:r>
          </w:p>
        </w:tc>
        <w:tc>
          <w:tcPr>
            <w:tcW w:w="1656" w:type="dxa"/>
            <w:tcBorders>
              <w:top w:val="nil"/>
              <w:left w:val="nil"/>
              <w:bottom w:val="nil"/>
              <w:right w:val="nil"/>
            </w:tcBorders>
          </w:tcPr>
          <w:p w14:paraId="49DCB47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303F54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Instability Event Indicator</w:t>
            </w:r>
          </w:p>
        </w:tc>
      </w:tr>
      <w:tr w:rsidR="0048356D" w:rsidRPr="00610934" w14:paraId="65D2FF69" w14:textId="77777777" w:rsidTr="00015B88">
        <w:tc>
          <w:tcPr>
            <w:tcW w:w="2136" w:type="dxa"/>
            <w:tcBorders>
              <w:top w:val="single" w:sz="4" w:space="0" w:color="auto"/>
              <w:left w:val="nil"/>
              <w:bottom w:val="nil"/>
              <w:right w:val="nil"/>
            </w:tcBorders>
          </w:tcPr>
          <w:p w14:paraId="09112F8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7358FA3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-2.337</w:t>
            </w:r>
            <w:r w:rsidRPr="0061093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3785498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-1.698</w:t>
            </w:r>
          </w:p>
        </w:tc>
        <w:tc>
          <w:tcPr>
            <w:tcW w:w="1656" w:type="dxa"/>
            <w:tcBorders>
              <w:top w:val="single" w:sz="4" w:space="0" w:color="auto"/>
              <w:left w:val="nil"/>
              <w:bottom w:val="nil"/>
              <w:right w:val="nil"/>
            </w:tcBorders>
          </w:tcPr>
          <w:p w14:paraId="0F62CF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0.897</w:t>
            </w:r>
          </w:p>
        </w:tc>
        <w:tc>
          <w:tcPr>
            <w:tcW w:w="1656" w:type="dxa"/>
            <w:tcBorders>
              <w:top w:val="single" w:sz="4" w:space="0" w:color="auto"/>
              <w:left w:val="nil"/>
              <w:bottom w:val="nil"/>
              <w:right w:val="nil"/>
            </w:tcBorders>
          </w:tcPr>
          <w:p w14:paraId="5CD1A76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-0.921</w:t>
            </w:r>
            <w:r w:rsidRPr="0061093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720FDE6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0.616</w:t>
            </w:r>
          </w:p>
        </w:tc>
      </w:tr>
      <w:tr w:rsidR="0048356D" w:rsidRPr="00610934" w14:paraId="3550756D" w14:textId="77777777" w:rsidTr="00015B88">
        <w:tc>
          <w:tcPr>
            <w:tcW w:w="2136" w:type="dxa"/>
            <w:tcBorders>
              <w:top w:val="nil"/>
              <w:left w:val="nil"/>
              <w:bottom w:val="nil"/>
              <w:right w:val="nil"/>
            </w:tcBorders>
          </w:tcPr>
          <w:p w14:paraId="6A9D46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B0D56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(-2.43)</w:t>
            </w:r>
          </w:p>
        </w:tc>
        <w:tc>
          <w:tcPr>
            <w:tcW w:w="1656" w:type="dxa"/>
            <w:tcBorders>
              <w:top w:val="nil"/>
              <w:left w:val="nil"/>
              <w:bottom w:val="nil"/>
              <w:right w:val="nil"/>
            </w:tcBorders>
          </w:tcPr>
          <w:p w14:paraId="50F8729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(-1.39)</w:t>
            </w:r>
          </w:p>
        </w:tc>
        <w:tc>
          <w:tcPr>
            <w:tcW w:w="1656" w:type="dxa"/>
            <w:tcBorders>
              <w:top w:val="nil"/>
              <w:left w:val="nil"/>
              <w:bottom w:val="nil"/>
              <w:right w:val="nil"/>
            </w:tcBorders>
          </w:tcPr>
          <w:p w14:paraId="6651DD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6DB8045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(-2.04)</w:t>
            </w:r>
          </w:p>
        </w:tc>
        <w:tc>
          <w:tcPr>
            <w:tcW w:w="1656" w:type="dxa"/>
            <w:tcBorders>
              <w:top w:val="nil"/>
              <w:left w:val="nil"/>
              <w:bottom w:val="nil"/>
              <w:right w:val="nil"/>
            </w:tcBorders>
          </w:tcPr>
          <w:p w14:paraId="478ADD1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(1.58)</w:t>
            </w:r>
          </w:p>
        </w:tc>
      </w:tr>
      <w:tr w:rsidR="0048356D" w:rsidRPr="00610934" w14:paraId="60A0711C" w14:textId="77777777" w:rsidTr="00015B88">
        <w:tc>
          <w:tcPr>
            <w:tcW w:w="2136" w:type="dxa"/>
            <w:tcBorders>
              <w:top w:val="nil"/>
              <w:left w:val="nil"/>
              <w:bottom w:val="nil"/>
              <w:right w:val="nil"/>
            </w:tcBorders>
          </w:tcPr>
          <w:p w14:paraId="6AB5A7A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E397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05F9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086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23FBF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5F8A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3331F5E5" w14:textId="77777777" w:rsidTr="00015B88">
        <w:tc>
          <w:tcPr>
            <w:tcW w:w="2136" w:type="dxa"/>
            <w:tcBorders>
              <w:top w:val="nil"/>
              <w:left w:val="nil"/>
              <w:bottom w:val="nil"/>
              <w:right w:val="nil"/>
            </w:tcBorders>
          </w:tcPr>
          <w:p w14:paraId="06202E9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BA8348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-0.000814</w:t>
            </w:r>
          </w:p>
        </w:tc>
        <w:tc>
          <w:tcPr>
            <w:tcW w:w="1656" w:type="dxa"/>
            <w:tcBorders>
              <w:top w:val="nil"/>
              <w:left w:val="nil"/>
              <w:bottom w:val="nil"/>
              <w:right w:val="nil"/>
            </w:tcBorders>
          </w:tcPr>
          <w:p w14:paraId="1EF387B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-0.0507</w:t>
            </w:r>
          </w:p>
        </w:tc>
        <w:tc>
          <w:tcPr>
            <w:tcW w:w="1656" w:type="dxa"/>
            <w:tcBorders>
              <w:top w:val="nil"/>
              <w:left w:val="nil"/>
              <w:bottom w:val="nil"/>
              <w:right w:val="nil"/>
            </w:tcBorders>
          </w:tcPr>
          <w:p w14:paraId="7FAB4B0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-0.0120</w:t>
            </w:r>
          </w:p>
        </w:tc>
        <w:tc>
          <w:tcPr>
            <w:tcW w:w="1656" w:type="dxa"/>
            <w:tcBorders>
              <w:top w:val="nil"/>
              <w:left w:val="nil"/>
              <w:bottom w:val="nil"/>
              <w:right w:val="nil"/>
            </w:tcBorders>
          </w:tcPr>
          <w:p w14:paraId="696B396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0.0252</w:t>
            </w:r>
          </w:p>
        </w:tc>
        <w:tc>
          <w:tcPr>
            <w:tcW w:w="1656" w:type="dxa"/>
            <w:tcBorders>
              <w:top w:val="nil"/>
              <w:left w:val="nil"/>
              <w:bottom w:val="nil"/>
              <w:right w:val="nil"/>
            </w:tcBorders>
          </w:tcPr>
          <w:p w14:paraId="518695E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-0.00166</w:t>
            </w:r>
          </w:p>
        </w:tc>
      </w:tr>
      <w:tr w:rsidR="0048356D" w:rsidRPr="00610934" w14:paraId="434232BD" w14:textId="77777777" w:rsidTr="00015B88">
        <w:tc>
          <w:tcPr>
            <w:tcW w:w="2136" w:type="dxa"/>
            <w:tcBorders>
              <w:top w:val="nil"/>
              <w:left w:val="nil"/>
              <w:bottom w:val="nil"/>
              <w:right w:val="nil"/>
            </w:tcBorders>
          </w:tcPr>
          <w:p w14:paraId="1EB31B6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EDD4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w:t>
            </w:r>
          </w:p>
        </w:tc>
        <w:tc>
          <w:tcPr>
            <w:tcW w:w="1656" w:type="dxa"/>
            <w:tcBorders>
              <w:top w:val="nil"/>
              <w:left w:val="nil"/>
              <w:bottom w:val="nil"/>
              <w:right w:val="nil"/>
            </w:tcBorders>
          </w:tcPr>
          <w:p w14:paraId="18EC336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(-1.53)</w:t>
            </w:r>
          </w:p>
        </w:tc>
        <w:tc>
          <w:tcPr>
            <w:tcW w:w="1656" w:type="dxa"/>
            <w:tcBorders>
              <w:top w:val="nil"/>
              <w:left w:val="nil"/>
              <w:bottom w:val="nil"/>
              <w:right w:val="nil"/>
            </w:tcBorders>
          </w:tcPr>
          <w:p w14:paraId="387DCAB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4CD7B5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(1.47)</w:t>
            </w:r>
          </w:p>
        </w:tc>
        <w:tc>
          <w:tcPr>
            <w:tcW w:w="1656" w:type="dxa"/>
            <w:tcBorders>
              <w:top w:val="nil"/>
              <w:left w:val="nil"/>
              <w:bottom w:val="nil"/>
              <w:right w:val="nil"/>
            </w:tcBorders>
          </w:tcPr>
          <w:p w14:paraId="0A53932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w:t>
            </w:r>
          </w:p>
        </w:tc>
      </w:tr>
      <w:tr w:rsidR="0048356D" w:rsidRPr="00610934" w14:paraId="3E3AA770" w14:textId="77777777" w:rsidTr="00015B88">
        <w:tc>
          <w:tcPr>
            <w:tcW w:w="2136" w:type="dxa"/>
            <w:tcBorders>
              <w:top w:val="nil"/>
              <w:left w:val="nil"/>
              <w:bottom w:val="nil"/>
              <w:right w:val="nil"/>
            </w:tcBorders>
          </w:tcPr>
          <w:p w14:paraId="5DA14D2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8EE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C430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24C2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50441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05E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D3D0BB3" w14:textId="77777777" w:rsidTr="00015B88">
        <w:tc>
          <w:tcPr>
            <w:tcW w:w="2136" w:type="dxa"/>
            <w:tcBorders>
              <w:top w:val="nil"/>
              <w:left w:val="nil"/>
              <w:bottom w:val="nil"/>
              <w:right w:val="nil"/>
            </w:tcBorders>
          </w:tcPr>
          <w:p w14:paraId="6B3656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Polity Democracy Score (v2)</w:t>
            </w:r>
          </w:p>
        </w:tc>
        <w:tc>
          <w:tcPr>
            <w:tcW w:w="1656" w:type="dxa"/>
            <w:tcBorders>
              <w:top w:val="nil"/>
              <w:left w:val="nil"/>
              <w:bottom w:val="nil"/>
              <w:right w:val="nil"/>
            </w:tcBorders>
          </w:tcPr>
          <w:p w14:paraId="1EA1F63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0.0364</w:t>
            </w:r>
          </w:p>
        </w:tc>
        <w:tc>
          <w:tcPr>
            <w:tcW w:w="1656" w:type="dxa"/>
            <w:tcBorders>
              <w:top w:val="nil"/>
              <w:left w:val="nil"/>
              <w:bottom w:val="nil"/>
              <w:right w:val="nil"/>
            </w:tcBorders>
          </w:tcPr>
          <w:p w14:paraId="466EB9E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0.0150</w:t>
            </w:r>
          </w:p>
        </w:tc>
        <w:tc>
          <w:tcPr>
            <w:tcW w:w="1656" w:type="dxa"/>
            <w:tcBorders>
              <w:top w:val="nil"/>
              <w:left w:val="nil"/>
              <w:bottom w:val="nil"/>
              <w:right w:val="nil"/>
            </w:tcBorders>
          </w:tcPr>
          <w:p w14:paraId="20DE8F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0.0502</w:t>
            </w:r>
          </w:p>
        </w:tc>
        <w:tc>
          <w:tcPr>
            <w:tcW w:w="1656" w:type="dxa"/>
            <w:tcBorders>
              <w:top w:val="nil"/>
              <w:left w:val="nil"/>
              <w:bottom w:val="nil"/>
              <w:right w:val="nil"/>
            </w:tcBorders>
          </w:tcPr>
          <w:p w14:paraId="152CB2F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0.0122</w:t>
            </w:r>
          </w:p>
        </w:tc>
        <w:tc>
          <w:tcPr>
            <w:tcW w:w="1656" w:type="dxa"/>
            <w:tcBorders>
              <w:top w:val="nil"/>
              <w:left w:val="nil"/>
              <w:bottom w:val="nil"/>
              <w:right w:val="nil"/>
            </w:tcBorders>
          </w:tcPr>
          <w:p w14:paraId="6EDADC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-0.00304</w:t>
            </w:r>
          </w:p>
        </w:tc>
      </w:tr>
      <w:tr w:rsidR="0048356D" w:rsidRPr="00610934" w14:paraId="44684905" w14:textId="77777777" w:rsidTr="00015B88">
        <w:tc>
          <w:tcPr>
            <w:tcW w:w="2136" w:type="dxa"/>
            <w:tcBorders>
              <w:top w:val="nil"/>
              <w:left w:val="nil"/>
              <w:bottom w:val="nil"/>
              <w:right w:val="nil"/>
            </w:tcBorders>
          </w:tcPr>
          <w:p w14:paraId="09F6C72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2863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(0.97)</w:t>
            </w:r>
          </w:p>
        </w:tc>
        <w:tc>
          <w:tcPr>
            <w:tcW w:w="1656" w:type="dxa"/>
            <w:tcBorders>
              <w:top w:val="nil"/>
              <w:left w:val="nil"/>
              <w:bottom w:val="nil"/>
              <w:right w:val="nil"/>
            </w:tcBorders>
          </w:tcPr>
          <w:p w14:paraId="2224F4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c>
          <w:tcPr>
            <w:tcW w:w="1656" w:type="dxa"/>
            <w:tcBorders>
              <w:top w:val="nil"/>
              <w:left w:val="nil"/>
              <w:bottom w:val="nil"/>
              <w:right w:val="nil"/>
            </w:tcBorders>
          </w:tcPr>
          <w:p w14:paraId="7EC010B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(1.09)</w:t>
            </w:r>
          </w:p>
        </w:tc>
        <w:tc>
          <w:tcPr>
            <w:tcW w:w="1656" w:type="dxa"/>
            <w:tcBorders>
              <w:top w:val="nil"/>
              <w:left w:val="nil"/>
              <w:bottom w:val="nil"/>
              <w:right w:val="nil"/>
            </w:tcBorders>
          </w:tcPr>
          <w:p w14:paraId="294F2B4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5D3B3B8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(-0.27)</w:t>
            </w:r>
          </w:p>
        </w:tc>
      </w:tr>
      <w:tr w:rsidR="0048356D" w:rsidRPr="00610934" w14:paraId="793AEDA0" w14:textId="77777777" w:rsidTr="00015B88">
        <w:tc>
          <w:tcPr>
            <w:tcW w:w="2136" w:type="dxa"/>
            <w:tcBorders>
              <w:top w:val="nil"/>
              <w:left w:val="nil"/>
              <w:bottom w:val="nil"/>
              <w:right w:val="nil"/>
            </w:tcBorders>
          </w:tcPr>
          <w:p w14:paraId="6FC612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139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DA47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2C54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A0A41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35F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1D4A2E2" w14:textId="77777777" w:rsidTr="00015B88">
        <w:tc>
          <w:tcPr>
            <w:tcW w:w="2136" w:type="dxa"/>
            <w:tcBorders>
              <w:top w:val="nil"/>
              <w:left w:val="nil"/>
              <w:bottom w:val="nil"/>
              <w:right w:val="nil"/>
            </w:tcBorders>
          </w:tcPr>
          <w:p w14:paraId="64BB1BA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De Jure CBI * Polity Democracy</w:t>
            </w:r>
          </w:p>
        </w:tc>
        <w:tc>
          <w:tcPr>
            <w:tcW w:w="1656" w:type="dxa"/>
            <w:tcBorders>
              <w:top w:val="nil"/>
              <w:left w:val="nil"/>
              <w:bottom w:val="nil"/>
              <w:right w:val="nil"/>
            </w:tcBorders>
          </w:tcPr>
          <w:p w14:paraId="792060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0.151</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6A35676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0.121</w:t>
            </w:r>
          </w:p>
        </w:tc>
        <w:tc>
          <w:tcPr>
            <w:tcW w:w="1656" w:type="dxa"/>
            <w:tcBorders>
              <w:top w:val="nil"/>
              <w:left w:val="nil"/>
              <w:bottom w:val="nil"/>
              <w:right w:val="nil"/>
            </w:tcBorders>
          </w:tcPr>
          <w:p w14:paraId="1DCDD6A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-0.00199</w:t>
            </w:r>
          </w:p>
        </w:tc>
        <w:tc>
          <w:tcPr>
            <w:tcW w:w="1656" w:type="dxa"/>
            <w:tcBorders>
              <w:top w:val="nil"/>
              <w:left w:val="nil"/>
              <w:bottom w:val="nil"/>
              <w:right w:val="nil"/>
            </w:tcBorders>
          </w:tcPr>
          <w:p w14:paraId="7CB1A46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0.0329</w:t>
            </w:r>
          </w:p>
        </w:tc>
        <w:tc>
          <w:tcPr>
            <w:tcW w:w="1656" w:type="dxa"/>
            <w:tcBorders>
              <w:top w:val="nil"/>
              <w:left w:val="nil"/>
              <w:bottom w:val="nil"/>
              <w:right w:val="nil"/>
            </w:tcBorders>
          </w:tcPr>
          <w:p w14:paraId="45FC0E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-0.0318</w:t>
            </w:r>
          </w:p>
        </w:tc>
      </w:tr>
      <w:tr w:rsidR="0048356D" w:rsidRPr="00610934" w14:paraId="6A6328A2" w14:textId="77777777" w:rsidTr="00015B88">
        <w:tc>
          <w:tcPr>
            <w:tcW w:w="2136" w:type="dxa"/>
            <w:tcBorders>
              <w:top w:val="nil"/>
              <w:left w:val="nil"/>
              <w:bottom w:val="nil"/>
              <w:right w:val="nil"/>
            </w:tcBorders>
          </w:tcPr>
          <w:p w14:paraId="0579B8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AEB9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(2.23)</w:t>
            </w:r>
          </w:p>
        </w:tc>
        <w:tc>
          <w:tcPr>
            <w:tcW w:w="1656" w:type="dxa"/>
            <w:tcBorders>
              <w:top w:val="nil"/>
              <w:left w:val="nil"/>
              <w:bottom w:val="nil"/>
              <w:right w:val="nil"/>
            </w:tcBorders>
          </w:tcPr>
          <w:p w14:paraId="2F09E99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(1.71)</w:t>
            </w:r>
          </w:p>
        </w:tc>
        <w:tc>
          <w:tcPr>
            <w:tcW w:w="1656" w:type="dxa"/>
            <w:tcBorders>
              <w:top w:val="nil"/>
              <w:left w:val="nil"/>
              <w:bottom w:val="nil"/>
              <w:right w:val="nil"/>
            </w:tcBorders>
          </w:tcPr>
          <w:p w14:paraId="2A52562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w:t>
            </w:r>
          </w:p>
        </w:tc>
        <w:tc>
          <w:tcPr>
            <w:tcW w:w="1656" w:type="dxa"/>
            <w:tcBorders>
              <w:top w:val="nil"/>
              <w:left w:val="nil"/>
              <w:bottom w:val="nil"/>
              <w:right w:val="nil"/>
            </w:tcBorders>
          </w:tcPr>
          <w:p w14:paraId="33BF5D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(1.22)</w:t>
            </w:r>
          </w:p>
        </w:tc>
        <w:tc>
          <w:tcPr>
            <w:tcW w:w="1656" w:type="dxa"/>
            <w:tcBorders>
              <w:top w:val="nil"/>
              <w:left w:val="nil"/>
              <w:bottom w:val="nil"/>
              <w:right w:val="nil"/>
            </w:tcBorders>
          </w:tcPr>
          <w:p w14:paraId="4F682BB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(-1.43)</w:t>
            </w:r>
          </w:p>
        </w:tc>
      </w:tr>
      <w:tr w:rsidR="0048356D" w:rsidRPr="00610934" w14:paraId="45F3FE53" w14:textId="77777777" w:rsidTr="00015B88">
        <w:tc>
          <w:tcPr>
            <w:tcW w:w="2136" w:type="dxa"/>
            <w:tcBorders>
              <w:top w:val="nil"/>
              <w:left w:val="nil"/>
              <w:bottom w:val="nil"/>
              <w:right w:val="nil"/>
            </w:tcBorders>
          </w:tcPr>
          <w:p w14:paraId="791ABE6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07FA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0A12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D2A9D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CB37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11E7B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3ECEE82" w14:textId="77777777" w:rsidTr="00015B88">
        <w:tc>
          <w:tcPr>
            <w:tcW w:w="2136" w:type="dxa"/>
            <w:tcBorders>
              <w:top w:val="nil"/>
              <w:left w:val="nil"/>
              <w:bottom w:val="nil"/>
              <w:right w:val="nil"/>
            </w:tcBorders>
          </w:tcPr>
          <w:p w14:paraId="3C7086A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43E9851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-0.00357</w:t>
            </w:r>
          </w:p>
        </w:tc>
        <w:tc>
          <w:tcPr>
            <w:tcW w:w="1656" w:type="dxa"/>
            <w:tcBorders>
              <w:top w:val="nil"/>
              <w:left w:val="nil"/>
              <w:bottom w:val="nil"/>
              <w:right w:val="nil"/>
            </w:tcBorders>
          </w:tcPr>
          <w:p w14:paraId="70A46C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0.00117</w:t>
            </w:r>
          </w:p>
        </w:tc>
        <w:tc>
          <w:tcPr>
            <w:tcW w:w="1656" w:type="dxa"/>
            <w:tcBorders>
              <w:top w:val="nil"/>
              <w:left w:val="nil"/>
              <w:bottom w:val="nil"/>
              <w:right w:val="nil"/>
            </w:tcBorders>
          </w:tcPr>
          <w:p w14:paraId="6EF5523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-0.00000987</w:t>
            </w:r>
          </w:p>
        </w:tc>
        <w:tc>
          <w:tcPr>
            <w:tcW w:w="1656" w:type="dxa"/>
            <w:tcBorders>
              <w:top w:val="nil"/>
              <w:left w:val="nil"/>
              <w:bottom w:val="nil"/>
              <w:right w:val="nil"/>
            </w:tcBorders>
          </w:tcPr>
          <w:p w14:paraId="545FE60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-0.00169</w:t>
            </w:r>
          </w:p>
        </w:tc>
        <w:tc>
          <w:tcPr>
            <w:tcW w:w="1656" w:type="dxa"/>
            <w:tcBorders>
              <w:top w:val="nil"/>
              <w:left w:val="nil"/>
              <w:bottom w:val="nil"/>
              <w:right w:val="nil"/>
            </w:tcBorders>
          </w:tcPr>
          <w:p w14:paraId="7E07FF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0.000490</w:t>
            </w:r>
          </w:p>
        </w:tc>
      </w:tr>
      <w:tr w:rsidR="0048356D" w:rsidRPr="00610934" w14:paraId="092568F3" w14:textId="77777777" w:rsidTr="00015B88">
        <w:tc>
          <w:tcPr>
            <w:tcW w:w="2136" w:type="dxa"/>
            <w:tcBorders>
              <w:top w:val="nil"/>
              <w:left w:val="nil"/>
              <w:bottom w:val="nil"/>
              <w:right w:val="nil"/>
            </w:tcBorders>
          </w:tcPr>
          <w:p w14:paraId="0386AA1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855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(-1.64)</w:t>
            </w:r>
          </w:p>
        </w:tc>
        <w:tc>
          <w:tcPr>
            <w:tcW w:w="1656" w:type="dxa"/>
            <w:tcBorders>
              <w:top w:val="nil"/>
              <w:left w:val="nil"/>
              <w:bottom w:val="nil"/>
              <w:right w:val="nil"/>
            </w:tcBorders>
          </w:tcPr>
          <w:p w14:paraId="6C3E8A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364DA1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w:t>
            </w:r>
          </w:p>
        </w:tc>
        <w:tc>
          <w:tcPr>
            <w:tcW w:w="1656" w:type="dxa"/>
            <w:tcBorders>
              <w:top w:val="nil"/>
              <w:left w:val="nil"/>
              <w:bottom w:val="nil"/>
              <w:right w:val="nil"/>
            </w:tcBorders>
          </w:tcPr>
          <w:p w14:paraId="5B41C43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(-1.36)</w:t>
            </w:r>
          </w:p>
        </w:tc>
        <w:tc>
          <w:tcPr>
            <w:tcW w:w="1656" w:type="dxa"/>
            <w:tcBorders>
              <w:top w:val="nil"/>
              <w:left w:val="nil"/>
              <w:bottom w:val="nil"/>
              <w:right w:val="nil"/>
            </w:tcBorders>
          </w:tcPr>
          <w:p w14:paraId="051170E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r>
      <w:tr w:rsidR="0048356D" w:rsidRPr="00610934" w14:paraId="2227D0CA" w14:textId="77777777" w:rsidTr="00015B88">
        <w:tc>
          <w:tcPr>
            <w:tcW w:w="2136" w:type="dxa"/>
            <w:tcBorders>
              <w:top w:val="nil"/>
              <w:left w:val="nil"/>
              <w:bottom w:val="nil"/>
              <w:right w:val="nil"/>
            </w:tcBorders>
          </w:tcPr>
          <w:p w14:paraId="7B37DEA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64DB1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522E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879CF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9E061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CE0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4198677" w14:textId="77777777" w:rsidTr="00015B88">
        <w:tc>
          <w:tcPr>
            <w:tcW w:w="2136" w:type="dxa"/>
            <w:tcBorders>
              <w:top w:val="nil"/>
              <w:left w:val="nil"/>
              <w:bottom w:val="nil"/>
              <w:right w:val="nil"/>
            </w:tcBorders>
          </w:tcPr>
          <w:p w14:paraId="6C81AC7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610934">
              <w:rPr>
                <w:rFonts w:ascii="Times New Roman" w:hAnsi="Times New Roman" w:cs="Times New Roman"/>
                <w:sz w:val="16"/>
                <w:szCs w:val="16"/>
              </w:rPr>
              <w:t>L.De</w:t>
            </w:r>
            <w:proofErr w:type="spellEnd"/>
            <w:r w:rsidRPr="00610934">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45C1942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4.055</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2E5DE7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1.992</w:t>
            </w:r>
          </w:p>
        </w:tc>
        <w:tc>
          <w:tcPr>
            <w:tcW w:w="1656" w:type="dxa"/>
            <w:tcBorders>
              <w:top w:val="nil"/>
              <w:left w:val="nil"/>
              <w:bottom w:val="nil"/>
              <w:right w:val="nil"/>
            </w:tcBorders>
          </w:tcPr>
          <w:p w14:paraId="6390781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-1.137</w:t>
            </w:r>
          </w:p>
        </w:tc>
        <w:tc>
          <w:tcPr>
            <w:tcW w:w="1656" w:type="dxa"/>
            <w:tcBorders>
              <w:top w:val="nil"/>
              <w:left w:val="nil"/>
              <w:bottom w:val="nil"/>
              <w:right w:val="nil"/>
            </w:tcBorders>
          </w:tcPr>
          <w:p w14:paraId="385B947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0.227</w:t>
            </w:r>
          </w:p>
        </w:tc>
        <w:tc>
          <w:tcPr>
            <w:tcW w:w="1656" w:type="dxa"/>
            <w:tcBorders>
              <w:top w:val="nil"/>
              <w:left w:val="nil"/>
              <w:bottom w:val="nil"/>
              <w:right w:val="nil"/>
            </w:tcBorders>
          </w:tcPr>
          <w:p w14:paraId="2C5BAD7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-0.174</w:t>
            </w:r>
          </w:p>
        </w:tc>
      </w:tr>
      <w:tr w:rsidR="0048356D" w:rsidRPr="00610934" w14:paraId="55376E9F" w14:textId="77777777" w:rsidTr="00015B88">
        <w:tc>
          <w:tcPr>
            <w:tcW w:w="2136" w:type="dxa"/>
            <w:tcBorders>
              <w:top w:val="nil"/>
              <w:left w:val="nil"/>
              <w:bottom w:val="nil"/>
              <w:right w:val="nil"/>
            </w:tcBorders>
          </w:tcPr>
          <w:p w14:paraId="724868D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EA98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(3.49)</w:t>
            </w:r>
          </w:p>
        </w:tc>
        <w:tc>
          <w:tcPr>
            <w:tcW w:w="1656" w:type="dxa"/>
            <w:tcBorders>
              <w:top w:val="nil"/>
              <w:left w:val="nil"/>
              <w:bottom w:val="nil"/>
              <w:right w:val="nil"/>
            </w:tcBorders>
          </w:tcPr>
          <w:p w14:paraId="68F8DAE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(1.22)</w:t>
            </w:r>
          </w:p>
        </w:tc>
        <w:tc>
          <w:tcPr>
            <w:tcW w:w="1656" w:type="dxa"/>
            <w:tcBorders>
              <w:top w:val="nil"/>
              <w:left w:val="nil"/>
              <w:bottom w:val="nil"/>
              <w:right w:val="nil"/>
            </w:tcBorders>
          </w:tcPr>
          <w:p w14:paraId="2DF32CA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(-0.55)</w:t>
            </w:r>
          </w:p>
        </w:tc>
        <w:tc>
          <w:tcPr>
            <w:tcW w:w="1656" w:type="dxa"/>
            <w:tcBorders>
              <w:top w:val="nil"/>
              <w:left w:val="nil"/>
              <w:bottom w:val="nil"/>
              <w:right w:val="nil"/>
            </w:tcBorders>
          </w:tcPr>
          <w:p w14:paraId="6505073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(0.57)</w:t>
            </w:r>
          </w:p>
        </w:tc>
        <w:tc>
          <w:tcPr>
            <w:tcW w:w="1656" w:type="dxa"/>
            <w:tcBorders>
              <w:top w:val="nil"/>
              <w:left w:val="nil"/>
              <w:bottom w:val="nil"/>
              <w:right w:val="nil"/>
            </w:tcBorders>
          </w:tcPr>
          <w:p w14:paraId="0CF2AF3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r>
      <w:tr w:rsidR="0048356D" w:rsidRPr="00610934" w14:paraId="08E67724" w14:textId="77777777" w:rsidTr="00015B88">
        <w:tc>
          <w:tcPr>
            <w:tcW w:w="2136" w:type="dxa"/>
            <w:tcBorders>
              <w:top w:val="nil"/>
              <w:left w:val="nil"/>
              <w:bottom w:val="nil"/>
              <w:right w:val="nil"/>
            </w:tcBorders>
          </w:tcPr>
          <w:p w14:paraId="4A9BADB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642B2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D88A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408F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968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30CAF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7BA8915" w14:textId="77777777" w:rsidTr="00015B88">
        <w:tc>
          <w:tcPr>
            <w:tcW w:w="2136" w:type="dxa"/>
            <w:tcBorders>
              <w:top w:val="nil"/>
              <w:left w:val="nil"/>
              <w:bottom w:val="nil"/>
              <w:right w:val="nil"/>
            </w:tcBorders>
          </w:tcPr>
          <w:p w14:paraId="0C754FA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L2.De Jure CBI (CNW Index)</w:t>
            </w:r>
          </w:p>
        </w:tc>
        <w:tc>
          <w:tcPr>
            <w:tcW w:w="1656" w:type="dxa"/>
            <w:tcBorders>
              <w:top w:val="nil"/>
              <w:left w:val="nil"/>
              <w:bottom w:val="nil"/>
              <w:right w:val="nil"/>
            </w:tcBorders>
          </w:tcPr>
          <w:p w14:paraId="0B7DC6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-3.041</w:t>
            </w:r>
          </w:p>
        </w:tc>
        <w:tc>
          <w:tcPr>
            <w:tcW w:w="1656" w:type="dxa"/>
            <w:tcBorders>
              <w:top w:val="nil"/>
              <w:left w:val="nil"/>
              <w:bottom w:val="nil"/>
              <w:right w:val="nil"/>
            </w:tcBorders>
          </w:tcPr>
          <w:p w14:paraId="73477B0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-0.892</w:t>
            </w:r>
          </w:p>
        </w:tc>
        <w:tc>
          <w:tcPr>
            <w:tcW w:w="1656" w:type="dxa"/>
            <w:tcBorders>
              <w:top w:val="nil"/>
              <w:left w:val="nil"/>
              <w:bottom w:val="nil"/>
              <w:right w:val="nil"/>
            </w:tcBorders>
          </w:tcPr>
          <w:p w14:paraId="184882D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-0.122</w:t>
            </w:r>
          </w:p>
        </w:tc>
        <w:tc>
          <w:tcPr>
            <w:tcW w:w="1656" w:type="dxa"/>
            <w:tcBorders>
              <w:top w:val="nil"/>
              <w:left w:val="nil"/>
              <w:bottom w:val="nil"/>
              <w:right w:val="nil"/>
            </w:tcBorders>
          </w:tcPr>
          <w:p w14:paraId="30CFE87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-0.151</w:t>
            </w:r>
          </w:p>
        </w:tc>
        <w:tc>
          <w:tcPr>
            <w:tcW w:w="1656" w:type="dxa"/>
            <w:tcBorders>
              <w:top w:val="nil"/>
              <w:left w:val="nil"/>
              <w:bottom w:val="nil"/>
              <w:right w:val="nil"/>
            </w:tcBorders>
          </w:tcPr>
          <w:p w14:paraId="3315005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0.705</w:t>
            </w:r>
          </w:p>
        </w:tc>
      </w:tr>
      <w:tr w:rsidR="0048356D" w:rsidRPr="00610934" w14:paraId="479C6292" w14:textId="77777777" w:rsidTr="00015B88">
        <w:tc>
          <w:tcPr>
            <w:tcW w:w="2136" w:type="dxa"/>
            <w:tcBorders>
              <w:top w:val="nil"/>
              <w:left w:val="nil"/>
              <w:bottom w:val="nil"/>
              <w:right w:val="nil"/>
            </w:tcBorders>
          </w:tcPr>
          <w:p w14:paraId="5A29BA0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D3733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(-1.86)</w:t>
            </w:r>
          </w:p>
        </w:tc>
        <w:tc>
          <w:tcPr>
            <w:tcW w:w="1656" w:type="dxa"/>
            <w:tcBorders>
              <w:top w:val="nil"/>
              <w:left w:val="nil"/>
              <w:bottom w:val="nil"/>
              <w:right w:val="nil"/>
            </w:tcBorders>
          </w:tcPr>
          <w:p w14:paraId="03F8E84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(-0.69)</w:t>
            </w:r>
          </w:p>
        </w:tc>
        <w:tc>
          <w:tcPr>
            <w:tcW w:w="1656" w:type="dxa"/>
            <w:tcBorders>
              <w:top w:val="nil"/>
              <w:left w:val="nil"/>
              <w:bottom w:val="nil"/>
              <w:right w:val="nil"/>
            </w:tcBorders>
          </w:tcPr>
          <w:p w14:paraId="7EF445C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w:t>
            </w:r>
          </w:p>
        </w:tc>
        <w:tc>
          <w:tcPr>
            <w:tcW w:w="1656" w:type="dxa"/>
            <w:tcBorders>
              <w:top w:val="nil"/>
              <w:left w:val="nil"/>
              <w:bottom w:val="nil"/>
              <w:right w:val="nil"/>
            </w:tcBorders>
          </w:tcPr>
          <w:p w14:paraId="7C250C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3458A41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(1.84)</w:t>
            </w:r>
          </w:p>
        </w:tc>
      </w:tr>
      <w:tr w:rsidR="0048356D" w:rsidRPr="00610934" w14:paraId="1D7455B6" w14:textId="77777777" w:rsidTr="00015B88">
        <w:tc>
          <w:tcPr>
            <w:tcW w:w="2136" w:type="dxa"/>
            <w:tcBorders>
              <w:top w:val="nil"/>
              <w:left w:val="nil"/>
              <w:bottom w:val="nil"/>
              <w:right w:val="nil"/>
            </w:tcBorders>
          </w:tcPr>
          <w:p w14:paraId="557E4EC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A237E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46CD6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24B9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9FC8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3899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7E2E42F" w14:textId="77777777" w:rsidTr="00015B88">
        <w:tc>
          <w:tcPr>
            <w:tcW w:w="2136" w:type="dxa"/>
            <w:tcBorders>
              <w:top w:val="nil"/>
              <w:left w:val="nil"/>
              <w:bottom w:val="nil"/>
              <w:right w:val="nil"/>
            </w:tcBorders>
          </w:tcPr>
          <w:p w14:paraId="1308DC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L3.De Jure CBI (CNW Index)</w:t>
            </w:r>
          </w:p>
        </w:tc>
        <w:tc>
          <w:tcPr>
            <w:tcW w:w="1656" w:type="dxa"/>
            <w:tcBorders>
              <w:top w:val="nil"/>
              <w:left w:val="nil"/>
              <w:bottom w:val="nil"/>
              <w:right w:val="nil"/>
            </w:tcBorders>
          </w:tcPr>
          <w:p w14:paraId="55F048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0.312</w:t>
            </w:r>
          </w:p>
        </w:tc>
        <w:tc>
          <w:tcPr>
            <w:tcW w:w="1656" w:type="dxa"/>
            <w:tcBorders>
              <w:top w:val="nil"/>
              <w:left w:val="nil"/>
              <w:bottom w:val="nil"/>
              <w:right w:val="nil"/>
            </w:tcBorders>
          </w:tcPr>
          <w:p w14:paraId="7E12AC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-1.609</w:t>
            </w:r>
          </w:p>
        </w:tc>
        <w:tc>
          <w:tcPr>
            <w:tcW w:w="1656" w:type="dxa"/>
            <w:tcBorders>
              <w:top w:val="nil"/>
              <w:left w:val="nil"/>
              <w:bottom w:val="nil"/>
              <w:right w:val="nil"/>
            </w:tcBorders>
          </w:tcPr>
          <w:p w14:paraId="2D5E84A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-1.745</w:t>
            </w:r>
          </w:p>
        </w:tc>
        <w:tc>
          <w:tcPr>
            <w:tcW w:w="1656" w:type="dxa"/>
            <w:tcBorders>
              <w:top w:val="nil"/>
              <w:left w:val="nil"/>
              <w:bottom w:val="nil"/>
              <w:right w:val="nil"/>
            </w:tcBorders>
          </w:tcPr>
          <w:p w14:paraId="1E12C0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0.00408</w:t>
            </w:r>
          </w:p>
        </w:tc>
        <w:tc>
          <w:tcPr>
            <w:tcW w:w="1656" w:type="dxa"/>
            <w:tcBorders>
              <w:top w:val="nil"/>
              <w:left w:val="nil"/>
              <w:bottom w:val="nil"/>
              <w:right w:val="nil"/>
            </w:tcBorders>
          </w:tcPr>
          <w:p w14:paraId="50632DD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0.391</w:t>
            </w:r>
          </w:p>
        </w:tc>
      </w:tr>
      <w:tr w:rsidR="0048356D" w:rsidRPr="00610934" w14:paraId="02968ED8" w14:textId="77777777" w:rsidTr="00015B88">
        <w:tc>
          <w:tcPr>
            <w:tcW w:w="2136" w:type="dxa"/>
            <w:tcBorders>
              <w:top w:val="nil"/>
              <w:left w:val="nil"/>
              <w:bottom w:val="nil"/>
              <w:right w:val="nil"/>
            </w:tcBorders>
          </w:tcPr>
          <w:p w14:paraId="265886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2671F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w:t>
            </w:r>
          </w:p>
        </w:tc>
        <w:tc>
          <w:tcPr>
            <w:tcW w:w="1656" w:type="dxa"/>
            <w:tcBorders>
              <w:top w:val="nil"/>
              <w:left w:val="nil"/>
              <w:bottom w:val="nil"/>
              <w:right w:val="nil"/>
            </w:tcBorders>
          </w:tcPr>
          <w:p w14:paraId="36EF4A6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w:t>
            </w:r>
          </w:p>
        </w:tc>
        <w:tc>
          <w:tcPr>
            <w:tcW w:w="1656" w:type="dxa"/>
            <w:tcBorders>
              <w:top w:val="nil"/>
              <w:left w:val="nil"/>
              <w:bottom w:val="nil"/>
              <w:right w:val="nil"/>
            </w:tcBorders>
          </w:tcPr>
          <w:p w14:paraId="15062F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(-1.16)</w:t>
            </w:r>
          </w:p>
        </w:tc>
        <w:tc>
          <w:tcPr>
            <w:tcW w:w="1656" w:type="dxa"/>
            <w:tcBorders>
              <w:top w:val="nil"/>
              <w:left w:val="nil"/>
              <w:bottom w:val="nil"/>
              <w:right w:val="nil"/>
            </w:tcBorders>
          </w:tcPr>
          <w:p w14:paraId="29518DA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w:t>
            </w:r>
          </w:p>
        </w:tc>
        <w:tc>
          <w:tcPr>
            <w:tcW w:w="1656" w:type="dxa"/>
            <w:tcBorders>
              <w:top w:val="nil"/>
              <w:left w:val="nil"/>
              <w:bottom w:val="nil"/>
              <w:right w:val="nil"/>
            </w:tcBorders>
          </w:tcPr>
          <w:p w14:paraId="38B493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(1.14)</w:t>
            </w:r>
          </w:p>
        </w:tc>
      </w:tr>
      <w:tr w:rsidR="0048356D" w:rsidRPr="00610934" w14:paraId="6C21BB85" w14:textId="77777777" w:rsidTr="00015B88">
        <w:tc>
          <w:tcPr>
            <w:tcW w:w="2136" w:type="dxa"/>
            <w:tcBorders>
              <w:top w:val="nil"/>
              <w:left w:val="nil"/>
              <w:bottom w:val="nil"/>
              <w:right w:val="nil"/>
            </w:tcBorders>
          </w:tcPr>
          <w:p w14:paraId="64F29B8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4960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3D810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8C09F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671E7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07F3D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DF43ACC" w14:textId="77777777" w:rsidTr="00015B88">
        <w:tc>
          <w:tcPr>
            <w:tcW w:w="2136" w:type="dxa"/>
            <w:tcBorders>
              <w:top w:val="nil"/>
              <w:left w:val="nil"/>
              <w:bottom w:val="nil"/>
              <w:right w:val="nil"/>
            </w:tcBorders>
          </w:tcPr>
          <w:p w14:paraId="6523BD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L4.De Jure CBI (CNW Index)</w:t>
            </w:r>
          </w:p>
        </w:tc>
        <w:tc>
          <w:tcPr>
            <w:tcW w:w="1656" w:type="dxa"/>
            <w:tcBorders>
              <w:top w:val="nil"/>
              <w:left w:val="nil"/>
              <w:bottom w:val="nil"/>
              <w:right w:val="nil"/>
            </w:tcBorders>
          </w:tcPr>
          <w:p w14:paraId="272200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2.704</w:t>
            </w:r>
          </w:p>
        </w:tc>
        <w:tc>
          <w:tcPr>
            <w:tcW w:w="1656" w:type="dxa"/>
            <w:tcBorders>
              <w:top w:val="nil"/>
              <w:left w:val="nil"/>
              <w:bottom w:val="nil"/>
              <w:right w:val="nil"/>
            </w:tcBorders>
          </w:tcPr>
          <w:p w14:paraId="5E80AE2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2.584</w:t>
            </w:r>
          </w:p>
        </w:tc>
        <w:tc>
          <w:tcPr>
            <w:tcW w:w="1656" w:type="dxa"/>
            <w:tcBorders>
              <w:top w:val="nil"/>
              <w:left w:val="nil"/>
              <w:bottom w:val="nil"/>
              <w:right w:val="nil"/>
            </w:tcBorders>
          </w:tcPr>
          <w:p w14:paraId="09A729E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2.514</w:t>
            </w:r>
          </w:p>
        </w:tc>
        <w:tc>
          <w:tcPr>
            <w:tcW w:w="1656" w:type="dxa"/>
            <w:tcBorders>
              <w:top w:val="nil"/>
              <w:left w:val="nil"/>
              <w:bottom w:val="nil"/>
              <w:right w:val="nil"/>
            </w:tcBorders>
          </w:tcPr>
          <w:p w14:paraId="6CFF3A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0.227</w:t>
            </w:r>
          </w:p>
        </w:tc>
        <w:tc>
          <w:tcPr>
            <w:tcW w:w="1656" w:type="dxa"/>
            <w:tcBorders>
              <w:top w:val="nil"/>
              <w:left w:val="nil"/>
              <w:bottom w:val="nil"/>
              <w:right w:val="nil"/>
            </w:tcBorders>
          </w:tcPr>
          <w:p w14:paraId="16802AB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-0.196</w:t>
            </w:r>
          </w:p>
        </w:tc>
      </w:tr>
      <w:tr w:rsidR="0048356D" w:rsidRPr="00610934" w14:paraId="20492144" w14:textId="77777777" w:rsidTr="00015B88">
        <w:tc>
          <w:tcPr>
            <w:tcW w:w="2136" w:type="dxa"/>
            <w:tcBorders>
              <w:top w:val="nil"/>
              <w:left w:val="nil"/>
              <w:bottom w:val="nil"/>
              <w:right w:val="nil"/>
            </w:tcBorders>
          </w:tcPr>
          <w:p w14:paraId="2D808F6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A66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(1.26)</w:t>
            </w:r>
          </w:p>
        </w:tc>
        <w:tc>
          <w:tcPr>
            <w:tcW w:w="1656" w:type="dxa"/>
            <w:tcBorders>
              <w:top w:val="nil"/>
              <w:left w:val="nil"/>
              <w:bottom w:val="nil"/>
              <w:right w:val="nil"/>
            </w:tcBorders>
          </w:tcPr>
          <w:p w14:paraId="0217383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(1.55)</w:t>
            </w:r>
          </w:p>
        </w:tc>
        <w:tc>
          <w:tcPr>
            <w:tcW w:w="1656" w:type="dxa"/>
            <w:tcBorders>
              <w:top w:val="nil"/>
              <w:left w:val="nil"/>
              <w:bottom w:val="nil"/>
              <w:right w:val="nil"/>
            </w:tcBorders>
          </w:tcPr>
          <w:p w14:paraId="4FD3889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(1.23)</w:t>
            </w:r>
          </w:p>
        </w:tc>
        <w:tc>
          <w:tcPr>
            <w:tcW w:w="1656" w:type="dxa"/>
            <w:tcBorders>
              <w:top w:val="nil"/>
              <w:left w:val="nil"/>
              <w:bottom w:val="nil"/>
              <w:right w:val="nil"/>
            </w:tcBorders>
          </w:tcPr>
          <w:p w14:paraId="012BEC1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(0.60)</w:t>
            </w:r>
          </w:p>
        </w:tc>
        <w:tc>
          <w:tcPr>
            <w:tcW w:w="1656" w:type="dxa"/>
            <w:tcBorders>
              <w:top w:val="nil"/>
              <w:left w:val="nil"/>
              <w:bottom w:val="nil"/>
              <w:right w:val="nil"/>
            </w:tcBorders>
          </w:tcPr>
          <w:p w14:paraId="0D0BFF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(-0.50)</w:t>
            </w:r>
          </w:p>
        </w:tc>
      </w:tr>
      <w:tr w:rsidR="0048356D" w:rsidRPr="00610934" w14:paraId="7951308E" w14:textId="77777777" w:rsidTr="00015B88">
        <w:tc>
          <w:tcPr>
            <w:tcW w:w="2136" w:type="dxa"/>
            <w:tcBorders>
              <w:top w:val="nil"/>
              <w:left w:val="nil"/>
              <w:bottom w:val="nil"/>
              <w:right w:val="nil"/>
            </w:tcBorders>
          </w:tcPr>
          <w:p w14:paraId="308DEA5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4938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CFB9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CCF24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8460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303B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3B4C1CC" w14:textId="77777777" w:rsidTr="00015B88">
        <w:tc>
          <w:tcPr>
            <w:tcW w:w="2136" w:type="dxa"/>
            <w:tcBorders>
              <w:top w:val="nil"/>
              <w:left w:val="nil"/>
              <w:bottom w:val="nil"/>
              <w:right w:val="nil"/>
            </w:tcBorders>
          </w:tcPr>
          <w:p w14:paraId="3AC0AB9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L5.De Jure CBI (CNW Index)</w:t>
            </w:r>
          </w:p>
        </w:tc>
        <w:tc>
          <w:tcPr>
            <w:tcW w:w="1656" w:type="dxa"/>
            <w:tcBorders>
              <w:top w:val="nil"/>
              <w:left w:val="nil"/>
              <w:bottom w:val="nil"/>
              <w:right w:val="nil"/>
            </w:tcBorders>
          </w:tcPr>
          <w:p w14:paraId="0C83072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0.399</w:t>
            </w:r>
          </w:p>
        </w:tc>
        <w:tc>
          <w:tcPr>
            <w:tcW w:w="1656" w:type="dxa"/>
            <w:tcBorders>
              <w:top w:val="nil"/>
              <w:left w:val="nil"/>
              <w:bottom w:val="nil"/>
              <w:right w:val="nil"/>
            </w:tcBorders>
          </w:tcPr>
          <w:p w14:paraId="19B590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-0.0350</w:t>
            </w:r>
          </w:p>
        </w:tc>
        <w:tc>
          <w:tcPr>
            <w:tcW w:w="1656" w:type="dxa"/>
            <w:tcBorders>
              <w:top w:val="nil"/>
              <w:left w:val="nil"/>
              <w:bottom w:val="nil"/>
              <w:right w:val="nil"/>
            </w:tcBorders>
          </w:tcPr>
          <w:p w14:paraId="656D917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0.443</w:t>
            </w:r>
          </w:p>
        </w:tc>
        <w:tc>
          <w:tcPr>
            <w:tcW w:w="1656" w:type="dxa"/>
            <w:tcBorders>
              <w:top w:val="nil"/>
              <w:left w:val="nil"/>
              <w:bottom w:val="nil"/>
              <w:right w:val="nil"/>
            </w:tcBorders>
          </w:tcPr>
          <w:p w14:paraId="37737F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-0.0425</w:t>
            </w:r>
          </w:p>
        </w:tc>
        <w:tc>
          <w:tcPr>
            <w:tcW w:w="1656" w:type="dxa"/>
            <w:tcBorders>
              <w:top w:val="nil"/>
              <w:left w:val="nil"/>
              <w:bottom w:val="nil"/>
              <w:right w:val="nil"/>
            </w:tcBorders>
          </w:tcPr>
          <w:p w14:paraId="64EDD94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-0.229</w:t>
            </w:r>
          </w:p>
        </w:tc>
      </w:tr>
      <w:tr w:rsidR="0048356D" w:rsidRPr="00610934" w14:paraId="69F61E34" w14:textId="77777777" w:rsidTr="00015B88">
        <w:tc>
          <w:tcPr>
            <w:tcW w:w="2136" w:type="dxa"/>
            <w:tcBorders>
              <w:top w:val="nil"/>
              <w:left w:val="nil"/>
              <w:bottom w:val="nil"/>
              <w:right w:val="nil"/>
            </w:tcBorders>
          </w:tcPr>
          <w:p w14:paraId="187B7C8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64796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2D92D0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c>
          <w:tcPr>
            <w:tcW w:w="1656" w:type="dxa"/>
            <w:tcBorders>
              <w:top w:val="nil"/>
              <w:left w:val="nil"/>
              <w:bottom w:val="nil"/>
              <w:right w:val="nil"/>
            </w:tcBorders>
          </w:tcPr>
          <w:p w14:paraId="7461BE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64DD3A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w:t>
            </w:r>
          </w:p>
        </w:tc>
        <w:tc>
          <w:tcPr>
            <w:tcW w:w="1656" w:type="dxa"/>
            <w:tcBorders>
              <w:top w:val="nil"/>
              <w:left w:val="nil"/>
              <w:bottom w:val="nil"/>
              <w:right w:val="nil"/>
            </w:tcBorders>
          </w:tcPr>
          <w:p w14:paraId="1626CF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(-0.62)</w:t>
            </w:r>
          </w:p>
        </w:tc>
      </w:tr>
      <w:tr w:rsidR="0048356D" w:rsidRPr="00610934" w14:paraId="0783CF45" w14:textId="77777777" w:rsidTr="00015B88">
        <w:tc>
          <w:tcPr>
            <w:tcW w:w="2136" w:type="dxa"/>
            <w:tcBorders>
              <w:top w:val="nil"/>
              <w:left w:val="nil"/>
              <w:bottom w:val="nil"/>
              <w:right w:val="nil"/>
            </w:tcBorders>
          </w:tcPr>
          <w:p w14:paraId="21F1AE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33B0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8BBBC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AFAB6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EFCF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4B36D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5A1A41D" w14:textId="77777777" w:rsidTr="00015B88">
        <w:tc>
          <w:tcPr>
            <w:tcW w:w="2136" w:type="dxa"/>
            <w:tcBorders>
              <w:top w:val="nil"/>
              <w:left w:val="nil"/>
              <w:bottom w:val="nil"/>
              <w:right w:val="nil"/>
            </w:tcBorders>
          </w:tcPr>
          <w:p w14:paraId="66B3328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L6.De Jure CBI (CNW Index)</w:t>
            </w:r>
          </w:p>
        </w:tc>
        <w:tc>
          <w:tcPr>
            <w:tcW w:w="1656" w:type="dxa"/>
            <w:tcBorders>
              <w:top w:val="nil"/>
              <w:left w:val="nil"/>
              <w:bottom w:val="nil"/>
              <w:right w:val="nil"/>
            </w:tcBorders>
          </w:tcPr>
          <w:p w14:paraId="03A6422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-1.058</w:t>
            </w:r>
          </w:p>
        </w:tc>
        <w:tc>
          <w:tcPr>
            <w:tcW w:w="1656" w:type="dxa"/>
            <w:tcBorders>
              <w:top w:val="nil"/>
              <w:left w:val="nil"/>
              <w:bottom w:val="nil"/>
              <w:right w:val="nil"/>
            </w:tcBorders>
          </w:tcPr>
          <w:p w14:paraId="1C45B01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-0.339</w:t>
            </w:r>
          </w:p>
        </w:tc>
        <w:tc>
          <w:tcPr>
            <w:tcW w:w="1656" w:type="dxa"/>
            <w:tcBorders>
              <w:top w:val="nil"/>
              <w:left w:val="nil"/>
              <w:bottom w:val="nil"/>
              <w:right w:val="nil"/>
            </w:tcBorders>
          </w:tcPr>
          <w:p w14:paraId="3880F98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-0.247</w:t>
            </w:r>
          </w:p>
        </w:tc>
        <w:tc>
          <w:tcPr>
            <w:tcW w:w="1656" w:type="dxa"/>
            <w:tcBorders>
              <w:top w:val="nil"/>
              <w:left w:val="nil"/>
              <w:bottom w:val="nil"/>
              <w:right w:val="nil"/>
            </w:tcBorders>
          </w:tcPr>
          <w:p w14:paraId="46F0CEF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0.636</w:t>
            </w:r>
          </w:p>
        </w:tc>
        <w:tc>
          <w:tcPr>
            <w:tcW w:w="1656" w:type="dxa"/>
            <w:tcBorders>
              <w:top w:val="nil"/>
              <w:left w:val="nil"/>
              <w:bottom w:val="nil"/>
              <w:right w:val="nil"/>
            </w:tcBorders>
          </w:tcPr>
          <w:p w14:paraId="1F3F977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0.816</w:t>
            </w:r>
            <w:r w:rsidRPr="00610934">
              <w:rPr>
                <w:rFonts w:ascii="Times New Roman" w:hAnsi="Times New Roman" w:cs="Times New Roman"/>
                <w:sz w:val="16"/>
                <w:szCs w:val="16"/>
                <w:vertAlign w:val="superscript"/>
              </w:rPr>
              <w:t>*</w:t>
            </w:r>
          </w:p>
        </w:tc>
      </w:tr>
      <w:tr w:rsidR="0048356D" w:rsidRPr="00610934" w14:paraId="6C415214" w14:textId="77777777" w:rsidTr="00015B88">
        <w:tc>
          <w:tcPr>
            <w:tcW w:w="2136" w:type="dxa"/>
            <w:tcBorders>
              <w:top w:val="nil"/>
              <w:left w:val="nil"/>
              <w:bottom w:val="nil"/>
              <w:right w:val="nil"/>
            </w:tcBorders>
          </w:tcPr>
          <w:p w14:paraId="0521D31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ACCC8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69307FA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w:t>
            </w:r>
          </w:p>
        </w:tc>
        <w:tc>
          <w:tcPr>
            <w:tcW w:w="1656" w:type="dxa"/>
            <w:tcBorders>
              <w:top w:val="nil"/>
              <w:left w:val="nil"/>
              <w:bottom w:val="nil"/>
              <w:right w:val="nil"/>
            </w:tcBorders>
          </w:tcPr>
          <w:p w14:paraId="049E5E0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w:t>
            </w:r>
          </w:p>
        </w:tc>
        <w:tc>
          <w:tcPr>
            <w:tcW w:w="1656" w:type="dxa"/>
            <w:tcBorders>
              <w:top w:val="nil"/>
              <w:left w:val="nil"/>
              <w:bottom w:val="nil"/>
              <w:right w:val="nil"/>
            </w:tcBorders>
          </w:tcPr>
          <w:p w14:paraId="4A89C7A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(1.82)</w:t>
            </w:r>
          </w:p>
        </w:tc>
        <w:tc>
          <w:tcPr>
            <w:tcW w:w="1656" w:type="dxa"/>
            <w:tcBorders>
              <w:top w:val="nil"/>
              <w:left w:val="nil"/>
              <w:bottom w:val="nil"/>
              <w:right w:val="nil"/>
            </w:tcBorders>
          </w:tcPr>
          <w:p w14:paraId="22BDF3D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(2.04)</w:t>
            </w:r>
          </w:p>
        </w:tc>
      </w:tr>
      <w:tr w:rsidR="0048356D" w:rsidRPr="00610934" w14:paraId="04A9637D" w14:textId="77777777" w:rsidTr="00015B88">
        <w:tc>
          <w:tcPr>
            <w:tcW w:w="2136" w:type="dxa"/>
            <w:tcBorders>
              <w:top w:val="nil"/>
              <w:left w:val="nil"/>
              <w:bottom w:val="nil"/>
              <w:right w:val="nil"/>
            </w:tcBorders>
          </w:tcPr>
          <w:p w14:paraId="20F6BF9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0636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929A6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9FA1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3B55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EF0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877A36E" w14:textId="77777777" w:rsidTr="00015B88">
        <w:tc>
          <w:tcPr>
            <w:tcW w:w="2136" w:type="dxa"/>
            <w:tcBorders>
              <w:top w:val="nil"/>
              <w:left w:val="nil"/>
              <w:bottom w:val="nil"/>
              <w:right w:val="nil"/>
            </w:tcBorders>
          </w:tcPr>
          <w:p w14:paraId="715A52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L7.De Jure CBI (CNW Index)</w:t>
            </w:r>
          </w:p>
        </w:tc>
        <w:tc>
          <w:tcPr>
            <w:tcW w:w="1656" w:type="dxa"/>
            <w:tcBorders>
              <w:top w:val="nil"/>
              <w:left w:val="nil"/>
              <w:bottom w:val="nil"/>
              <w:right w:val="nil"/>
            </w:tcBorders>
          </w:tcPr>
          <w:p w14:paraId="311DE88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2.145</w:t>
            </w:r>
          </w:p>
        </w:tc>
        <w:tc>
          <w:tcPr>
            <w:tcW w:w="1656" w:type="dxa"/>
            <w:tcBorders>
              <w:top w:val="nil"/>
              <w:left w:val="nil"/>
              <w:bottom w:val="nil"/>
              <w:right w:val="nil"/>
            </w:tcBorders>
          </w:tcPr>
          <w:p w14:paraId="636D6B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-1.098</w:t>
            </w:r>
          </w:p>
        </w:tc>
        <w:tc>
          <w:tcPr>
            <w:tcW w:w="1656" w:type="dxa"/>
            <w:tcBorders>
              <w:top w:val="nil"/>
              <w:left w:val="nil"/>
              <w:bottom w:val="nil"/>
              <w:right w:val="nil"/>
            </w:tcBorders>
          </w:tcPr>
          <w:p w14:paraId="77BABCB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2.457</w:t>
            </w:r>
          </w:p>
        </w:tc>
        <w:tc>
          <w:tcPr>
            <w:tcW w:w="1656" w:type="dxa"/>
            <w:tcBorders>
              <w:top w:val="nil"/>
              <w:left w:val="nil"/>
              <w:bottom w:val="nil"/>
              <w:right w:val="nil"/>
            </w:tcBorders>
          </w:tcPr>
          <w:p w14:paraId="51E6C4D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-0.168</w:t>
            </w:r>
          </w:p>
        </w:tc>
        <w:tc>
          <w:tcPr>
            <w:tcW w:w="1656" w:type="dxa"/>
            <w:tcBorders>
              <w:top w:val="nil"/>
              <w:left w:val="nil"/>
              <w:bottom w:val="nil"/>
              <w:right w:val="nil"/>
            </w:tcBorders>
          </w:tcPr>
          <w:p w14:paraId="1D198E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-0.0164</w:t>
            </w:r>
          </w:p>
        </w:tc>
      </w:tr>
      <w:tr w:rsidR="0048356D" w:rsidRPr="00610934" w14:paraId="135461BD" w14:textId="77777777" w:rsidTr="00015B88">
        <w:tc>
          <w:tcPr>
            <w:tcW w:w="2136" w:type="dxa"/>
            <w:tcBorders>
              <w:top w:val="nil"/>
              <w:left w:val="nil"/>
              <w:bottom w:val="nil"/>
              <w:right w:val="nil"/>
            </w:tcBorders>
          </w:tcPr>
          <w:p w14:paraId="20C5B9C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418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(1.05)</w:t>
            </w:r>
          </w:p>
        </w:tc>
        <w:tc>
          <w:tcPr>
            <w:tcW w:w="1656" w:type="dxa"/>
            <w:tcBorders>
              <w:top w:val="nil"/>
              <w:left w:val="nil"/>
              <w:bottom w:val="nil"/>
              <w:right w:val="nil"/>
            </w:tcBorders>
          </w:tcPr>
          <w:p w14:paraId="6CE1811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2222872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(1.23)</w:t>
            </w:r>
          </w:p>
        </w:tc>
        <w:tc>
          <w:tcPr>
            <w:tcW w:w="1656" w:type="dxa"/>
            <w:tcBorders>
              <w:top w:val="nil"/>
              <w:left w:val="nil"/>
              <w:bottom w:val="nil"/>
              <w:right w:val="nil"/>
            </w:tcBorders>
          </w:tcPr>
          <w:p w14:paraId="21A7D2B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c>
          <w:tcPr>
            <w:tcW w:w="1656" w:type="dxa"/>
            <w:tcBorders>
              <w:top w:val="nil"/>
              <w:left w:val="nil"/>
              <w:bottom w:val="nil"/>
              <w:right w:val="nil"/>
            </w:tcBorders>
          </w:tcPr>
          <w:p w14:paraId="3E4C61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w:t>
            </w:r>
          </w:p>
        </w:tc>
      </w:tr>
      <w:tr w:rsidR="0048356D" w:rsidRPr="00610934" w14:paraId="26D83044" w14:textId="77777777" w:rsidTr="00015B88">
        <w:tc>
          <w:tcPr>
            <w:tcW w:w="2136" w:type="dxa"/>
            <w:tcBorders>
              <w:top w:val="nil"/>
              <w:left w:val="nil"/>
              <w:bottom w:val="nil"/>
              <w:right w:val="nil"/>
            </w:tcBorders>
          </w:tcPr>
          <w:p w14:paraId="2736577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5645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732B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1CA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C8304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F0A43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1C3356F" w14:textId="77777777" w:rsidTr="00015B88">
        <w:tc>
          <w:tcPr>
            <w:tcW w:w="2136" w:type="dxa"/>
            <w:tcBorders>
              <w:top w:val="nil"/>
              <w:left w:val="nil"/>
              <w:bottom w:val="nil"/>
              <w:right w:val="nil"/>
            </w:tcBorders>
          </w:tcPr>
          <w:p w14:paraId="4EC05E3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L8.De Jure CBI (CNW Index)</w:t>
            </w:r>
          </w:p>
        </w:tc>
        <w:tc>
          <w:tcPr>
            <w:tcW w:w="1656" w:type="dxa"/>
            <w:tcBorders>
              <w:top w:val="nil"/>
              <w:left w:val="nil"/>
              <w:bottom w:val="nil"/>
              <w:right w:val="nil"/>
            </w:tcBorders>
          </w:tcPr>
          <w:p w14:paraId="44EB69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-2.844</w:t>
            </w:r>
          </w:p>
        </w:tc>
        <w:tc>
          <w:tcPr>
            <w:tcW w:w="1656" w:type="dxa"/>
            <w:tcBorders>
              <w:top w:val="nil"/>
              <w:left w:val="nil"/>
              <w:bottom w:val="nil"/>
              <w:right w:val="nil"/>
            </w:tcBorders>
          </w:tcPr>
          <w:p w14:paraId="162A085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-0.763</w:t>
            </w:r>
          </w:p>
        </w:tc>
        <w:tc>
          <w:tcPr>
            <w:tcW w:w="1656" w:type="dxa"/>
            <w:tcBorders>
              <w:top w:val="nil"/>
              <w:left w:val="nil"/>
              <w:bottom w:val="nil"/>
              <w:right w:val="nil"/>
            </w:tcBorders>
          </w:tcPr>
          <w:p w14:paraId="658ECBA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-2.135</w:t>
            </w:r>
          </w:p>
        </w:tc>
        <w:tc>
          <w:tcPr>
            <w:tcW w:w="1656" w:type="dxa"/>
            <w:tcBorders>
              <w:top w:val="nil"/>
              <w:left w:val="nil"/>
              <w:bottom w:val="nil"/>
              <w:right w:val="nil"/>
            </w:tcBorders>
          </w:tcPr>
          <w:p w14:paraId="322845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-0.181</w:t>
            </w:r>
          </w:p>
        </w:tc>
        <w:tc>
          <w:tcPr>
            <w:tcW w:w="1656" w:type="dxa"/>
            <w:tcBorders>
              <w:top w:val="nil"/>
              <w:left w:val="nil"/>
              <w:bottom w:val="nil"/>
              <w:right w:val="nil"/>
            </w:tcBorders>
          </w:tcPr>
          <w:p w14:paraId="4E06B1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0.595</w:t>
            </w:r>
          </w:p>
        </w:tc>
      </w:tr>
      <w:tr w:rsidR="0048356D" w:rsidRPr="00610934" w14:paraId="5F68836D" w14:textId="77777777" w:rsidTr="00015B88">
        <w:tc>
          <w:tcPr>
            <w:tcW w:w="2136" w:type="dxa"/>
            <w:tcBorders>
              <w:top w:val="nil"/>
              <w:left w:val="nil"/>
              <w:bottom w:val="nil"/>
              <w:right w:val="nil"/>
            </w:tcBorders>
          </w:tcPr>
          <w:p w14:paraId="68E5CA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A4CE6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(-1.39)</w:t>
            </w:r>
          </w:p>
        </w:tc>
        <w:tc>
          <w:tcPr>
            <w:tcW w:w="1656" w:type="dxa"/>
            <w:tcBorders>
              <w:top w:val="nil"/>
              <w:left w:val="nil"/>
              <w:bottom w:val="nil"/>
              <w:right w:val="nil"/>
            </w:tcBorders>
          </w:tcPr>
          <w:p w14:paraId="178F869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(-0.40)</w:t>
            </w:r>
          </w:p>
        </w:tc>
        <w:tc>
          <w:tcPr>
            <w:tcW w:w="1656" w:type="dxa"/>
            <w:tcBorders>
              <w:top w:val="nil"/>
              <w:left w:val="nil"/>
              <w:bottom w:val="nil"/>
              <w:right w:val="nil"/>
            </w:tcBorders>
          </w:tcPr>
          <w:p w14:paraId="782AE6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(-1.54)</w:t>
            </w:r>
          </w:p>
        </w:tc>
        <w:tc>
          <w:tcPr>
            <w:tcW w:w="1656" w:type="dxa"/>
            <w:tcBorders>
              <w:top w:val="nil"/>
              <w:left w:val="nil"/>
              <w:bottom w:val="nil"/>
              <w:right w:val="nil"/>
            </w:tcBorders>
          </w:tcPr>
          <w:p w14:paraId="20D238E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3BDE6F8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(1.70)</w:t>
            </w:r>
          </w:p>
        </w:tc>
      </w:tr>
      <w:tr w:rsidR="0048356D" w:rsidRPr="00610934" w14:paraId="367EBA2F" w14:textId="77777777" w:rsidTr="00015B88">
        <w:tc>
          <w:tcPr>
            <w:tcW w:w="2136" w:type="dxa"/>
            <w:tcBorders>
              <w:top w:val="nil"/>
              <w:left w:val="nil"/>
              <w:bottom w:val="nil"/>
              <w:right w:val="nil"/>
            </w:tcBorders>
          </w:tcPr>
          <w:p w14:paraId="4786C51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43CA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C398C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C8F82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43BA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D0F61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B50FA43" w14:textId="77777777" w:rsidTr="00015B88">
        <w:tc>
          <w:tcPr>
            <w:tcW w:w="2136" w:type="dxa"/>
            <w:tcBorders>
              <w:top w:val="nil"/>
              <w:left w:val="nil"/>
              <w:bottom w:val="nil"/>
              <w:right w:val="nil"/>
            </w:tcBorders>
          </w:tcPr>
          <w:p w14:paraId="36B97C6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L9.De Jure CBI (CNW Index)</w:t>
            </w:r>
          </w:p>
        </w:tc>
        <w:tc>
          <w:tcPr>
            <w:tcW w:w="1656" w:type="dxa"/>
            <w:tcBorders>
              <w:top w:val="nil"/>
              <w:left w:val="nil"/>
              <w:bottom w:val="nil"/>
              <w:right w:val="nil"/>
            </w:tcBorders>
          </w:tcPr>
          <w:p w14:paraId="04E5973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-0.227</w:t>
            </w:r>
          </w:p>
        </w:tc>
        <w:tc>
          <w:tcPr>
            <w:tcW w:w="1656" w:type="dxa"/>
            <w:tcBorders>
              <w:top w:val="nil"/>
              <w:left w:val="nil"/>
              <w:bottom w:val="nil"/>
              <w:right w:val="nil"/>
            </w:tcBorders>
          </w:tcPr>
          <w:p w14:paraId="76E7DE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2.169</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38543C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-0.444</w:t>
            </w:r>
          </w:p>
        </w:tc>
        <w:tc>
          <w:tcPr>
            <w:tcW w:w="1656" w:type="dxa"/>
            <w:tcBorders>
              <w:top w:val="nil"/>
              <w:left w:val="nil"/>
              <w:bottom w:val="nil"/>
              <w:right w:val="nil"/>
            </w:tcBorders>
          </w:tcPr>
          <w:p w14:paraId="12B3F3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-0.338</w:t>
            </w:r>
          </w:p>
        </w:tc>
        <w:tc>
          <w:tcPr>
            <w:tcW w:w="1656" w:type="dxa"/>
            <w:tcBorders>
              <w:top w:val="nil"/>
              <w:left w:val="nil"/>
              <w:bottom w:val="nil"/>
              <w:right w:val="nil"/>
            </w:tcBorders>
          </w:tcPr>
          <w:p w14:paraId="1C9AD7A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-0.268</w:t>
            </w:r>
          </w:p>
        </w:tc>
      </w:tr>
      <w:tr w:rsidR="0048356D" w:rsidRPr="00610934" w14:paraId="2A4DA6E6" w14:textId="77777777" w:rsidTr="00015B88">
        <w:tc>
          <w:tcPr>
            <w:tcW w:w="2136" w:type="dxa"/>
            <w:tcBorders>
              <w:top w:val="nil"/>
              <w:left w:val="nil"/>
              <w:bottom w:val="nil"/>
              <w:right w:val="nil"/>
            </w:tcBorders>
          </w:tcPr>
          <w:p w14:paraId="6C9DC43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C5C5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(-0.15)</w:t>
            </w:r>
          </w:p>
        </w:tc>
        <w:tc>
          <w:tcPr>
            <w:tcW w:w="1656" w:type="dxa"/>
            <w:tcBorders>
              <w:top w:val="nil"/>
              <w:left w:val="nil"/>
              <w:bottom w:val="nil"/>
              <w:right w:val="nil"/>
            </w:tcBorders>
          </w:tcPr>
          <w:p w14:paraId="6CEFA65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(2.10)</w:t>
            </w:r>
          </w:p>
        </w:tc>
        <w:tc>
          <w:tcPr>
            <w:tcW w:w="1656" w:type="dxa"/>
            <w:tcBorders>
              <w:top w:val="nil"/>
              <w:left w:val="nil"/>
              <w:bottom w:val="nil"/>
              <w:right w:val="nil"/>
            </w:tcBorders>
          </w:tcPr>
          <w:p w14:paraId="40CE04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(-0.35)</w:t>
            </w:r>
          </w:p>
        </w:tc>
        <w:tc>
          <w:tcPr>
            <w:tcW w:w="1656" w:type="dxa"/>
            <w:tcBorders>
              <w:top w:val="nil"/>
              <w:left w:val="nil"/>
              <w:bottom w:val="nil"/>
              <w:right w:val="nil"/>
            </w:tcBorders>
          </w:tcPr>
          <w:p w14:paraId="3A81C87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(-1.00)</w:t>
            </w:r>
          </w:p>
        </w:tc>
        <w:tc>
          <w:tcPr>
            <w:tcW w:w="1656" w:type="dxa"/>
            <w:tcBorders>
              <w:top w:val="nil"/>
              <w:left w:val="nil"/>
              <w:bottom w:val="nil"/>
              <w:right w:val="nil"/>
            </w:tcBorders>
          </w:tcPr>
          <w:p w14:paraId="1FF58DC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(-1.48)</w:t>
            </w:r>
          </w:p>
        </w:tc>
      </w:tr>
      <w:tr w:rsidR="0048356D" w:rsidRPr="00610934" w14:paraId="2648F354" w14:textId="77777777" w:rsidTr="00015B88">
        <w:tc>
          <w:tcPr>
            <w:tcW w:w="2136" w:type="dxa"/>
            <w:tcBorders>
              <w:top w:val="nil"/>
              <w:left w:val="nil"/>
              <w:bottom w:val="nil"/>
              <w:right w:val="nil"/>
            </w:tcBorders>
          </w:tcPr>
          <w:p w14:paraId="00088C9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0637D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871A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4BAB5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8120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D76BA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886A1E4" w14:textId="77777777" w:rsidTr="00015B88">
        <w:tc>
          <w:tcPr>
            <w:tcW w:w="2136" w:type="dxa"/>
            <w:tcBorders>
              <w:top w:val="nil"/>
              <w:left w:val="nil"/>
              <w:bottom w:val="nil"/>
              <w:right w:val="nil"/>
            </w:tcBorders>
          </w:tcPr>
          <w:p w14:paraId="57ABB04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L10.De Jure CBI (CNW Index)</w:t>
            </w:r>
          </w:p>
        </w:tc>
        <w:tc>
          <w:tcPr>
            <w:tcW w:w="1656" w:type="dxa"/>
            <w:tcBorders>
              <w:top w:val="nil"/>
              <w:left w:val="nil"/>
              <w:bottom w:val="nil"/>
              <w:right w:val="nil"/>
            </w:tcBorders>
          </w:tcPr>
          <w:p w14:paraId="7097BBE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-0.218</w:t>
            </w:r>
          </w:p>
        </w:tc>
        <w:tc>
          <w:tcPr>
            <w:tcW w:w="1656" w:type="dxa"/>
            <w:tcBorders>
              <w:top w:val="nil"/>
              <w:left w:val="nil"/>
              <w:bottom w:val="nil"/>
              <w:right w:val="nil"/>
            </w:tcBorders>
          </w:tcPr>
          <w:p w14:paraId="080FD0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-1.682</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61C2756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0.656</w:t>
            </w:r>
          </w:p>
        </w:tc>
        <w:tc>
          <w:tcPr>
            <w:tcW w:w="1656" w:type="dxa"/>
            <w:tcBorders>
              <w:top w:val="nil"/>
              <w:left w:val="nil"/>
              <w:bottom w:val="nil"/>
              <w:right w:val="nil"/>
            </w:tcBorders>
          </w:tcPr>
          <w:p w14:paraId="7C1E682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0.330</w:t>
            </w:r>
          </w:p>
        </w:tc>
        <w:tc>
          <w:tcPr>
            <w:tcW w:w="1656" w:type="dxa"/>
            <w:tcBorders>
              <w:top w:val="nil"/>
              <w:left w:val="nil"/>
              <w:bottom w:val="nil"/>
              <w:right w:val="nil"/>
            </w:tcBorders>
          </w:tcPr>
          <w:p w14:paraId="358F60F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-0.147</w:t>
            </w:r>
          </w:p>
        </w:tc>
      </w:tr>
      <w:tr w:rsidR="0048356D" w:rsidRPr="00610934" w14:paraId="0A9E73D0" w14:textId="77777777" w:rsidTr="00015B88">
        <w:tc>
          <w:tcPr>
            <w:tcW w:w="2136" w:type="dxa"/>
            <w:tcBorders>
              <w:top w:val="nil"/>
              <w:left w:val="nil"/>
              <w:bottom w:val="nil"/>
              <w:right w:val="nil"/>
            </w:tcBorders>
          </w:tcPr>
          <w:p w14:paraId="3FFD85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F1287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w:t>
            </w:r>
          </w:p>
        </w:tc>
        <w:tc>
          <w:tcPr>
            <w:tcW w:w="1656" w:type="dxa"/>
            <w:tcBorders>
              <w:top w:val="nil"/>
              <w:left w:val="nil"/>
              <w:bottom w:val="nil"/>
              <w:right w:val="nil"/>
            </w:tcBorders>
          </w:tcPr>
          <w:p w14:paraId="6DA9DF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(-2.76)</w:t>
            </w:r>
          </w:p>
        </w:tc>
        <w:tc>
          <w:tcPr>
            <w:tcW w:w="1656" w:type="dxa"/>
            <w:tcBorders>
              <w:top w:val="nil"/>
              <w:left w:val="nil"/>
              <w:bottom w:val="nil"/>
              <w:right w:val="nil"/>
            </w:tcBorders>
          </w:tcPr>
          <w:p w14:paraId="28FAB6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(0.66)</w:t>
            </w:r>
          </w:p>
        </w:tc>
        <w:tc>
          <w:tcPr>
            <w:tcW w:w="1656" w:type="dxa"/>
            <w:tcBorders>
              <w:top w:val="nil"/>
              <w:left w:val="nil"/>
              <w:bottom w:val="nil"/>
              <w:right w:val="nil"/>
            </w:tcBorders>
          </w:tcPr>
          <w:p w14:paraId="3525F13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(0.97)</w:t>
            </w:r>
          </w:p>
        </w:tc>
        <w:tc>
          <w:tcPr>
            <w:tcW w:w="1656" w:type="dxa"/>
            <w:tcBorders>
              <w:top w:val="nil"/>
              <w:left w:val="nil"/>
              <w:bottom w:val="nil"/>
              <w:right w:val="nil"/>
            </w:tcBorders>
          </w:tcPr>
          <w:p w14:paraId="0BA316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r>
      <w:tr w:rsidR="0048356D" w:rsidRPr="00610934" w14:paraId="075FD9FA" w14:textId="77777777" w:rsidTr="00015B88">
        <w:tc>
          <w:tcPr>
            <w:tcW w:w="2136" w:type="dxa"/>
            <w:tcBorders>
              <w:top w:val="nil"/>
              <w:left w:val="nil"/>
              <w:bottom w:val="nil"/>
              <w:right w:val="nil"/>
            </w:tcBorders>
          </w:tcPr>
          <w:p w14:paraId="7BCDAD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9F23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1F13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5CE2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2452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479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06E63FD" w14:textId="77777777" w:rsidTr="00015B88">
        <w:tc>
          <w:tcPr>
            <w:tcW w:w="2136" w:type="dxa"/>
            <w:tcBorders>
              <w:top w:val="nil"/>
              <w:left w:val="nil"/>
              <w:bottom w:val="nil"/>
              <w:right w:val="nil"/>
            </w:tcBorders>
          </w:tcPr>
          <w:p w14:paraId="0339FED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610934">
              <w:rPr>
                <w:rFonts w:ascii="Times New Roman" w:hAnsi="Times New Roman" w:cs="Times New Roman"/>
                <w:sz w:val="16"/>
                <w:szCs w:val="16"/>
              </w:rPr>
              <w:t>L.Exchange</w:t>
            </w:r>
            <w:proofErr w:type="spellEnd"/>
            <w:r w:rsidRPr="00610934">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62F299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-0.0112</w:t>
            </w:r>
          </w:p>
        </w:tc>
        <w:tc>
          <w:tcPr>
            <w:tcW w:w="1656" w:type="dxa"/>
            <w:tcBorders>
              <w:top w:val="nil"/>
              <w:left w:val="nil"/>
              <w:bottom w:val="nil"/>
              <w:right w:val="nil"/>
            </w:tcBorders>
          </w:tcPr>
          <w:p w14:paraId="0FE6A03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0.0547</w:t>
            </w:r>
          </w:p>
        </w:tc>
        <w:tc>
          <w:tcPr>
            <w:tcW w:w="1656" w:type="dxa"/>
            <w:tcBorders>
              <w:top w:val="nil"/>
              <w:left w:val="nil"/>
              <w:bottom w:val="nil"/>
              <w:right w:val="nil"/>
            </w:tcBorders>
          </w:tcPr>
          <w:p w14:paraId="1D9CCDE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0.0261</w:t>
            </w:r>
          </w:p>
        </w:tc>
        <w:tc>
          <w:tcPr>
            <w:tcW w:w="1656" w:type="dxa"/>
            <w:tcBorders>
              <w:top w:val="nil"/>
              <w:left w:val="nil"/>
              <w:bottom w:val="nil"/>
              <w:right w:val="nil"/>
            </w:tcBorders>
          </w:tcPr>
          <w:p w14:paraId="2392BB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-0.0161</w:t>
            </w:r>
          </w:p>
        </w:tc>
        <w:tc>
          <w:tcPr>
            <w:tcW w:w="1656" w:type="dxa"/>
            <w:tcBorders>
              <w:top w:val="nil"/>
              <w:left w:val="nil"/>
              <w:bottom w:val="nil"/>
              <w:right w:val="nil"/>
            </w:tcBorders>
          </w:tcPr>
          <w:p w14:paraId="4F3C895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-0.00209</w:t>
            </w:r>
          </w:p>
        </w:tc>
      </w:tr>
      <w:tr w:rsidR="0048356D" w:rsidRPr="00610934" w14:paraId="7B2DE748" w14:textId="77777777" w:rsidTr="00015B88">
        <w:tc>
          <w:tcPr>
            <w:tcW w:w="2136" w:type="dxa"/>
            <w:tcBorders>
              <w:top w:val="nil"/>
              <w:left w:val="nil"/>
              <w:bottom w:val="nil"/>
              <w:right w:val="nil"/>
            </w:tcBorders>
          </w:tcPr>
          <w:p w14:paraId="05FECB6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CD4C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(-0.20)</w:t>
            </w:r>
          </w:p>
        </w:tc>
        <w:tc>
          <w:tcPr>
            <w:tcW w:w="1656" w:type="dxa"/>
            <w:tcBorders>
              <w:top w:val="nil"/>
              <w:left w:val="nil"/>
              <w:bottom w:val="nil"/>
              <w:right w:val="nil"/>
            </w:tcBorders>
          </w:tcPr>
          <w:p w14:paraId="5104C15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(1.35)</w:t>
            </w:r>
          </w:p>
        </w:tc>
        <w:tc>
          <w:tcPr>
            <w:tcW w:w="1656" w:type="dxa"/>
            <w:tcBorders>
              <w:top w:val="nil"/>
              <w:left w:val="nil"/>
              <w:bottom w:val="nil"/>
              <w:right w:val="nil"/>
            </w:tcBorders>
          </w:tcPr>
          <w:p w14:paraId="3E7A6E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79E8C9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(-0.80)</w:t>
            </w:r>
          </w:p>
        </w:tc>
        <w:tc>
          <w:tcPr>
            <w:tcW w:w="1656" w:type="dxa"/>
            <w:tcBorders>
              <w:top w:val="nil"/>
              <w:left w:val="nil"/>
              <w:bottom w:val="nil"/>
              <w:right w:val="nil"/>
            </w:tcBorders>
          </w:tcPr>
          <w:p w14:paraId="7281DD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(-0.23)</w:t>
            </w:r>
          </w:p>
        </w:tc>
      </w:tr>
      <w:tr w:rsidR="0048356D" w:rsidRPr="00610934" w14:paraId="7A1C5F11" w14:textId="77777777" w:rsidTr="00015B88">
        <w:tc>
          <w:tcPr>
            <w:tcW w:w="2136" w:type="dxa"/>
            <w:tcBorders>
              <w:top w:val="nil"/>
              <w:left w:val="nil"/>
              <w:bottom w:val="nil"/>
              <w:right w:val="nil"/>
            </w:tcBorders>
          </w:tcPr>
          <w:p w14:paraId="2B0EB42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25E3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861FB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7C0D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12FCD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AE7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05A4198" w14:textId="77777777" w:rsidTr="00015B88">
        <w:tc>
          <w:tcPr>
            <w:tcW w:w="2136" w:type="dxa"/>
            <w:tcBorders>
              <w:top w:val="nil"/>
              <w:left w:val="nil"/>
              <w:bottom w:val="nil"/>
              <w:right w:val="nil"/>
            </w:tcBorders>
          </w:tcPr>
          <w:p w14:paraId="2D78121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725A49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-0.0296</w:t>
            </w:r>
          </w:p>
        </w:tc>
        <w:tc>
          <w:tcPr>
            <w:tcW w:w="1656" w:type="dxa"/>
            <w:tcBorders>
              <w:top w:val="nil"/>
              <w:left w:val="nil"/>
              <w:bottom w:val="nil"/>
              <w:right w:val="nil"/>
            </w:tcBorders>
          </w:tcPr>
          <w:p w14:paraId="0CBC00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-0.0512</w:t>
            </w:r>
          </w:p>
        </w:tc>
        <w:tc>
          <w:tcPr>
            <w:tcW w:w="1656" w:type="dxa"/>
            <w:tcBorders>
              <w:top w:val="nil"/>
              <w:left w:val="nil"/>
              <w:bottom w:val="nil"/>
              <w:right w:val="nil"/>
            </w:tcBorders>
          </w:tcPr>
          <w:p w14:paraId="237E01D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0.0224</w:t>
            </w:r>
          </w:p>
        </w:tc>
        <w:tc>
          <w:tcPr>
            <w:tcW w:w="1656" w:type="dxa"/>
            <w:tcBorders>
              <w:top w:val="nil"/>
              <w:left w:val="nil"/>
              <w:bottom w:val="nil"/>
              <w:right w:val="nil"/>
            </w:tcBorders>
          </w:tcPr>
          <w:p w14:paraId="34193D1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0.0387</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474A819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0.00661</w:t>
            </w:r>
          </w:p>
        </w:tc>
      </w:tr>
      <w:tr w:rsidR="0048356D" w:rsidRPr="00610934" w14:paraId="7B9AB76D" w14:textId="77777777" w:rsidTr="00015B88">
        <w:tc>
          <w:tcPr>
            <w:tcW w:w="2136" w:type="dxa"/>
            <w:tcBorders>
              <w:top w:val="nil"/>
              <w:left w:val="nil"/>
              <w:bottom w:val="nil"/>
              <w:right w:val="nil"/>
            </w:tcBorders>
          </w:tcPr>
          <w:p w14:paraId="71931F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BCBE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(-0.48)</w:t>
            </w:r>
          </w:p>
        </w:tc>
        <w:tc>
          <w:tcPr>
            <w:tcW w:w="1656" w:type="dxa"/>
            <w:tcBorders>
              <w:top w:val="nil"/>
              <w:left w:val="nil"/>
              <w:bottom w:val="nil"/>
              <w:right w:val="nil"/>
            </w:tcBorders>
          </w:tcPr>
          <w:p w14:paraId="0F39966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(-1.14)</w:t>
            </w:r>
          </w:p>
        </w:tc>
        <w:tc>
          <w:tcPr>
            <w:tcW w:w="1656" w:type="dxa"/>
            <w:tcBorders>
              <w:top w:val="nil"/>
              <w:left w:val="nil"/>
              <w:bottom w:val="nil"/>
              <w:right w:val="nil"/>
            </w:tcBorders>
          </w:tcPr>
          <w:p w14:paraId="2F4C16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1517972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(2.13)</w:t>
            </w:r>
          </w:p>
        </w:tc>
        <w:tc>
          <w:tcPr>
            <w:tcW w:w="1656" w:type="dxa"/>
            <w:tcBorders>
              <w:top w:val="nil"/>
              <w:left w:val="nil"/>
              <w:bottom w:val="nil"/>
              <w:right w:val="nil"/>
            </w:tcBorders>
          </w:tcPr>
          <w:p w14:paraId="450F6B7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(0.72)</w:t>
            </w:r>
          </w:p>
        </w:tc>
      </w:tr>
      <w:tr w:rsidR="0048356D" w:rsidRPr="00610934" w14:paraId="0BAF9D9F" w14:textId="77777777" w:rsidTr="00015B88">
        <w:tc>
          <w:tcPr>
            <w:tcW w:w="2136" w:type="dxa"/>
            <w:tcBorders>
              <w:top w:val="nil"/>
              <w:left w:val="nil"/>
              <w:bottom w:val="nil"/>
              <w:right w:val="nil"/>
            </w:tcBorders>
          </w:tcPr>
          <w:p w14:paraId="797BD2D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53B6C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8C1B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BA0B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62025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FDC3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0EC3358" w14:textId="77777777" w:rsidTr="00015B88">
        <w:tc>
          <w:tcPr>
            <w:tcW w:w="2136" w:type="dxa"/>
            <w:tcBorders>
              <w:top w:val="nil"/>
              <w:left w:val="nil"/>
              <w:bottom w:val="nil"/>
              <w:right w:val="nil"/>
            </w:tcBorders>
          </w:tcPr>
          <w:p w14:paraId="6B3E916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5A5E43C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0.0288</w:t>
            </w:r>
          </w:p>
        </w:tc>
        <w:tc>
          <w:tcPr>
            <w:tcW w:w="1656" w:type="dxa"/>
            <w:tcBorders>
              <w:top w:val="nil"/>
              <w:left w:val="nil"/>
              <w:bottom w:val="nil"/>
              <w:right w:val="nil"/>
            </w:tcBorders>
          </w:tcPr>
          <w:p w14:paraId="6D5A742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0.0619</w:t>
            </w:r>
          </w:p>
        </w:tc>
        <w:tc>
          <w:tcPr>
            <w:tcW w:w="1656" w:type="dxa"/>
            <w:tcBorders>
              <w:top w:val="nil"/>
              <w:left w:val="nil"/>
              <w:bottom w:val="nil"/>
              <w:right w:val="nil"/>
            </w:tcBorders>
          </w:tcPr>
          <w:p w14:paraId="422777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-0.0463</w:t>
            </w:r>
          </w:p>
        </w:tc>
        <w:tc>
          <w:tcPr>
            <w:tcW w:w="1656" w:type="dxa"/>
            <w:tcBorders>
              <w:top w:val="nil"/>
              <w:left w:val="nil"/>
              <w:bottom w:val="nil"/>
              <w:right w:val="nil"/>
            </w:tcBorders>
          </w:tcPr>
          <w:p w14:paraId="7F2AE55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-0.0120</w:t>
            </w:r>
          </w:p>
        </w:tc>
        <w:tc>
          <w:tcPr>
            <w:tcW w:w="1656" w:type="dxa"/>
            <w:tcBorders>
              <w:top w:val="nil"/>
              <w:left w:val="nil"/>
              <w:bottom w:val="nil"/>
              <w:right w:val="nil"/>
            </w:tcBorders>
          </w:tcPr>
          <w:p w14:paraId="2BACD82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-0.00828</w:t>
            </w:r>
          </w:p>
        </w:tc>
      </w:tr>
      <w:tr w:rsidR="0048356D" w:rsidRPr="00610934" w14:paraId="52C78EB7" w14:textId="77777777" w:rsidTr="00015B88">
        <w:tc>
          <w:tcPr>
            <w:tcW w:w="2136" w:type="dxa"/>
            <w:tcBorders>
              <w:top w:val="nil"/>
              <w:left w:val="nil"/>
              <w:bottom w:val="nil"/>
              <w:right w:val="nil"/>
            </w:tcBorders>
          </w:tcPr>
          <w:p w14:paraId="207A8A2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252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(0.48)</w:t>
            </w:r>
          </w:p>
        </w:tc>
        <w:tc>
          <w:tcPr>
            <w:tcW w:w="1656" w:type="dxa"/>
            <w:tcBorders>
              <w:top w:val="nil"/>
              <w:left w:val="nil"/>
              <w:bottom w:val="nil"/>
              <w:right w:val="nil"/>
            </w:tcBorders>
          </w:tcPr>
          <w:p w14:paraId="11EF422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(1.31)</w:t>
            </w:r>
          </w:p>
        </w:tc>
        <w:tc>
          <w:tcPr>
            <w:tcW w:w="1656" w:type="dxa"/>
            <w:tcBorders>
              <w:top w:val="nil"/>
              <w:left w:val="nil"/>
              <w:bottom w:val="nil"/>
              <w:right w:val="nil"/>
            </w:tcBorders>
          </w:tcPr>
          <w:p w14:paraId="22C8E59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(-0.80)</w:t>
            </w:r>
          </w:p>
        </w:tc>
        <w:tc>
          <w:tcPr>
            <w:tcW w:w="1656" w:type="dxa"/>
            <w:tcBorders>
              <w:top w:val="nil"/>
              <w:left w:val="nil"/>
              <w:bottom w:val="nil"/>
              <w:right w:val="nil"/>
            </w:tcBorders>
          </w:tcPr>
          <w:p w14:paraId="101CF0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c>
          <w:tcPr>
            <w:tcW w:w="1656" w:type="dxa"/>
            <w:tcBorders>
              <w:top w:val="nil"/>
              <w:left w:val="nil"/>
              <w:bottom w:val="nil"/>
              <w:right w:val="nil"/>
            </w:tcBorders>
          </w:tcPr>
          <w:p w14:paraId="4150C5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(-1.08)</w:t>
            </w:r>
          </w:p>
        </w:tc>
      </w:tr>
      <w:tr w:rsidR="0048356D" w:rsidRPr="00610934" w14:paraId="23B01566" w14:textId="77777777" w:rsidTr="00015B88">
        <w:tc>
          <w:tcPr>
            <w:tcW w:w="2136" w:type="dxa"/>
            <w:tcBorders>
              <w:top w:val="nil"/>
              <w:left w:val="nil"/>
              <w:bottom w:val="nil"/>
              <w:right w:val="nil"/>
            </w:tcBorders>
          </w:tcPr>
          <w:p w14:paraId="4CBAD1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99A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ACDB7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B3B3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CAA90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C376C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D8AE94B" w14:textId="77777777" w:rsidTr="00015B88">
        <w:tc>
          <w:tcPr>
            <w:tcW w:w="2136" w:type="dxa"/>
            <w:tcBorders>
              <w:top w:val="nil"/>
              <w:left w:val="nil"/>
              <w:bottom w:val="nil"/>
              <w:right w:val="nil"/>
            </w:tcBorders>
          </w:tcPr>
          <w:p w14:paraId="3531AC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DB4223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-0.0334</w:t>
            </w:r>
          </w:p>
        </w:tc>
        <w:tc>
          <w:tcPr>
            <w:tcW w:w="1656" w:type="dxa"/>
            <w:tcBorders>
              <w:top w:val="nil"/>
              <w:left w:val="nil"/>
              <w:bottom w:val="nil"/>
              <w:right w:val="nil"/>
            </w:tcBorders>
          </w:tcPr>
          <w:p w14:paraId="12915E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-0.0334</w:t>
            </w:r>
          </w:p>
        </w:tc>
        <w:tc>
          <w:tcPr>
            <w:tcW w:w="1656" w:type="dxa"/>
            <w:tcBorders>
              <w:top w:val="nil"/>
              <w:left w:val="nil"/>
              <w:bottom w:val="nil"/>
              <w:right w:val="nil"/>
            </w:tcBorders>
          </w:tcPr>
          <w:p w14:paraId="6DEE37C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0.0672</w:t>
            </w:r>
          </w:p>
        </w:tc>
        <w:tc>
          <w:tcPr>
            <w:tcW w:w="1656" w:type="dxa"/>
            <w:tcBorders>
              <w:top w:val="nil"/>
              <w:left w:val="nil"/>
              <w:bottom w:val="nil"/>
              <w:right w:val="nil"/>
            </w:tcBorders>
          </w:tcPr>
          <w:p w14:paraId="66DFE48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0.00634</w:t>
            </w:r>
          </w:p>
        </w:tc>
        <w:tc>
          <w:tcPr>
            <w:tcW w:w="1656" w:type="dxa"/>
            <w:tcBorders>
              <w:top w:val="nil"/>
              <w:left w:val="nil"/>
              <w:bottom w:val="nil"/>
              <w:right w:val="nil"/>
            </w:tcBorders>
          </w:tcPr>
          <w:p w14:paraId="364EF14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-0.0113</w:t>
            </w:r>
          </w:p>
        </w:tc>
      </w:tr>
      <w:tr w:rsidR="0048356D" w:rsidRPr="00610934" w14:paraId="276353C9" w14:textId="77777777" w:rsidTr="00015B88">
        <w:tc>
          <w:tcPr>
            <w:tcW w:w="2136" w:type="dxa"/>
            <w:tcBorders>
              <w:top w:val="nil"/>
              <w:left w:val="nil"/>
              <w:bottom w:val="nil"/>
              <w:right w:val="nil"/>
            </w:tcBorders>
          </w:tcPr>
          <w:p w14:paraId="2524941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16EB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5A11968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(-0.84)</w:t>
            </w:r>
          </w:p>
        </w:tc>
        <w:tc>
          <w:tcPr>
            <w:tcW w:w="1656" w:type="dxa"/>
            <w:tcBorders>
              <w:top w:val="nil"/>
              <w:left w:val="nil"/>
              <w:bottom w:val="nil"/>
              <w:right w:val="nil"/>
            </w:tcBorders>
          </w:tcPr>
          <w:p w14:paraId="6FC8CB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(0.97)</w:t>
            </w:r>
          </w:p>
        </w:tc>
        <w:tc>
          <w:tcPr>
            <w:tcW w:w="1656" w:type="dxa"/>
            <w:tcBorders>
              <w:top w:val="nil"/>
              <w:left w:val="nil"/>
              <w:bottom w:val="nil"/>
              <w:right w:val="nil"/>
            </w:tcBorders>
          </w:tcPr>
          <w:p w14:paraId="053D77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(0.49)</w:t>
            </w:r>
          </w:p>
        </w:tc>
        <w:tc>
          <w:tcPr>
            <w:tcW w:w="1656" w:type="dxa"/>
            <w:tcBorders>
              <w:top w:val="nil"/>
              <w:left w:val="nil"/>
              <w:bottom w:val="nil"/>
              <w:right w:val="nil"/>
            </w:tcBorders>
          </w:tcPr>
          <w:p w14:paraId="2222AD6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(-1.56)</w:t>
            </w:r>
          </w:p>
        </w:tc>
      </w:tr>
      <w:tr w:rsidR="0048356D" w:rsidRPr="00610934" w14:paraId="2F1DD8FE" w14:textId="77777777" w:rsidTr="00015B88">
        <w:tc>
          <w:tcPr>
            <w:tcW w:w="2136" w:type="dxa"/>
            <w:tcBorders>
              <w:top w:val="nil"/>
              <w:left w:val="nil"/>
              <w:bottom w:val="nil"/>
              <w:right w:val="nil"/>
            </w:tcBorders>
          </w:tcPr>
          <w:p w14:paraId="28921A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2966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518CE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97EB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1E54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3526C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690D8D9" w14:textId="77777777" w:rsidTr="00015B88">
        <w:tc>
          <w:tcPr>
            <w:tcW w:w="2136" w:type="dxa"/>
            <w:tcBorders>
              <w:top w:val="nil"/>
              <w:left w:val="nil"/>
              <w:bottom w:val="nil"/>
              <w:right w:val="nil"/>
            </w:tcBorders>
          </w:tcPr>
          <w:p w14:paraId="271A58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38BA352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-0.0203</w:t>
            </w:r>
          </w:p>
        </w:tc>
        <w:tc>
          <w:tcPr>
            <w:tcW w:w="1656" w:type="dxa"/>
            <w:tcBorders>
              <w:top w:val="nil"/>
              <w:left w:val="nil"/>
              <w:bottom w:val="nil"/>
              <w:right w:val="nil"/>
            </w:tcBorders>
          </w:tcPr>
          <w:p w14:paraId="5A95CEF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-0.0523</w:t>
            </w:r>
          </w:p>
        </w:tc>
        <w:tc>
          <w:tcPr>
            <w:tcW w:w="1656" w:type="dxa"/>
            <w:tcBorders>
              <w:top w:val="nil"/>
              <w:left w:val="nil"/>
              <w:bottom w:val="nil"/>
              <w:right w:val="nil"/>
            </w:tcBorders>
          </w:tcPr>
          <w:p w14:paraId="4031C3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-0.0362</w:t>
            </w:r>
          </w:p>
        </w:tc>
        <w:tc>
          <w:tcPr>
            <w:tcW w:w="1656" w:type="dxa"/>
            <w:tcBorders>
              <w:top w:val="nil"/>
              <w:left w:val="nil"/>
              <w:bottom w:val="nil"/>
              <w:right w:val="nil"/>
            </w:tcBorders>
          </w:tcPr>
          <w:p w14:paraId="5029DE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0.00577</w:t>
            </w:r>
          </w:p>
        </w:tc>
        <w:tc>
          <w:tcPr>
            <w:tcW w:w="1656" w:type="dxa"/>
            <w:tcBorders>
              <w:top w:val="nil"/>
              <w:left w:val="nil"/>
              <w:bottom w:val="nil"/>
              <w:right w:val="nil"/>
            </w:tcBorders>
          </w:tcPr>
          <w:p w14:paraId="7137D91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0.00644</w:t>
            </w:r>
          </w:p>
        </w:tc>
      </w:tr>
      <w:tr w:rsidR="0048356D" w:rsidRPr="00610934" w14:paraId="26CD6E49" w14:textId="77777777" w:rsidTr="00015B88">
        <w:tc>
          <w:tcPr>
            <w:tcW w:w="2136" w:type="dxa"/>
            <w:tcBorders>
              <w:top w:val="nil"/>
              <w:left w:val="nil"/>
              <w:bottom w:val="nil"/>
              <w:right w:val="nil"/>
            </w:tcBorders>
          </w:tcPr>
          <w:p w14:paraId="7DDBB00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FC18E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(-0.51)</w:t>
            </w:r>
          </w:p>
        </w:tc>
        <w:tc>
          <w:tcPr>
            <w:tcW w:w="1656" w:type="dxa"/>
            <w:tcBorders>
              <w:top w:val="nil"/>
              <w:left w:val="nil"/>
              <w:bottom w:val="nil"/>
              <w:right w:val="nil"/>
            </w:tcBorders>
          </w:tcPr>
          <w:p w14:paraId="3553A67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(-1.64)</w:t>
            </w:r>
          </w:p>
        </w:tc>
        <w:tc>
          <w:tcPr>
            <w:tcW w:w="1656" w:type="dxa"/>
            <w:tcBorders>
              <w:top w:val="nil"/>
              <w:left w:val="nil"/>
              <w:bottom w:val="nil"/>
              <w:right w:val="nil"/>
            </w:tcBorders>
          </w:tcPr>
          <w:p w14:paraId="6526E4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(-0.73)</w:t>
            </w:r>
          </w:p>
        </w:tc>
        <w:tc>
          <w:tcPr>
            <w:tcW w:w="1656" w:type="dxa"/>
            <w:tcBorders>
              <w:top w:val="nil"/>
              <w:left w:val="nil"/>
              <w:bottom w:val="nil"/>
              <w:right w:val="nil"/>
            </w:tcBorders>
          </w:tcPr>
          <w:p w14:paraId="200B5E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(0.54)</w:t>
            </w:r>
          </w:p>
        </w:tc>
        <w:tc>
          <w:tcPr>
            <w:tcW w:w="1656" w:type="dxa"/>
            <w:tcBorders>
              <w:top w:val="nil"/>
              <w:left w:val="nil"/>
              <w:bottom w:val="nil"/>
              <w:right w:val="nil"/>
            </w:tcBorders>
          </w:tcPr>
          <w:p w14:paraId="6F3030C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r>
      <w:tr w:rsidR="0048356D" w:rsidRPr="00610934" w14:paraId="47B46C29" w14:textId="77777777" w:rsidTr="00015B88">
        <w:tc>
          <w:tcPr>
            <w:tcW w:w="2136" w:type="dxa"/>
            <w:tcBorders>
              <w:top w:val="nil"/>
              <w:left w:val="nil"/>
              <w:bottom w:val="nil"/>
              <w:right w:val="nil"/>
            </w:tcBorders>
          </w:tcPr>
          <w:p w14:paraId="320CAE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A7A2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C3B5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FDACB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875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16E0A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0CF1D5D" w14:textId="77777777" w:rsidTr="00015B88">
        <w:tc>
          <w:tcPr>
            <w:tcW w:w="2136" w:type="dxa"/>
            <w:tcBorders>
              <w:top w:val="nil"/>
              <w:left w:val="nil"/>
              <w:bottom w:val="nil"/>
              <w:right w:val="nil"/>
            </w:tcBorders>
          </w:tcPr>
          <w:p w14:paraId="6FA63B6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5741EEC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-0.00448</w:t>
            </w:r>
          </w:p>
        </w:tc>
        <w:tc>
          <w:tcPr>
            <w:tcW w:w="1656" w:type="dxa"/>
            <w:tcBorders>
              <w:top w:val="nil"/>
              <w:left w:val="nil"/>
              <w:bottom w:val="nil"/>
              <w:right w:val="nil"/>
            </w:tcBorders>
          </w:tcPr>
          <w:p w14:paraId="17732F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0.0245</w:t>
            </w:r>
          </w:p>
        </w:tc>
        <w:tc>
          <w:tcPr>
            <w:tcW w:w="1656" w:type="dxa"/>
            <w:tcBorders>
              <w:top w:val="nil"/>
              <w:left w:val="nil"/>
              <w:bottom w:val="nil"/>
              <w:right w:val="nil"/>
            </w:tcBorders>
          </w:tcPr>
          <w:p w14:paraId="38F4F2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-0.00759</w:t>
            </w:r>
          </w:p>
        </w:tc>
        <w:tc>
          <w:tcPr>
            <w:tcW w:w="1656" w:type="dxa"/>
            <w:tcBorders>
              <w:top w:val="nil"/>
              <w:left w:val="nil"/>
              <w:bottom w:val="nil"/>
              <w:right w:val="nil"/>
            </w:tcBorders>
          </w:tcPr>
          <w:p w14:paraId="2819E26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-0.00377</w:t>
            </w:r>
          </w:p>
        </w:tc>
        <w:tc>
          <w:tcPr>
            <w:tcW w:w="1656" w:type="dxa"/>
            <w:tcBorders>
              <w:top w:val="nil"/>
              <w:left w:val="nil"/>
              <w:bottom w:val="nil"/>
              <w:right w:val="nil"/>
            </w:tcBorders>
          </w:tcPr>
          <w:p w14:paraId="040F0F6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-0.00292</w:t>
            </w:r>
          </w:p>
        </w:tc>
      </w:tr>
      <w:tr w:rsidR="0048356D" w:rsidRPr="00610934" w14:paraId="79596929" w14:textId="77777777" w:rsidTr="00015B88">
        <w:tc>
          <w:tcPr>
            <w:tcW w:w="2136" w:type="dxa"/>
            <w:tcBorders>
              <w:top w:val="nil"/>
              <w:left w:val="nil"/>
              <w:bottom w:val="nil"/>
              <w:right w:val="nil"/>
            </w:tcBorders>
          </w:tcPr>
          <w:p w14:paraId="34A65A0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928F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w:t>
            </w:r>
          </w:p>
        </w:tc>
        <w:tc>
          <w:tcPr>
            <w:tcW w:w="1656" w:type="dxa"/>
            <w:tcBorders>
              <w:top w:val="nil"/>
              <w:left w:val="nil"/>
              <w:bottom w:val="nil"/>
              <w:right w:val="nil"/>
            </w:tcBorders>
          </w:tcPr>
          <w:p w14:paraId="62067FA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2E5CDCC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w:t>
            </w:r>
          </w:p>
        </w:tc>
        <w:tc>
          <w:tcPr>
            <w:tcW w:w="1656" w:type="dxa"/>
            <w:tcBorders>
              <w:top w:val="nil"/>
              <w:left w:val="nil"/>
              <w:bottom w:val="nil"/>
              <w:right w:val="nil"/>
            </w:tcBorders>
          </w:tcPr>
          <w:p w14:paraId="3B8F6C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084FD2D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(-0.44)</w:t>
            </w:r>
          </w:p>
        </w:tc>
      </w:tr>
      <w:tr w:rsidR="0048356D" w:rsidRPr="00610934" w14:paraId="1B98813F" w14:textId="77777777" w:rsidTr="00015B88">
        <w:tc>
          <w:tcPr>
            <w:tcW w:w="2136" w:type="dxa"/>
            <w:tcBorders>
              <w:top w:val="nil"/>
              <w:left w:val="nil"/>
              <w:bottom w:val="nil"/>
              <w:right w:val="nil"/>
            </w:tcBorders>
          </w:tcPr>
          <w:p w14:paraId="762433E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8991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9FD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6DC3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E90F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CB5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3E4CD03" w14:textId="77777777" w:rsidTr="00015B88">
        <w:tc>
          <w:tcPr>
            <w:tcW w:w="2136" w:type="dxa"/>
            <w:tcBorders>
              <w:top w:val="nil"/>
              <w:left w:val="nil"/>
              <w:bottom w:val="nil"/>
              <w:right w:val="nil"/>
            </w:tcBorders>
          </w:tcPr>
          <w:p w14:paraId="44A30A5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3DD10EF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0.0447</w:t>
            </w:r>
          </w:p>
        </w:tc>
        <w:tc>
          <w:tcPr>
            <w:tcW w:w="1656" w:type="dxa"/>
            <w:tcBorders>
              <w:top w:val="nil"/>
              <w:left w:val="nil"/>
              <w:bottom w:val="nil"/>
              <w:right w:val="nil"/>
            </w:tcBorders>
          </w:tcPr>
          <w:p w14:paraId="1836EA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0.0237</w:t>
            </w:r>
          </w:p>
        </w:tc>
        <w:tc>
          <w:tcPr>
            <w:tcW w:w="1656" w:type="dxa"/>
            <w:tcBorders>
              <w:top w:val="nil"/>
              <w:left w:val="nil"/>
              <w:bottom w:val="nil"/>
              <w:right w:val="nil"/>
            </w:tcBorders>
          </w:tcPr>
          <w:p w14:paraId="0DD982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0.0336</w:t>
            </w:r>
          </w:p>
        </w:tc>
        <w:tc>
          <w:tcPr>
            <w:tcW w:w="1656" w:type="dxa"/>
            <w:tcBorders>
              <w:top w:val="nil"/>
              <w:left w:val="nil"/>
              <w:bottom w:val="nil"/>
              <w:right w:val="nil"/>
            </w:tcBorders>
          </w:tcPr>
          <w:p w14:paraId="6C79CAE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-0.00449</w:t>
            </w:r>
          </w:p>
        </w:tc>
        <w:tc>
          <w:tcPr>
            <w:tcW w:w="1656" w:type="dxa"/>
            <w:tcBorders>
              <w:top w:val="nil"/>
              <w:left w:val="nil"/>
              <w:bottom w:val="nil"/>
              <w:right w:val="nil"/>
            </w:tcBorders>
          </w:tcPr>
          <w:p w14:paraId="1769E0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-0.000254</w:t>
            </w:r>
          </w:p>
        </w:tc>
      </w:tr>
      <w:tr w:rsidR="0048356D" w:rsidRPr="00610934" w14:paraId="4A68C7E3" w14:textId="77777777" w:rsidTr="00015B88">
        <w:tc>
          <w:tcPr>
            <w:tcW w:w="2136" w:type="dxa"/>
            <w:tcBorders>
              <w:top w:val="nil"/>
              <w:left w:val="nil"/>
              <w:bottom w:val="nil"/>
              <w:right w:val="nil"/>
            </w:tcBorders>
          </w:tcPr>
          <w:p w14:paraId="0B99CB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22A36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(1.43)</w:t>
            </w:r>
          </w:p>
        </w:tc>
        <w:tc>
          <w:tcPr>
            <w:tcW w:w="1656" w:type="dxa"/>
            <w:tcBorders>
              <w:top w:val="nil"/>
              <w:left w:val="nil"/>
              <w:bottom w:val="nil"/>
              <w:right w:val="nil"/>
            </w:tcBorders>
          </w:tcPr>
          <w:p w14:paraId="19E4B08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(1.12)</w:t>
            </w:r>
          </w:p>
        </w:tc>
        <w:tc>
          <w:tcPr>
            <w:tcW w:w="1656" w:type="dxa"/>
            <w:tcBorders>
              <w:top w:val="nil"/>
              <w:left w:val="nil"/>
              <w:bottom w:val="nil"/>
              <w:right w:val="nil"/>
            </w:tcBorders>
          </w:tcPr>
          <w:p w14:paraId="7555887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(1.20)</w:t>
            </w:r>
          </w:p>
        </w:tc>
        <w:tc>
          <w:tcPr>
            <w:tcW w:w="1656" w:type="dxa"/>
            <w:tcBorders>
              <w:top w:val="nil"/>
              <w:left w:val="nil"/>
              <w:bottom w:val="nil"/>
              <w:right w:val="nil"/>
            </w:tcBorders>
          </w:tcPr>
          <w:p w14:paraId="6D60C0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(-0.37)</w:t>
            </w:r>
          </w:p>
        </w:tc>
        <w:tc>
          <w:tcPr>
            <w:tcW w:w="1656" w:type="dxa"/>
            <w:tcBorders>
              <w:top w:val="nil"/>
              <w:left w:val="nil"/>
              <w:bottom w:val="nil"/>
              <w:right w:val="nil"/>
            </w:tcBorders>
          </w:tcPr>
          <w:p w14:paraId="33CC947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r>
      <w:tr w:rsidR="0048356D" w:rsidRPr="00610934" w14:paraId="0454D0D7" w14:textId="77777777" w:rsidTr="00015B88">
        <w:tc>
          <w:tcPr>
            <w:tcW w:w="2136" w:type="dxa"/>
            <w:tcBorders>
              <w:top w:val="nil"/>
              <w:left w:val="nil"/>
              <w:bottom w:val="nil"/>
              <w:right w:val="nil"/>
            </w:tcBorders>
          </w:tcPr>
          <w:p w14:paraId="30C938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956C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6630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ED4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B8EC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A093D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0041E0E" w14:textId="77777777" w:rsidTr="00015B88">
        <w:tc>
          <w:tcPr>
            <w:tcW w:w="2136" w:type="dxa"/>
            <w:tcBorders>
              <w:top w:val="nil"/>
              <w:left w:val="nil"/>
              <w:bottom w:val="nil"/>
              <w:right w:val="nil"/>
            </w:tcBorders>
          </w:tcPr>
          <w:p w14:paraId="44DC75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58A35EA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-0.0113</w:t>
            </w:r>
          </w:p>
        </w:tc>
        <w:tc>
          <w:tcPr>
            <w:tcW w:w="1656" w:type="dxa"/>
            <w:tcBorders>
              <w:top w:val="nil"/>
              <w:left w:val="nil"/>
              <w:bottom w:val="nil"/>
              <w:right w:val="nil"/>
            </w:tcBorders>
          </w:tcPr>
          <w:p w14:paraId="0E7226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-0.00236</w:t>
            </w:r>
          </w:p>
        </w:tc>
        <w:tc>
          <w:tcPr>
            <w:tcW w:w="1656" w:type="dxa"/>
            <w:tcBorders>
              <w:top w:val="nil"/>
              <w:left w:val="nil"/>
              <w:bottom w:val="nil"/>
              <w:right w:val="nil"/>
            </w:tcBorders>
          </w:tcPr>
          <w:p w14:paraId="4C2F3E1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-0.0764</w:t>
            </w:r>
          </w:p>
        </w:tc>
        <w:tc>
          <w:tcPr>
            <w:tcW w:w="1656" w:type="dxa"/>
            <w:tcBorders>
              <w:top w:val="nil"/>
              <w:left w:val="nil"/>
              <w:bottom w:val="nil"/>
              <w:right w:val="nil"/>
            </w:tcBorders>
          </w:tcPr>
          <w:p w14:paraId="4B6E364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-0.0125</w:t>
            </w:r>
          </w:p>
        </w:tc>
        <w:tc>
          <w:tcPr>
            <w:tcW w:w="1656" w:type="dxa"/>
            <w:tcBorders>
              <w:top w:val="nil"/>
              <w:left w:val="nil"/>
              <w:bottom w:val="nil"/>
              <w:right w:val="nil"/>
            </w:tcBorders>
          </w:tcPr>
          <w:p w14:paraId="5E25ED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-0.00602</w:t>
            </w:r>
          </w:p>
        </w:tc>
      </w:tr>
      <w:tr w:rsidR="0048356D" w:rsidRPr="00610934" w14:paraId="2A44C23D" w14:textId="77777777" w:rsidTr="00015B88">
        <w:tc>
          <w:tcPr>
            <w:tcW w:w="2136" w:type="dxa"/>
            <w:tcBorders>
              <w:top w:val="nil"/>
              <w:left w:val="nil"/>
              <w:bottom w:val="nil"/>
              <w:right w:val="nil"/>
            </w:tcBorders>
          </w:tcPr>
          <w:p w14:paraId="6901F57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2FC8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(-0.37)</w:t>
            </w:r>
          </w:p>
        </w:tc>
        <w:tc>
          <w:tcPr>
            <w:tcW w:w="1656" w:type="dxa"/>
            <w:tcBorders>
              <w:top w:val="nil"/>
              <w:left w:val="nil"/>
              <w:bottom w:val="nil"/>
              <w:right w:val="nil"/>
            </w:tcBorders>
          </w:tcPr>
          <w:p w14:paraId="3E0D70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w:t>
            </w:r>
          </w:p>
        </w:tc>
        <w:tc>
          <w:tcPr>
            <w:tcW w:w="1656" w:type="dxa"/>
            <w:tcBorders>
              <w:top w:val="nil"/>
              <w:left w:val="nil"/>
              <w:bottom w:val="nil"/>
              <w:right w:val="nil"/>
            </w:tcBorders>
          </w:tcPr>
          <w:p w14:paraId="2499FD7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(-1.74)</w:t>
            </w:r>
          </w:p>
        </w:tc>
        <w:tc>
          <w:tcPr>
            <w:tcW w:w="1656" w:type="dxa"/>
            <w:tcBorders>
              <w:top w:val="nil"/>
              <w:left w:val="nil"/>
              <w:bottom w:val="nil"/>
              <w:right w:val="nil"/>
            </w:tcBorders>
          </w:tcPr>
          <w:p w14:paraId="429E4AC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(-1.29)</w:t>
            </w:r>
          </w:p>
        </w:tc>
        <w:tc>
          <w:tcPr>
            <w:tcW w:w="1656" w:type="dxa"/>
            <w:tcBorders>
              <w:top w:val="nil"/>
              <w:left w:val="nil"/>
              <w:bottom w:val="nil"/>
              <w:right w:val="nil"/>
            </w:tcBorders>
          </w:tcPr>
          <w:p w14:paraId="4DA767C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w:t>
            </w:r>
          </w:p>
        </w:tc>
      </w:tr>
      <w:tr w:rsidR="0048356D" w:rsidRPr="00610934" w14:paraId="725E3F51" w14:textId="77777777" w:rsidTr="00015B88">
        <w:tc>
          <w:tcPr>
            <w:tcW w:w="2136" w:type="dxa"/>
            <w:tcBorders>
              <w:top w:val="nil"/>
              <w:left w:val="nil"/>
              <w:bottom w:val="nil"/>
              <w:right w:val="nil"/>
            </w:tcBorders>
          </w:tcPr>
          <w:p w14:paraId="2ADC77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32A7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0498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1B26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D53A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17B9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DE0255A" w14:textId="77777777" w:rsidTr="00015B88">
        <w:tc>
          <w:tcPr>
            <w:tcW w:w="2136" w:type="dxa"/>
            <w:tcBorders>
              <w:top w:val="nil"/>
              <w:left w:val="nil"/>
              <w:bottom w:val="nil"/>
              <w:right w:val="nil"/>
            </w:tcBorders>
          </w:tcPr>
          <w:p w14:paraId="24AFF7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0DC4D9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0.0235</w:t>
            </w:r>
          </w:p>
        </w:tc>
        <w:tc>
          <w:tcPr>
            <w:tcW w:w="1656" w:type="dxa"/>
            <w:tcBorders>
              <w:top w:val="nil"/>
              <w:left w:val="nil"/>
              <w:bottom w:val="nil"/>
              <w:right w:val="nil"/>
            </w:tcBorders>
          </w:tcPr>
          <w:p w14:paraId="53E3E19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0.00608</w:t>
            </w:r>
          </w:p>
        </w:tc>
        <w:tc>
          <w:tcPr>
            <w:tcW w:w="1656" w:type="dxa"/>
            <w:tcBorders>
              <w:top w:val="nil"/>
              <w:left w:val="nil"/>
              <w:bottom w:val="nil"/>
              <w:right w:val="nil"/>
            </w:tcBorders>
          </w:tcPr>
          <w:p w14:paraId="685140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0.0245</w:t>
            </w:r>
          </w:p>
        </w:tc>
        <w:tc>
          <w:tcPr>
            <w:tcW w:w="1656" w:type="dxa"/>
            <w:tcBorders>
              <w:top w:val="nil"/>
              <w:left w:val="nil"/>
              <w:bottom w:val="nil"/>
              <w:right w:val="nil"/>
            </w:tcBorders>
          </w:tcPr>
          <w:p w14:paraId="102763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-0.00369</w:t>
            </w:r>
          </w:p>
        </w:tc>
        <w:tc>
          <w:tcPr>
            <w:tcW w:w="1656" w:type="dxa"/>
            <w:tcBorders>
              <w:top w:val="nil"/>
              <w:left w:val="nil"/>
              <w:bottom w:val="nil"/>
              <w:right w:val="nil"/>
            </w:tcBorders>
          </w:tcPr>
          <w:p w14:paraId="522E86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0.0112</w:t>
            </w:r>
          </w:p>
        </w:tc>
      </w:tr>
      <w:tr w:rsidR="0048356D" w:rsidRPr="00610934" w14:paraId="7D697296" w14:textId="77777777" w:rsidTr="00015B88">
        <w:tc>
          <w:tcPr>
            <w:tcW w:w="2136" w:type="dxa"/>
            <w:tcBorders>
              <w:top w:val="nil"/>
              <w:left w:val="nil"/>
              <w:bottom w:val="nil"/>
              <w:right w:val="nil"/>
            </w:tcBorders>
          </w:tcPr>
          <w:p w14:paraId="7B05D6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24B5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(0.62)</w:t>
            </w:r>
          </w:p>
        </w:tc>
        <w:tc>
          <w:tcPr>
            <w:tcW w:w="1656" w:type="dxa"/>
            <w:tcBorders>
              <w:top w:val="nil"/>
              <w:left w:val="nil"/>
              <w:bottom w:val="nil"/>
              <w:right w:val="nil"/>
            </w:tcBorders>
          </w:tcPr>
          <w:p w14:paraId="4F419B3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(0.20)</w:t>
            </w:r>
          </w:p>
        </w:tc>
        <w:tc>
          <w:tcPr>
            <w:tcW w:w="1656" w:type="dxa"/>
            <w:tcBorders>
              <w:top w:val="nil"/>
              <w:left w:val="nil"/>
              <w:bottom w:val="nil"/>
              <w:right w:val="nil"/>
            </w:tcBorders>
          </w:tcPr>
          <w:p w14:paraId="22ECF09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76D78A2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(-0.37)</w:t>
            </w:r>
          </w:p>
        </w:tc>
        <w:tc>
          <w:tcPr>
            <w:tcW w:w="1656" w:type="dxa"/>
            <w:tcBorders>
              <w:top w:val="nil"/>
              <w:left w:val="nil"/>
              <w:bottom w:val="nil"/>
              <w:right w:val="nil"/>
            </w:tcBorders>
          </w:tcPr>
          <w:p w14:paraId="45DAFEB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(1.67)</w:t>
            </w:r>
          </w:p>
        </w:tc>
      </w:tr>
      <w:tr w:rsidR="0048356D" w:rsidRPr="00610934" w14:paraId="6A8BB513" w14:textId="77777777" w:rsidTr="00015B88">
        <w:tc>
          <w:tcPr>
            <w:tcW w:w="2136" w:type="dxa"/>
            <w:tcBorders>
              <w:top w:val="nil"/>
              <w:left w:val="nil"/>
              <w:bottom w:val="nil"/>
              <w:right w:val="nil"/>
            </w:tcBorders>
          </w:tcPr>
          <w:p w14:paraId="515DDDB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FFE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3CE8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37740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6A051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2C6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95F48A4" w14:textId="77777777" w:rsidTr="00015B88">
        <w:tc>
          <w:tcPr>
            <w:tcW w:w="2136" w:type="dxa"/>
            <w:tcBorders>
              <w:top w:val="nil"/>
              <w:left w:val="nil"/>
              <w:bottom w:val="nil"/>
              <w:right w:val="nil"/>
            </w:tcBorders>
          </w:tcPr>
          <w:p w14:paraId="0CAE8C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1F4FA70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-0.0165</w:t>
            </w:r>
          </w:p>
        </w:tc>
        <w:tc>
          <w:tcPr>
            <w:tcW w:w="1656" w:type="dxa"/>
            <w:tcBorders>
              <w:top w:val="nil"/>
              <w:left w:val="nil"/>
              <w:bottom w:val="nil"/>
              <w:right w:val="nil"/>
            </w:tcBorders>
          </w:tcPr>
          <w:p w14:paraId="4DC732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-0.0197</w:t>
            </w:r>
          </w:p>
        </w:tc>
        <w:tc>
          <w:tcPr>
            <w:tcW w:w="1656" w:type="dxa"/>
            <w:tcBorders>
              <w:top w:val="nil"/>
              <w:left w:val="nil"/>
              <w:bottom w:val="nil"/>
              <w:right w:val="nil"/>
            </w:tcBorders>
          </w:tcPr>
          <w:p w14:paraId="6DFB51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0.000319</w:t>
            </w:r>
          </w:p>
        </w:tc>
        <w:tc>
          <w:tcPr>
            <w:tcW w:w="1656" w:type="dxa"/>
            <w:tcBorders>
              <w:top w:val="nil"/>
              <w:left w:val="nil"/>
              <w:bottom w:val="nil"/>
              <w:right w:val="nil"/>
            </w:tcBorders>
          </w:tcPr>
          <w:p w14:paraId="5D67DE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0.0146</w:t>
            </w:r>
          </w:p>
        </w:tc>
        <w:tc>
          <w:tcPr>
            <w:tcW w:w="1656" w:type="dxa"/>
            <w:tcBorders>
              <w:top w:val="nil"/>
              <w:left w:val="nil"/>
              <w:bottom w:val="nil"/>
              <w:right w:val="nil"/>
            </w:tcBorders>
          </w:tcPr>
          <w:p w14:paraId="74D2E31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-0.00410</w:t>
            </w:r>
          </w:p>
        </w:tc>
      </w:tr>
      <w:tr w:rsidR="0048356D" w:rsidRPr="00610934" w14:paraId="3C00A68E" w14:textId="77777777" w:rsidTr="00015B88">
        <w:tc>
          <w:tcPr>
            <w:tcW w:w="2136" w:type="dxa"/>
            <w:tcBorders>
              <w:top w:val="nil"/>
              <w:left w:val="nil"/>
              <w:bottom w:val="nil"/>
              <w:right w:val="nil"/>
            </w:tcBorders>
          </w:tcPr>
          <w:p w14:paraId="3772A08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4686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49A614B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03751CB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w:t>
            </w:r>
          </w:p>
        </w:tc>
        <w:tc>
          <w:tcPr>
            <w:tcW w:w="1656" w:type="dxa"/>
            <w:tcBorders>
              <w:top w:val="nil"/>
              <w:left w:val="nil"/>
              <w:bottom w:val="nil"/>
              <w:right w:val="nil"/>
            </w:tcBorders>
          </w:tcPr>
          <w:p w14:paraId="3EDADA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(1.48)</w:t>
            </w:r>
          </w:p>
        </w:tc>
        <w:tc>
          <w:tcPr>
            <w:tcW w:w="1656" w:type="dxa"/>
            <w:tcBorders>
              <w:top w:val="nil"/>
              <w:left w:val="nil"/>
              <w:bottom w:val="nil"/>
              <w:right w:val="nil"/>
            </w:tcBorders>
          </w:tcPr>
          <w:p w14:paraId="6D038B3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r>
      <w:tr w:rsidR="0048356D" w:rsidRPr="00610934" w14:paraId="6F9DEA26" w14:textId="77777777" w:rsidTr="00015B88">
        <w:tc>
          <w:tcPr>
            <w:tcW w:w="2136" w:type="dxa"/>
            <w:tcBorders>
              <w:top w:val="nil"/>
              <w:left w:val="nil"/>
              <w:bottom w:val="nil"/>
              <w:right w:val="nil"/>
            </w:tcBorders>
          </w:tcPr>
          <w:p w14:paraId="00026CE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7BEA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FA722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AF7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FD4F3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D4CB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0ED5302" w14:textId="77777777" w:rsidTr="00015B88">
        <w:tc>
          <w:tcPr>
            <w:tcW w:w="2136" w:type="dxa"/>
            <w:tcBorders>
              <w:top w:val="nil"/>
              <w:left w:val="nil"/>
              <w:bottom w:val="nil"/>
              <w:right w:val="nil"/>
            </w:tcBorders>
          </w:tcPr>
          <w:p w14:paraId="182CA0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610934">
              <w:rPr>
                <w:rFonts w:ascii="Times New Roman" w:hAnsi="Times New Roman" w:cs="Times New Roman"/>
                <w:sz w:val="16"/>
                <w:szCs w:val="16"/>
              </w:rPr>
              <w:t>L.Polity</w:t>
            </w:r>
            <w:proofErr w:type="spellEnd"/>
            <w:r w:rsidRPr="00610934">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030BA4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0.0552</w:t>
            </w:r>
          </w:p>
        </w:tc>
        <w:tc>
          <w:tcPr>
            <w:tcW w:w="1656" w:type="dxa"/>
            <w:tcBorders>
              <w:top w:val="nil"/>
              <w:left w:val="nil"/>
              <w:bottom w:val="nil"/>
              <w:right w:val="nil"/>
            </w:tcBorders>
          </w:tcPr>
          <w:p w14:paraId="70B709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0.0341</w:t>
            </w:r>
          </w:p>
        </w:tc>
        <w:tc>
          <w:tcPr>
            <w:tcW w:w="1656" w:type="dxa"/>
            <w:tcBorders>
              <w:top w:val="nil"/>
              <w:left w:val="nil"/>
              <w:bottom w:val="nil"/>
              <w:right w:val="nil"/>
            </w:tcBorders>
          </w:tcPr>
          <w:p w14:paraId="38E8040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0.0297</w:t>
            </w:r>
          </w:p>
        </w:tc>
        <w:tc>
          <w:tcPr>
            <w:tcW w:w="1656" w:type="dxa"/>
            <w:tcBorders>
              <w:top w:val="nil"/>
              <w:left w:val="nil"/>
              <w:bottom w:val="nil"/>
              <w:right w:val="nil"/>
            </w:tcBorders>
          </w:tcPr>
          <w:p w14:paraId="37EE601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-0.0249</w:t>
            </w:r>
          </w:p>
        </w:tc>
        <w:tc>
          <w:tcPr>
            <w:tcW w:w="1656" w:type="dxa"/>
            <w:tcBorders>
              <w:top w:val="nil"/>
              <w:left w:val="nil"/>
              <w:bottom w:val="nil"/>
              <w:right w:val="nil"/>
            </w:tcBorders>
          </w:tcPr>
          <w:p w14:paraId="4EEA63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0.000440</w:t>
            </w:r>
          </w:p>
        </w:tc>
      </w:tr>
      <w:tr w:rsidR="0048356D" w:rsidRPr="00610934" w14:paraId="484EBA06" w14:textId="77777777" w:rsidTr="00015B88">
        <w:tc>
          <w:tcPr>
            <w:tcW w:w="2136" w:type="dxa"/>
            <w:tcBorders>
              <w:top w:val="nil"/>
              <w:left w:val="nil"/>
              <w:bottom w:val="nil"/>
              <w:right w:val="nil"/>
            </w:tcBorders>
          </w:tcPr>
          <w:p w14:paraId="7B962A4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E0A24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(1.29)</w:t>
            </w:r>
          </w:p>
        </w:tc>
        <w:tc>
          <w:tcPr>
            <w:tcW w:w="1656" w:type="dxa"/>
            <w:tcBorders>
              <w:top w:val="nil"/>
              <w:left w:val="nil"/>
              <w:bottom w:val="nil"/>
              <w:right w:val="nil"/>
            </w:tcBorders>
          </w:tcPr>
          <w:p w14:paraId="26BDAE4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(0.81)</w:t>
            </w:r>
          </w:p>
        </w:tc>
        <w:tc>
          <w:tcPr>
            <w:tcW w:w="1656" w:type="dxa"/>
            <w:tcBorders>
              <w:top w:val="nil"/>
              <w:left w:val="nil"/>
              <w:bottom w:val="nil"/>
              <w:right w:val="nil"/>
            </w:tcBorders>
          </w:tcPr>
          <w:p w14:paraId="55D457C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w:t>
            </w:r>
          </w:p>
        </w:tc>
        <w:tc>
          <w:tcPr>
            <w:tcW w:w="1656" w:type="dxa"/>
            <w:tcBorders>
              <w:top w:val="nil"/>
              <w:left w:val="nil"/>
              <w:bottom w:val="nil"/>
              <w:right w:val="nil"/>
            </w:tcBorders>
          </w:tcPr>
          <w:p w14:paraId="4E39242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(-1.56)</w:t>
            </w:r>
          </w:p>
        </w:tc>
        <w:tc>
          <w:tcPr>
            <w:tcW w:w="1656" w:type="dxa"/>
            <w:tcBorders>
              <w:top w:val="nil"/>
              <w:left w:val="nil"/>
              <w:bottom w:val="nil"/>
              <w:right w:val="nil"/>
            </w:tcBorders>
          </w:tcPr>
          <w:p w14:paraId="012D778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r>
      <w:tr w:rsidR="0048356D" w:rsidRPr="00610934" w14:paraId="3FBF7F6D" w14:textId="77777777" w:rsidTr="00015B88">
        <w:tc>
          <w:tcPr>
            <w:tcW w:w="2136" w:type="dxa"/>
            <w:tcBorders>
              <w:top w:val="nil"/>
              <w:left w:val="nil"/>
              <w:bottom w:val="nil"/>
              <w:right w:val="nil"/>
            </w:tcBorders>
          </w:tcPr>
          <w:p w14:paraId="0F43656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96E57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ED91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FB2B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C01B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E6F7D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3494A7F" w14:textId="77777777" w:rsidTr="00015B88">
        <w:tc>
          <w:tcPr>
            <w:tcW w:w="2136" w:type="dxa"/>
            <w:tcBorders>
              <w:top w:val="nil"/>
              <w:left w:val="nil"/>
              <w:bottom w:val="nil"/>
              <w:right w:val="nil"/>
            </w:tcBorders>
          </w:tcPr>
          <w:p w14:paraId="30883D8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L2.Polity Democracy Score (v2)</w:t>
            </w:r>
          </w:p>
        </w:tc>
        <w:tc>
          <w:tcPr>
            <w:tcW w:w="1656" w:type="dxa"/>
            <w:tcBorders>
              <w:top w:val="nil"/>
              <w:left w:val="nil"/>
              <w:bottom w:val="nil"/>
              <w:right w:val="nil"/>
            </w:tcBorders>
          </w:tcPr>
          <w:p w14:paraId="75AD687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-0.0957</w:t>
            </w:r>
          </w:p>
        </w:tc>
        <w:tc>
          <w:tcPr>
            <w:tcW w:w="1656" w:type="dxa"/>
            <w:tcBorders>
              <w:top w:val="nil"/>
              <w:left w:val="nil"/>
              <w:bottom w:val="nil"/>
              <w:right w:val="nil"/>
            </w:tcBorders>
          </w:tcPr>
          <w:p w14:paraId="188C8F5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-0.0629</w:t>
            </w:r>
          </w:p>
        </w:tc>
        <w:tc>
          <w:tcPr>
            <w:tcW w:w="1656" w:type="dxa"/>
            <w:tcBorders>
              <w:top w:val="nil"/>
              <w:left w:val="nil"/>
              <w:bottom w:val="nil"/>
              <w:right w:val="nil"/>
            </w:tcBorders>
          </w:tcPr>
          <w:p w14:paraId="6362EF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-0.0387</w:t>
            </w:r>
          </w:p>
        </w:tc>
        <w:tc>
          <w:tcPr>
            <w:tcW w:w="1656" w:type="dxa"/>
            <w:tcBorders>
              <w:top w:val="nil"/>
              <w:left w:val="nil"/>
              <w:bottom w:val="nil"/>
              <w:right w:val="nil"/>
            </w:tcBorders>
          </w:tcPr>
          <w:p w14:paraId="6585B3E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0.0373</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55546F9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0.0209</w:t>
            </w:r>
          </w:p>
        </w:tc>
      </w:tr>
      <w:tr w:rsidR="0048356D" w:rsidRPr="00610934" w14:paraId="7BB252F7" w14:textId="77777777" w:rsidTr="00015B88">
        <w:tc>
          <w:tcPr>
            <w:tcW w:w="2136" w:type="dxa"/>
            <w:tcBorders>
              <w:top w:val="nil"/>
              <w:left w:val="nil"/>
              <w:bottom w:val="nil"/>
              <w:right w:val="nil"/>
            </w:tcBorders>
          </w:tcPr>
          <w:p w14:paraId="4DBBB9C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D3311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(-1.84)</w:t>
            </w:r>
          </w:p>
        </w:tc>
        <w:tc>
          <w:tcPr>
            <w:tcW w:w="1656" w:type="dxa"/>
            <w:tcBorders>
              <w:top w:val="nil"/>
              <w:left w:val="nil"/>
              <w:bottom w:val="nil"/>
              <w:right w:val="nil"/>
            </w:tcBorders>
          </w:tcPr>
          <w:p w14:paraId="020EBD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(-1.42)</w:t>
            </w:r>
          </w:p>
        </w:tc>
        <w:tc>
          <w:tcPr>
            <w:tcW w:w="1656" w:type="dxa"/>
            <w:tcBorders>
              <w:top w:val="nil"/>
              <w:left w:val="nil"/>
              <w:bottom w:val="nil"/>
              <w:right w:val="nil"/>
            </w:tcBorders>
          </w:tcPr>
          <w:p w14:paraId="0A76C3E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094679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(3.00)</w:t>
            </w:r>
          </w:p>
        </w:tc>
        <w:tc>
          <w:tcPr>
            <w:tcW w:w="1656" w:type="dxa"/>
            <w:tcBorders>
              <w:top w:val="nil"/>
              <w:left w:val="nil"/>
              <w:bottom w:val="nil"/>
              <w:right w:val="nil"/>
            </w:tcBorders>
          </w:tcPr>
          <w:p w14:paraId="6FB4872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(1.90)</w:t>
            </w:r>
          </w:p>
        </w:tc>
      </w:tr>
      <w:tr w:rsidR="0048356D" w:rsidRPr="00610934" w14:paraId="54E699E0" w14:textId="77777777" w:rsidTr="00015B88">
        <w:tc>
          <w:tcPr>
            <w:tcW w:w="2136" w:type="dxa"/>
            <w:tcBorders>
              <w:top w:val="nil"/>
              <w:left w:val="nil"/>
              <w:bottom w:val="nil"/>
              <w:right w:val="nil"/>
            </w:tcBorders>
          </w:tcPr>
          <w:p w14:paraId="0325B8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29C0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3177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7809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C738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A8B9A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F18245A" w14:textId="77777777" w:rsidTr="00015B88">
        <w:tc>
          <w:tcPr>
            <w:tcW w:w="2136" w:type="dxa"/>
            <w:tcBorders>
              <w:top w:val="nil"/>
              <w:left w:val="nil"/>
              <w:bottom w:val="nil"/>
              <w:right w:val="nil"/>
            </w:tcBorders>
          </w:tcPr>
          <w:p w14:paraId="2DAA034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L3.Polity Democracy Score (v2)</w:t>
            </w:r>
          </w:p>
        </w:tc>
        <w:tc>
          <w:tcPr>
            <w:tcW w:w="1656" w:type="dxa"/>
            <w:tcBorders>
              <w:top w:val="nil"/>
              <w:left w:val="nil"/>
              <w:bottom w:val="nil"/>
              <w:right w:val="nil"/>
            </w:tcBorders>
          </w:tcPr>
          <w:p w14:paraId="6E4CEA5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0.0358</w:t>
            </w:r>
          </w:p>
        </w:tc>
        <w:tc>
          <w:tcPr>
            <w:tcW w:w="1656" w:type="dxa"/>
            <w:tcBorders>
              <w:top w:val="nil"/>
              <w:left w:val="nil"/>
              <w:bottom w:val="nil"/>
              <w:right w:val="nil"/>
            </w:tcBorders>
          </w:tcPr>
          <w:p w14:paraId="17C748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-0.0159</w:t>
            </w:r>
          </w:p>
        </w:tc>
        <w:tc>
          <w:tcPr>
            <w:tcW w:w="1656" w:type="dxa"/>
            <w:tcBorders>
              <w:top w:val="nil"/>
              <w:left w:val="nil"/>
              <w:bottom w:val="nil"/>
              <w:right w:val="nil"/>
            </w:tcBorders>
          </w:tcPr>
          <w:p w14:paraId="53380D2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-0.0378</w:t>
            </w:r>
          </w:p>
        </w:tc>
        <w:tc>
          <w:tcPr>
            <w:tcW w:w="1656" w:type="dxa"/>
            <w:tcBorders>
              <w:top w:val="nil"/>
              <w:left w:val="nil"/>
              <w:bottom w:val="nil"/>
              <w:right w:val="nil"/>
            </w:tcBorders>
          </w:tcPr>
          <w:p w14:paraId="285CDA7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-0.00950</w:t>
            </w:r>
          </w:p>
        </w:tc>
        <w:tc>
          <w:tcPr>
            <w:tcW w:w="1656" w:type="dxa"/>
            <w:tcBorders>
              <w:top w:val="nil"/>
              <w:left w:val="nil"/>
              <w:bottom w:val="nil"/>
              <w:right w:val="nil"/>
            </w:tcBorders>
          </w:tcPr>
          <w:p w14:paraId="0D3616D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-0.00688</w:t>
            </w:r>
          </w:p>
        </w:tc>
      </w:tr>
      <w:tr w:rsidR="0048356D" w:rsidRPr="00610934" w14:paraId="3D09467E" w14:textId="77777777" w:rsidTr="00015B88">
        <w:tc>
          <w:tcPr>
            <w:tcW w:w="2136" w:type="dxa"/>
            <w:tcBorders>
              <w:top w:val="nil"/>
              <w:left w:val="nil"/>
              <w:bottom w:val="nil"/>
              <w:right w:val="nil"/>
            </w:tcBorders>
          </w:tcPr>
          <w:p w14:paraId="0C378B8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FA29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(0.52)</w:t>
            </w:r>
          </w:p>
        </w:tc>
        <w:tc>
          <w:tcPr>
            <w:tcW w:w="1656" w:type="dxa"/>
            <w:tcBorders>
              <w:top w:val="nil"/>
              <w:left w:val="nil"/>
              <w:bottom w:val="nil"/>
              <w:right w:val="nil"/>
            </w:tcBorders>
          </w:tcPr>
          <w:p w14:paraId="093E373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w:t>
            </w:r>
          </w:p>
        </w:tc>
        <w:tc>
          <w:tcPr>
            <w:tcW w:w="1656" w:type="dxa"/>
            <w:tcBorders>
              <w:top w:val="nil"/>
              <w:left w:val="nil"/>
              <w:bottom w:val="nil"/>
              <w:right w:val="nil"/>
            </w:tcBorders>
          </w:tcPr>
          <w:p w14:paraId="32D89B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3ACDE21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(-0.90)</w:t>
            </w:r>
          </w:p>
        </w:tc>
        <w:tc>
          <w:tcPr>
            <w:tcW w:w="1656" w:type="dxa"/>
            <w:tcBorders>
              <w:top w:val="nil"/>
              <w:left w:val="nil"/>
              <w:bottom w:val="nil"/>
              <w:right w:val="nil"/>
            </w:tcBorders>
          </w:tcPr>
          <w:p w14:paraId="0768080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(-0.66)</w:t>
            </w:r>
          </w:p>
        </w:tc>
      </w:tr>
      <w:tr w:rsidR="0048356D" w:rsidRPr="00610934" w14:paraId="7981252D" w14:textId="77777777" w:rsidTr="00015B88">
        <w:tc>
          <w:tcPr>
            <w:tcW w:w="2136" w:type="dxa"/>
            <w:tcBorders>
              <w:top w:val="nil"/>
              <w:left w:val="nil"/>
              <w:bottom w:val="nil"/>
              <w:right w:val="nil"/>
            </w:tcBorders>
          </w:tcPr>
          <w:p w14:paraId="27E227F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24008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608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F2CF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3F0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3807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0EFFFAA" w14:textId="77777777" w:rsidTr="00015B88">
        <w:tc>
          <w:tcPr>
            <w:tcW w:w="2136" w:type="dxa"/>
            <w:tcBorders>
              <w:top w:val="nil"/>
              <w:left w:val="nil"/>
              <w:bottom w:val="nil"/>
              <w:right w:val="nil"/>
            </w:tcBorders>
          </w:tcPr>
          <w:p w14:paraId="6A7C2DF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L4.Polity Democracy Score (v2)</w:t>
            </w:r>
          </w:p>
        </w:tc>
        <w:tc>
          <w:tcPr>
            <w:tcW w:w="1656" w:type="dxa"/>
            <w:tcBorders>
              <w:top w:val="nil"/>
              <w:left w:val="nil"/>
              <w:bottom w:val="nil"/>
              <w:right w:val="nil"/>
            </w:tcBorders>
          </w:tcPr>
          <w:p w14:paraId="38FCA8C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0.0342</w:t>
            </w:r>
          </w:p>
        </w:tc>
        <w:tc>
          <w:tcPr>
            <w:tcW w:w="1656" w:type="dxa"/>
            <w:tcBorders>
              <w:top w:val="nil"/>
              <w:left w:val="nil"/>
              <w:bottom w:val="nil"/>
              <w:right w:val="nil"/>
            </w:tcBorders>
          </w:tcPr>
          <w:p w14:paraId="4FE30B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0.0636</w:t>
            </w:r>
          </w:p>
        </w:tc>
        <w:tc>
          <w:tcPr>
            <w:tcW w:w="1656" w:type="dxa"/>
            <w:tcBorders>
              <w:top w:val="nil"/>
              <w:left w:val="nil"/>
              <w:bottom w:val="nil"/>
              <w:right w:val="nil"/>
            </w:tcBorders>
          </w:tcPr>
          <w:p w14:paraId="544190E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0.0804</w:t>
            </w:r>
          </w:p>
        </w:tc>
        <w:tc>
          <w:tcPr>
            <w:tcW w:w="1656" w:type="dxa"/>
            <w:tcBorders>
              <w:top w:val="nil"/>
              <w:left w:val="nil"/>
              <w:bottom w:val="nil"/>
              <w:right w:val="nil"/>
            </w:tcBorders>
          </w:tcPr>
          <w:p w14:paraId="725FD1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0.0221</w:t>
            </w:r>
          </w:p>
        </w:tc>
        <w:tc>
          <w:tcPr>
            <w:tcW w:w="1656" w:type="dxa"/>
            <w:tcBorders>
              <w:top w:val="nil"/>
              <w:left w:val="nil"/>
              <w:bottom w:val="nil"/>
              <w:right w:val="nil"/>
            </w:tcBorders>
          </w:tcPr>
          <w:p w14:paraId="60F3B83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0.00786</w:t>
            </w:r>
          </w:p>
        </w:tc>
      </w:tr>
      <w:tr w:rsidR="0048356D" w:rsidRPr="00610934" w14:paraId="2E7D47B1" w14:textId="77777777" w:rsidTr="00015B88">
        <w:tc>
          <w:tcPr>
            <w:tcW w:w="2136" w:type="dxa"/>
            <w:tcBorders>
              <w:top w:val="nil"/>
              <w:left w:val="nil"/>
              <w:bottom w:val="nil"/>
              <w:right w:val="nil"/>
            </w:tcBorders>
          </w:tcPr>
          <w:p w14:paraId="122FC7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0F8E1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(0.68)</w:t>
            </w:r>
          </w:p>
        </w:tc>
        <w:tc>
          <w:tcPr>
            <w:tcW w:w="1656" w:type="dxa"/>
            <w:tcBorders>
              <w:top w:val="nil"/>
              <w:left w:val="nil"/>
              <w:bottom w:val="nil"/>
              <w:right w:val="nil"/>
            </w:tcBorders>
          </w:tcPr>
          <w:p w14:paraId="45CAA5D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(1.51)</w:t>
            </w:r>
          </w:p>
        </w:tc>
        <w:tc>
          <w:tcPr>
            <w:tcW w:w="1656" w:type="dxa"/>
            <w:tcBorders>
              <w:top w:val="nil"/>
              <w:left w:val="nil"/>
              <w:bottom w:val="nil"/>
              <w:right w:val="nil"/>
            </w:tcBorders>
          </w:tcPr>
          <w:p w14:paraId="0A4901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(1.33)</w:t>
            </w:r>
          </w:p>
        </w:tc>
        <w:tc>
          <w:tcPr>
            <w:tcW w:w="1656" w:type="dxa"/>
            <w:tcBorders>
              <w:top w:val="nil"/>
              <w:left w:val="nil"/>
              <w:bottom w:val="nil"/>
              <w:right w:val="nil"/>
            </w:tcBorders>
          </w:tcPr>
          <w:p w14:paraId="2DDD71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(1.72)</w:t>
            </w:r>
          </w:p>
        </w:tc>
        <w:tc>
          <w:tcPr>
            <w:tcW w:w="1656" w:type="dxa"/>
            <w:tcBorders>
              <w:top w:val="nil"/>
              <w:left w:val="nil"/>
              <w:bottom w:val="nil"/>
              <w:right w:val="nil"/>
            </w:tcBorders>
          </w:tcPr>
          <w:p w14:paraId="234F26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(1.00)</w:t>
            </w:r>
          </w:p>
        </w:tc>
      </w:tr>
      <w:tr w:rsidR="0048356D" w:rsidRPr="00610934" w14:paraId="2275B104" w14:textId="77777777" w:rsidTr="00015B88">
        <w:tc>
          <w:tcPr>
            <w:tcW w:w="2136" w:type="dxa"/>
            <w:tcBorders>
              <w:top w:val="nil"/>
              <w:left w:val="nil"/>
              <w:bottom w:val="nil"/>
              <w:right w:val="nil"/>
            </w:tcBorders>
          </w:tcPr>
          <w:p w14:paraId="173424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68014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52F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A514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DC23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4112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85AF8E9" w14:textId="77777777" w:rsidTr="00015B88">
        <w:tc>
          <w:tcPr>
            <w:tcW w:w="2136" w:type="dxa"/>
            <w:tcBorders>
              <w:top w:val="nil"/>
              <w:left w:val="nil"/>
              <w:bottom w:val="nil"/>
              <w:right w:val="nil"/>
            </w:tcBorders>
          </w:tcPr>
          <w:p w14:paraId="1814B5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L5.Polity Democracy Score (v2)</w:t>
            </w:r>
          </w:p>
        </w:tc>
        <w:tc>
          <w:tcPr>
            <w:tcW w:w="1656" w:type="dxa"/>
            <w:tcBorders>
              <w:top w:val="nil"/>
              <w:left w:val="nil"/>
              <w:bottom w:val="nil"/>
              <w:right w:val="nil"/>
            </w:tcBorders>
          </w:tcPr>
          <w:p w14:paraId="6D7862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-0.0166</w:t>
            </w:r>
          </w:p>
        </w:tc>
        <w:tc>
          <w:tcPr>
            <w:tcW w:w="1656" w:type="dxa"/>
            <w:tcBorders>
              <w:top w:val="nil"/>
              <w:left w:val="nil"/>
              <w:bottom w:val="nil"/>
              <w:right w:val="nil"/>
            </w:tcBorders>
          </w:tcPr>
          <w:p w14:paraId="3E56AEF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-0.0239</w:t>
            </w:r>
          </w:p>
        </w:tc>
        <w:tc>
          <w:tcPr>
            <w:tcW w:w="1656" w:type="dxa"/>
            <w:tcBorders>
              <w:top w:val="nil"/>
              <w:left w:val="nil"/>
              <w:bottom w:val="nil"/>
              <w:right w:val="nil"/>
            </w:tcBorders>
          </w:tcPr>
          <w:p w14:paraId="1E82372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-0.0462</w:t>
            </w:r>
          </w:p>
        </w:tc>
        <w:tc>
          <w:tcPr>
            <w:tcW w:w="1656" w:type="dxa"/>
            <w:tcBorders>
              <w:top w:val="nil"/>
              <w:left w:val="nil"/>
              <w:bottom w:val="nil"/>
              <w:right w:val="nil"/>
            </w:tcBorders>
          </w:tcPr>
          <w:p w14:paraId="0489D6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-0.00273</w:t>
            </w:r>
          </w:p>
        </w:tc>
        <w:tc>
          <w:tcPr>
            <w:tcW w:w="1656" w:type="dxa"/>
            <w:tcBorders>
              <w:top w:val="nil"/>
              <w:left w:val="nil"/>
              <w:bottom w:val="nil"/>
              <w:right w:val="nil"/>
            </w:tcBorders>
          </w:tcPr>
          <w:p w14:paraId="36EACA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-0.00592</w:t>
            </w:r>
          </w:p>
        </w:tc>
      </w:tr>
      <w:tr w:rsidR="0048356D" w:rsidRPr="00610934" w14:paraId="489107A6" w14:textId="77777777" w:rsidTr="00015B88">
        <w:tc>
          <w:tcPr>
            <w:tcW w:w="2136" w:type="dxa"/>
            <w:tcBorders>
              <w:top w:val="nil"/>
              <w:left w:val="nil"/>
              <w:bottom w:val="nil"/>
              <w:right w:val="nil"/>
            </w:tcBorders>
          </w:tcPr>
          <w:p w14:paraId="050BF75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B646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(-0.38)</w:t>
            </w:r>
          </w:p>
        </w:tc>
        <w:tc>
          <w:tcPr>
            <w:tcW w:w="1656" w:type="dxa"/>
            <w:tcBorders>
              <w:top w:val="nil"/>
              <w:left w:val="nil"/>
              <w:bottom w:val="nil"/>
              <w:right w:val="nil"/>
            </w:tcBorders>
          </w:tcPr>
          <w:p w14:paraId="30E84B1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5A95929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c>
          <w:tcPr>
            <w:tcW w:w="1656" w:type="dxa"/>
            <w:tcBorders>
              <w:top w:val="nil"/>
              <w:left w:val="nil"/>
              <w:bottom w:val="nil"/>
              <w:right w:val="nil"/>
            </w:tcBorders>
          </w:tcPr>
          <w:p w14:paraId="372662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(-0.19)</w:t>
            </w:r>
          </w:p>
        </w:tc>
        <w:tc>
          <w:tcPr>
            <w:tcW w:w="1656" w:type="dxa"/>
            <w:tcBorders>
              <w:top w:val="nil"/>
              <w:left w:val="nil"/>
              <w:bottom w:val="nil"/>
              <w:right w:val="nil"/>
            </w:tcBorders>
          </w:tcPr>
          <w:p w14:paraId="568BB4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r>
      <w:tr w:rsidR="0048356D" w:rsidRPr="00610934" w14:paraId="0A461B53" w14:textId="77777777" w:rsidTr="00015B88">
        <w:tc>
          <w:tcPr>
            <w:tcW w:w="2136" w:type="dxa"/>
            <w:tcBorders>
              <w:top w:val="nil"/>
              <w:left w:val="nil"/>
              <w:bottom w:val="nil"/>
              <w:right w:val="nil"/>
            </w:tcBorders>
          </w:tcPr>
          <w:p w14:paraId="7EDF5A0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8E6A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868F7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BC5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EC6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BB5F5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50F5F20" w14:textId="77777777" w:rsidTr="00015B88">
        <w:tc>
          <w:tcPr>
            <w:tcW w:w="2136" w:type="dxa"/>
            <w:tcBorders>
              <w:top w:val="nil"/>
              <w:left w:val="nil"/>
              <w:bottom w:val="nil"/>
              <w:right w:val="nil"/>
            </w:tcBorders>
          </w:tcPr>
          <w:p w14:paraId="3E92FCE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L6.Polity Democracy Score (v2)</w:t>
            </w:r>
          </w:p>
        </w:tc>
        <w:tc>
          <w:tcPr>
            <w:tcW w:w="1656" w:type="dxa"/>
            <w:tcBorders>
              <w:top w:val="nil"/>
              <w:left w:val="nil"/>
              <w:bottom w:val="nil"/>
              <w:right w:val="nil"/>
            </w:tcBorders>
          </w:tcPr>
          <w:p w14:paraId="27FCAA7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0.0353</w:t>
            </w:r>
          </w:p>
        </w:tc>
        <w:tc>
          <w:tcPr>
            <w:tcW w:w="1656" w:type="dxa"/>
            <w:tcBorders>
              <w:top w:val="nil"/>
              <w:left w:val="nil"/>
              <w:bottom w:val="nil"/>
              <w:right w:val="nil"/>
            </w:tcBorders>
          </w:tcPr>
          <w:p w14:paraId="2323954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0.0397</w:t>
            </w:r>
          </w:p>
        </w:tc>
        <w:tc>
          <w:tcPr>
            <w:tcW w:w="1656" w:type="dxa"/>
            <w:tcBorders>
              <w:top w:val="nil"/>
              <w:left w:val="nil"/>
              <w:bottom w:val="nil"/>
              <w:right w:val="nil"/>
            </w:tcBorders>
          </w:tcPr>
          <w:p w14:paraId="2723AC8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0.0438</w:t>
            </w:r>
          </w:p>
        </w:tc>
        <w:tc>
          <w:tcPr>
            <w:tcW w:w="1656" w:type="dxa"/>
            <w:tcBorders>
              <w:top w:val="nil"/>
              <w:left w:val="nil"/>
              <w:bottom w:val="nil"/>
              <w:right w:val="nil"/>
            </w:tcBorders>
          </w:tcPr>
          <w:p w14:paraId="1E9E6CB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0.0299</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3EBC9E3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0.00281</w:t>
            </w:r>
          </w:p>
        </w:tc>
      </w:tr>
      <w:tr w:rsidR="0048356D" w:rsidRPr="00610934" w14:paraId="31A14D30" w14:textId="77777777" w:rsidTr="00015B88">
        <w:tc>
          <w:tcPr>
            <w:tcW w:w="2136" w:type="dxa"/>
            <w:tcBorders>
              <w:top w:val="nil"/>
              <w:left w:val="nil"/>
              <w:bottom w:val="nil"/>
              <w:right w:val="nil"/>
            </w:tcBorders>
          </w:tcPr>
          <w:p w14:paraId="19C14E1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DD2D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(0.71)</w:t>
            </w:r>
          </w:p>
        </w:tc>
        <w:tc>
          <w:tcPr>
            <w:tcW w:w="1656" w:type="dxa"/>
            <w:tcBorders>
              <w:top w:val="nil"/>
              <w:left w:val="nil"/>
              <w:bottom w:val="nil"/>
              <w:right w:val="nil"/>
            </w:tcBorders>
          </w:tcPr>
          <w:p w14:paraId="6B39D26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(1.04)</w:t>
            </w:r>
          </w:p>
        </w:tc>
        <w:tc>
          <w:tcPr>
            <w:tcW w:w="1656" w:type="dxa"/>
            <w:tcBorders>
              <w:top w:val="nil"/>
              <w:left w:val="nil"/>
              <w:bottom w:val="nil"/>
              <w:right w:val="nil"/>
            </w:tcBorders>
          </w:tcPr>
          <w:p w14:paraId="244A43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(0.80)</w:t>
            </w:r>
          </w:p>
        </w:tc>
        <w:tc>
          <w:tcPr>
            <w:tcW w:w="1656" w:type="dxa"/>
            <w:tcBorders>
              <w:top w:val="nil"/>
              <w:left w:val="nil"/>
              <w:bottom w:val="nil"/>
              <w:right w:val="nil"/>
            </w:tcBorders>
          </w:tcPr>
          <w:p w14:paraId="50148C3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(2.36)</w:t>
            </w:r>
          </w:p>
        </w:tc>
        <w:tc>
          <w:tcPr>
            <w:tcW w:w="1656" w:type="dxa"/>
            <w:tcBorders>
              <w:top w:val="nil"/>
              <w:left w:val="nil"/>
              <w:bottom w:val="nil"/>
              <w:right w:val="nil"/>
            </w:tcBorders>
          </w:tcPr>
          <w:p w14:paraId="3F54C1F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(0.26)</w:t>
            </w:r>
          </w:p>
        </w:tc>
      </w:tr>
      <w:tr w:rsidR="0048356D" w:rsidRPr="00610934" w14:paraId="17DBB953" w14:textId="77777777" w:rsidTr="00015B88">
        <w:tc>
          <w:tcPr>
            <w:tcW w:w="2136" w:type="dxa"/>
            <w:tcBorders>
              <w:top w:val="nil"/>
              <w:left w:val="nil"/>
              <w:bottom w:val="nil"/>
              <w:right w:val="nil"/>
            </w:tcBorders>
          </w:tcPr>
          <w:p w14:paraId="141AEFF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74EC8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A23B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7E20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760A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43B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433136E" w14:textId="77777777" w:rsidTr="00015B88">
        <w:tc>
          <w:tcPr>
            <w:tcW w:w="2136" w:type="dxa"/>
            <w:tcBorders>
              <w:top w:val="nil"/>
              <w:left w:val="nil"/>
              <w:bottom w:val="nil"/>
              <w:right w:val="nil"/>
            </w:tcBorders>
          </w:tcPr>
          <w:p w14:paraId="636162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L7.Polity Democracy Score (v2)</w:t>
            </w:r>
          </w:p>
        </w:tc>
        <w:tc>
          <w:tcPr>
            <w:tcW w:w="1656" w:type="dxa"/>
            <w:tcBorders>
              <w:top w:val="nil"/>
              <w:left w:val="nil"/>
              <w:bottom w:val="nil"/>
              <w:right w:val="nil"/>
            </w:tcBorders>
          </w:tcPr>
          <w:p w14:paraId="29FC19D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0.00235</w:t>
            </w:r>
          </w:p>
        </w:tc>
        <w:tc>
          <w:tcPr>
            <w:tcW w:w="1656" w:type="dxa"/>
            <w:tcBorders>
              <w:top w:val="nil"/>
              <w:left w:val="nil"/>
              <w:bottom w:val="nil"/>
              <w:right w:val="nil"/>
            </w:tcBorders>
          </w:tcPr>
          <w:p w14:paraId="47791E8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-0.0674</w:t>
            </w:r>
          </w:p>
        </w:tc>
        <w:tc>
          <w:tcPr>
            <w:tcW w:w="1656" w:type="dxa"/>
            <w:tcBorders>
              <w:top w:val="nil"/>
              <w:left w:val="nil"/>
              <w:bottom w:val="nil"/>
              <w:right w:val="nil"/>
            </w:tcBorders>
          </w:tcPr>
          <w:p w14:paraId="0C94384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0.0200</w:t>
            </w:r>
          </w:p>
        </w:tc>
        <w:tc>
          <w:tcPr>
            <w:tcW w:w="1656" w:type="dxa"/>
            <w:tcBorders>
              <w:top w:val="nil"/>
              <w:left w:val="nil"/>
              <w:bottom w:val="nil"/>
              <w:right w:val="nil"/>
            </w:tcBorders>
          </w:tcPr>
          <w:p w14:paraId="2D4071A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-0.0144</w:t>
            </w:r>
          </w:p>
        </w:tc>
        <w:tc>
          <w:tcPr>
            <w:tcW w:w="1656" w:type="dxa"/>
            <w:tcBorders>
              <w:top w:val="nil"/>
              <w:left w:val="nil"/>
              <w:bottom w:val="nil"/>
              <w:right w:val="nil"/>
            </w:tcBorders>
          </w:tcPr>
          <w:p w14:paraId="1C542C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0.00107</w:t>
            </w:r>
          </w:p>
        </w:tc>
      </w:tr>
      <w:tr w:rsidR="0048356D" w:rsidRPr="00610934" w14:paraId="482CCAA8" w14:textId="77777777" w:rsidTr="00015B88">
        <w:tc>
          <w:tcPr>
            <w:tcW w:w="2136" w:type="dxa"/>
            <w:tcBorders>
              <w:top w:val="nil"/>
              <w:left w:val="nil"/>
              <w:bottom w:val="nil"/>
              <w:right w:val="nil"/>
            </w:tcBorders>
          </w:tcPr>
          <w:p w14:paraId="167D3DE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BD743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w:t>
            </w:r>
          </w:p>
        </w:tc>
        <w:tc>
          <w:tcPr>
            <w:tcW w:w="1656" w:type="dxa"/>
            <w:tcBorders>
              <w:top w:val="nil"/>
              <w:left w:val="nil"/>
              <w:bottom w:val="nil"/>
              <w:right w:val="nil"/>
            </w:tcBorders>
          </w:tcPr>
          <w:p w14:paraId="481FD7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(-1.45)</w:t>
            </w:r>
          </w:p>
        </w:tc>
        <w:tc>
          <w:tcPr>
            <w:tcW w:w="1656" w:type="dxa"/>
            <w:tcBorders>
              <w:top w:val="nil"/>
              <w:left w:val="nil"/>
              <w:bottom w:val="nil"/>
              <w:right w:val="nil"/>
            </w:tcBorders>
          </w:tcPr>
          <w:p w14:paraId="088F46A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(0.38)</w:t>
            </w:r>
          </w:p>
        </w:tc>
        <w:tc>
          <w:tcPr>
            <w:tcW w:w="1656" w:type="dxa"/>
            <w:tcBorders>
              <w:top w:val="nil"/>
              <w:left w:val="nil"/>
              <w:bottom w:val="nil"/>
              <w:right w:val="nil"/>
            </w:tcBorders>
          </w:tcPr>
          <w:p w14:paraId="7B960B9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c>
          <w:tcPr>
            <w:tcW w:w="1656" w:type="dxa"/>
            <w:tcBorders>
              <w:top w:val="nil"/>
              <w:left w:val="nil"/>
              <w:bottom w:val="nil"/>
              <w:right w:val="nil"/>
            </w:tcBorders>
          </w:tcPr>
          <w:p w14:paraId="4647B6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(0.12)</w:t>
            </w:r>
          </w:p>
        </w:tc>
      </w:tr>
      <w:tr w:rsidR="0048356D" w:rsidRPr="00610934" w14:paraId="10BDCD8F" w14:textId="77777777" w:rsidTr="00015B88">
        <w:tc>
          <w:tcPr>
            <w:tcW w:w="2136" w:type="dxa"/>
            <w:tcBorders>
              <w:top w:val="nil"/>
              <w:left w:val="nil"/>
              <w:bottom w:val="nil"/>
              <w:right w:val="nil"/>
            </w:tcBorders>
          </w:tcPr>
          <w:p w14:paraId="79676EF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7DA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1B082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15C03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7D34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5B0AE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5353187" w14:textId="77777777" w:rsidTr="00015B88">
        <w:tc>
          <w:tcPr>
            <w:tcW w:w="2136" w:type="dxa"/>
            <w:tcBorders>
              <w:top w:val="nil"/>
              <w:left w:val="nil"/>
              <w:bottom w:val="nil"/>
              <w:right w:val="nil"/>
            </w:tcBorders>
          </w:tcPr>
          <w:p w14:paraId="5C839CA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L8.Polity Democracy Score (v2)</w:t>
            </w:r>
          </w:p>
        </w:tc>
        <w:tc>
          <w:tcPr>
            <w:tcW w:w="1656" w:type="dxa"/>
            <w:tcBorders>
              <w:top w:val="nil"/>
              <w:left w:val="nil"/>
              <w:bottom w:val="nil"/>
              <w:right w:val="nil"/>
            </w:tcBorders>
          </w:tcPr>
          <w:p w14:paraId="401E556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0.0107</w:t>
            </w:r>
          </w:p>
        </w:tc>
        <w:tc>
          <w:tcPr>
            <w:tcW w:w="1656" w:type="dxa"/>
            <w:tcBorders>
              <w:top w:val="nil"/>
              <w:left w:val="nil"/>
              <w:bottom w:val="nil"/>
              <w:right w:val="nil"/>
            </w:tcBorders>
          </w:tcPr>
          <w:p w14:paraId="66BEAE2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0.00374</w:t>
            </w:r>
          </w:p>
        </w:tc>
        <w:tc>
          <w:tcPr>
            <w:tcW w:w="1656" w:type="dxa"/>
            <w:tcBorders>
              <w:top w:val="nil"/>
              <w:left w:val="nil"/>
              <w:bottom w:val="nil"/>
              <w:right w:val="nil"/>
            </w:tcBorders>
          </w:tcPr>
          <w:p w14:paraId="3C2CCD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-0.103</w:t>
            </w:r>
          </w:p>
        </w:tc>
        <w:tc>
          <w:tcPr>
            <w:tcW w:w="1656" w:type="dxa"/>
            <w:tcBorders>
              <w:top w:val="nil"/>
              <w:left w:val="nil"/>
              <w:bottom w:val="nil"/>
              <w:right w:val="nil"/>
            </w:tcBorders>
          </w:tcPr>
          <w:p w14:paraId="1DE079C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0.00143</w:t>
            </w:r>
          </w:p>
        </w:tc>
        <w:tc>
          <w:tcPr>
            <w:tcW w:w="1656" w:type="dxa"/>
            <w:tcBorders>
              <w:top w:val="nil"/>
              <w:left w:val="nil"/>
              <w:bottom w:val="nil"/>
              <w:right w:val="nil"/>
            </w:tcBorders>
          </w:tcPr>
          <w:p w14:paraId="47ABCF1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0.00174</w:t>
            </w:r>
          </w:p>
        </w:tc>
      </w:tr>
      <w:tr w:rsidR="0048356D" w:rsidRPr="00610934" w14:paraId="7983F940" w14:textId="77777777" w:rsidTr="00015B88">
        <w:tc>
          <w:tcPr>
            <w:tcW w:w="2136" w:type="dxa"/>
            <w:tcBorders>
              <w:top w:val="nil"/>
              <w:left w:val="nil"/>
              <w:bottom w:val="nil"/>
              <w:right w:val="nil"/>
            </w:tcBorders>
          </w:tcPr>
          <w:p w14:paraId="04B9BF0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2C8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w:t>
            </w:r>
          </w:p>
        </w:tc>
        <w:tc>
          <w:tcPr>
            <w:tcW w:w="1656" w:type="dxa"/>
            <w:tcBorders>
              <w:top w:val="nil"/>
              <w:left w:val="nil"/>
              <w:bottom w:val="nil"/>
              <w:right w:val="nil"/>
            </w:tcBorders>
          </w:tcPr>
          <w:p w14:paraId="6B426A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w:t>
            </w:r>
          </w:p>
        </w:tc>
        <w:tc>
          <w:tcPr>
            <w:tcW w:w="1656" w:type="dxa"/>
            <w:tcBorders>
              <w:top w:val="nil"/>
              <w:left w:val="nil"/>
              <w:bottom w:val="nil"/>
              <w:right w:val="nil"/>
            </w:tcBorders>
          </w:tcPr>
          <w:p w14:paraId="6DEF86B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(-1.90)</w:t>
            </w:r>
          </w:p>
        </w:tc>
        <w:tc>
          <w:tcPr>
            <w:tcW w:w="1656" w:type="dxa"/>
            <w:tcBorders>
              <w:top w:val="nil"/>
              <w:left w:val="nil"/>
              <w:bottom w:val="nil"/>
              <w:right w:val="nil"/>
            </w:tcBorders>
          </w:tcPr>
          <w:p w14:paraId="191073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273363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(0.23)</w:t>
            </w:r>
          </w:p>
        </w:tc>
      </w:tr>
      <w:tr w:rsidR="0048356D" w:rsidRPr="00610934" w14:paraId="51A2BB82" w14:textId="77777777" w:rsidTr="00015B88">
        <w:tc>
          <w:tcPr>
            <w:tcW w:w="2136" w:type="dxa"/>
            <w:tcBorders>
              <w:top w:val="nil"/>
              <w:left w:val="nil"/>
              <w:bottom w:val="nil"/>
              <w:right w:val="nil"/>
            </w:tcBorders>
          </w:tcPr>
          <w:p w14:paraId="56FE13C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4A43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01611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F737A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1DE7D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54007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E1A107C" w14:textId="77777777" w:rsidTr="00015B88">
        <w:tc>
          <w:tcPr>
            <w:tcW w:w="2136" w:type="dxa"/>
            <w:tcBorders>
              <w:top w:val="nil"/>
              <w:left w:val="nil"/>
              <w:bottom w:val="nil"/>
              <w:right w:val="nil"/>
            </w:tcBorders>
          </w:tcPr>
          <w:p w14:paraId="6B0041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L9.Polity Democracy Score (v2)</w:t>
            </w:r>
          </w:p>
        </w:tc>
        <w:tc>
          <w:tcPr>
            <w:tcW w:w="1656" w:type="dxa"/>
            <w:tcBorders>
              <w:top w:val="nil"/>
              <w:left w:val="nil"/>
              <w:bottom w:val="nil"/>
              <w:right w:val="nil"/>
            </w:tcBorders>
          </w:tcPr>
          <w:p w14:paraId="03E6F5D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-0.0584</w:t>
            </w:r>
          </w:p>
        </w:tc>
        <w:tc>
          <w:tcPr>
            <w:tcW w:w="1656" w:type="dxa"/>
            <w:tcBorders>
              <w:top w:val="nil"/>
              <w:left w:val="nil"/>
              <w:bottom w:val="nil"/>
              <w:right w:val="nil"/>
            </w:tcBorders>
          </w:tcPr>
          <w:p w14:paraId="4E72B8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0.0473</w:t>
            </w:r>
          </w:p>
        </w:tc>
        <w:tc>
          <w:tcPr>
            <w:tcW w:w="1656" w:type="dxa"/>
            <w:tcBorders>
              <w:top w:val="nil"/>
              <w:left w:val="nil"/>
              <w:bottom w:val="nil"/>
              <w:right w:val="nil"/>
            </w:tcBorders>
          </w:tcPr>
          <w:p w14:paraId="2224018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0.0605</w:t>
            </w:r>
          </w:p>
        </w:tc>
        <w:tc>
          <w:tcPr>
            <w:tcW w:w="1656" w:type="dxa"/>
            <w:tcBorders>
              <w:top w:val="nil"/>
              <w:left w:val="nil"/>
              <w:bottom w:val="nil"/>
              <w:right w:val="nil"/>
            </w:tcBorders>
          </w:tcPr>
          <w:p w14:paraId="5A5B0D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-0.0185</w:t>
            </w:r>
          </w:p>
        </w:tc>
        <w:tc>
          <w:tcPr>
            <w:tcW w:w="1656" w:type="dxa"/>
            <w:tcBorders>
              <w:top w:val="nil"/>
              <w:left w:val="nil"/>
              <w:bottom w:val="nil"/>
              <w:right w:val="nil"/>
            </w:tcBorders>
          </w:tcPr>
          <w:p w14:paraId="720FAAD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-0.00610</w:t>
            </w:r>
          </w:p>
        </w:tc>
      </w:tr>
      <w:tr w:rsidR="0048356D" w:rsidRPr="00610934" w14:paraId="2A07A83A" w14:textId="77777777" w:rsidTr="00015B88">
        <w:tc>
          <w:tcPr>
            <w:tcW w:w="2136" w:type="dxa"/>
            <w:tcBorders>
              <w:top w:val="nil"/>
              <w:left w:val="nil"/>
              <w:bottom w:val="nil"/>
              <w:right w:val="nil"/>
            </w:tcBorders>
          </w:tcPr>
          <w:p w14:paraId="28F7542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4B76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(-1.21)</w:t>
            </w:r>
          </w:p>
        </w:tc>
        <w:tc>
          <w:tcPr>
            <w:tcW w:w="1656" w:type="dxa"/>
            <w:tcBorders>
              <w:top w:val="nil"/>
              <w:left w:val="nil"/>
              <w:bottom w:val="nil"/>
              <w:right w:val="nil"/>
            </w:tcBorders>
          </w:tcPr>
          <w:p w14:paraId="39DCFD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(1.42)</w:t>
            </w:r>
          </w:p>
        </w:tc>
        <w:tc>
          <w:tcPr>
            <w:tcW w:w="1656" w:type="dxa"/>
            <w:tcBorders>
              <w:top w:val="nil"/>
              <w:left w:val="nil"/>
              <w:bottom w:val="nil"/>
              <w:right w:val="nil"/>
            </w:tcBorders>
          </w:tcPr>
          <w:p w14:paraId="6DE4C7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(1.12)</w:t>
            </w:r>
          </w:p>
        </w:tc>
        <w:tc>
          <w:tcPr>
            <w:tcW w:w="1656" w:type="dxa"/>
            <w:tcBorders>
              <w:top w:val="nil"/>
              <w:left w:val="nil"/>
              <w:bottom w:val="nil"/>
              <w:right w:val="nil"/>
            </w:tcBorders>
          </w:tcPr>
          <w:p w14:paraId="7CCAE7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(-1.57)</w:t>
            </w:r>
          </w:p>
        </w:tc>
        <w:tc>
          <w:tcPr>
            <w:tcW w:w="1656" w:type="dxa"/>
            <w:tcBorders>
              <w:top w:val="nil"/>
              <w:left w:val="nil"/>
              <w:bottom w:val="nil"/>
              <w:right w:val="nil"/>
            </w:tcBorders>
          </w:tcPr>
          <w:p w14:paraId="0F2C1A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(-1.07)</w:t>
            </w:r>
          </w:p>
        </w:tc>
      </w:tr>
      <w:tr w:rsidR="0048356D" w:rsidRPr="00610934" w14:paraId="0490FE5A" w14:textId="77777777" w:rsidTr="00015B88">
        <w:tc>
          <w:tcPr>
            <w:tcW w:w="2136" w:type="dxa"/>
            <w:tcBorders>
              <w:top w:val="nil"/>
              <w:left w:val="nil"/>
              <w:bottom w:val="nil"/>
              <w:right w:val="nil"/>
            </w:tcBorders>
          </w:tcPr>
          <w:p w14:paraId="02CD82F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2581D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D01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37DF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4449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49641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F6FC5F5" w14:textId="77777777" w:rsidTr="00015B88">
        <w:tc>
          <w:tcPr>
            <w:tcW w:w="2136" w:type="dxa"/>
            <w:tcBorders>
              <w:top w:val="nil"/>
              <w:left w:val="nil"/>
              <w:bottom w:val="nil"/>
              <w:right w:val="nil"/>
            </w:tcBorders>
          </w:tcPr>
          <w:p w14:paraId="497A874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L10.Polity Democracy Score (v2)</w:t>
            </w:r>
          </w:p>
        </w:tc>
        <w:tc>
          <w:tcPr>
            <w:tcW w:w="1656" w:type="dxa"/>
            <w:tcBorders>
              <w:top w:val="nil"/>
              <w:left w:val="nil"/>
              <w:bottom w:val="nil"/>
              <w:right w:val="nil"/>
            </w:tcBorders>
          </w:tcPr>
          <w:p w14:paraId="7CA3AA2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-0.00898</w:t>
            </w:r>
          </w:p>
        </w:tc>
        <w:tc>
          <w:tcPr>
            <w:tcW w:w="1656" w:type="dxa"/>
            <w:tcBorders>
              <w:top w:val="nil"/>
              <w:left w:val="nil"/>
              <w:bottom w:val="nil"/>
              <w:right w:val="nil"/>
            </w:tcBorders>
          </w:tcPr>
          <w:p w14:paraId="2DC4207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-0.0258</w:t>
            </w:r>
          </w:p>
        </w:tc>
        <w:tc>
          <w:tcPr>
            <w:tcW w:w="1656" w:type="dxa"/>
            <w:tcBorders>
              <w:top w:val="nil"/>
              <w:left w:val="nil"/>
              <w:bottom w:val="nil"/>
              <w:right w:val="nil"/>
            </w:tcBorders>
          </w:tcPr>
          <w:p w14:paraId="581F58C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-0.0294</w:t>
            </w:r>
          </w:p>
        </w:tc>
        <w:tc>
          <w:tcPr>
            <w:tcW w:w="1656" w:type="dxa"/>
            <w:tcBorders>
              <w:top w:val="nil"/>
              <w:left w:val="nil"/>
              <w:bottom w:val="nil"/>
              <w:right w:val="nil"/>
            </w:tcBorders>
          </w:tcPr>
          <w:p w14:paraId="459D2C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0.00969</w:t>
            </w:r>
          </w:p>
        </w:tc>
        <w:tc>
          <w:tcPr>
            <w:tcW w:w="1656" w:type="dxa"/>
            <w:tcBorders>
              <w:top w:val="nil"/>
              <w:left w:val="nil"/>
              <w:bottom w:val="nil"/>
              <w:right w:val="nil"/>
            </w:tcBorders>
          </w:tcPr>
          <w:p w14:paraId="39C5AC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-0.00140</w:t>
            </w:r>
          </w:p>
        </w:tc>
      </w:tr>
      <w:tr w:rsidR="0048356D" w:rsidRPr="00610934" w14:paraId="5C7AB1A5" w14:textId="77777777" w:rsidTr="00015B88">
        <w:tc>
          <w:tcPr>
            <w:tcW w:w="2136" w:type="dxa"/>
            <w:tcBorders>
              <w:top w:val="nil"/>
              <w:left w:val="nil"/>
              <w:bottom w:val="nil"/>
              <w:right w:val="nil"/>
            </w:tcBorders>
          </w:tcPr>
          <w:p w14:paraId="2E0A4CD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3322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(-0.36)</w:t>
            </w:r>
          </w:p>
        </w:tc>
        <w:tc>
          <w:tcPr>
            <w:tcW w:w="1656" w:type="dxa"/>
            <w:tcBorders>
              <w:top w:val="nil"/>
              <w:left w:val="nil"/>
              <w:bottom w:val="nil"/>
              <w:right w:val="nil"/>
            </w:tcBorders>
          </w:tcPr>
          <w:p w14:paraId="30D1E4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(-1.11)</w:t>
            </w:r>
          </w:p>
        </w:tc>
        <w:tc>
          <w:tcPr>
            <w:tcW w:w="1656" w:type="dxa"/>
            <w:tcBorders>
              <w:top w:val="nil"/>
              <w:left w:val="nil"/>
              <w:bottom w:val="nil"/>
              <w:right w:val="nil"/>
            </w:tcBorders>
          </w:tcPr>
          <w:p w14:paraId="7F3AE31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(-0.89)</w:t>
            </w:r>
          </w:p>
        </w:tc>
        <w:tc>
          <w:tcPr>
            <w:tcW w:w="1656" w:type="dxa"/>
            <w:tcBorders>
              <w:top w:val="nil"/>
              <w:left w:val="nil"/>
              <w:bottom w:val="nil"/>
              <w:right w:val="nil"/>
            </w:tcBorders>
          </w:tcPr>
          <w:p w14:paraId="11270E0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(1.03)</w:t>
            </w:r>
          </w:p>
        </w:tc>
        <w:tc>
          <w:tcPr>
            <w:tcW w:w="1656" w:type="dxa"/>
            <w:tcBorders>
              <w:top w:val="nil"/>
              <w:left w:val="nil"/>
              <w:bottom w:val="nil"/>
              <w:right w:val="nil"/>
            </w:tcBorders>
          </w:tcPr>
          <w:p w14:paraId="2252C5C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(-0.16)</w:t>
            </w:r>
          </w:p>
        </w:tc>
      </w:tr>
      <w:tr w:rsidR="0048356D" w:rsidRPr="00610934" w14:paraId="1C0EEE7E" w14:textId="77777777" w:rsidTr="00015B88">
        <w:tc>
          <w:tcPr>
            <w:tcW w:w="2136" w:type="dxa"/>
            <w:tcBorders>
              <w:top w:val="nil"/>
              <w:left w:val="nil"/>
              <w:bottom w:val="nil"/>
              <w:right w:val="nil"/>
            </w:tcBorders>
          </w:tcPr>
          <w:p w14:paraId="69FDE9E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3DA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4289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F518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FEC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3D0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98B5D6D" w14:textId="77777777" w:rsidTr="00015B88">
        <w:tc>
          <w:tcPr>
            <w:tcW w:w="2136" w:type="dxa"/>
            <w:tcBorders>
              <w:top w:val="nil"/>
              <w:left w:val="nil"/>
              <w:bottom w:val="nil"/>
              <w:right w:val="nil"/>
            </w:tcBorders>
          </w:tcPr>
          <w:p w14:paraId="03E0285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610934">
              <w:rPr>
                <w:rFonts w:ascii="Times New Roman" w:hAnsi="Times New Roman" w:cs="Times New Roman"/>
                <w:sz w:val="16"/>
                <w:szCs w:val="16"/>
              </w:rPr>
              <w:t>L.De</w:t>
            </w:r>
            <w:proofErr w:type="spellEnd"/>
            <w:r w:rsidRPr="00610934">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4977B5B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-0.201</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10841FB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-0.136</w:t>
            </w:r>
          </w:p>
        </w:tc>
        <w:tc>
          <w:tcPr>
            <w:tcW w:w="1656" w:type="dxa"/>
            <w:tcBorders>
              <w:top w:val="nil"/>
              <w:left w:val="nil"/>
              <w:bottom w:val="nil"/>
              <w:right w:val="nil"/>
            </w:tcBorders>
          </w:tcPr>
          <w:p w14:paraId="37C102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0.0394</w:t>
            </w:r>
          </w:p>
        </w:tc>
        <w:tc>
          <w:tcPr>
            <w:tcW w:w="1656" w:type="dxa"/>
            <w:tcBorders>
              <w:top w:val="nil"/>
              <w:left w:val="nil"/>
              <w:bottom w:val="nil"/>
              <w:right w:val="nil"/>
            </w:tcBorders>
          </w:tcPr>
          <w:p w14:paraId="028AA91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-0.0212</w:t>
            </w:r>
          </w:p>
        </w:tc>
        <w:tc>
          <w:tcPr>
            <w:tcW w:w="1656" w:type="dxa"/>
            <w:tcBorders>
              <w:top w:val="nil"/>
              <w:left w:val="nil"/>
              <w:bottom w:val="nil"/>
              <w:right w:val="nil"/>
            </w:tcBorders>
          </w:tcPr>
          <w:p w14:paraId="1C86C6F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0.0101</w:t>
            </w:r>
          </w:p>
        </w:tc>
      </w:tr>
      <w:tr w:rsidR="0048356D" w:rsidRPr="00610934" w14:paraId="6E35CC62" w14:textId="77777777" w:rsidTr="00015B88">
        <w:tc>
          <w:tcPr>
            <w:tcW w:w="2136" w:type="dxa"/>
            <w:tcBorders>
              <w:top w:val="nil"/>
              <w:left w:val="nil"/>
              <w:bottom w:val="nil"/>
              <w:right w:val="nil"/>
            </w:tcBorders>
          </w:tcPr>
          <w:p w14:paraId="728C06D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E999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(-2.27)</w:t>
            </w:r>
          </w:p>
        </w:tc>
        <w:tc>
          <w:tcPr>
            <w:tcW w:w="1656" w:type="dxa"/>
            <w:tcBorders>
              <w:top w:val="nil"/>
              <w:left w:val="nil"/>
              <w:bottom w:val="nil"/>
              <w:right w:val="nil"/>
            </w:tcBorders>
          </w:tcPr>
          <w:p w14:paraId="5C8797C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(-1.44)</w:t>
            </w:r>
          </w:p>
        </w:tc>
        <w:tc>
          <w:tcPr>
            <w:tcW w:w="1656" w:type="dxa"/>
            <w:tcBorders>
              <w:top w:val="nil"/>
              <w:left w:val="nil"/>
              <w:bottom w:val="nil"/>
              <w:right w:val="nil"/>
            </w:tcBorders>
          </w:tcPr>
          <w:p w14:paraId="58D6067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w:t>
            </w:r>
          </w:p>
        </w:tc>
        <w:tc>
          <w:tcPr>
            <w:tcW w:w="1656" w:type="dxa"/>
            <w:tcBorders>
              <w:top w:val="nil"/>
              <w:left w:val="nil"/>
              <w:bottom w:val="nil"/>
              <w:right w:val="nil"/>
            </w:tcBorders>
          </w:tcPr>
          <w:p w14:paraId="25C37E8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(-0.81)</w:t>
            </w:r>
          </w:p>
        </w:tc>
        <w:tc>
          <w:tcPr>
            <w:tcW w:w="1656" w:type="dxa"/>
            <w:tcBorders>
              <w:top w:val="nil"/>
              <w:left w:val="nil"/>
              <w:bottom w:val="nil"/>
              <w:right w:val="nil"/>
            </w:tcBorders>
          </w:tcPr>
          <w:p w14:paraId="57DA568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r>
      <w:tr w:rsidR="0048356D" w:rsidRPr="00610934" w14:paraId="02E67A52" w14:textId="77777777" w:rsidTr="00015B88">
        <w:tc>
          <w:tcPr>
            <w:tcW w:w="2136" w:type="dxa"/>
            <w:tcBorders>
              <w:top w:val="nil"/>
              <w:left w:val="nil"/>
              <w:bottom w:val="nil"/>
              <w:right w:val="nil"/>
            </w:tcBorders>
          </w:tcPr>
          <w:p w14:paraId="20EEC1E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9200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FEDE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735C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5EE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6BAB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CD0E42A" w14:textId="77777777" w:rsidTr="00015B88">
        <w:tc>
          <w:tcPr>
            <w:tcW w:w="2136" w:type="dxa"/>
            <w:tcBorders>
              <w:top w:val="nil"/>
              <w:left w:val="nil"/>
              <w:bottom w:val="nil"/>
              <w:right w:val="nil"/>
            </w:tcBorders>
          </w:tcPr>
          <w:p w14:paraId="5EEF3BD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L2.De Jure CBI * Polity Democracy</w:t>
            </w:r>
          </w:p>
        </w:tc>
        <w:tc>
          <w:tcPr>
            <w:tcW w:w="1656" w:type="dxa"/>
            <w:tcBorders>
              <w:top w:val="nil"/>
              <w:left w:val="nil"/>
              <w:bottom w:val="nil"/>
              <w:right w:val="nil"/>
            </w:tcBorders>
          </w:tcPr>
          <w:p w14:paraId="1AD836E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0.113</w:t>
            </w:r>
          </w:p>
        </w:tc>
        <w:tc>
          <w:tcPr>
            <w:tcW w:w="1656" w:type="dxa"/>
            <w:tcBorders>
              <w:top w:val="nil"/>
              <w:left w:val="nil"/>
              <w:bottom w:val="nil"/>
              <w:right w:val="nil"/>
            </w:tcBorders>
          </w:tcPr>
          <w:p w14:paraId="73BDF2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0.0720</w:t>
            </w:r>
          </w:p>
        </w:tc>
        <w:tc>
          <w:tcPr>
            <w:tcW w:w="1656" w:type="dxa"/>
            <w:tcBorders>
              <w:top w:val="nil"/>
              <w:left w:val="nil"/>
              <w:bottom w:val="nil"/>
              <w:right w:val="nil"/>
            </w:tcBorders>
          </w:tcPr>
          <w:p w14:paraId="59103BB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0.00560</w:t>
            </w:r>
          </w:p>
        </w:tc>
        <w:tc>
          <w:tcPr>
            <w:tcW w:w="1656" w:type="dxa"/>
            <w:tcBorders>
              <w:top w:val="nil"/>
              <w:left w:val="nil"/>
              <w:bottom w:val="nil"/>
              <w:right w:val="nil"/>
            </w:tcBorders>
          </w:tcPr>
          <w:p w14:paraId="5ECF791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0.00582</w:t>
            </w:r>
          </w:p>
        </w:tc>
        <w:tc>
          <w:tcPr>
            <w:tcW w:w="1656" w:type="dxa"/>
            <w:tcBorders>
              <w:top w:val="nil"/>
              <w:left w:val="nil"/>
              <w:bottom w:val="nil"/>
              <w:right w:val="nil"/>
            </w:tcBorders>
          </w:tcPr>
          <w:p w14:paraId="5864C47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-0.0415</w:t>
            </w:r>
            <w:r w:rsidRPr="00610934">
              <w:rPr>
                <w:rFonts w:ascii="Times New Roman" w:hAnsi="Times New Roman" w:cs="Times New Roman"/>
                <w:sz w:val="16"/>
                <w:szCs w:val="16"/>
                <w:vertAlign w:val="superscript"/>
              </w:rPr>
              <w:t>*</w:t>
            </w:r>
          </w:p>
        </w:tc>
      </w:tr>
      <w:tr w:rsidR="0048356D" w:rsidRPr="00610934" w14:paraId="38EA5F7C" w14:textId="77777777" w:rsidTr="00015B88">
        <w:tc>
          <w:tcPr>
            <w:tcW w:w="2136" w:type="dxa"/>
            <w:tcBorders>
              <w:top w:val="nil"/>
              <w:left w:val="nil"/>
              <w:bottom w:val="nil"/>
              <w:right w:val="nil"/>
            </w:tcBorders>
          </w:tcPr>
          <w:p w14:paraId="64CDF32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F6EF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(1.11)</w:t>
            </w:r>
          </w:p>
        </w:tc>
        <w:tc>
          <w:tcPr>
            <w:tcW w:w="1656" w:type="dxa"/>
            <w:tcBorders>
              <w:top w:val="nil"/>
              <w:left w:val="nil"/>
              <w:bottom w:val="nil"/>
              <w:right w:val="nil"/>
            </w:tcBorders>
          </w:tcPr>
          <w:p w14:paraId="5B60E92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2FDCE11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w:t>
            </w:r>
          </w:p>
        </w:tc>
        <w:tc>
          <w:tcPr>
            <w:tcW w:w="1656" w:type="dxa"/>
            <w:tcBorders>
              <w:top w:val="nil"/>
              <w:left w:val="nil"/>
              <w:bottom w:val="nil"/>
              <w:right w:val="nil"/>
            </w:tcBorders>
          </w:tcPr>
          <w:p w14:paraId="47B344F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w:t>
            </w:r>
          </w:p>
        </w:tc>
        <w:tc>
          <w:tcPr>
            <w:tcW w:w="1656" w:type="dxa"/>
            <w:tcBorders>
              <w:top w:val="nil"/>
              <w:left w:val="nil"/>
              <w:bottom w:val="nil"/>
              <w:right w:val="nil"/>
            </w:tcBorders>
          </w:tcPr>
          <w:p w14:paraId="4369478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(-2.20)</w:t>
            </w:r>
          </w:p>
        </w:tc>
      </w:tr>
      <w:tr w:rsidR="0048356D" w:rsidRPr="00610934" w14:paraId="297DA0FE" w14:textId="77777777" w:rsidTr="00015B88">
        <w:tc>
          <w:tcPr>
            <w:tcW w:w="2136" w:type="dxa"/>
            <w:tcBorders>
              <w:top w:val="nil"/>
              <w:left w:val="nil"/>
              <w:bottom w:val="nil"/>
              <w:right w:val="nil"/>
            </w:tcBorders>
          </w:tcPr>
          <w:p w14:paraId="125DF68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C79B1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96B45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0B9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2D46E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5CC5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22145FE" w14:textId="77777777" w:rsidTr="00015B88">
        <w:tc>
          <w:tcPr>
            <w:tcW w:w="2136" w:type="dxa"/>
            <w:tcBorders>
              <w:top w:val="nil"/>
              <w:left w:val="nil"/>
              <w:bottom w:val="nil"/>
              <w:right w:val="nil"/>
            </w:tcBorders>
          </w:tcPr>
          <w:p w14:paraId="5395F35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L3.De Jure CBI * Polity Democracy</w:t>
            </w:r>
          </w:p>
        </w:tc>
        <w:tc>
          <w:tcPr>
            <w:tcW w:w="1656" w:type="dxa"/>
            <w:tcBorders>
              <w:top w:val="nil"/>
              <w:left w:val="nil"/>
              <w:bottom w:val="nil"/>
              <w:right w:val="nil"/>
            </w:tcBorders>
          </w:tcPr>
          <w:p w14:paraId="3AA4F3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-0.0389</w:t>
            </w:r>
          </w:p>
        </w:tc>
        <w:tc>
          <w:tcPr>
            <w:tcW w:w="1656" w:type="dxa"/>
            <w:tcBorders>
              <w:top w:val="nil"/>
              <w:left w:val="nil"/>
              <w:bottom w:val="nil"/>
              <w:right w:val="nil"/>
            </w:tcBorders>
          </w:tcPr>
          <w:p w14:paraId="651F27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0.0545</w:t>
            </w:r>
          </w:p>
        </w:tc>
        <w:tc>
          <w:tcPr>
            <w:tcW w:w="1656" w:type="dxa"/>
            <w:tcBorders>
              <w:top w:val="nil"/>
              <w:left w:val="nil"/>
              <w:bottom w:val="nil"/>
              <w:right w:val="nil"/>
            </w:tcBorders>
          </w:tcPr>
          <w:p w14:paraId="7749D8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0.0507</w:t>
            </w:r>
          </w:p>
        </w:tc>
        <w:tc>
          <w:tcPr>
            <w:tcW w:w="1656" w:type="dxa"/>
            <w:tcBorders>
              <w:top w:val="nil"/>
              <w:left w:val="nil"/>
              <w:bottom w:val="nil"/>
              <w:right w:val="nil"/>
            </w:tcBorders>
          </w:tcPr>
          <w:p w14:paraId="67047B3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0.00149</w:t>
            </w:r>
          </w:p>
        </w:tc>
        <w:tc>
          <w:tcPr>
            <w:tcW w:w="1656" w:type="dxa"/>
            <w:tcBorders>
              <w:top w:val="nil"/>
              <w:left w:val="nil"/>
              <w:bottom w:val="nil"/>
              <w:right w:val="nil"/>
            </w:tcBorders>
          </w:tcPr>
          <w:p w14:paraId="31F72A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0.00933</w:t>
            </w:r>
          </w:p>
        </w:tc>
      </w:tr>
      <w:tr w:rsidR="0048356D" w:rsidRPr="00610934" w14:paraId="46B0268A" w14:textId="77777777" w:rsidTr="00015B88">
        <w:tc>
          <w:tcPr>
            <w:tcW w:w="2136" w:type="dxa"/>
            <w:tcBorders>
              <w:top w:val="nil"/>
              <w:left w:val="nil"/>
              <w:bottom w:val="nil"/>
              <w:right w:val="nil"/>
            </w:tcBorders>
          </w:tcPr>
          <w:p w14:paraId="0187060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0066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(-0.32)</w:t>
            </w:r>
          </w:p>
        </w:tc>
        <w:tc>
          <w:tcPr>
            <w:tcW w:w="1656" w:type="dxa"/>
            <w:tcBorders>
              <w:top w:val="nil"/>
              <w:left w:val="nil"/>
              <w:bottom w:val="nil"/>
              <w:right w:val="nil"/>
            </w:tcBorders>
          </w:tcPr>
          <w:p w14:paraId="0002638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(0.57)</w:t>
            </w:r>
          </w:p>
        </w:tc>
        <w:tc>
          <w:tcPr>
            <w:tcW w:w="1656" w:type="dxa"/>
            <w:tcBorders>
              <w:top w:val="nil"/>
              <w:left w:val="nil"/>
              <w:bottom w:val="nil"/>
              <w:right w:val="nil"/>
            </w:tcBorders>
          </w:tcPr>
          <w:p w14:paraId="76B1FE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w:t>
            </w:r>
          </w:p>
        </w:tc>
        <w:tc>
          <w:tcPr>
            <w:tcW w:w="1656" w:type="dxa"/>
            <w:tcBorders>
              <w:top w:val="nil"/>
              <w:left w:val="nil"/>
              <w:bottom w:val="nil"/>
              <w:right w:val="nil"/>
            </w:tcBorders>
          </w:tcPr>
          <w:p w14:paraId="25705C9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w:t>
            </w:r>
          </w:p>
        </w:tc>
        <w:tc>
          <w:tcPr>
            <w:tcW w:w="1656" w:type="dxa"/>
            <w:tcBorders>
              <w:top w:val="nil"/>
              <w:left w:val="nil"/>
              <w:bottom w:val="nil"/>
              <w:right w:val="nil"/>
            </w:tcBorders>
          </w:tcPr>
          <w:p w14:paraId="629D46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(0.45)</w:t>
            </w:r>
          </w:p>
        </w:tc>
      </w:tr>
      <w:tr w:rsidR="0048356D" w:rsidRPr="00610934" w14:paraId="25BB61CC" w14:textId="77777777" w:rsidTr="00015B88">
        <w:tc>
          <w:tcPr>
            <w:tcW w:w="2136" w:type="dxa"/>
            <w:tcBorders>
              <w:top w:val="nil"/>
              <w:left w:val="nil"/>
              <w:bottom w:val="nil"/>
              <w:right w:val="nil"/>
            </w:tcBorders>
          </w:tcPr>
          <w:p w14:paraId="6EC3607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8710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F4CB3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250D9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7496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89FE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F54CA41" w14:textId="77777777" w:rsidTr="00015B88">
        <w:tc>
          <w:tcPr>
            <w:tcW w:w="2136" w:type="dxa"/>
            <w:tcBorders>
              <w:top w:val="nil"/>
              <w:left w:val="nil"/>
              <w:bottom w:val="nil"/>
              <w:right w:val="nil"/>
            </w:tcBorders>
          </w:tcPr>
          <w:p w14:paraId="20A392C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 xml:space="preserve">L4.De Jure CBI * Polity </w:t>
            </w:r>
            <w:r w:rsidRPr="00610934">
              <w:rPr>
                <w:rFonts w:ascii="Times New Roman" w:hAnsi="Times New Roman" w:cs="Times New Roman"/>
                <w:sz w:val="16"/>
                <w:szCs w:val="16"/>
              </w:rPr>
              <w:lastRenderedPageBreak/>
              <w:t>Democracy</w:t>
            </w:r>
          </w:p>
        </w:tc>
        <w:tc>
          <w:tcPr>
            <w:tcW w:w="1656" w:type="dxa"/>
            <w:tcBorders>
              <w:top w:val="nil"/>
              <w:left w:val="nil"/>
              <w:bottom w:val="nil"/>
              <w:right w:val="nil"/>
            </w:tcBorders>
          </w:tcPr>
          <w:p w14:paraId="3E426A3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lastRenderedPageBreak/>
              <w:t>-0.101</w:t>
            </w:r>
          </w:p>
        </w:tc>
        <w:tc>
          <w:tcPr>
            <w:tcW w:w="1656" w:type="dxa"/>
            <w:tcBorders>
              <w:top w:val="nil"/>
              <w:left w:val="nil"/>
              <w:bottom w:val="nil"/>
              <w:right w:val="nil"/>
            </w:tcBorders>
          </w:tcPr>
          <w:p w14:paraId="14F22B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-0.134</w:t>
            </w:r>
          </w:p>
        </w:tc>
        <w:tc>
          <w:tcPr>
            <w:tcW w:w="1656" w:type="dxa"/>
            <w:tcBorders>
              <w:top w:val="nil"/>
              <w:left w:val="nil"/>
              <w:bottom w:val="nil"/>
              <w:right w:val="nil"/>
            </w:tcBorders>
          </w:tcPr>
          <w:p w14:paraId="2969A4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-0.132</w:t>
            </w:r>
          </w:p>
        </w:tc>
        <w:tc>
          <w:tcPr>
            <w:tcW w:w="1656" w:type="dxa"/>
            <w:tcBorders>
              <w:top w:val="nil"/>
              <w:left w:val="nil"/>
              <w:bottom w:val="nil"/>
              <w:right w:val="nil"/>
            </w:tcBorders>
          </w:tcPr>
          <w:p w14:paraId="54D1FCD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-0.0151</w:t>
            </w:r>
          </w:p>
        </w:tc>
        <w:tc>
          <w:tcPr>
            <w:tcW w:w="1656" w:type="dxa"/>
            <w:tcBorders>
              <w:top w:val="nil"/>
              <w:left w:val="nil"/>
              <w:bottom w:val="nil"/>
              <w:right w:val="nil"/>
            </w:tcBorders>
          </w:tcPr>
          <w:p w14:paraId="16DE75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0.00519</w:t>
            </w:r>
          </w:p>
        </w:tc>
      </w:tr>
      <w:tr w:rsidR="0048356D" w:rsidRPr="00610934" w14:paraId="008D9D93" w14:textId="77777777" w:rsidTr="00015B88">
        <w:tc>
          <w:tcPr>
            <w:tcW w:w="2136" w:type="dxa"/>
            <w:tcBorders>
              <w:top w:val="nil"/>
              <w:left w:val="nil"/>
              <w:bottom w:val="nil"/>
              <w:right w:val="nil"/>
            </w:tcBorders>
          </w:tcPr>
          <w:p w14:paraId="22E0151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96591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c>
          <w:tcPr>
            <w:tcW w:w="1656" w:type="dxa"/>
            <w:tcBorders>
              <w:top w:val="nil"/>
              <w:left w:val="nil"/>
              <w:bottom w:val="nil"/>
              <w:right w:val="nil"/>
            </w:tcBorders>
          </w:tcPr>
          <w:p w14:paraId="67E4AE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(-1.49)</w:t>
            </w:r>
          </w:p>
        </w:tc>
        <w:tc>
          <w:tcPr>
            <w:tcW w:w="1656" w:type="dxa"/>
            <w:tcBorders>
              <w:top w:val="nil"/>
              <w:left w:val="nil"/>
              <w:bottom w:val="nil"/>
              <w:right w:val="nil"/>
            </w:tcBorders>
          </w:tcPr>
          <w:p w14:paraId="4B0B55B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(-1.12)</w:t>
            </w:r>
          </w:p>
        </w:tc>
        <w:tc>
          <w:tcPr>
            <w:tcW w:w="1656" w:type="dxa"/>
            <w:tcBorders>
              <w:top w:val="nil"/>
              <w:left w:val="nil"/>
              <w:bottom w:val="nil"/>
              <w:right w:val="nil"/>
            </w:tcBorders>
          </w:tcPr>
          <w:p w14:paraId="0CE3119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(-0.78)</w:t>
            </w:r>
          </w:p>
        </w:tc>
        <w:tc>
          <w:tcPr>
            <w:tcW w:w="1656" w:type="dxa"/>
            <w:tcBorders>
              <w:top w:val="nil"/>
              <w:left w:val="nil"/>
              <w:bottom w:val="nil"/>
              <w:right w:val="nil"/>
            </w:tcBorders>
          </w:tcPr>
          <w:p w14:paraId="7E2585D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r>
      <w:tr w:rsidR="0048356D" w:rsidRPr="00610934" w14:paraId="0D648923" w14:textId="77777777" w:rsidTr="00015B88">
        <w:tc>
          <w:tcPr>
            <w:tcW w:w="2136" w:type="dxa"/>
            <w:tcBorders>
              <w:top w:val="nil"/>
              <w:left w:val="nil"/>
              <w:bottom w:val="nil"/>
              <w:right w:val="nil"/>
            </w:tcBorders>
          </w:tcPr>
          <w:p w14:paraId="53E2B0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1818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29CF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D6F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23AB3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B8F4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5F54A8D" w14:textId="77777777" w:rsidTr="00015B88">
        <w:tc>
          <w:tcPr>
            <w:tcW w:w="2136" w:type="dxa"/>
            <w:tcBorders>
              <w:top w:val="nil"/>
              <w:left w:val="nil"/>
              <w:bottom w:val="nil"/>
              <w:right w:val="nil"/>
            </w:tcBorders>
          </w:tcPr>
          <w:p w14:paraId="64EDBE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L5.De Jure CBI * Polity Democracy</w:t>
            </w:r>
          </w:p>
        </w:tc>
        <w:tc>
          <w:tcPr>
            <w:tcW w:w="1656" w:type="dxa"/>
            <w:tcBorders>
              <w:top w:val="nil"/>
              <w:left w:val="nil"/>
              <w:bottom w:val="nil"/>
              <w:right w:val="nil"/>
            </w:tcBorders>
          </w:tcPr>
          <w:p w14:paraId="0FA7D85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-0.0169</w:t>
            </w:r>
          </w:p>
        </w:tc>
        <w:tc>
          <w:tcPr>
            <w:tcW w:w="1656" w:type="dxa"/>
            <w:tcBorders>
              <w:top w:val="nil"/>
              <w:left w:val="nil"/>
              <w:bottom w:val="nil"/>
              <w:right w:val="nil"/>
            </w:tcBorders>
          </w:tcPr>
          <w:p w14:paraId="3522711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0.0276</w:t>
            </w:r>
          </w:p>
        </w:tc>
        <w:tc>
          <w:tcPr>
            <w:tcW w:w="1656" w:type="dxa"/>
            <w:tcBorders>
              <w:top w:val="nil"/>
              <w:left w:val="nil"/>
              <w:bottom w:val="nil"/>
              <w:right w:val="nil"/>
            </w:tcBorders>
          </w:tcPr>
          <w:p w14:paraId="05588A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-0.0112</w:t>
            </w:r>
          </w:p>
        </w:tc>
        <w:tc>
          <w:tcPr>
            <w:tcW w:w="1656" w:type="dxa"/>
            <w:tcBorders>
              <w:top w:val="nil"/>
              <w:left w:val="nil"/>
              <w:bottom w:val="nil"/>
              <w:right w:val="nil"/>
            </w:tcBorders>
          </w:tcPr>
          <w:p w14:paraId="30CAA9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-0.00179</w:t>
            </w:r>
          </w:p>
        </w:tc>
        <w:tc>
          <w:tcPr>
            <w:tcW w:w="1656" w:type="dxa"/>
            <w:tcBorders>
              <w:top w:val="nil"/>
              <w:left w:val="nil"/>
              <w:bottom w:val="nil"/>
              <w:right w:val="nil"/>
            </w:tcBorders>
          </w:tcPr>
          <w:p w14:paraId="69D11A9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0.0165</w:t>
            </w:r>
          </w:p>
        </w:tc>
      </w:tr>
      <w:tr w:rsidR="0048356D" w:rsidRPr="00610934" w14:paraId="6C469FC7" w14:textId="77777777" w:rsidTr="00015B88">
        <w:tc>
          <w:tcPr>
            <w:tcW w:w="2136" w:type="dxa"/>
            <w:tcBorders>
              <w:top w:val="nil"/>
              <w:left w:val="nil"/>
              <w:bottom w:val="nil"/>
              <w:right w:val="nil"/>
            </w:tcBorders>
          </w:tcPr>
          <w:p w14:paraId="7E39D2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1B33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w:t>
            </w:r>
          </w:p>
        </w:tc>
        <w:tc>
          <w:tcPr>
            <w:tcW w:w="1656" w:type="dxa"/>
            <w:tcBorders>
              <w:top w:val="nil"/>
              <w:left w:val="nil"/>
              <w:bottom w:val="nil"/>
              <w:right w:val="nil"/>
            </w:tcBorders>
          </w:tcPr>
          <w:p w14:paraId="7285F4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w:t>
            </w:r>
          </w:p>
        </w:tc>
        <w:tc>
          <w:tcPr>
            <w:tcW w:w="1656" w:type="dxa"/>
            <w:tcBorders>
              <w:top w:val="nil"/>
              <w:left w:val="nil"/>
              <w:bottom w:val="nil"/>
              <w:right w:val="nil"/>
            </w:tcBorders>
          </w:tcPr>
          <w:p w14:paraId="17FC7F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4CAFA6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w:t>
            </w:r>
          </w:p>
        </w:tc>
        <w:tc>
          <w:tcPr>
            <w:tcW w:w="1656" w:type="dxa"/>
            <w:tcBorders>
              <w:top w:val="nil"/>
              <w:left w:val="nil"/>
              <w:bottom w:val="nil"/>
              <w:right w:val="nil"/>
            </w:tcBorders>
          </w:tcPr>
          <w:p w14:paraId="0985C79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(0.86)</w:t>
            </w:r>
          </w:p>
        </w:tc>
      </w:tr>
      <w:tr w:rsidR="0048356D" w:rsidRPr="00610934" w14:paraId="1AD7D7A9" w14:textId="77777777" w:rsidTr="00015B88">
        <w:tc>
          <w:tcPr>
            <w:tcW w:w="2136" w:type="dxa"/>
            <w:tcBorders>
              <w:top w:val="nil"/>
              <w:left w:val="nil"/>
              <w:bottom w:val="nil"/>
              <w:right w:val="nil"/>
            </w:tcBorders>
          </w:tcPr>
          <w:p w14:paraId="6C6C90C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FAE2F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1A18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FF822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31DE0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1F8F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06DEA15" w14:textId="77777777" w:rsidTr="00015B88">
        <w:tc>
          <w:tcPr>
            <w:tcW w:w="2136" w:type="dxa"/>
            <w:tcBorders>
              <w:top w:val="nil"/>
              <w:left w:val="nil"/>
              <w:bottom w:val="nil"/>
              <w:right w:val="nil"/>
            </w:tcBorders>
          </w:tcPr>
          <w:p w14:paraId="657932E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L6.De Jure CBI * Polity Democracy</w:t>
            </w:r>
          </w:p>
        </w:tc>
        <w:tc>
          <w:tcPr>
            <w:tcW w:w="1656" w:type="dxa"/>
            <w:tcBorders>
              <w:top w:val="nil"/>
              <w:left w:val="nil"/>
              <w:bottom w:val="nil"/>
              <w:right w:val="nil"/>
            </w:tcBorders>
          </w:tcPr>
          <w:p w14:paraId="75A1BC5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0.0393</w:t>
            </w:r>
          </w:p>
        </w:tc>
        <w:tc>
          <w:tcPr>
            <w:tcW w:w="1656" w:type="dxa"/>
            <w:tcBorders>
              <w:top w:val="nil"/>
              <w:left w:val="nil"/>
              <w:bottom w:val="nil"/>
              <w:right w:val="nil"/>
            </w:tcBorders>
          </w:tcPr>
          <w:p w14:paraId="58C2AD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0.0482</w:t>
            </w:r>
          </w:p>
        </w:tc>
        <w:tc>
          <w:tcPr>
            <w:tcW w:w="1656" w:type="dxa"/>
            <w:tcBorders>
              <w:top w:val="nil"/>
              <w:left w:val="nil"/>
              <w:bottom w:val="nil"/>
              <w:right w:val="nil"/>
            </w:tcBorders>
          </w:tcPr>
          <w:p w14:paraId="3F793A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0.0302</w:t>
            </w:r>
          </w:p>
        </w:tc>
        <w:tc>
          <w:tcPr>
            <w:tcW w:w="1656" w:type="dxa"/>
            <w:tcBorders>
              <w:top w:val="nil"/>
              <w:left w:val="nil"/>
              <w:bottom w:val="nil"/>
              <w:right w:val="nil"/>
            </w:tcBorders>
          </w:tcPr>
          <w:p w14:paraId="28D8A78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-0.0466</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1A9F683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-0.0292</w:t>
            </w:r>
          </w:p>
        </w:tc>
      </w:tr>
      <w:tr w:rsidR="0048356D" w:rsidRPr="00610934" w14:paraId="68158EE4" w14:textId="77777777" w:rsidTr="00015B88">
        <w:tc>
          <w:tcPr>
            <w:tcW w:w="2136" w:type="dxa"/>
            <w:tcBorders>
              <w:top w:val="nil"/>
              <w:left w:val="nil"/>
              <w:bottom w:val="nil"/>
              <w:right w:val="nil"/>
            </w:tcBorders>
          </w:tcPr>
          <w:p w14:paraId="43BA1B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3FDD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(0.36)</w:t>
            </w:r>
          </w:p>
        </w:tc>
        <w:tc>
          <w:tcPr>
            <w:tcW w:w="1656" w:type="dxa"/>
            <w:tcBorders>
              <w:top w:val="nil"/>
              <w:left w:val="nil"/>
              <w:bottom w:val="nil"/>
              <w:right w:val="nil"/>
            </w:tcBorders>
          </w:tcPr>
          <w:p w14:paraId="751E765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(0.62)</w:t>
            </w:r>
          </w:p>
        </w:tc>
        <w:tc>
          <w:tcPr>
            <w:tcW w:w="1656" w:type="dxa"/>
            <w:tcBorders>
              <w:top w:val="nil"/>
              <w:left w:val="nil"/>
              <w:bottom w:val="nil"/>
              <w:right w:val="nil"/>
            </w:tcBorders>
          </w:tcPr>
          <w:p w14:paraId="2CAF329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(0.24)</w:t>
            </w:r>
          </w:p>
        </w:tc>
        <w:tc>
          <w:tcPr>
            <w:tcW w:w="1656" w:type="dxa"/>
            <w:tcBorders>
              <w:top w:val="nil"/>
              <w:left w:val="nil"/>
              <w:bottom w:val="nil"/>
              <w:right w:val="nil"/>
            </w:tcBorders>
          </w:tcPr>
          <w:p w14:paraId="583480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(-2.28)</w:t>
            </w:r>
          </w:p>
        </w:tc>
        <w:tc>
          <w:tcPr>
            <w:tcW w:w="1656" w:type="dxa"/>
            <w:tcBorders>
              <w:top w:val="nil"/>
              <w:left w:val="nil"/>
              <w:bottom w:val="nil"/>
              <w:right w:val="nil"/>
            </w:tcBorders>
          </w:tcPr>
          <w:p w14:paraId="7141102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(-1.33)</w:t>
            </w:r>
          </w:p>
        </w:tc>
      </w:tr>
      <w:tr w:rsidR="0048356D" w:rsidRPr="00610934" w14:paraId="436F6480" w14:textId="77777777" w:rsidTr="00015B88">
        <w:tc>
          <w:tcPr>
            <w:tcW w:w="2136" w:type="dxa"/>
            <w:tcBorders>
              <w:top w:val="nil"/>
              <w:left w:val="nil"/>
              <w:bottom w:val="nil"/>
              <w:right w:val="nil"/>
            </w:tcBorders>
          </w:tcPr>
          <w:p w14:paraId="1E17C2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31F8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5CA2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CF440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70942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EFB7E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58ED0D7" w14:textId="77777777" w:rsidTr="00015B88">
        <w:tc>
          <w:tcPr>
            <w:tcW w:w="2136" w:type="dxa"/>
            <w:tcBorders>
              <w:top w:val="nil"/>
              <w:left w:val="nil"/>
              <w:bottom w:val="nil"/>
              <w:right w:val="nil"/>
            </w:tcBorders>
          </w:tcPr>
          <w:p w14:paraId="236F49E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L7.De Jure CBI * Polity Democracy</w:t>
            </w:r>
          </w:p>
        </w:tc>
        <w:tc>
          <w:tcPr>
            <w:tcW w:w="1656" w:type="dxa"/>
            <w:tcBorders>
              <w:top w:val="nil"/>
              <w:left w:val="nil"/>
              <w:bottom w:val="nil"/>
              <w:right w:val="nil"/>
            </w:tcBorders>
          </w:tcPr>
          <w:p w14:paraId="7F73271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-0.0598</w:t>
            </w:r>
          </w:p>
        </w:tc>
        <w:tc>
          <w:tcPr>
            <w:tcW w:w="1656" w:type="dxa"/>
            <w:tcBorders>
              <w:top w:val="nil"/>
              <w:left w:val="nil"/>
              <w:bottom w:val="nil"/>
              <w:right w:val="nil"/>
            </w:tcBorders>
          </w:tcPr>
          <w:p w14:paraId="7FAF871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-0.00278</w:t>
            </w:r>
          </w:p>
        </w:tc>
        <w:tc>
          <w:tcPr>
            <w:tcW w:w="1656" w:type="dxa"/>
            <w:tcBorders>
              <w:top w:val="nil"/>
              <w:left w:val="nil"/>
              <w:bottom w:val="nil"/>
              <w:right w:val="nil"/>
            </w:tcBorders>
          </w:tcPr>
          <w:p w14:paraId="0BDDEF7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-0.111</w:t>
            </w:r>
          </w:p>
        </w:tc>
        <w:tc>
          <w:tcPr>
            <w:tcW w:w="1656" w:type="dxa"/>
            <w:tcBorders>
              <w:top w:val="nil"/>
              <w:left w:val="nil"/>
              <w:bottom w:val="nil"/>
              <w:right w:val="nil"/>
            </w:tcBorders>
          </w:tcPr>
          <w:p w14:paraId="5C399D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0.0156</w:t>
            </w:r>
          </w:p>
        </w:tc>
        <w:tc>
          <w:tcPr>
            <w:tcW w:w="1656" w:type="dxa"/>
            <w:tcBorders>
              <w:top w:val="nil"/>
              <w:left w:val="nil"/>
              <w:bottom w:val="nil"/>
              <w:right w:val="nil"/>
            </w:tcBorders>
          </w:tcPr>
          <w:p w14:paraId="296B54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0.00885</w:t>
            </w:r>
          </w:p>
        </w:tc>
      </w:tr>
      <w:tr w:rsidR="0048356D" w:rsidRPr="00610934" w14:paraId="0343EC89" w14:textId="77777777" w:rsidTr="00015B88">
        <w:tc>
          <w:tcPr>
            <w:tcW w:w="2136" w:type="dxa"/>
            <w:tcBorders>
              <w:top w:val="nil"/>
              <w:left w:val="nil"/>
              <w:bottom w:val="nil"/>
              <w:right w:val="nil"/>
            </w:tcBorders>
          </w:tcPr>
          <w:p w14:paraId="22EE96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E872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009399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c>
          <w:tcPr>
            <w:tcW w:w="1656" w:type="dxa"/>
            <w:tcBorders>
              <w:top w:val="nil"/>
              <w:left w:val="nil"/>
              <w:bottom w:val="nil"/>
              <w:right w:val="nil"/>
            </w:tcBorders>
          </w:tcPr>
          <w:p w14:paraId="396BA51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(-0.90)</w:t>
            </w:r>
          </w:p>
        </w:tc>
        <w:tc>
          <w:tcPr>
            <w:tcW w:w="1656" w:type="dxa"/>
            <w:tcBorders>
              <w:top w:val="nil"/>
              <w:left w:val="nil"/>
              <w:bottom w:val="nil"/>
              <w:right w:val="nil"/>
            </w:tcBorders>
          </w:tcPr>
          <w:p w14:paraId="71A91F9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002E17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(0.48)</w:t>
            </w:r>
          </w:p>
        </w:tc>
      </w:tr>
      <w:tr w:rsidR="0048356D" w:rsidRPr="00610934" w14:paraId="1C648C01" w14:textId="77777777" w:rsidTr="00015B88">
        <w:tc>
          <w:tcPr>
            <w:tcW w:w="2136" w:type="dxa"/>
            <w:tcBorders>
              <w:top w:val="nil"/>
              <w:left w:val="nil"/>
              <w:bottom w:val="nil"/>
              <w:right w:val="nil"/>
            </w:tcBorders>
          </w:tcPr>
          <w:p w14:paraId="5FD606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E11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543D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B9335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2E04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2D79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254B16F" w14:textId="77777777" w:rsidTr="00015B88">
        <w:tc>
          <w:tcPr>
            <w:tcW w:w="2136" w:type="dxa"/>
            <w:tcBorders>
              <w:top w:val="nil"/>
              <w:left w:val="nil"/>
              <w:bottom w:val="nil"/>
              <w:right w:val="nil"/>
            </w:tcBorders>
          </w:tcPr>
          <w:p w14:paraId="585BB56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L8.De Jure CBI * Polity Democracy</w:t>
            </w:r>
          </w:p>
        </w:tc>
        <w:tc>
          <w:tcPr>
            <w:tcW w:w="1656" w:type="dxa"/>
            <w:tcBorders>
              <w:top w:val="nil"/>
              <w:left w:val="nil"/>
              <w:bottom w:val="nil"/>
              <w:right w:val="nil"/>
            </w:tcBorders>
          </w:tcPr>
          <w:p w14:paraId="514BE47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0.0448</w:t>
            </w:r>
          </w:p>
        </w:tc>
        <w:tc>
          <w:tcPr>
            <w:tcW w:w="1656" w:type="dxa"/>
            <w:tcBorders>
              <w:top w:val="nil"/>
              <w:left w:val="nil"/>
              <w:bottom w:val="nil"/>
              <w:right w:val="nil"/>
            </w:tcBorders>
          </w:tcPr>
          <w:p w14:paraId="67894EF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0.0510</w:t>
            </w:r>
          </w:p>
        </w:tc>
        <w:tc>
          <w:tcPr>
            <w:tcW w:w="1656" w:type="dxa"/>
            <w:tcBorders>
              <w:top w:val="nil"/>
              <w:left w:val="nil"/>
              <w:bottom w:val="nil"/>
              <w:right w:val="nil"/>
            </w:tcBorders>
          </w:tcPr>
          <w:p w14:paraId="19A69B5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0.140</w:t>
            </w:r>
          </w:p>
        </w:tc>
        <w:tc>
          <w:tcPr>
            <w:tcW w:w="1656" w:type="dxa"/>
            <w:tcBorders>
              <w:top w:val="nil"/>
              <w:left w:val="nil"/>
              <w:bottom w:val="nil"/>
              <w:right w:val="nil"/>
            </w:tcBorders>
          </w:tcPr>
          <w:p w14:paraId="27A1408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0.00494</w:t>
            </w:r>
          </w:p>
        </w:tc>
        <w:tc>
          <w:tcPr>
            <w:tcW w:w="1656" w:type="dxa"/>
            <w:tcBorders>
              <w:top w:val="nil"/>
              <w:left w:val="nil"/>
              <w:bottom w:val="nil"/>
              <w:right w:val="nil"/>
            </w:tcBorders>
          </w:tcPr>
          <w:p w14:paraId="703452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-0.00719</w:t>
            </w:r>
          </w:p>
        </w:tc>
      </w:tr>
      <w:tr w:rsidR="0048356D" w:rsidRPr="00610934" w14:paraId="6D4B6B1C" w14:textId="77777777" w:rsidTr="00015B88">
        <w:tc>
          <w:tcPr>
            <w:tcW w:w="2136" w:type="dxa"/>
            <w:tcBorders>
              <w:top w:val="nil"/>
              <w:left w:val="nil"/>
              <w:bottom w:val="nil"/>
              <w:right w:val="nil"/>
            </w:tcBorders>
          </w:tcPr>
          <w:p w14:paraId="2627A91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ED94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w:t>
            </w:r>
          </w:p>
        </w:tc>
        <w:tc>
          <w:tcPr>
            <w:tcW w:w="1656" w:type="dxa"/>
            <w:tcBorders>
              <w:top w:val="nil"/>
              <w:left w:val="nil"/>
              <w:bottom w:val="nil"/>
              <w:right w:val="nil"/>
            </w:tcBorders>
          </w:tcPr>
          <w:p w14:paraId="353277A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6C24E2A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(1.65)</w:t>
            </w:r>
          </w:p>
        </w:tc>
        <w:tc>
          <w:tcPr>
            <w:tcW w:w="1656" w:type="dxa"/>
            <w:tcBorders>
              <w:top w:val="nil"/>
              <w:left w:val="nil"/>
              <w:bottom w:val="nil"/>
              <w:right w:val="nil"/>
            </w:tcBorders>
          </w:tcPr>
          <w:p w14:paraId="5E175E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41802D0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r>
      <w:tr w:rsidR="0048356D" w:rsidRPr="00610934" w14:paraId="544A2D39" w14:textId="77777777" w:rsidTr="00015B88">
        <w:tc>
          <w:tcPr>
            <w:tcW w:w="2136" w:type="dxa"/>
            <w:tcBorders>
              <w:top w:val="nil"/>
              <w:left w:val="nil"/>
              <w:bottom w:val="nil"/>
              <w:right w:val="nil"/>
            </w:tcBorders>
          </w:tcPr>
          <w:p w14:paraId="0158F2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61D6A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459F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AB94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744D3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C283E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2570EC7" w14:textId="77777777" w:rsidTr="00015B88">
        <w:tc>
          <w:tcPr>
            <w:tcW w:w="2136" w:type="dxa"/>
            <w:tcBorders>
              <w:top w:val="nil"/>
              <w:left w:val="nil"/>
              <w:bottom w:val="nil"/>
              <w:right w:val="nil"/>
            </w:tcBorders>
          </w:tcPr>
          <w:p w14:paraId="3CB5BF6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L9.De Jure CBI * Polity Democracy</w:t>
            </w:r>
          </w:p>
        </w:tc>
        <w:tc>
          <w:tcPr>
            <w:tcW w:w="1656" w:type="dxa"/>
            <w:tcBorders>
              <w:top w:val="nil"/>
              <w:left w:val="nil"/>
              <w:bottom w:val="nil"/>
              <w:right w:val="nil"/>
            </w:tcBorders>
          </w:tcPr>
          <w:p w14:paraId="237D52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0.0151</w:t>
            </w:r>
          </w:p>
        </w:tc>
        <w:tc>
          <w:tcPr>
            <w:tcW w:w="1656" w:type="dxa"/>
            <w:tcBorders>
              <w:top w:val="nil"/>
              <w:left w:val="nil"/>
              <w:bottom w:val="nil"/>
              <w:right w:val="nil"/>
            </w:tcBorders>
          </w:tcPr>
          <w:p w14:paraId="19CB131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-0.0994</w:t>
            </w:r>
          </w:p>
        </w:tc>
        <w:tc>
          <w:tcPr>
            <w:tcW w:w="1656" w:type="dxa"/>
            <w:tcBorders>
              <w:top w:val="nil"/>
              <w:left w:val="nil"/>
              <w:bottom w:val="nil"/>
              <w:right w:val="nil"/>
            </w:tcBorders>
          </w:tcPr>
          <w:p w14:paraId="1EA7246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-0.0274</w:t>
            </w:r>
          </w:p>
        </w:tc>
        <w:tc>
          <w:tcPr>
            <w:tcW w:w="1656" w:type="dxa"/>
            <w:tcBorders>
              <w:top w:val="nil"/>
              <w:left w:val="nil"/>
              <w:bottom w:val="nil"/>
              <w:right w:val="nil"/>
            </w:tcBorders>
          </w:tcPr>
          <w:p w14:paraId="0D2C6A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0.0206</w:t>
            </w:r>
          </w:p>
        </w:tc>
        <w:tc>
          <w:tcPr>
            <w:tcW w:w="1656" w:type="dxa"/>
            <w:tcBorders>
              <w:top w:val="nil"/>
              <w:left w:val="nil"/>
              <w:bottom w:val="nil"/>
              <w:right w:val="nil"/>
            </w:tcBorders>
          </w:tcPr>
          <w:p w14:paraId="7BF3C84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0.0278</w:t>
            </w:r>
            <w:r w:rsidRPr="00610934">
              <w:rPr>
                <w:rFonts w:ascii="Times New Roman" w:hAnsi="Times New Roman" w:cs="Times New Roman"/>
                <w:sz w:val="16"/>
                <w:szCs w:val="16"/>
                <w:vertAlign w:val="superscript"/>
              </w:rPr>
              <w:t>*</w:t>
            </w:r>
          </w:p>
        </w:tc>
      </w:tr>
      <w:tr w:rsidR="0048356D" w:rsidRPr="00610934" w14:paraId="58716B32" w14:textId="77777777" w:rsidTr="00015B88">
        <w:tc>
          <w:tcPr>
            <w:tcW w:w="2136" w:type="dxa"/>
            <w:tcBorders>
              <w:top w:val="nil"/>
              <w:left w:val="nil"/>
              <w:bottom w:val="nil"/>
              <w:right w:val="nil"/>
            </w:tcBorders>
          </w:tcPr>
          <w:p w14:paraId="70DED11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94A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(0.18)</w:t>
            </w:r>
          </w:p>
        </w:tc>
        <w:tc>
          <w:tcPr>
            <w:tcW w:w="1656" w:type="dxa"/>
            <w:tcBorders>
              <w:top w:val="nil"/>
              <w:left w:val="nil"/>
              <w:bottom w:val="nil"/>
              <w:right w:val="nil"/>
            </w:tcBorders>
          </w:tcPr>
          <w:p w14:paraId="126ECD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(-1.68)</w:t>
            </w:r>
          </w:p>
        </w:tc>
        <w:tc>
          <w:tcPr>
            <w:tcW w:w="1656" w:type="dxa"/>
            <w:tcBorders>
              <w:top w:val="nil"/>
              <w:left w:val="nil"/>
              <w:bottom w:val="nil"/>
              <w:right w:val="nil"/>
            </w:tcBorders>
          </w:tcPr>
          <w:p w14:paraId="3FDBFE8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(-0.36)</w:t>
            </w:r>
          </w:p>
        </w:tc>
        <w:tc>
          <w:tcPr>
            <w:tcW w:w="1656" w:type="dxa"/>
            <w:tcBorders>
              <w:top w:val="nil"/>
              <w:left w:val="nil"/>
              <w:bottom w:val="nil"/>
              <w:right w:val="nil"/>
            </w:tcBorders>
          </w:tcPr>
          <w:p w14:paraId="75C1900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(1.03)</w:t>
            </w:r>
          </w:p>
        </w:tc>
        <w:tc>
          <w:tcPr>
            <w:tcW w:w="1656" w:type="dxa"/>
            <w:tcBorders>
              <w:top w:val="nil"/>
              <w:left w:val="nil"/>
              <w:bottom w:val="nil"/>
              <w:right w:val="nil"/>
            </w:tcBorders>
          </w:tcPr>
          <w:p w14:paraId="1DBF8C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(2.47)</w:t>
            </w:r>
          </w:p>
        </w:tc>
      </w:tr>
      <w:tr w:rsidR="0048356D" w:rsidRPr="00610934" w14:paraId="36C63650" w14:textId="77777777" w:rsidTr="00015B88">
        <w:tc>
          <w:tcPr>
            <w:tcW w:w="2136" w:type="dxa"/>
            <w:tcBorders>
              <w:top w:val="nil"/>
              <w:left w:val="nil"/>
              <w:bottom w:val="nil"/>
              <w:right w:val="nil"/>
            </w:tcBorders>
          </w:tcPr>
          <w:p w14:paraId="122A36A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E93A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F468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E85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6868A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844E8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65C9E2B" w14:textId="77777777" w:rsidTr="00015B88">
        <w:tc>
          <w:tcPr>
            <w:tcW w:w="2136" w:type="dxa"/>
            <w:tcBorders>
              <w:top w:val="nil"/>
              <w:left w:val="nil"/>
              <w:bottom w:val="nil"/>
              <w:right w:val="nil"/>
            </w:tcBorders>
          </w:tcPr>
          <w:p w14:paraId="6D1E72A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L10.De Jure CBI * Polity Democracy</w:t>
            </w:r>
          </w:p>
        </w:tc>
        <w:tc>
          <w:tcPr>
            <w:tcW w:w="1656" w:type="dxa"/>
            <w:tcBorders>
              <w:top w:val="nil"/>
              <w:left w:val="nil"/>
              <w:bottom w:val="nil"/>
              <w:right w:val="nil"/>
            </w:tcBorders>
          </w:tcPr>
          <w:p w14:paraId="4421577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0.0752</w:t>
            </w:r>
          </w:p>
        </w:tc>
        <w:tc>
          <w:tcPr>
            <w:tcW w:w="1656" w:type="dxa"/>
            <w:tcBorders>
              <w:top w:val="nil"/>
              <w:left w:val="nil"/>
              <w:bottom w:val="nil"/>
              <w:right w:val="nil"/>
            </w:tcBorders>
          </w:tcPr>
          <w:p w14:paraId="4E2578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0.0770</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0E8D960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-0.0119</w:t>
            </w:r>
          </w:p>
        </w:tc>
        <w:tc>
          <w:tcPr>
            <w:tcW w:w="1656" w:type="dxa"/>
            <w:tcBorders>
              <w:top w:val="nil"/>
              <w:left w:val="nil"/>
              <w:bottom w:val="nil"/>
              <w:right w:val="nil"/>
            </w:tcBorders>
          </w:tcPr>
          <w:p w14:paraId="68C1733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-0.0192</w:t>
            </w:r>
          </w:p>
        </w:tc>
        <w:tc>
          <w:tcPr>
            <w:tcW w:w="1656" w:type="dxa"/>
            <w:tcBorders>
              <w:top w:val="nil"/>
              <w:left w:val="nil"/>
              <w:bottom w:val="nil"/>
              <w:right w:val="nil"/>
            </w:tcBorders>
          </w:tcPr>
          <w:p w14:paraId="606DFB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0.0208</w:t>
            </w:r>
          </w:p>
        </w:tc>
      </w:tr>
      <w:tr w:rsidR="0048356D" w:rsidRPr="00610934" w14:paraId="1F1A30E8" w14:textId="77777777" w:rsidTr="00015B88">
        <w:tc>
          <w:tcPr>
            <w:tcW w:w="2136" w:type="dxa"/>
            <w:tcBorders>
              <w:top w:val="nil"/>
              <w:left w:val="nil"/>
              <w:bottom w:val="nil"/>
              <w:right w:val="nil"/>
            </w:tcBorders>
          </w:tcPr>
          <w:p w14:paraId="5A2CC9A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4143E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(1.79)</w:t>
            </w:r>
          </w:p>
        </w:tc>
        <w:tc>
          <w:tcPr>
            <w:tcW w:w="1656" w:type="dxa"/>
            <w:tcBorders>
              <w:top w:val="nil"/>
              <w:left w:val="nil"/>
              <w:bottom w:val="nil"/>
              <w:right w:val="nil"/>
            </w:tcBorders>
          </w:tcPr>
          <w:p w14:paraId="79D75AF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(2.09)</w:t>
            </w:r>
          </w:p>
        </w:tc>
        <w:tc>
          <w:tcPr>
            <w:tcW w:w="1656" w:type="dxa"/>
            <w:tcBorders>
              <w:top w:val="nil"/>
              <w:left w:val="nil"/>
              <w:bottom w:val="nil"/>
              <w:right w:val="nil"/>
            </w:tcBorders>
          </w:tcPr>
          <w:p w14:paraId="55C8E82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17801DA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(-1.07)</w:t>
            </w:r>
          </w:p>
        </w:tc>
        <w:tc>
          <w:tcPr>
            <w:tcW w:w="1656" w:type="dxa"/>
            <w:tcBorders>
              <w:top w:val="nil"/>
              <w:left w:val="nil"/>
              <w:bottom w:val="nil"/>
              <w:right w:val="nil"/>
            </w:tcBorders>
          </w:tcPr>
          <w:p w14:paraId="28FD791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(1.08)</w:t>
            </w:r>
          </w:p>
        </w:tc>
      </w:tr>
      <w:tr w:rsidR="0048356D" w:rsidRPr="00610934" w14:paraId="550CABD7" w14:textId="77777777" w:rsidTr="00015B88">
        <w:tc>
          <w:tcPr>
            <w:tcW w:w="2136" w:type="dxa"/>
            <w:tcBorders>
              <w:top w:val="nil"/>
              <w:left w:val="nil"/>
              <w:bottom w:val="nil"/>
              <w:right w:val="nil"/>
            </w:tcBorders>
          </w:tcPr>
          <w:p w14:paraId="4AD302C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1F807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9010B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E6B9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D2465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234B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3FB7BE02" w14:textId="77777777" w:rsidTr="00015B88">
        <w:tc>
          <w:tcPr>
            <w:tcW w:w="2136" w:type="dxa"/>
            <w:tcBorders>
              <w:top w:val="nil"/>
              <w:left w:val="nil"/>
              <w:bottom w:val="nil"/>
              <w:right w:val="nil"/>
            </w:tcBorders>
          </w:tcPr>
          <w:p w14:paraId="622937C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610934">
              <w:rPr>
                <w:rFonts w:ascii="Times New Roman" w:hAnsi="Times New Roman" w:cs="Times New Roman"/>
                <w:sz w:val="16"/>
                <w:szCs w:val="16"/>
              </w:rPr>
              <w:t>L.More</w:t>
            </w:r>
            <w:proofErr w:type="spellEnd"/>
            <w:r w:rsidRPr="00610934">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624D19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0.00327</w:t>
            </w:r>
          </w:p>
        </w:tc>
        <w:tc>
          <w:tcPr>
            <w:tcW w:w="1656" w:type="dxa"/>
            <w:tcBorders>
              <w:top w:val="nil"/>
              <w:left w:val="nil"/>
              <w:bottom w:val="nil"/>
              <w:right w:val="nil"/>
            </w:tcBorders>
          </w:tcPr>
          <w:p w14:paraId="42E448E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-0.00386</w:t>
            </w:r>
          </w:p>
        </w:tc>
        <w:tc>
          <w:tcPr>
            <w:tcW w:w="1656" w:type="dxa"/>
            <w:tcBorders>
              <w:top w:val="nil"/>
              <w:left w:val="nil"/>
              <w:bottom w:val="nil"/>
              <w:right w:val="nil"/>
            </w:tcBorders>
          </w:tcPr>
          <w:p w14:paraId="4ACEC2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-0.00226</w:t>
            </w:r>
          </w:p>
        </w:tc>
        <w:tc>
          <w:tcPr>
            <w:tcW w:w="1656" w:type="dxa"/>
            <w:tcBorders>
              <w:top w:val="nil"/>
              <w:left w:val="nil"/>
              <w:bottom w:val="nil"/>
              <w:right w:val="nil"/>
            </w:tcBorders>
          </w:tcPr>
          <w:p w14:paraId="791330D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0.00204</w:t>
            </w:r>
          </w:p>
        </w:tc>
        <w:tc>
          <w:tcPr>
            <w:tcW w:w="1656" w:type="dxa"/>
            <w:tcBorders>
              <w:top w:val="nil"/>
              <w:left w:val="nil"/>
              <w:bottom w:val="nil"/>
              <w:right w:val="nil"/>
            </w:tcBorders>
          </w:tcPr>
          <w:p w14:paraId="7045C58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0.000717</w:t>
            </w:r>
          </w:p>
        </w:tc>
      </w:tr>
      <w:tr w:rsidR="0048356D" w:rsidRPr="00610934" w14:paraId="248A9C46" w14:textId="77777777" w:rsidTr="00015B88">
        <w:tc>
          <w:tcPr>
            <w:tcW w:w="2136" w:type="dxa"/>
            <w:tcBorders>
              <w:top w:val="nil"/>
              <w:left w:val="nil"/>
              <w:bottom w:val="nil"/>
              <w:right w:val="nil"/>
            </w:tcBorders>
          </w:tcPr>
          <w:p w14:paraId="070137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AFB5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73E554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(-1.48)</w:t>
            </w:r>
          </w:p>
        </w:tc>
        <w:tc>
          <w:tcPr>
            <w:tcW w:w="1656" w:type="dxa"/>
            <w:tcBorders>
              <w:top w:val="nil"/>
              <w:left w:val="nil"/>
              <w:bottom w:val="nil"/>
              <w:right w:val="nil"/>
            </w:tcBorders>
          </w:tcPr>
          <w:p w14:paraId="3FDBDF3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c>
          <w:tcPr>
            <w:tcW w:w="1656" w:type="dxa"/>
            <w:tcBorders>
              <w:top w:val="nil"/>
              <w:left w:val="nil"/>
              <w:bottom w:val="nil"/>
              <w:right w:val="nil"/>
            </w:tcBorders>
          </w:tcPr>
          <w:p w14:paraId="710F7E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(1.47)</w:t>
            </w:r>
          </w:p>
        </w:tc>
        <w:tc>
          <w:tcPr>
            <w:tcW w:w="1656" w:type="dxa"/>
            <w:tcBorders>
              <w:top w:val="nil"/>
              <w:left w:val="nil"/>
              <w:bottom w:val="nil"/>
              <w:right w:val="nil"/>
            </w:tcBorders>
          </w:tcPr>
          <w:p w14:paraId="7A798FB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(1.06)</w:t>
            </w:r>
          </w:p>
        </w:tc>
      </w:tr>
      <w:tr w:rsidR="0048356D" w:rsidRPr="00610934" w14:paraId="130ACF34" w14:textId="77777777" w:rsidTr="00015B88">
        <w:tc>
          <w:tcPr>
            <w:tcW w:w="2136" w:type="dxa"/>
            <w:tcBorders>
              <w:top w:val="nil"/>
              <w:left w:val="nil"/>
              <w:bottom w:val="nil"/>
              <w:right w:val="nil"/>
            </w:tcBorders>
          </w:tcPr>
          <w:p w14:paraId="7499DF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3FD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92B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CD32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E1D2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1E0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254590A" w14:textId="77777777" w:rsidTr="00015B88">
        <w:tc>
          <w:tcPr>
            <w:tcW w:w="2136" w:type="dxa"/>
            <w:tcBorders>
              <w:top w:val="nil"/>
              <w:left w:val="nil"/>
              <w:bottom w:val="nil"/>
              <w:right w:val="nil"/>
            </w:tcBorders>
          </w:tcPr>
          <w:p w14:paraId="20BBBB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L2.More Fixed Rate * Polity Democracy</w:t>
            </w:r>
          </w:p>
        </w:tc>
        <w:tc>
          <w:tcPr>
            <w:tcW w:w="1656" w:type="dxa"/>
            <w:tcBorders>
              <w:top w:val="nil"/>
              <w:left w:val="nil"/>
              <w:bottom w:val="nil"/>
              <w:right w:val="nil"/>
            </w:tcBorders>
          </w:tcPr>
          <w:p w14:paraId="5D14435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0.00179</w:t>
            </w:r>
          </w:p>
        </w:tc>
        <w:tc>
          <w:tcPr>
            <w:tcW w:w="1656" w:type="dxa"/>
            <w:tcBorders>
              <w:top w:val="nil"/>
              <w:left w:val="nil"/>
              <w:bottom w:val="nil"/>
              <w:right w:val="nil"/>
            </w:tcBorders>
          </w:tcPr>
          <w:p w14:paraId="6D690CE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0.00342</w:t>
            </w:r>
          </w:p>
        </w:tc>
        <w:tc>
          <w:tcPr>
            <w:tcW w:w="1656" w:type="dxa"/>
            <w:tcBorders>
              <w:top w:val="nil"/>
              <w:left w:val="nil"/>
              <w:bottom w:val="nil"/>
              <w:right w:val="nil"/>
            </w:tcBorders>
          </w:tcPr>
          <w:p w14:paraId="72216DC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-0.000278</w:t>
            </w:r>
          </w:p>
        </w:tc>
        <w:tc>
          <w:tcPr>
            <w:tcW w:w="1656" w:type="dxa"/>
            <w:tcBorders>
              <w:top w:val="nil"/>
              <w:left w:val="nil"/>
              <w:bottom w:val="nil"/>
              <w:right w:val="nil"/>
            </w:tcBorders>
          </w:tcPr>
          <w:p w14:paraId="077E815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-0.00217</w:t>
            </w:r>
          </w:p>
        </w:tc>
        <w:tc>
          <w:tcPr>
            <w:tcW w:w="1656" w:type="dxa"/>
            <w:tcBorders>
              <w:top w:val="nil"/>
              <w:left w:val="nil"/>
              <w:bottom w:val="nil"/>
              <w:right w:val="nil"/>
            </w:tcBorders>
          </w:tcPr>
          <w:p w14:paraId="1B34595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-0.000216</w:t>
            </w:r>
          </w:p>
        </w:tc>
      </w:tr>
      <w:tr w:rsidR="0048356D" w:rsidRPr="00610934" w14:paraId="4EE6D24F" w14:textId="77777777" w:rsidTr="00015B88">
        <w:tc>
          <w:tcPr>
            <w:tcW w:w="2136" w:type="dxa"/>
            <w:tcBorders>
              <w:top w:val="nil"/>
              <w:left w:val="nil"/>
              <w:bottom w:val="nil"/>
              <w:right w:val="nil"/>
            </w:tcBorders>
          </w:tcPr>
          <w:p w14:paraId="38E8A6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4F6D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668DAE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(1.05)</w:t>
            </w:r>
          </w:p>
        </w:tc>
        <w:tc>
          <w:tcPr>
            <w:tcW w:w="1656" w:type="dxa"/>
            <w:tcBorders>
              <w:top w:val="nil"/>
              <w:left w:val="nil"/>
              <w:bottom w:val="nil"/>
              <w:right w:val="nil"/>
            </w:tcBorders>
          </w:tcPr>
          <w:p w14:paraId="645A374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74079ED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(-1.82)</w:t>
            </w:r>
          </w:p>
        </w:tc>
        <w:tc>
          <w:tcPr>
            <w:tcW w:w="1656" w:type="dxa"/>
            <w:tcBorders>
              <w:top w:val="nil"/>
              <w:left w:val="nil"/>
              <w:bottom w:val="nil"/>
              <w:right w:val="nil"/>
            </w:tcBorders>
          </w:tcPr>
          <w:p w14:paraId="6365AE9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(-0.31)</w:t>
            </w:r>
          </w:p>
        </w:tc>
      </w:tr>
      <w:tr w:rsidR="0048356D" w:rsidRPr="00610934" w14:paraId="6FBBC64F" w14:textId="77777777" w:rsidTr="00015B88">
        <w:tc>
          <w:tcPr>
            <w:tcW w:w="2136" w:type="dxa"/>
            <w:tcBorders>
              <w:top w:val="nil"/>
              <w:left w:val="nil"/>
              <w:bottom w:val="nil"/>
              <w:right w:val="nil"/>
            </w:tcBorders>
          </w:tcPr>
          <w:p w14:paraId="081EEE2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A4072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B2E54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23ED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018F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A1F3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C0DA10C" w14:textId="77777777" w:rsidTr="00015B88">
        <w:tc>
          <w:tcPr>
            <w:tcW w:w="2136" w:type="dxa"/>
            <w:tcBorders>
              <w:top w:val="nil"/>
              <w:left w:val="nil"/>
              <w:bottom w:val="nil"/>
              <w:right w:val="nil"/>
            </w:tcBorders>
          </w:tcPr>
          <w:p w14:paraId="11B3BC4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L3.More Fixed Rate * Polity Democracy</w:t>
            </w:r>
          </w:p>
        </w:tc>
        <w:tc>
          <w:tcPr>
            <w:tcW w:w="1656" w:type="dxa"/>
            <w:tcBorders>
              <w:top w:val="nil"/>
              <w:left w:val="nil"/>
              <w:bottom w:val="nil"/>
              <w:right w:val="nil"/>
            </w:tcBorders>
          </w:tcPr>
          <w:p w14:paraId="374B12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-0.00156</w:t>
            </w:r>
          </w:p>
        </w:tc>
        <w:tc>
          <w:tcPr>
            <w:tcW w:w="1656" w:type="dxa"/>
            <w:tcBorders>
              <w:top w:val="nil"/>
              <w:left w:val="nil"/>
              <w:bottom w:val="nil"/>
              <w:right w:val="nil"/>
            </w:tcBorders>
          </w:tcPr>
          <w:p w14:paraId="56101F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-0.00372</w:t>
            </w:r>
          </w:p>
        </w:tc>
        <w:tc>
          <w:tcPr>
            <w:tcW w:w="1656" w:type="dxa"/>
            <w:tcBorders>
              <w:top w:val="nil"/>
              <w:left w:val="nil"/>
              <w:bottom w:val="nil"/>
              <w:right w:val="nil"/>
            </w:tcBorders>
          </w:tcPr>
          <w:p w14:paraId="43A184C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0.00369</w:t>
            </w:r>
          </w:p>
        </w:tc>
        <w:tc>
          <w:tcPr>
            <w:tcW w:w="1656" w:type="dxa"/>
            <w:tcBorders>
              <w:top w:val="nil"/>
              <w:left w:val="nil"/>
              <w:bottom w:val="nil"/>
              <w:right w:val="nil"/>
            </w:tcBorders>
          </w:tcPr>
          <w:p w14:paraId="267040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0.000286</w:t>
            </w:r>
          </w:p>
        </w:tc>
        <w:tc>
          <w:tcPr>
            <w:tcW w:w="1656" w:type="dxa"/>
            <w:tcBorders>
              <w:top w:val="nil"/>
              <w:left w:val="nil"/>
              <w:bottom w:val="nil"/>
              <w:right w:val="nil"/>
            </w:tcBorders>
          </w:tcPr>
          <w:p w14:paraId="3B74D4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-0.0000455</w:t>
            </w:r>
          </w:p>
        </w:tc>
      </w:tr>
      <w:tr w:rsidR="0048356D" w:rsidRPr="00610934" w14:paraId="2FDA2B49" w14:textId="77777777" w:rsidTr="00015B88">
        <w:tc>
          <w:tcPr>
            <w:tcW w:w="2136" w:type="dxa"/>
            <w:tcBorders>
              <w:top w:val="nil"/>
              <w:left w:val="nil"/>
              <w:bottom w:val="nil"/>
              <w:right w:val="nil"/>
            </w:tcBorders>
          </w:tcPr>
          <w:p w14:paraId="01E7EF3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046F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c>
          <w:tcPr>
            <w:tcW w:w="1656" w:type="dxa"/>
            <w:tcBorders>
              <w:top w:val="nil"/>
              <w:left w:val="nil"/>
              <w:bottom w:val="nil"/>
              <w:right w:val="nil"/>
            </w:tcBorders>
          </w:tcPr>
          <w:p w14:paraId="063EC6C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(-1.25)</w:t>
            </w:r>
          </w:p>
        </w:tc>
        <w:tc>
          <w:tcPr>
            <w:tcW w:w="1656" w:type="dxa"/>
            <w:tcBorders>
              <w:top w:val="nil"/>
              <w:left w:val="nil"/>
              <w:bottom w:val="nil"/>
              <w:right w:val="nil"/>
            </w:tcBorders>
          </w:tcPr>
          <w:p w14:paraId="315D6D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(1.08)</w:t>
            </w:r>
          </w:p>
        </w:tc>
        <w:tc>
          <w:tcPr>
            <w:tcW w:w="1656" w:type="dxa"/>
            <w:tcBorders>
              <w:top w:val="nil"/>
              <w:left w:val="nil"/>
              <w:bottom w:val="nil"/>
              <w:right w:val="nil"/>
            </w:tcBorders>
          </w:tcPr>
          <w:p w14:paraId="684D2E8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73FF9A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w:t>
            </w:r>
          </w:p>
        </w:tc>
      </w:tr>
      <w:tr w:rsidR="0048356D" w:rsidRPr="00610934" w14:paraId="071AD473" w14:textId="77777777" w:rsidTr="00015B88">
        <w:tc>
          <w:tcPr>
            <w:tcW w:w="2136" w:type="dxa"/>
            <w:tcBorders>
              <w:top w:val="nil"/>
              <w:left w:val="nil"/>
              <w:bottom w:val="nil"/>
              <w:right w:val="nil"/>
            </w:tcBorders>
          </w:tcPr>
          <w:p w14:paraId="5FBB4B6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47F3D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61BDD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CD94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8D3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B849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DCC8DF1" w14:textId="77777777" w:rsidTr="00015B88">
        <w:tc>
          <w:tcPr>
            <w:tcW w:w="2136" w:type="dxa"/>
            <w:tcBorders>
              <w:top w:val="nil"/>
              <w:left w:val="nil"/>
              <w:bottom w:val="nil"/>
              <w:right w:val="nil"/>
            </w:tcBorders>
          </w:tcPr>
          <w:p w14:paraId="2B5504C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L4.More Fixed Rate * Polity Democracy</w:t>
            </w:r>
          </w:p>
        </w:tc>
        <w:tc>
          <w:tcPr>
            <w:tcW w:w="1656" w:type="dxa"/>
            <w:tcBorders>
              <w:top w:val="nil"/>
              <w:left w:val="nil"/>
              <w:bottom w:val="nil"/>
              <w:right w:val="nil"/>
            </w:tcBorders>
          </w:tcPr>
          <w:p w14:paraId="77A5780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0.00354</w:t>
            </w:r>
          </w:p>
        </w:tc>
        <w:tc>
          <w:tcPr>
            <w:tcW w:w="1656" w:type="dxa"/>
            <w:tcBorders>
              <w:top w:val="nil"/>
              <w:left w:val="nil"/>
              <w:bottom w:val="nil"/>
              <w:right w:val="nil"/>
            </w:tcBorders>
          </w:tcPr>
          <w:p w14:paraId="21FA52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0.00334</w:t>
            </w:r>
          </w:p>
        </w:tc>
        <w:tc>
          <w:tcPr>
            <w:tcW w:w="1656" w:type="dxa"/>
            <w:tcBorders>
              <w:top w:val="nil"/>
              <w:left w:val="nil"/>
              <w:bottom w:val="nil"/>
              <w:right w:val="nil"/>
            </w:tcBorders>
          </w:tcPr>
          <w:p w14:paraId="1B35136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-0.00554</w:t>
            </w:r>
          </w:p>
        </w:tc>
        <w:tc>
          <w:tcPr>
            <w:tcW w:w="1656" w:type="dxa"/>
            <w:tcBorders>
              <w:top w:val="nil"/>
              <w:left w:val="nil"/>
              <w:bottom w:val="nil"/>
              <w:right w:val="nil"/>
            </w:tcBorders>
          </w:tcPr>
          <w:p w14:paraId="5E35C9F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-0.000820</w:t>
            </w:r>
          </w:p>
        </w:tc>
        <w:tc>
          <w:tcPr>
            <w:tcW w:w="1656" w:type="dxa"/>
            <w:tcBorders>
              <w:top w:val="nil"/>
              <w:left w:val="nil"/>
              <w:bottom w:val="nil"/>
              <w:right w:val="nil"/>
            </w:tcBorders>
          </w:tcPr>
          <w:p w14:paraId="509276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0.000638</w:t>
            </w:r>
          </w:p>
        </w:tc>
      </w:tr>
      <w:tr w:rsidR="0048356D" w:rsidRPr="00610934" w14:paraId="1E97CFF8" w14:textId="77777777" w:rsidTr="00015B88">
        <w:tc>
          <w:tcPr>
            <w:tcW w:w="2136" w:type="dxa"/>
            <w:tcBorders>
              <w:top w:val="nil"/>
              <w:left w:val="nil"/>
              <w:bottom w:val="nil"/>
              <w:right w:val="nil"/>
            </w:tcBorders>
          </w:tcPr>
          <w:p w14:paraId="4B6E181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FE7E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(1.14)</w:t>
            </w:r>
          </w:p>
        </w:tc>
        <w:tc>
          <w:tcPr>
            <w:tcW w:w="1656" w:type="dxa"/>
            <w:tcBorders>
              <w:top w:val="nil"/>
              <w:left w:val="nil"/>
              <w:bottom w:val="nil"/>
              <w:right w:val="nil"/>
            </w:tcBorders>
          </w:tcPr>
          <w:p w14:paraId="66905A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(1.35)</w:t>
            </w:r>
          </w:p>
        </w:tc>
        <w:tc>
          <w:tcPr>
            <w:tcW w:w="1656" w:type="dxa"/>
            <w:tcBorders>
              <w:top w:val="nil"/>
              <w:left w:val="nil"/>
              <w:bottom w:val="nil"/>
              <w:right w:val="nil"/>
            </w:tcBorders>
          </w:tcPr>
          <w:p w14:paraId="4AF8CB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(-1.22)</w:t>
            </w:r>
          </w:p>
        </w:tc>
        <w:tc>
          <w:tcPr>
            <w:tcW w:w="1656" w:type="dxa"/>
            <w:tcBorders>
              <w:top w:val="nil"/>
              <w:left w:val="nil"/>
              <w:bottom w:val="nil"/>
              <w:right w:val="nil"/>
            </w:tcBorders>
          </w:tcPr>
          <w:p w14:paraId="45B178C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447383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(1.32)</w:t>
            </w:r>
          </w:p>
        </w:tc>
      </w:tr>
      <w:tr w:rsidR="0048356D" w:rsidRPr="00610934" w14:paraId="0D4593E9" w14:textId="77777777" w:rsidTr="00015B88">
        <w:tc>
          <w:tcPr>
            <w:tcW w:w="2136" w:type="dxa"/>
            <w:tcBorders>
              <w:top w:val="nil"/>
              <w:left w:val="nil"/>
              <w:bottom w:val="nil"/>
              <w:right w:val="nil"/>
            </w:tcBorders>
          </w:tcPr>
          <w:p w14:paraId="4112268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5CBC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48B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76A0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AD2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13EB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2F07336" w14:textId="77777777" w:rsidTr="00015B88">
        <w:tc>
          <w:tcPr>
            <w:tcW w:w="2136" w:type="dxa"/>
            <w:tcBorders>
              <w:top w:val="nil"/>
              <w:left w:val="nil"/>
              <w:bottom w:val="nil"/>
              <w:right w:val="nil"/>
            </w:tcBorders>
          </w:tcPr>
          <w:p w14:paraId="4148048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L5.More Fixed Rate * Polity Democracy</w:t>
            </w:r>
          </w:p>
        </w:tc>
        <w:tc>
          <w:tcPr>
            <w:tcW w:w="1656" w:type="dxa"/>
            <w:tcBorders>
              <w:top w:val="nil"/>
              <w:left w:val="nil"/>
              <w:bottom w:val="nil"/>
              <w:right w:val="nil"/>
            </w:tcBorders>
          </w:tcPr>
          <w:p w14:paraId="02E248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-0.000177</w:t>
            </w:r>
          </w:p>
        </w:tc>
        <w:tc>
          <w:tcPr>
            <w:tcW w:w="1656" w:type="dxa"/>
            <w:tcBorders>
              <w:top w:val="nil"/>
              <w:left w:val="nil"/>
              <w:bottom w:val="nil"/>
              <w:right w:val="nil"/>
            </w:tcBorders>
          </w:tcPr>
          <w:p w14:paraId="3E16261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0.00256</w:t>
            </w:r>
          </w:p>
        </w:tc>
        <w:tc>
          <w:tcPr>
            <w:tcW w:w="1656" w:type="dxa"/>
            <w:tcBorders>
              <w:top w:val="nil"/>
              <w:left w:val="nil"/>
              <w:bottom w:val="nil"/>
              <w:right w:val="nil"/>
            </w:tcBorders>
          </w:tcPr>
          <w:p w14:paraId="72C00B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0.00527</w:t>
            </w:r>
          </w:p>
        </w:tc>
        <w:tc>
          <w:tcPr>
            <w:tcW w:w="1656" w:type="dxa"/>
            <w:tcBorders>
              <w:top w:val="nil"/>
              <w:left w:val="nil"/>
              <w:bottom w:val="nil"/>
              <w:right w:val="nil"/>
            </w:tcBorders>
          </w:tcPr>
          <w:p w14:paraId="4C89520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-0.000569</w:t>
            </w:r>
          </w:p>
        </w:tc>
        <w:tc>
          <w:tcPr>
            <w:tcW w:w="1656" w:type="dxa"/>
            <w:tcBorders>
              <w:top w:val="nil"/>
              <w:left w:val="nil"/>
              <w:bottom w:val="nil"/>
              <w:right w:val="nil"/>
            </w:tcBorders>
          </w:tcPr>
          <w:p w14:paraId="4B1DD7E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-0.000102</w:t>
            </w:r>
          </w:p>
        </w:tc>
      </w:tr>
      <w:tr w:rsidR="0048356D" w:rsidRPr="00610934" w14:paraId="6EB676C5" w14:textId="77777777" w:rsidTr="00015B88">
        <w:tc>
          <w:tcPr>
            <w:tcW w:w="2136" w:type="dxa"/>
            <w:tcBorders>
              <w:top w:val="nil"/>
              <w:left w:val="nil"/>
              <w:bottom w:val="nil"/>
              <w:right w:val="nil"/>
            </w:tcBorders>
          </w:tcPr>
          <w:p w14:paraId="6D80C49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02DD3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w:t>
            </w:r>
          </w:p>
        </w:tc>
        <w:tc>
          <w:tcPr>
            <w:tcW w:w="1656" w:type="dxa"/>
            <w:tcBorders>
              <w:top w:val="nil"/>
              <w:left w:val="nil"/>
              <w:bottom w:val="nil"/>
              <w:right w:val="nil"/>
            </w:tcBorders>
          </w:tcPr>
          <w:p w14:paraId="08EDC4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(1.02)</w:t>
            </w:r>
          </w:p>
        </w:tc>
        <w:tc>
          <w:tcPr>
            <w:tcW w:w="1656" w:type="dxa"/>
            <w:tcBorders>
              <w:top w:val="nil"/>
              <w:left w:val="nil"/>
              <w:bottom w:val="nil"/>
              <w:right w:val="nil"/>
            </w:tcBorders>
          </w:tcPr>
          <w:p w14:paraId="2485FEB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(1.59)</w:t>
            </w:r>
          </w:p>
        </w:tc>
        <w:tc>
          <w:tcPr>
            <w:tcW w:w="1656" w:type="dxa"/>
            <w:tcBorders>
              <w:top w:val="nil"/>
              <w:left w:val="nil"/>
              <w:bottom w:val="nil"/>
              <w:right w:val="nil"/>
            </w:tcBorders>
          </w:tcPr>
          <w:p w14:paraId="438A50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(-0.86)</w:t>
            </w:r>
          </w:p>
        </w:tc>
        <w:tc>
          <w:tcPr>
            <w:tcW w:w="1656" w:type="dxa"/>
            <w:tcBorders>
              <w:top w:val="nil"/>
              <w:left w:val="nil"/>
              <w:bottom w:val="nil"/>
              <w:right w:val="nil"/>
            </w:tcBorders>
          </w:tcPr>
          <w:p w14:paraId="2C4BB04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w:t>
            </w:r>
          </w:p>
        </w:tc>
      </w:tr>
      <w:tr w:rsidR="0048356D" w:rsidRPr="00610934" w14:paraId="49CD32CB" w14:textId="77777777" w:rsidTr="00015B88">
        <w:tc>
          <w:tcPr>
            <w:tcW w:w="2136" w:type="dxa"/>
            <w:tcBorders>
              <w:top w:val="nil"/>
              <w:left w:val="nil"/>
              <w:bottom w:val="nil"/>
              <w:right w:val="nil"/>
            </w:tcBorders>
          </w:tcPr>
          <w:p w14:paraId="68F761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6DB1B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48288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6A11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A00E4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51C3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E830BB5" w14:textId="77777777" w:rsidTr="00015B88">
        <w:tc>
          <w:tcPr>
            <w:tcW w:w="2136" w:type="dxa"/>
            <w:tcBorders>
              <w:top w:val="nil"/>
              <w:left w:val="nil"/>
              <w:bottom w:val="nil"/>
              <w:right w:val="nil"/>
            </w:tcBorders>
          </w:tcPr>
          <w:p w14:paraId="602279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L6.More Fixed Rate * Polity Democracy</w:t>
            </w:r>
          </w:p>
        </w:tc>
        <w:tc>
          <w:tcPr>
            <w:tcW w:w="1656" w:type="dxa"/>
            <w:tcBorders>
              <w:top w:val="nil"/>
              <w:left w:val="nil"/>
              <w:bottom w:val="nil"/>
              <w:right w:val="nil"/>
            </w:tcBorders>
          </w:tcPr>
          <w:p w14:paraId="25926E7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0.00130</w:t>
            </w:r>
          </w:p>
        </w:tc>
        <w:tc>
          <w:tcPr>
            <w:tcW w:w="1656" w:type="dxa"/>
            <w:tcBorders>
              <w:top w:val="nil"/>
              <w:left w:val="nil"/>
              <w:bottom w:val="nil"/>
              <w:right w:val="nil"/>
            </w:tcBorders>
          </w:tcPr>
          <w:p w14:paraId="7DA5438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-0.00228</w:t>
            </w:r>
          </w:p>
        </w:tc>
        <w:tc>
          <w:tcPr>
            <w:tcW w:w="1656" w:type="dxa"/>
            <w:tcBorders>
              <w:top w:val="nil"/>
              <w:left w:val="nil"/>
              <w:bottom w:val="nil"/>
              <w:right w:val="nil"/>
            </w:tcBorders>
          </w:tcPr>
          <w:p w14:paraId="481D03B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-0.00201</w:t>
            </w:r>
          </w:p>
        </w:tc>
        <w:tc>
          <w:tcPr>
            <w:tcW w:w="1656" w:type="dxa"/>
            <w:tcBorders>
              <w:top w:val="nil"/>
              <w:left w:val="nil"/>
              <w:bottom w:val="nil"/>
              <w:right w:val="nil"/>
            </w:tcBorders>
          </w:tcPr>
          <w:p w14:paraId="1C2348D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0.000543</w:t>
            </w:r>
          </w:p>
        </w:tc>
        <w:tc>
          <w:tcPr>
            <w:tcW w:w="1656" w:type="dxa"/>
            <w:tcBorders>
              <w:top w:val="nil"/>
              <w:left w:val="nil"/>
              <w:bottom w:val="nil"/>
              <w:right w:val="nil"/>
            </w:tcBorders>
          </w:tcPr>
          <w:p w14:paraId="10AE01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0.000358</w:t>
            </w:r>
          </w:p>
        </w:tc>
      </w:tr>
      <w:tr w:rsidR="0048356D" w:rsidRPr="00610934" w14:paraId="77E9C943" w14:textId="77777777" w:rsidTr="00015B88">
        <w:tc>
          <w:tcPr>
            <w:tcW w:w="2136" w:type="dxa"/>
            <w:tcBorders>
              <w:top w:val="nil"/>
              <w:left w:val="nil"/>
              <w:bottom w:val="nil"/>
              <w:right w:val="nil"/>
            </w:tcBorders>
          </w:tcPr>
          <w:p w14:paraId="046511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70253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4D4FEC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(-1.06)</w:t>
            </w:r>
          </w:p>
        </w:tc>
        <w:tc>
          <w:tcPr>
            <w:tcW w:w="1656" w:type="dxa"/>
            <w:tcBorders>
              <w:top w:val="nil"/>
              <w:left w:val="nil"/>
              <w:bottom w:val="nil"/>
              <w:right w:val="nil"/>
            </w:tcBorders>
          </w:tcPr>
          <w:p w14:paraId="0E3FDF1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(-0.83)</w:t>
            </w:r>
          </w:p>
        </w:tc>
        <w:tc>
          <w:tcPr>
            <w:tcW w:w="1656" w:type="dxa"/>
            <w:tcBorders>
              <w:top w:val="nil"/>
              <w:left w:val="nil"/>
              <w:bottom w:val="nil"/>
              <w:right w:val="nil"/>
            </w:tcBorders>
          </w:tcPr>
          <w:p w14:paraId="435E3D4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(0.54)</w:t>
            </w:r>
          </w:p>
        </w:tc>
        <w:tc>
          <w:tcPr>
            <w:tcW w:w="1656" w:type="dxa"/>
            <w:tcBorders>
              <w:top w:val="nil"/>
              <w:left w:val="nil"/>
              <w:bottom w:val="nil"/>
              <w:right w:val="nil"/>
            </w:tcBorders>
          </w:tcPr>
          <w:p w14:paraId="116201B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(0.83)</w:t>
            </w:r>
          </w:p>
        </w:tc>
      </w:tr>
      <w:tr w:rsidR="0048356D" w:rsidRPr="00610934" w14:paraId="3D4F7744" w14:textId="77777777" w:rsidTr="00015B88">
        <w:tc>
          <w:tcPr>
            <w:tcW w:w="2136" w:type="dxa"/>
            <w:tcBorders>
              <w:top w:val="nil"/>
              <w:left w:val="nil"/>
              <w:bottom w:val="nil"/>
              <w:right w:val="nil"/>
            </w:tcBorders>
          </w:tcPr>
          <w:p w14:paraId="5EDAF71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7036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5A678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42691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C6FA2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77F06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BFDBF49" w14:textId="77777777" w:rsidTr="00015B88">
        <w:tc>
          <w:tcPr>
            <w:tcW w:w="2136" w:type="dxa"/>
            <w:tcBorders>
              <w:top w:val="nil"/>
              <w:left w:val="nil"/>
              <w:bottom w:val="nil"/>
              <w:right w:val="nil"/>
            </w:tcBorders>
          </w:tcPr>
          <w:p w14:paraId="2C9F343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L7.More Fixed Rate * Polity Democracy</w:t>
            </w:r>
          </w:p>
        </w:tc>
        <w:tc>
          <w:tcPr>
            <w:tcW w:w="1656" w:type="dxa"/>
            <w:tcBorders>
              <w:top w:val="nil"/>
              <w:left w:val="nil"/>
              <w:bottom w:val="nil"/>
              <w:right w:val="nil"/>
            </w:tcBorders>
          </w:tcPr>
          <w:p w14:paraId="72A3B50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-0.00108</w:t>
            </w:r>
          </w:p>
        </w:tc>
        <w:tc>
          <w:tcPr>
            <w:tcW w:w="1656" w:type="dxa"/>
            <w:tcBorders>
              <w:top w:val="nil"/>
              <w:left w:val="nil"/>
              <w:bottom w:val="nil"/>
              <w:right w:val="nil"/>
            </w:tcBorders>
          </w:tcPr>
          <w:p w14:paraId="0D6539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0.000207</w:t>
            </w:r>
          </w:p>
        </w:tc>
        <w:tc>
          <w:tcPr>
            <w:tcW w:w="1656" w:type="dxa"/>
            <w:tcBorders>
              <w:top w:val="nil"/>
              <w:left w:val="nil"/>
              <w:bottom w:val="nil"/>
              <w:right w:val="nil"/>
            </w:tcBorders>
          </w:tcPr>
          <w:p w14:paraId="7F52D0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0.000529</w:t>
            </w:r>
          </w:p>
        </w:tc>
        <w:tc>
          <w:tcPr>
            <w:tcW w:w="1656" w:type="dxa"/>
            <w:tcBorders>
              <w:top w:val="nil"/>
              <w:left w:val="nil"/>
              <w:bottom w:val="nil"/>
              <w:right w:val="nil"/>
            </w:tcBorders>
          </w:tcPr>
          <w:p w14:paraId="271A6B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-0.000378</w:t>
            </w:r>
          </w:p>
        </w:tc>
        <w:tc>
          <w:tcPr>
            <w:tcW w:w="1656" w:type="dxa"/>
            <w:tcBorders>
              <w:top w:val="nil"/>
              <w:left w:val="nil"/>
              <w:bottom w:val="nil"/>
              <w:right w:val="nil"/>
            </w:tcBorders>
          </w:tcPr>
          <w:p w14:paraId="3BA1DF3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-0.0000874</w:t>
            </w:r>
          </w:p>
        </w:tc>
      </w:tr>
      <w:tr w:rsidR="0048356D" w:rsidRPr="00610934" w14:paraId="56AE2D0C" w14:textId="77777777" w:rsidTr="00015B88">
        <w:tc>
          <w:tcPr>
            <w:tcW w:w="2136" w:type="dxa"/>
            <w:tcBorders>
              <w:top w:val="nil"/>
              <w:left w:val="nil"/>
              <w:bottom w:val="nil"/>
              <w:right w:val="nil"/>
            </w:tcBorders>
          </w:tcPr>
          <w:p w14:paraId="60A0401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793C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(-0.35)</w:t>
            </w:r>
          </w:p>
        </w:tc>
        <w:tc>
          <w:tcPr>
            <w:tcW w:w="1656" w:type="dxa"/>
            <w:tcBorders>
              <w:top w:val="nil"/>
              <w:left w:val="nil"/>
              <w:bottom w:val="nil"/>
              <w:right w:val="nil"/>
            </w:tcBorders>
          </w:tcPr>
          <w:p w14:paraId="497C7EC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4818512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w:t>
            </w:r>
          </w:p>
        </w:tc>
        <w:tc>
          <w:tcPr>
            <w:tcW w:w="1656" w:type="dxa"/>
            <w:tcBorders>
              <w:top w:val="nil"/>
              <w:left w:val="nil"/>
              <w:bottom w:val="nil"/>
              <w:right w:val="nil"/>
            </w:tcBorders>
          </w:tcPr>
          <w:p w14:paraId="67EE8CE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(-0.49)</w:t>
            </w:r>
          </w:p>
        </w:tc>
        <w:tc>
          <w:tcPr>
            <w:tcW w:w="1656" w:type="dxa"/>
            <w:tcBorders>
              <w:top w:val="nil"/>
              <w:left w:val="nil"/>
              <w:bottom w:val="nil"/>
              <w:right w:val="nil"/>
            </w:tcBorders>
          </w:tcPr>
          <w:p w14:paraId="45A143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(-0.18)</w:t>
            </w:r>
          </w:p>
        </w:tc>
      </w:tr>
      <w:tr w:rsidR="0048356D" w:rsidRPr="00610934" w14:paraId="3EBDE899" w14:textId="77777777" w:rsidTr="00015B88">
        <w:tc>
          <w:tcPr>
            <w:tcW w:w="2136" w:type="dxa"/>
            <w:tcBorders>
              <w:top w:val="nil"/>
              <w:left w:val="nil"/>
              <w:bottom w:val="nil"/>
              <w:right w:val="nil"/>
            </w:tcBorders>
          </w:tcPr>
          <w:p w14:paraId="730300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2797A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F189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E91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6B18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F2E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F08216C" w14:textId="77777777" w:rsidTr="00015B88">
        <w:tc>
          <w:tcPr>
            <w:tcW w:w="2136" w:type="dxa"/>
            <w:tcBorders>
              <w:top w:val="nil"/>
              <w:left w:val="nil"/>
              <w:bottom w:val="nil"/>
              <w:right w:val="nil"/>
            </w:tcBorders>
          </w:tcPr>
          <w:p w14:paraId="16911A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L8.More Fixed Rate * Polity Democracy</w:t>
            </w:r>
          </w:p>
        </w:tc>
        <w:tc>
          <w:tcPr>
            <w:tcW w:w="1656" w:type="dxa"/>
            <w:tcBorders>
              <w:top w:val="nil"/>
              <w:left w:val="nil"/>
              <w:bottom w:val="nil"/>
              <w:right w:val="nil"/>
            </w:tcBorders>
          </w:tcPr>
          <w:p w14:paraId="57C1401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-0.00152</w:t>
            </w:r>
          </w:p>
        </w:tc>
        <w:tc>
          <w:tcPr>
            <w:tcW w:w="1656" w:type="dxa"/>
            <w:tcBorders>
              <w:top w:val="nil"/>
              <w:left w:val="nil"/>
              <w:bottom w:val="nil"/>
              <w:right w:val="nil"/>
            </w:tcBorders>
          </w:tcPr>
          <w:p w14:paraId="2BC5ADF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-0.00133</w:t>
            </w:r>
          </w:p>
        </w:tc>
        <w:tc>
          <w:tcPr>
            <w:tcW w:w="1656" w:type="dxa"/>
            <w:tcBorders>
              <w:top w:val="nil"/>
              <w:left w:val="nil"/>
              <w:bottom w:val="nil"/>
              <w:right w:val="nil"/>
            </w:tcBorders>
          </w:tcPr>
          <w:p w14:paraId="59AED7B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0.00248</w:t>
            </w:r>
          </w:p>
        </w:tc>
        <w:tc>
          <w:tcPr>
            <w:tcW w:w="1656" w:type="dxa"/>
            <w:tcBorders>
              <w:top w:val="nil"/>
              <w:left w:val="nil"/>
              <w:bottom w:val="nil"/>
              <w:right w:val="nil"/>
            </w:tcBorders>
          </w:tcPr>
          <w:p w14:paraId="239711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0.00104</w:t>
            </w:r>
          </w:p>
        </w:tc>
        <w:tc>
          <w:tcPr>
            <w:tcW w:w="1656" w:type="dxa"/>
            <w:tcBorders>
              <w:top w:val="nil"/>
              <w:left w:val="nil"/>
              <w:bottom w:val="nil"/>
              <w:right w:val="nil"/>
            </w:tcBorders>
          </w:tcPr>
          <w:p w14:paraId="758088A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0.000448</w:t>
            </w:r>
          </w:p>
        </w:tc>
      </w:tr>
      <w:tr w:rsidR="0048356D" w:rsidRPr="00610934" w14:paraId="445742C3" w14:textId="77777777" w:rsidTr="00015B88">
        <w:tc>
          <w:tcPr>
            <w:tcW w:w="2136" w:type="dxa"/>
            <w:tcBorders>
              <w:top w:val="nil"/>
              <w:left w:val="nil"/>
              <w:bottom w:val="nil"/>
              <w:right w:val="nil"/>
            </w:tcBorders>
          </w:tcPr>
          <w:p w14:paraId="55F71EA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5FAE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65A904E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(-0.78)</w:t>
            </w:r>
          </w:p>
        </w:tc>
        <w:tc>
          <w:tcPr>
            <w:tcW w:w="1656" w:type="dxa"/>
            <w:tcBorders>
              <w:top w:val="nil"/>
              <w:left w:val="nil"/>
              <w:bottom w:val="nil"/>
              <w:right w:val="nil"/>
            </w:tcBorders>
          </w:tcPr>
          <w:p w14:paraId="202EF47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(0.79)</w:t>
            </w:r>
          </w:p>
        </w:tc>
        <w:tc>
          <w:tcPr>
            <w:tcW w:w="1656" w:type="dxa"/>
            <w:tcBorders>
              <w:top w:val="nil"/>
              <w:left w:val="nil"/>
              <w:bottom w:val="nil"/>
              <w:right w:val="nil"/>
            </w:tcBorders>
          </w:tcPr>
          <w:p w14:paraId="4465DA3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(1.70)</w:t>
            </w:r>
          </w:p>
        </w:tc>
        <w:tc>
          <w:tcPr>
            <w:tcW w:w="1656" w:type="dxa"/>
            <w:tcBorders>
              <w:top w:val="nil"/>
              <w:left w:val="nil"/>
              <w:bottom w:val="nil"/>
              <w:right w:val="nil"/>
            </w:tcBorders>
          </w:tcPr>
          <w:p w14:paraId="127241E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(1.00)</w:t>
            </w:r>
          </w:p>
        </w:tc>
      </w:tr>
      <w:tr w:rsidR="0048356D" w:rsidRPr="00610934" w14:paraId="4F157E1B" w14:textId="77777777" w:rsidTr="00015B88">
        <w:tc>
          <w:tcPr>
            <w:tcW w:w="2136" w:type="dxa"/>
            <w:tcBorders>
              <w:top w:val="nil"/>
              <w:left w:val="nil"/>
              <w:bottom w:val="nil"/>
              <w:right w:val="nil"/>
            </w:tcBorders>
          </w:tcPr>
          <w:p w14:paraId="62A918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270C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68F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ADBA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591D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08E0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97E28AE" w14:textId="77777777" w:rsidTr="00015B88">
        <w:tc>
          <w:tcPr>
            <w:tcW w:w="2136" w:type="dxa"/>
            <w:tcBorders>
              <w:top w:val="nil"/>
              <w:left w:val="nil"/>
              <w:bottom w:val="nil"/>
              <w:right w:val="nil"/>
            </w:tcBorders>
          </w:tcPr>
          <w:p w14:paraId="0693AA4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L9.More Fixed Rate * Polity Democracy</w:t>
            </w:r>
          </w:p>
        </w:tc>
        <w:tc>
          <w:tcPr>
            <w:tcW w:w="1656" w:type="dxa"/>
            <w:tcBorders>
              <w:top w:val="nil"/>
              <w:left w:val="nil"/>
              <w:bottom w:val="nil"/>
              <w:right w:val="nil"/>
            </w:tcBorders>
          </w:tcPr>
          <w:p w14:paraId="69F913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-0.000689</w:t>
            </w:r>
          </w:p>
        </w:tc>
        <w:tc>
          <w:tcPr>
            <w:tcW w:w="1656" w:type="dxa"/>
            <w:tcBorders>
              <w:top w:val="nil"/>
              <w:left w:val="nil"/>
              <w:bottom w:val="nil"/>
              <w:right w:val="nil"/>
            </w:tcBorders>
          </w:tcPr>
          <w:p w14:paraId="13666E2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-0.000387</w:t>
            </w:r>
          </w:p>
        </w:tc>
        <w:tc>
          <w:tcPr>
            <w:tcW w:w="1656" w:type="dxa"/>
            <w:tcBorders>
              <w:top w:val="nil"/>
              <w:left w:val="nil"/>
              <w:bottom w:val="nil"/>
              <w:right w:val="nil"/>
            </w:tcBorders>
          </w:tcPr>
          <w:p w14:paraId="5B9DA2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-0.00174</w:t>
            </w:r>
          </w:p>
        </w:tc>
        <w:tc>
          <w:tcPr>
            <w:tcW w:w="1656" w:type="dxa"/>
            <w:tcBorders>
              <w:top w:val="nil"/>
              <w:left w:val="nil"/>
              <w:bottom w:val="nil"/>
              <w:right w:val="nil"/>
            </w:tcBorders>
          </w:tcPr>
          <w:p w14:paraId="496416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0.000000608</w:t>
            </w:r>
          </w:p>
        </w:tc>
        <w:tc>
          <w:tcPr>
            <w:tcW w:w="1656" w:type="dxa"/>
            <w:tcBorders>
              <w:top w:val="nil"/>
              <w:left w:val="nil"/>
              <w:bottom w:val="nil"/>
              <w:right w:val="nil"/>
            </w:tcBorders>
          </w:tcPr>
          <w:p w14:paraId="1FC311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-0.000414</w:t>
            </w:r>
          </w:p>
        </w:tc>
      </w:tr>
      <w:tr w:rsidR="0048356D" w:rsidRPr="00610934" w14:paraId="1D48012B" w14:textId="77777777" w:rsidTr="00015B88">
        <w:tc>
          <w:tcPr>
            <w:tcW w:w="2136" w:type="dxa"/>
            <w:tcBorders>
              <w:top w:val="nil"/>
              <w:left w:val="nil"/>
              <w:bottom w:val="nil"/>
              <w:right w:val="nil"/>
            </w:tcBorders>
          </w:tcPr>
          <w:p w14:paraId="17EB53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B9F7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(-0.29)</w:t>
            </w:r>
          </w:p>
        </w:tc>
        <w:tc>
          <w:tcPr>
            <w:tcW w:w="1656" w:type="dxa"/>
            <w:tcBorders>
              <w:top w:val="nil"/>
              <w:left w:val="nil"/>
              <w:bottom w:val="nil"/>
              <w:right w:val="nil"/>
            </w:tcBorders>
          </w:tcPr>
          <w:p w14:paraId="1F5154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0E1701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(-0.50)</w:t>
            </w:r>
          </w:p>
        </w:tc>
        <w:tc>
          <w:tcPr>
            <w:tcW w:w="1656" w:type="dxa"/>
            <w:tcBorders>
              <w:top w:val="nil"/>
              <w:left w:val="nil"/>
              <w:bottom w:val="nil"/>
              <w:right w:val="nil"/>
            </w:tcBorders>
          </w:tcPr>
          <w:p w14:paraId="23AD5CA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w:t>
            </w:r>
          </w:p>
        </w:tc>
        <w:tc>
          <w:tcPr>
            <w:tcW w:w="1656" w:type="dxa"/>
            <w:tcBorders>
              <w:top w:val="nil"/>
              <w:left w:val="nil"/>
              <w:bottom w:val="nil"/>
              <w:right w:val="nil"/>
            </w:tcBorders>
          </w:tcPr>
          <w:p w14:paraId="4CC7850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(-1.09)</w:t>
            </w:r>
          </w:p>
        </w:tc>
      </w:tr>
      <w:tr w:rsidR="0048356D" w:rsidRPr="00610934" w14:paraId="23938AE2" w14:textId="77777777" w:rsidTr="00015B88">
        <w:tc>
          <w:tcPr>
            <w:tcW w:w="2136" w:type="dxa"/>
            <w:tcBorders>
              <w:top w:val="nil"/>
              <w:left w:val="nil"/>
              <w:bottom w:val="nil"/>
              <w:right w:val="nil"/>
            </w:tcBorders>
          </w:tcPr>
          <w:p w14:paraId="6E617F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784E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392B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0482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DCD9B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8D0E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7BA70E7" w14:textId="77777777" w:rsidTr="00015B88">
        <w:tc>
          <w:tcPr>
            <w:tcW w:w="2136" w:type="dxa"/>
            <w:tcBorders>
              <w:top w:val="nil"/>
              <w:left w:val="nil"/>
              <w:bottom w:val="nil"/>
              <w:right w:val="nil"/>
            </w:tcBorders>
          </w:tcPr>
          <w:p w14:paraId="6E43CCD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3A15BA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0.000387</w:t>
            </w:r>
          </w:p>
        </w:tc>
        <w:tc>
          <w:tcPr>
            <w:tcW w:w="1656" w:type="dxa"/>
            <w:tcBorders>
              <w:top w:val="nil"/>
              <w:left w:val="nil"/>
              <w:bottom w:val="nil"/>
              <w:right w:val="nil"/>
            </w:tcBorders>
          </w:tcPr>
          <w:p w14:paraId="6EAE35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0.00163</w:t>
            </w:r>
          </w:p>
        </w:tc>
        <w:tc>
          <w:tcPr>
            <w:tcW w:w="1656" w:type="dxa"/>
            <w:tcBorders>
              <w:top w:val="nil"/>
              <w:left w:val="nil"/>
              <w:bottom w:val="nil"/>
              <w:right w:val="nil"/>
            </w:tcBorders>
          </w:tcPr>
          <w:p w14:paraId="2C3FD1B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0.000561</w:t>
            </w:r>
          </w:p>
        </w:tc>
        <w:tc>
          <w:tcPr>
            <w:tcW w:w="1656" w:type="dxa"/>
            <w:tcBorders>
              <w:top w:val="nil"/>
              <w:left w:val="nil"/>
              <w:bottom w:val="nil"/>
              <w:right w:val="nil"/>
            </w:tcBorders>
          </w:tcPr>
          <w:p w14:paraId="275C63E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-0.00120</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1E72087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0.000345</w:t>
            </w:r>
          </w:p>
        </w:tc>
      </w:tr>
      <w:tr w:rsidR="0048356D" w:rsidRPr="00610934" w14:paraId="788C2FC7" w14:textId="77777777" w:rsidTr="00015B88">
        <w:tc>
          <w:tcPr>
            <w:tcW w:w="2136" w:type="dxa"/>
            <w:tcBorders>
              <w:top w:val="nil"/>
              <w:left w:val="nil"/>
              <w:bottom w:val="nil"/>
              <w:right w:val="nil"/>
            </w:tcBorders>
          </w:tcPr>
          <w:p w14:paraId="668A1AF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38854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w:t>
            </w:r>
          </w:p>
        </w:tc>
        <w:tc>
          <w:tcPr>
            <w:tcW w:w="1656" w:type="dxa"/>
            <w:tcBorders>
              <w:top w:val="nil"/>
              <w:left w:val="nil"/>
              <w:bottom w:val="nil"/>
              <w:right w:val="nil"/>
            </w:tcBorders>
          </w:tcPr>
          <w:p w14:paraId="225D42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w:t>
            </w:r>
          </w:p>
        </w:tc>
        <w:tc>
          <w:tcPr>
            <w:tcW w:w="1656" w:type="dxa"/>
            <w:tcBorders>
              <w:top w:val="nil"/>
              <w:left w:val="nil"/>
              <w:bottom w:val="nil"/>
              <w:right w:val="nil"/>
            </w:tcBorders>
          </w:tcPr>
          <w:p w14:paraId="6EDBFF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08EDF5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(-2.21)</w:t>
            </w:r>
          </w:p>
        </w:tc>
        <w:tc>
          <w:tcPr>
            <w:tcW w:w="1656" w:type="dxa"/>
            <w:tcBorders>
              <w:top w:val="nil"/>
              <w:left w:val="nil"/>
              <w:bottom w:val="nil"/>
              <w:right w:val="nil"/>
            </w:tcBorders>
          </w:tcPr>
          <w:p w14:paraId="2C028A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(0.55)</w:t>
            </w:r>
          </w:p>
        </w:tc>
      </w:tr>
      <w:tr w:rsidR="0048356D" w:rsidRPr="00610934" w14:paraId="075830F8" w14:textId="77777777" w:rsidTr="00015B88">
        <w:tc>
          <w:tcPr>
            <w:tcW w:w="2136" w:type="dxa"/>
            <w:tcBorders>
              <w:top w:val="nil"/>
              <w:left w:val="nil"/>
              <w:bottom w:val="nil"/>
              <w:right w:val="nil"/>
            </w:tcBorders>
          </w:tcPr>
          <w:p w14:paraId="3511CC7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DF61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3638F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34B5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1A17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FE3C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A5F4C30" w14:textId="77777777" w:rsidTr="00015B88">
        <w:tc>
          <w:tcPr>
            <w:tcW w:w="2136" w:type="dxa"/>
            <w:tcBorders>
              <w:top w:val="nil"/>
              <w:left w:val="nil"/>
              <w:bottom w:val="nil"/>
              <w:right w:val="nil"/>
            </w:tcBorders>
          </w:tcPr>
          <w:p w14:paraId="5D5B55A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Constant</w:t>
            </w:r>
          </w:p>
        </w:tc>
        <w:tc>
          <w:tcPr>
            <w:tcW w:w="1656" w:type="dxa"/>
            <w:tcBorders>
              <w:top w:val="nil"/>
              <w:left w:val="nil"/>
              <w:bottom w:val="nil"/>
              <w:right w:val="nil"/>
            </w:tcBorders>
          </w:tcPr>
          <w:p w14:paraId="13F21DB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0.214</w:t>
            </w:r>
          </w:p>
        </w:tc>
        <w:tc>
          <w:tcPr>
            <w:tcW w:w="1656" w:type="dxa"/>
            <w:tcBorders>
              <w:top w:val="nil"/>
              <w:left w:val="nil"/>
              <w:bottom w:val="nil"/>
              <w:right w:val="nil"/>
            </w:tcBorders>
          </w:tcPr>
          <w:p w14:paraId="4A6BEA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0.609</w:t>
            </w:r>
          </w:p>
        </w:tc>
        <w:tc>
          <w:tcPr>
            <w:tcW w:w="1656" w:type="dxa"/>
            <w:tcBorders>
              <w:top w:val="nil"/>
              <w:left w:val="nil"/>
              <w:bottom w:val="nil"/>
              <w:right w:val="nil"/>
            </w:tcBorders>
          </w:tcPr>
          <w:p w14:paraId="2917A55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-0.164</w:t>
            </w:r>
          </w:p>
        </w:tc>
        <w:tc>
          <w:tcPr>
            <w:tcW w:w="1656" w:type="dxa"/>
            <w:tcBorders>
              <w:top w:val="nil"/>
              <w:left w:val="nil"/>
              <w:bottom w:val="nil"/>
              <w:right w:val="nil"/>
            </w:tcBorders>
          </w:tcPr>
          <w:p w14:paraId="0B2F3C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-0.301</w:t>
            </w:r>
          </w:p>
        </w:tc>
        <w:tc>
          <w:tcPr>
            <w:tcW w:w="1656" w:type="dxa"/>
            <w:tcBorders>
              <w:top w:val="nil"/>
              <w:left w:val="nil"/>
              <w:bottom w:val="nil"/>
              <w:right w:val="nil"/>
            </w:tcBorders>
          </w:tcPr>
          <w:p w14:paraId="2E3A371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-0.618</w:t>
            </w:r>
            <w:r w:rsidRPr="00610934">
              <w:rPr>
                <w:rFonts w:ascii="Times New Roman" w:hAnsi="Times New Roman" w:cs="Times New Roman"/>
                <w:sz w:val="16"/>
                <w:szCs w:val="16"/>
                <w:vertAlign w:val="superscript"/>
              </w:rPr>
              <w:t>*</w:t>
            </w:r>
          </w:p>
        </w:tc>
      </w:tr>
      <w:tr w:rsidR="0048356D" w:rsidRPr="00610934" w14:paraId="45AD961C" w14:textId="77777777" w:rsidTr="00015B88">
        <w:tc>
          <w:tcPr>
            <w:tcW w:w="2136" w:type="dxa"/>
            <w:tcBorders>
              <w:top w:val="nil"/>
              <w:left w:val="nil"/>
              <w:bottom w:val="single" w:sz="4" w:space="0" w:color="auto"/>
              <w:right w:val="nil"/>
            </w:tcBorders>
          </w:tcPr>
          <w:p w14:paraId="04FA8C1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ADCAF6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(0.49)</w:t>
            </w:r>
          </w:p>
        </w:tc>
        <w:tc>
          <w:tcPr>
            <w:tcW w:w="1656" w:type="dxa"/>
            <w:tcBorders>
              <w:top w:val="nil"/>
              <w:left w:val="nil"/>
              <w:bottom w:val="single" w:sz="4" w:space="0" w:color="auto"/>
              <w:right w:val="nil"/>
            </w:tcBorders>
          </w:tcPr>
          <w:p w14:paraId="1F4228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(1.80)</w:t>
            </w:r>
          </w:p>
        </w:tc>
        <w:tc>
          <w:tcPr>
            <w:tcW w:w="1656" w:type="dxa"/>
            <w:tcBorders>
              <w:top w:val="nil"/>
              <w:left w:val="nil"/>
              <w:bottom w:val="single" w:sz="4" w:space="0" w:color="auto"/>
              <w:right w:val="nil"/>
            </w:tcBorders>
          </w:tcPr>
          <w:p w14:paraId="48113E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(-0.32)</w:t>
            </w:r>
          </w:p>
        </w:tc>
        <w:tc>
          <w:tcPr>
            <w:tcW w:w="1656" w:type="dxa"/>
            <w:tcBorders>
              <w:top w:val="nil"/>
              <w:left w:val="nil"/>
              <w:bottom w:val="single" w:sz="4" w:space="0" w:color="auto"/>
              <w:right w:val="nil"/>
            </w:tcBorders>
          </w:tcPr>
          <w:p w14:paraId="58930D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w:t>
            </w:r>
          </w:p>
        </w:tc>
        <w:tc>
          <w:tcPr>
            <w:tcW w:w="1656" w:type="dxa"/>
            <w:tcBorders>
              <w:top w:val="nil"/>
              <w:left w:val="nil"/>
              <w:bottom w:val="single" w:sz="4" w:space="0" w:color="auto"/>
              <w:right w:val="nil"/>
            </w:tcBorders>
          </w:tcPr>
          <w:p w14:paraId="1C8216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(-2.46)</w:t>
            </w:r>
          </w:p>
        </w:tc>
      </w:tr>
      <w:tr w:rsidR="0048356D" w:rsidRPr="00610934" w14:paraId="6DF397EA" w14:textId="77777777" w:rsidTr="00015B88">
        <w:tc>
          <w:tcPr>
            <w:tcW w:w="2136" w:type="dxa"/>
            <w:tcBorders>
              <w:top w:val="nil"/>
              <w:left w:val="nil"/>
              <w:bottom w:val="single" w:sz="4" w:space="0" w:color="auto"/>
              <w:right w:val="nil"/>
            </w:tcBorders>
          </w:tcPr>
          <w:p w14:paraId="2F649C2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1C707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0B7639C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519316B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749</w:t>
            </w:r>
          </w:p>
        </w:tc>
        <w:tc>
          <w:tcPr>
            <w:tcW w:w="1656" w:type="dxa"/>
            <w:tcBorders>
              <w:top w:val="nil"/>
              <w:left w:val="nil"/>
              <w:bottom w:val="single" w:sz="4" w:space="0" w:color="auto"/>
              <w:right w:val="nil"/>
            </w:tcBorders>
          </w:tcPr>
          <w:p w14:paraId="12DBC77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1670</w:t>
            </w:r>
          </w:p>
        </w:tc>
        <w:tc>
          <w:tcPr>
            <w:tcW w:w="1656" w:type="dxa"/>
            <w:tcBorders>
              <w:top w:val="nil"/>
              <w:left w:val="nil"/>
              <w:bottom w:val="single" w:sz="4" w:space="0" w:color="auto"/>
              <w:right w:val="nil"/>
            </w:tcBorders>
          </w:tcPr>
          <w:p w14:paraId="147F2D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2534</w:t>
            </w:r>
          </w:p>
        </w:tc>
      </w:tr>
    </w:tbl>
    <w:p w14:paraId="3517E40B" w14:textId="77777777" w:rsidR="0048356D" w:rsidRPr="00610934" w:rsidRDefault="0048356D" w:rsidP="0048356D">
      <w:pPr>
        <w:widowControl w:val="0"/>
        <w:autoSpaceDE w:val="0"/>
        <w:autoSpaceDN w:val="0"/>
        <w:adjustRightInd w:val="0"/>
        <w:spacing w:after="0" w:line="240" w:lineRule="auto"/>
        <w:rPr>
          <w:rFonts w:ascii="Times New Roman" w:hAnsi="Times New Roman" w:cs="Times New Roman"/>
          <w:sz w:val="12"/>
          <w:szCs w:val="12"/>
        </w:rPr>
      </w:pPr>
      <w:r w:rsidRPr="00610934">
        <w:rPr>
          <w:rFonts w:ascii="Times New Roman" w:hAnsi="Times New Roman" w:cs="Times New Roman"/>
          <w:i/>
          <w:iCs/>
          <w:sz w:val="12"/>
          <w:szCs w:val="12"/>
        </w:rPr>
        <w:lastRenderedPageBreak/>
        <w:t>t</w:t>
      </w:r>
      <w:r w:rsidRPr="00610934">
        <w:rPr>
          <w:rFonts w:ascii="Times New Roman" w:hAnsi="Times New Roman" w:cs="Times New Roman"/>
          <w:sz w:val="12"/>
          <w:szCs w:val="12"/>
        </w:rPr>
        <w:t xml:space="preserve"> statistics in parentheses</w:t>
      </w:r>
    </w:p>
    <w:p w14:paraId="70945388" w14:textId="77777777" w:rsidR="0048356D" w:rsidRPr="00610934" w:rsidRDefault="0048356D" w:rsidP="0048356D">
      <w:pPr>
        <w:widowControl w:val="0"/>
        <w:autoSpaceDE w:val="0"/>
        <w:autoSpaceDN w:val="0"/>
        <w:adjustRightInd w:val="0"/>
        <w:spacing w:after="0" w:line="240" w:lineRule="auto"/>
        <w:rPr>
          <w:rFonts w:ascii="Times New Roman" w:hAnsi="Times New Roman" w:cs="Times New Roman"/>
          <w:sz w:val="12"/>
          <w:szCs w:val="12"/>
        </w:rPr>
      </w:pPr>
      <w:r w:rsidRPr="00610934">
        <w:rPr>
          <w:rFonts w:ascii="Times New Roman" w:hAnsi="Times New Roman" w:cs="Times New Roman"/>
          <w:sz w:val="12"/>
          <w:szCs w:val="12"/>
          <w:vertAlign w:val="superscript"/>
        </w:rPr>
        <w:t>*</w:t>
      </w:r>
      <w:r w:rsidRPr="00610934">
        <w:rPr>
          <w:rFonts w:ascii="Times New Roman" w:hAnsi="Times New Roman" w:cs="Times New Roman"/>
          <w:sz w:val="12"/>
          <w:szCs w:val="12"/>
        </w:rPr>
        <w:t xml:space="preserve"> </w:t>
      </w:r>
      <w:r w:rsidRPr="00610934">
        <w:rPr>
          <w:rFonts w:ascii="Times New Roman" w:hAnsi="Times New Roman" w:cs="Times New Roman"/>
          <w:i/>
          <w:iCs/>
          <w:sz w:val="12"/>
          <w:szCs w:val="12"/>
        </w:rPr>
        <w:t>p</w:t>
      </w:r>
      <w:r w:rsidRPr="00610934">
        <w:rPr>
          <w:rFonts w:ascii="Times New Roman" w:hAnsi="Times New Roman" w:cs="Times New Roman"/>
          <w:sz w:val="12"/>
          <w:szCs w:val="12"/>
        </w:rPr>
        <w:t xml:space="preserve"> &lt; 0.05, </w:t>
      </w:r>
      <w:r w:rsidRPr="00610934">
        <w:rPr>
          <w:rFonts w:ascii="Times New Roman" w:hAnsi="Times New Roman" w:cs="Times New Roman"/>
          <w:sz w:val="12"/>
          <w:szCs w:val="12"/>
          <w:vertAlign w:val="superscript"/>
        </w:rPr>
        <w:t>**</w:t>
      </w:r>
      <w:r w:rsidRPr="00610934">
        <w:rPr>
          <w:rFonts w:ascii="Times New Roman" w:hAnsi="Times New Roman" w:cs="Times New Roman"/>
          <w:sz w:val="12"/>
          <w:szCs w:val="12"/>
        </w:rPr>
        <w:t xml:space="preserve"> </w:t>
      </w:r>
      <w:r w:rsidRPr="00610934">
        <w:rPr>
          <w:rFonts w:ascii="Times New Roman" w:hAnsi="Times New Roman" w:cs="Times New Roman"/>
          <w:i/>
          <w:iCs/>
          <w:sz w:val="12"/>
          <w:szCs w:val="12"/>
        </w:rPr>
        <w:t>p</w:t>
      </w:r>
      <w:r w:rsidRPr="00610934">
        <w:rPr>
          <w:rFonts w:ascii="Times New Roman" w:hAnsi="Times New Roman" w:cs="Times New Roman"/>
          <w:sz w:val="12"/>
          <w:szCs w:val="12"/>
        </w:rPr>
        <w:t xml:space="preserve"> &lt; 0.01, </w:t>
      </w:r>
      <w:r w:rsidRPr="00610934">
        <w:rPr>
          <w:rFonts w:ascii="Times New Roman" w:hAnsi="Times New Roman" w:cs="Times New Roman"/>
          <w:sz w:val="12"/>
          <w:szCs w:val="12"/>
          <w:vertAlign w:val="superscript"/>
        </w:rPr>
        <w:t>***</w:t>
      </w:r>
      <w:r w:rsidRPr="00610934">
        <w:rPr>
          <w:rFonts w:ascii="Times New Roman" w:hAnsi="Times New Roman" w:cs="Times New Roman"/>
          <w:sz w:val="12"/>
          <w:szCs w:val="12"/>
        </w:rPr>
        <w:t xml:space="preserve"> </w:t>
      </w:r>
      <w:r w:rsidRPr="00610934">
        <w:rPr>
          <w:rFonts w:ascii="Times New Roman" w:hAnsi="Times New Roman" w:cs="Times New Roman"/>
          <w:i/>
          <w:iCs/>
          <w:sz w:val="12"/>
          <w:szCs w:val="12"/>
        </w:rPr>
        <w:t>p</w:t>
      </w:r>
      <w:r w:rsidRPr="00610934">
        <w:rPr>
          <w:rFonts w:ascii="Times New Roman" w:hAnsi="Times New Roman" w:cs="Times New Roman"/>
          <w:sz w:val="12"/>
          <w:szCs w:val="12"/>
        </w:rPr>
        <w:t xml:space="preserve"> &lt; 0.001</w:t>
      </w:r>
    </w:p>
    <w:p w14:paraId="26A47DE6" w14:textId="5DC07076" w:rsidR="000C463F" w:rsidRDefault="000C463F" w:rsidP="00DB7775"/>
    <w:tbl>
      <w:tblPr>
        <w:tblW w:w="0" w:type="auto"/>
        <w:tblLayout w:type="fixed"/>
        <w:tblLook w:val="0000" w:firstRow="0" w:lastRow="0" w:firstColumn="0" w:lastColumn="0" w:noHBand="0" w:noVBand="0"/>
      </w:tblPr>
      <w:tblGrid>
        <w:gridCol w:w="2136"/>
        <w:gridCol w:w="1656"/>
        <w:gridCol w:w="1656"/>
        <w:gridCol w:w="1656"/>
        <w:gridCol w:w="1656"/>
        <w:gridCol w:w="1656"/>
      </w:tblGrid>
      <w:tr w:rsidR="00320DC7" w:rsidRPr="002D58CD" w14:paraId="0933CCBD" w14:textId="77777777" w:rsidTr="00015B88">
        <w:tc>
          <w:tcPr>
            <w:tcW w:w="2136" w:type="dxa"/>
            <w:tcBorders>
              <w:top w:val="single" w:sz="4" w:space="0" w:color="auto"/>
              <w:left w:val="nil"/>
              <w:bottom w:val="nil"/>
              <w:right w:val="nil"/>
            </w:tcBorders>
          </w:tcPr>
          <w:p w14:paraId="3FA6E1D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033468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w:t>
            </w:r>
          </w:p>
        </w:tc>
        <w:tc>
          <w:tcPr>
            <w:tcW w:w="1656" w:type="dxa"/>
            <w:tcBorders>
              <w:top w:val="single" w:sz="4" w:space="0" w:color="auto"/>
              <w:left w:val="nil"/>
              <w:bottom w:val="nil"/>
              <w:right w:val="nil"/>
            </w:tcBorders>
          </w:tcPr>
          <w:p w14:paraId="4A259D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w:t>
            </w:r>
          </w:p>
        </w:tc>
        <w:tc>
          <w:tcPr>
            <w:tcW w:w="1656" w:type="dxa"/>
            <w:tcBorders>
              <w:top w:val="single" w:sz="4" w:space="0" w:color="auto"/>
              <w:left w:val="nil"/>
              <w:bottom w:val="nil"/>
              <w:right w:val="nil"/>
            </w:tcBorders>
          </w:tcPr>
          <w:p w14:paraId="200BDC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w:t>
            </w:r>
          </w:p>
        </w:tc>
        <w:tc>
          <w:tcPr>
            <w:tcW w:w="1656" w:type="dxa"/>
            <w:tcBorders>
              <w:top w:val="single" w:sz="4" w:space="0" w:color="auto"/>
              <w:left w:val="nil"/>
              <w:bottom w:val="nil"/>
              <w:right w:val="nil"/>
            </w:tcBorders>
          </w:tcPr>
          <w:p w14:paraId="0212685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(4)</w:t>
            </w:r>
          </w:p>
        </w:tc>
        <w:tc>
          <w:tcPr>
            <w:tcW w:w="1656" w:type="dxa"/>
            <w:tcBorders>
              <w:top w:val="single" w:sz="4" w:space="0" w:color="auto"/>
              <w:left w:val="nil"/>
              <w:bottom w:val="nil"/>
              <w:right w:val="nil"/>
            </w:tcBorders>
          </w:tcPr>
          <w:p w14:paraId="1739385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(5)</w:t>
            </w:r>
          </w:p>
        </w:tc>
      </w:tr>
      <w:tr w:rsidR="00320DC7" w:rsidRPr="002D58CD" w14:paraId="07196D14" w14:textId="77777777" w:rsidTr="00015B88">
        <w:tc>
          <w:tcPr>
            <w:tcW w:w="2136" w:type="dxa"/>
            <w:tcBorders>
              <w:top w:val="nil"/>
              <w:left w:val="nil"/>
              <w:bottom w:val="nil"/>
              <w:right w:val="nil"/>
            </w:tcBorders>
          </w:tcPr>
          <w:p w14:paraId="2342125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5E5A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Head of Govt. Turnover</w:t>
            </w:r>
          </w:p>
        </w:tc>
        <w:tc>
          <w:tcPr>
            <w:tcW w:w="1656" w:type="dxa"/>
            <w:tcBorders>
              <w:top w:val="nil"/>
              <w:left w:val="nil"/>
              <w:bottom w:val="nil"/>
              <w:right w:val="nil"/>
            </w:tcBorders>
          </w:tcPr>
          <w:p w14:paraId="1B08EA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Head of State Turnover</w:t>
            </w:r>
          </w:p>
        </w:tc>
        <w:tc>
          <w:tcPr>
            <w:tcW w:w="1656" w:type="dxa"/>
            <w:tcBorders>
              <w:top w:val="nil"/>
              <w:left w:val="nil"/>
              <w:bottom w:val="nil"/>
              <w:right w:val="nil"/>
            </w:tcBorders>
          </w:tcPr>
          <w:p w14:paraId="401623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Lower House Turnover</w:t>
            </w:r>
          </w:p>
        </w:tc>
        <w:tc>
          <w:tcPr>
            <w:tcW w:w="1656" w:type="dxa"/>
            <w:tcBorders>
              <w:top w:val="nil"/>
              <w:left w:val="nil"/>
              <w:bottom w:val="nil"/>
              <w:right w:val="nil"/>
            </w:tcBorders>
          </w:tcPr>
          <w:p w14:paraId="2C5CBF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7D281E2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Instability Event Indicator</w:t>
            </w:r>
          </w:p>
        </w:tc>
      </w:tr>
      <w:tr w:rsidR="00320DC7" w:rsidRPr="002D58CD" w14:paraId="2C93B5F5" w14:textId="77777777" w:rsidTr="00015B88">
        <w:tc>
          <w:tcPr>
            <w:tcW w:w="2136" w:type="dxa"/>
            <w:tcBorders>
              <w:top w:val="single" w:sz="4" w:space="0" w:color="auto"/>
              <w:left w:val="nil"/>
              <w:bottom w:val="nil"/>
              <w:right w:val="nil"/>
            </w:tcBorders>
          </w:tcPr>
          <w:p w14:paraId="757A40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E0F1CD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-0.151</w:t>
            </w:r>
          </w:p>
        </w:tc>
        <w:tc>
          <w:tcPr>
            <w:tcW w:w="1656" w:type="dxa"/>
            <w:tcBorders>
              <w:top w:val="single" w:sz="4" w:space="0" w:color="auto"/>
              <w:left w:val="nil"/>
              <w:bottom w:val="nil"/>
              <w:right w:val="nil"/>
            </w:tcBorders>
          </w:tcPr>
          <w:p w14:paraId="54D213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0.0518</w:t>
            </w:r>
          </w:p>
        </w:tc>
        <w:tc>
          <w:tcPr>
            <w:tcW w:w="1656" w:type="dxa"/>
            <w:tcBorders>
              <w:top w:val="single" w:sz="4" w:space="0" w:color="auto"/>
              <w:left w:val="nil"/>
              <w:bottom w:val="nil"/>
              <w:right w:val="nil"/>
            </w:tcBorders>
          </w:tcPr>
          <w:p w14:paraId="1A3E881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0.0972</w:t>
            </w:r>
          </w:p>
        </w:tc>
        <w:tc>
          <w:tcPr>
            <w:tcW w:w="1656" w:type="dxa"/>
            <w:tcBorders>
              <w:top w:val="single" w:sz="4" w:space="0" w:color="auto"/>
              <w:left w:val="nil"/>
              <w:bottom w:val="nil"/>
              <w:right w:val="nil"/>
            </w:tcBorders>
          </w:tcPr>
          <w:p w14:paraId="6BF8C7D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0.0861</w:t>
            </w:r>
          </w:p>
        </w:tc>
        <w:tc>
          <w:tcPr>
            <w:tcW w:w="1656" w:type="dxa"/>
            <w:tcBorders>
              <w:top w:val="single" w:sz="4" w:space="0" w:color="auto"/>
              <w:left w:val="nil"/>
              <w:bottom w:val="nil"/>
              <w:right w:val="nil"/>
            </w:tcBorders>
          </w:tcPr>
          <w:p w14:paraId="4217F8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-0.153</w:t>
            </w:r>
            <w:r w:rsidRPr="002D58CD">
              <w:rPr>
                <w:rFonts w:ascii="Times New Roman" w:hAnsi="Times New Roman" w:cs="Times New Roman"/>
                <w:sz w:val="16"/>
                <w:szCs w:val="16"/>
                <w:vertAlign w:val="superscript"/>
              </w:rPr>
              <w:t>**</w:t>
            </w:r>
          </w:p>
        </w:tc>
      </w:tr>
      <w:tr w:rsidR="00320DC7" w:rsidRPr="002D58CD" w14:paraId="241CD775" w14:textId="77777777" w:rsidTr="00015B88">
        <w:tc>
          <w:tcPr>
            <w:tcW w:w="2136" w:type="dxa"/>
            <w:tcBorders>
              <w:top w:val="nil"/>
              <w:left w:val="nil"/>
              <w:bottom w:val="nil"/>
              <w:right w:val="nil"/>
            </w:tcBorders>
          </w:tcPr>
          <w:p w14:paraId="39B84A6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0C09F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(-0.92)</w:t>
            </w:r>
          </w:p>
        </w:tc>
        <w:tc>
          <w:tcPr>
            <w:tcW w:w="1656" w:type="dxa"/>
            <w:tcBorders>
              <w:top w:val="nil"/>
              <w:left w:val="nil"/>
              <w:bottom w:val="nil"/>
              <w:right w:val="nil"/>
            </w:tcBorders>
          </w:tcPr>
          <w:p w14:paraId="5EE6544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453C90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(0.39)</w:t>
            </w:r>
          </w:p>
        </w:tc>
        <w:tc>
          <w:tcPr>
            <w:tcW w:w="1656" w:type="dxa"/>
            <w:tcBorders>
              <w:top w:val="nil"/>
              <w:left w:val="nil"/>
              <w:bottom w:val="nil"/>
              <w:right w:val="nil"/>
            </w:tcBorders>
          </w:tcPr>
          <w:p w14:paraId="3F8F7E4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(1.13)</w:t>
            </w:r>
          </w:p>
        </w:tc>
        <w:tc>
          <w:tcPr>
            <w:tcW w:w="1656" w:type="dxa"/>
            <w:tcBorders>
              <w:top w:val="nil"/>
              <w:left w:val="nil"/>
              <w:bottom w:val="nil"/>
              <w:right w:val="nil"/>
            </w:tcBorders>
          </w:tcPr>
          <w:p w14:paraId="7EEB4E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(-2.82)</w:t>
            </w:r>
          </w:p>
        </w:tc>
      </w:tr>
      <w:tr w:rsidR="00320DC7" w:rsidRPr="002D58CD" w14:paraId="7871CFA8" w14:textId="77777777" w:rsidTr="00015B88">
        <w:tc>
          <w:tcPr>
            <w:tcW w:w="2136" w:type="dxa"/>
            <w:tcBorders>
              <w:top w:val="nil"/>
              <w:left w:val="nil"/>
              <w:bottom w:val="nil"/>
              <w:right w:val="nil"/>
            </w:tcBorders>
          </w:tcPr>
          <w:p w14:paraId="01825B7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C25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27F86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0DE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7EDF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FF39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7FB03EF" w14:textId="77777777" w:rsidTr="00015B88">
        <w:tc>
          <w:tcPr>
            <w:tcW w:w="2136" w:type="dxa"/>
            <w:tcBorders>
              <w:top w:val="nil"/>
              <w:left w:val="nil"/>
              <w:bottom w:val="nil"/>
              <w:right w:val="nil"/>
            </w:tcBorders>
          </w:tcPr>
          <w:p w14:paraId="4138696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C2F5F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-0.0195</w:t>
            </w:r>
          </w:p>
        </w:tc>
        <w:tc>
          <w:tcPr>
            <w:tcW w:w="1656" w:type="dxa"/>
            <w:tcBorders>
              <w:top w:val="nil"/>
              <w:left w:val="nil"/>
              <w:bottom w:val="nil"/>
              <w:right w:val="nil"/>
            </w:tcBorders>
          </w:tcPr>
          <w:p w14:paraId="3079BE8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-0.0619</w:t>
            </w:r>
          </w:p>
        </w:tc>
        <w:tc>
          <w:tcPr>
            <w:tcW w:w="1656" w:type="dxa"/>
            <w:tcBorders>
              <w:top w:val="nil"/>
              <w:left w:val="nil"/>
              <w:bottom w:val="nil"/>
              <w:right w:val="nil"/>
            </w:tcBorders>
          </w:tcPr>
          <w:p w14:paraId="498E9F6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-0.0411</w:t>
            </w:r>
          </w:p>
        </w:tc>
        <w:tc>
          <w:tcPr>
            <w:tcW w:w="1656" w:type="dxa"/>
            <w:tcBorders>
              <w:top w:val="nil"/>
              <w:left w:val="nil"/>
              <w:bottom w:val="nil"/>
              <w:right w:val="nil"/>
            </w:tcBorders>
          </w:tcPr>
          <w:p w14:paraId="7F85F6E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0.0519</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515DD6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0.0212</w:t>
            </w:r>
          </w:p>
        </w:tc>
      </w:tr>
      <w:tr w:rsidR="00320DC7" w:rsidRPr="002D58CD" w14:paraId="538C95D6" w14:textId="77777777" w:rsidTr="00015B88">
        <w:tc>
          <w:tcPr>
            <w:tcW w:w="2136" w:type="dxa"/>
            <w:tcBorders>
              <w:top w:val="nil"/>
              <w:left w:val="nil"/>
              <w:bottom w:val="nil"/>
              <w:right w:val="nil"/>
            </w:tcBorders>
          </w:tcPr>
          <w:p w14:paraId="13D29EF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984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(-0.68)</w:t>
            </w:r>
          </w:p>
        </w:tc>
        <w:tc>
          <w:tcPr>
            <w:tcW w:w="1656" w:type="dxa"/>
            <w:tcBorders>
              <w:top w:val="nil"/>
              <w:left w:val="nil"/>
              <w:bottom w:val="nil"/>
              <w:right w:val="nil"/>
            </w:tcBorders>
          </w:tcPr>
          <w:p w14:paraId="5DC599F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(-1.86)</w:t>
            </w:r>
          </w:p>
        </w:tc>
        <w:tc>
          <w:tcPr>
            <w:tcW w:w="1656" w:type="dxa"/>
            <w:tcBorders>
              <w:top w:val="nil"/>
              <w:left w:val="nil"/>
              <w:bottom w:val="nil"/>
              <w:right w:val="nil"/>
            </w:tcBorders>
          </w:tcPr>
          <w:p w14:paraId="00B0C60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(-1.14)</w:t>
            </w:r>
          </w:p>
        </w:tc>
        <w:tc>
          <w:tcPr>
            <w:tcW w:w="1656" w:type="dxa"/>
            <w:tcBorders>
              <w:top w:val="nil"/>
              <w:left w:val="nil"/>
              <w:bottom w:val="nil"/>
              <w:right w:val="nil"/>
            </w:tcBorders>
          </w:tcPr>
          <w:p w14:paraId="18AA4CA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(2.33)</w:t>
            </w:r>
          </w:p>
        </w:tc>
        <w:tc>
          <w:tcPr>
            <w:tcW w:w="1656" w:type="dxa"/>
            <w:tcBorders>
              <w:top w:val="nil"/>
              <w:left w:val="nil"/>
              <w:bottom w:val="nil"/>
              <w:right w:val="nil"/>
            </w:tcBorders>
          </w:tcPr>
          <w:p w14:paraId="584B15B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(1.71)</w:t>
            </w:r>
          </w:p>
        </w:tc>
      </w:tr>
      <w:tr w:rsidR="00320DC7" w:rsidRPr="002D58CD" w14:paraId="203FFF2F" w14:textId="77777777" w:rsidTr="00015B88">
        <w:tc>
          <w:tcPr>
            <w:tcW w:w="2136" w:type="dxa"/>
            <w:tcBorders>
              <w:top w:val="nil"/>
              <w:left w:val="nil"/>
              <w:bottom w:val="nil"/>
              <w:right w:val="nil"/>
            </w:tcBorders>
          </w:tcPr>
          <w:p w14:paraId="535D031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4B72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69E6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C618C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0AF7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8D5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8A47ED7" w14:textId="77777777" w:rsidTr="00015B88">
        <w:tc>
          <w:tcPr>
            <w:tcW w:w="2136" w:type="dxa"/>
            <w:tcBorders>
              <w:top w:val="nil"/>
              <w:left w:val="nil"/>
              <w:bottom w:val="nil"/>
              <w:right w:val="nil"/>
            </w:tcBorders>
          </w:tcPr>
          <w:p w14:paraId="522D676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De Facto CBI * Polity Democracy</w:t>
            </w:r>
          </w:p>
        </w:tc>
        <w:tc>
          <w:tcPr>
            <w:tcW w:w="1656" w:type="dxa"/>
            <w:tcBorders>
              <w:top w:val="nil"/>
              <w:left w:val="nil"/>
              <w:bottom w:val="nil"/>
              <w:right w:val="nil"/>
            </w:tcBorders>
          </w:tcPr>
          <w:p w14:paraId="32E465C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0.00315</w:t>
            </w:r>
          </w:p>
        </w:tc>
        <w:tc>
          <w:tcPr>
            <w:tcW w:w="1656" w:type="dxa"/>
            <w:tcBorders>
              <w:top w:val="nil"/>
              <w:left w:val="nil"/>
              <w:bottom w:val="nil"/>
              <w:right w:val="nil"/>
            </w:tcBorders>
          </w:tcPr>
          <w:p w14:paraId="7F22810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-0.00247</w:t>
            </w:r>
          </w:p>
        </w:tc>
        <w:tc>
          <w:tcPr>
            <w:tcW w:w="1656" w:type="dxa"/>
            <w:tcBorders>
              <w:top w:val="nil"/>
              <w:left w:val="nil"/>
              <w:bottom w:val="nil"/>
              <w:right w:val="nil"/>
            </w:tcBorders>
          </w:tcPr>
          <w:p w14:paraId="69BDBB2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-0.0202</w:t>
            </w:r>
          </w:p>
        </w:tc>
        <w:tc>
          <w:tcPr>
            <w:tcW w:w="1656" w:type="dxa"/>
            <w:tcBorders>
              <w:top w:val="nil"/>
              <w:left w:val="nil"/>
              <w:bottom w:val="nil"/>
              <w:right w:val="nil"/>
            </w:tcBorders>
          </w:tcPr>
          <w:p w14:paraId="2EC24CB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-0.00768</w:t>
            </w:r>
          </w:p>
        </w:tc>
        <w:tc>
          <w:tcPr>
            <w:tcW w:w="1656" w:type="dxa"/>
            <w:tcBorders>
              <w:top w:val="nil"/>
              <w:left w:val="nil"/>
              <w:bottom w:val="nil"/>
              <w:right w:val="nil"/>
            </w:tcBorders>
          </w:tcPr>
          <w:p w14:paraId="6F06F2F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0.0103</w:t>
            </w:r>
            <w:r w:rsidRPr="002D58CD">
              <w:rPr>
                <w:rFonts w:ascii="Times New Roman" w:hAnsi="Times New Roman" w:cs="Times New Roman"/>
                <w:sz w:val="16"/>
                <w:szCs w:val="16"/>
                <w:vertAlign w:val="superscript"/>
              </w:rPr>
              <w:t>**</w:t>
            </w:r>
          </w:p>
        </w:tc>
      </w:tr>
      <w:tr w:rsidR="00320DC7" w:rsidRPr="002D58CD" w14:paraId="567D413E" w14:textId="77777777" w:rsidTr="00015B88">
        <w:tc>
          <w:tcPr>
            <w:tcW w:w="2136" w:type="dxa"/>
            <w:tcBorders>
              <w:top w:val="nil"/>
              <w:left w:val="nil"/>
              <w:bottom w:val="nil"/>
              <w:right w:val="nil"/>
            </w:tcBorders>
          </w:tcPr>
          <w:p w14:paraId="59A3017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7BA9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(0.27)</w:t>
            </w:r>
          </w:p>
        </w:tc>
        <w:tc>
          <w:tcPr>
            <w:tcW w:w="1656" w:type="dxa"/>
            <w:tcBorders>
              <w:top w:val="nil"/>
              <w:left w:val="nil"/>
              <w:bottom w:val="nil"/>
              <w:right w:val="nil"/>
            </w:tcBorders>
          </w:tcPr>
          <w:p w14:paraId="6C0FCB2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w:t>
            </w:r>
          </w:p>
        </w:tc>
        <w:tc>
          <w:tcPr>
            <w:tcW w:w="1656" w:type="dxa"/>
            <w:tcBorders>
              <w:top w:val="nil"/>
              <w:left w:val="nil"/>
              <w:bottom w:val="nil"/>
              <w:right w:val="nil"/>
            </w:tcBorders>
          </w:tcPr>
          <w:p w14:paraId="34F27D8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(-1.27)</w:t>
            </w:r>
          </w:p>
        </w:tc>
        <w:tc>
          <w:tcPr>
            <w:tcW w:w="1656" w:type="dxa"/>
            <w:tcBorders>
              <w:top w:val="nil"/>
              <w:left w:val="nil"/>
              <w:bottom w:val="nil"/>
              <w:right w:val="nil"/>
            </w:tcBorders>
          </w:tcPr>
          <w:p w14:paraId="55C75B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(-1.52)</w:t>
            </w:r>
          </w:p>
        </w:tc>
        <w:tc>
          <w:tcPr>
            <w:tcW w:w="1656" w:type="dxa"/>
            <w:tcBorders>
              <w:top w:val="nil"/>
              <w:left w:val="nil"/>
              <w:bottom w:val="nil"/>
              <w:right w:val="nil"/>
            </w:tcBorders>
          </w:tcPr>
          <w:p w14:paraId="5C2019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(2.81)</w:t>
            </w:r>
          </w:p>
        </w:tc>
      </w:tr>
      <w:tr w:rsidR="00320DC7" w:rsidRPr="002D58CD" w14:paraId="3BD96D25" w14:textId="77777777" w:rsidTr="00015B88">
        <w:tc>
          <w:tcPr>
            <w:tcW w:w="2136" w:type="dxa"/>
            <w:tcBorders>
              <w:top w:val="nil"/>
              <w:left w:val="nil"/>
              <w:bottom w:val="nil"/>
              <w:right w:val="nil"/>
            </w:tcBorders>
          </w:tcPr>
          <w:p w14:paraId="1E3CDA0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493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B1DE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27BD2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F5F0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3D405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E03501A" w14:textId="77777777" w:rsidTr="00015B88">
        <w:tc>
          <w:tcPr>
            <w:tcW w:w="2136" w:type="dxa"/>
            <w:tcBorders>
              <w:top w:val="nil"/>
              <w:left w:val="nil"/>
              <w:bottom w:val="nil"/>
              <w:right w:val="nil"/>
            </w:tcBorders>
          </w:tcPr>
          <w:p w14:paraId="1F3CF8B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011F2B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-0.000576</w:t>
            </w:r>
          </w:p>
        </w:tc>
        <w:tc>
          <w:tcPr>
            <w:tcW w:w="1656" w:type="dxa"/>
            <w:tcBorders>
              <w:top w:val="nil"/>
              <w:left w:val="nil"/>
              <w:bottom w:val="nil"/>
              <w:right w:val="nil"/>
            </w:tcBorders>
          </w:tcPr>
          <w:p w14:paraId="23D0BF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0.00258</w:t>
            </w:r>
          </w:p>
        </w:tc>
        <w:tc>
          <w:tcPr>
            <w:tcW w:w="1656" w:type="dxa"/>
            <w:tcBorders>
              <w:top w:val="nil"/>
              <w:left w:val="nil"/>
              <w:bottom w:val="nil"/>
              <w:right w:val="nil"/>
            </w:tcBorders>
          </w:tcPr>
          <w:p w14:paraId="1A4F440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0.00349</w:t>
            </w:r>
          </w:p>
        </w:tc>
        <w:tc>
          <w:tcPr>
            <w:tcW w:w="1656" w:type="dxa"/>
            <w:tcBorders>
              <w:top w:val="nil"/>
              <w:left w:val="nil"/>
              <w:bottom w:val="nil"/>
              <w:right w:val="nil"/>
            </w:tcBorders>
          </w:tcPr>
          <w:p w14:paraId="6DF0A9A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-0.00308</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4AA22B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-0.000476</w:t>
            </w:r>
          </w:p>
        </w:tc>
      </w:tr>
      <w:tr w:rsidR="00320DC7" w:rsidRPr="002D58CD" w14:paraId="3EE8357D" w14:textId="77777777" w:rsidTr="00015B88">
        <w:tc>
          <w:tcPr>
            <w:tcW w:w="2136" w:type="dxa"/>
            <w:tcBorders>
              <w:top w:val="nil"/>
              <w:left w:val="nil"/>
              <w:bottom w:val="nil"/>
              <w:right w:val="nil"/>
            </w:tcBorders>
          </w:tcPr>
          <w:p w14:paraId="7024CC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55AC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(-0.28)</w:t>
            </w:r>
          </w:p>
        </w:tc>
        <w:tc>
          <w:tcPr>
            <w:tcW w:w="1656" w:type="dxa"/>
            <w:tcBorders>
              <w:top w:val="nil"/>
              <w:left w:val="nil"/>
              <w:bottom w:val="nil"/>
              <w:right w:val="nil"/>
            </w:tcBorders>
          </w:tcPr>
          <w:p w14:paraId="1E6768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(1.10)</w:t>
            </w:r>
          </w:p>
        </w:tc>
        <w:tc>
          <w:tcPr>
            <w:tcW w:w="1656" w:type="dxa"/>
            <w:tcBorders>
              <w:top w:val="nil"/>
              <w:left w:val="nil"/>
              <w:bottom w:val="nil"/>
              <w:right w:val="nil"/>
            </w:tcBorders>
          </w:tcPr>
          <w:p w14:paraId="0032B7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(1.56)</w:t>
            </w:r>
          </w:p>
        </w:tc>
        <w:tc>
          <w:tcPr>
            <w:tcW w:w="1656" w:type="dxa"/>
            <w:tcBorders>
              <w:top w:val="nil"/>
              <w:left w:val="nil"/>
              <w:bottom w:val="nil"/>
              <w:right w:val="nil"/>
            </w:tcBorders>
          </w:tcPr>
          <w:p w14:paraId="34AA255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(-2.23)</w:t>
            </w:r>
          </w:p>
        </w:tc>
        <w:tc>
          <w:tcPr>
            <w:tcW w:w="1656" w:type="dxa"/>
            <w:tcBorders>
              <w:top w:val="nil"/>
              <w:left w:val="nil"/>
              <w:bottom w:val="nil"/>
              <w:right w:val="nil"/>
            </w:tcBorders>
          </w:tcPr>
          <w:p w14:paraId="7E668AC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r>
      <w:tr w:rsidR="00320DC7" w:rsidRPr="002D58CD" w14:paraId="017D9E4C" w14:textId="77777777" w:rsidTr="00015B88">
        <w:tc>
          <w:tcPr>
            <w:tcW w:w="2136" w:type="dxa"/>
            <w:tcBorders>
              <w:top w:val="nil"/>
              <w:left w:val="nil"/>
              <w:bottom w:val="nil"/>
              <w:right w:val="nil"/>
            </w:tcBorders>
          </w:tcPr>
          <w:p w14:paraId="6D58D3D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42B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B4C8C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87241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80E0E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4191A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EBFED4D" w14:textId="77777777" w:rsidTr="00015B88">
        <w:tc>
          <w:tcPr>
            <w:tcW w:w="2136" w:type="dxa"/>
            <w:tcBorders>
              <w:top w:val="nil"/>
              <w:left w:val="nil"/>
              <w:bottom w:val="nil"/>
              <w:right w:val="nil"/>
            </w:tcBorders>
          </w:tcPr>
          <w:p w14:paraId="4B2E68E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Polity Democracy Score (v2)</w:t>
            </w:r>
          </w:p>
        </w:tc>
        <w:tc>
          <w:tcPr>
            <w:tcW w:w="1656" w:type="dxa"/>
            <w:tcBorders>
              <w:top w:val="nil"/>
              <w:left w:val="nil"/>
              <w:bottom w:val="nil"/>
              <w:right w:val="nil"/>
            </w:tcBorders>
          </w:tcPr>
          <w:p w14:paraId="4E7C49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0.0895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11AC80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0.0662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B7862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0.0595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646F42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0.0503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B5D8B9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-0.0147</w:t>
            </w:r>
            <w:r w:rsidRPr="002D58CD">
              <w:rPr>
                <w:rFonts w:ascii="Times New Roman" w:hAnsi="Times New Roman" w:cs="Times New Roman"/>
                <w:sz w:val="16"/>
                <w:szCs w:val="16"/>
                <w:vertAlign w:val="superscript"/>
              </w:rPr>
              <w:t>*</w:t>
            </w:r>
          </w:p>
        </w:tc>
      </w:tr>
      <w:tr w:rsidR="00320DC7" w:rsidRPr="002D58CD" w14:paraId="127D0487" w14:textId="77777777" w:rsidTr="00015B88">
        <w:tc>
          <w:tcPr>
            <w:tcW w:w="2136" w:type="dxa"/>
            <w:tcBorders>
              <w:top w:val="nil"/>
              <w:left w:val="nil"/>
              <w:bottom w:val="nil"/>
              <w:right w:val="nil"/>
            </w:tcBorders>
          </w:tcPr>
          <w:p w14:paraId="53FF829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415F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(3.86)</w:t>
            </w:r>
          </w:p>
        </w:tc>
        <w:tc>
          <w:tcPr>
            <w:tcW w:w="1656" w:type="dxa"/>
            <w:tcBorders>
              <w:top w:val="nil"/>
              <w:left w:val="nil"/>
              <w:bottom w:val="nil"/>
              <w:right w:val="nil"/>
            </w:tcBorders>
          </w:tcPr>
          <w:p w14:paraId="42F0F5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(2.91)</w:t>
            </w:r>
          </w:p>
        </w:tc>
        <w:tc>
          <w:tcPr>
            <w:tcW w:w="1656" w:type="dxa"/>
            <w:tcBorders>
              <w:top w:val="nil"/>
              <w:left w:val="nil"/>
              <w:bottom w:val="nil"/>
              <w:right w:val="nil"/>
            </w:tcBorders>
          </w:tcPr>
          <w:p w14:paraId="31114B4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(2.37)</w:t>
            </w:r>
          </w:p>
        </w:tc>
        <w:tc>
          <w:tcPr>
            <w:tcW w:w="1656" w:type="dxa"/>
            <w:tcBorders>
              <w:top w:val="nil"/>
              <w:left w:val="nil"/>
              <w:bottom w:val="nil"/>
              <w:right w:val="nil"/>
            </w:tcBorders>
          </w:tcPr>
          <w:p w14:paraId="7F81AB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(3.25)</w:t>
            </w:r>
          </w:p>
        </w:tc>
        <w:tc>
          <w:tcPr>
            <w:tcW w:w="1656" w:type="dxa"/>
            <w:tcBorders>
              <w:top w:val="nil"/>
              <w:left w:val="nil"/>
              <w:bottom w:val="nil"/>
              <w:right w:val="nil"/>
            </w:tcBorders>
          </w:tcPr>
          <w:p w14:paraId="2CAD61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(-2.10)</w:t>
            </w:r>
          </w:p>
        </w:tc>
      </w:tr>
      <w:tr w:rsidR="00320DC7" w:rsidRPr="002D58CD" w14:paraId="1BCF7873" w14:textId="77777777" w:rsidTr="00015B88">
        <w:tc>
          <w:tcPr>
            <w:tcW w:w="2136" w:type="dxa"/>
            <w:tcBorders>
              <w:top w:val="nil"/>
              <w:left w:val="nil"/>
              <w:bottom w:val="nil"/>
              <w:right w:val="nil"/>
            </w:tcBorders>
          </w:tcPr>
          <w:p w14:paraId="61237D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8F4B9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2970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7988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945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8897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FACDB94" w14:textId="77777777" w:rsidTr="00015B88">
        <w:tc>
          <w:tcPr>
            <w:tcW w:w="2136" w:type="dxa"/>
            <w:tcBorders>
              <w:top w:val="nil"/>
              <w:left w:val="nil"/>
              <w:bottom w:val="nil"/>
              <w:right w:val="nil"/>
            </w:tcBorders>
          </w:tcPr>
          <w:p w14:paraId="014C92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7195973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0.210</w:t>
            </w:r>
          </w:p>
        </w:tc>
        <w:tc>
          <w:tcPr>
            <w:tcW w:w="1656" w:type="dxa"/>
            <w:tcBorders>
              <w:top w:val="nil"/>
              <w:left w:val="nil"/>
              <w:bottom w:val="nil"/>
              <w:right w:val="nil"/>
            </w:tcBorders>
          </w:tcPr>
          <w:p w14:paraId="12D6BEC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0.0901</w:t>
            </w:r>
          </w:p>
        </w:tc>
        <w:tc>
          <w:tcPr>
            <w:tcW w:w="1656" w:type="dxa"/>
            <w:tcBorders>
              <w:top w:val="nil"/>
              <w:left w:val="nil"/>
              <w:bottom w:val="nil"/>
              <w:right w:val="nil"/>
            </w:tcBorders>
          </w:tcPr>
          <w:p w14:paraId="5361E94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-0.119</w:t>
            </w:r>
          </w:p>
        </w:tc>
        <w:tc>
          <w:tcPr>
            <w:tcW w:w="1656" w:type="dxa"/>
            <w:tcBorders>
              <w:top w:val="nil"/>
              <w:left w:val="nil"/>
              <w:bottom w:val="nil"/>
              <w:right w:val="nil"/>
            </w:tcBorders>
          </w:tcPr>
          <w:p w14:paraId="6E3F34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0.0550</w:t>
            </w:r>
          </w:p>
        </w:tc>
        <w:tc>
          <w:tcPr>
            <w:tcW w:w="1656" w:type="dxa"/>
            <w:tcBorders>
              <w:top w:val="nil"/>
              <w:left w:val="nil"/>
              <w:bottom w:val="nil"/>
              <w:right w:val="nil"/>
            </w:tcBorders>
          </w:tcPr>
          <w:p w14:paraId="09DAF31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-0.114</w:t>
            </w:r>
            <w:r w:rsidRPr="002D58CD">
              <w:rPr>
                <w:rFonts w:ascii="Times New Roman" w:hAnsi="Times New Roman" w:cs="Times New Roman"/>
                <w:sz w:val="16"/>
                <w:szCs w:val="16"/>
                <w:vertAlign w:val="superscript"/>
              </w:rPr>
              <w:t>*</w:t>
            </w:r>
          </w:p>
        </w:tc>
      </w:tr>
      <w:tr w:rsidR="00320DC7" w:rsidRPr="002D58CD" w14:paraId="5CAB3239" w14:textId="77777777" w:rsidTr="00015B88">
        <w:tc>
          <w:tcPr>
            <w:tcW w:w="2136" w:type="dxa"/>
            <w:tcBorders>
              <w:top w:val="nil"/>
              <w:left w:val="nil"/>
              <w:bottom w:val="nil"/>
              <w:right w:val="nil"/>
            </w:tcBorders>
          </w:tcPr>
          <w:p w14:paraId="157079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019B8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(1.30)</w:t>
            </w:r>
          </w:p>
        </w:tc>
        <w:tc>
          <w:tcPr>
            <w:tcW w:w="1656" w:type="dxa"/>
            <w:tcBorders>
              <w:top w:val="nil"/>
              <w:left w:val="nil"/>
              <w:bottom w:val="nil"/>
              <w:right w:val="nil"/>
            </w:tcBorders>
          </w:tcPr>
          <w:p w14:paraId="33B7CF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2D9E46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(-0.57)</w:t>
            </w:r>
          </w:p>
        </w:tc>
        <w:tc>
          <w:tcPr>
            <w:tcW w:w="1656" w:type="dxa"/>
            <w:tcBorders>
              <w:top w:val="nil"/>
              <w:left w:val="nil"/>
              <w:bottom w:val="nil"/>
              <w:right w:val="nil"/>
            </w:tcBorders>
          </w:tcPr>
          <w:p w14:paraId="2C1569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(0.60)</w:t>
            </w:r>
          </w:p>
        </w:tc>
        <w:tc>
          <w:tcPr>
            <w:tcW w:w="1656" w:type="dxa"/>
            <w:tcBorders>
              <w:top w:val="nil"/>
              <w:left w:val="nil"/>
              <w:bottom w:val="nil"/>
              <w:right w:val="nil"/>
            </w:tcBorders>
          </w:tcPr>
          <w:p w14:paraId="4C8D1D5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(-2.20)</w:t>
            </w:r>
          </w:p>
        </w:tc>
      </w:tr>
      <w:tr w:rsidR="00320DC7" w:rsidRPr="002D58CD" w14:paraId="02E36783" w14:textId="77777777" w:rsidTr="00015B88">
        <w:tc>
          <w:tcPr>
            <w:tcW w:w="2136" w:type="dxa"/>
            <w:tcBorders>
              <w:top w:val="nil"/>
              <w:left w:val="nil"/>
              <w:bottom w:val="nil"/>
              <w:right w:val="nil"/>
            </w:tcBorders>
          </w:tcPr>
          <w:p w14:paraId="2EB2A79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D3775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5FC4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FC08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E003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EC075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090D137" w14:textId="77777777" w:rsidTr="00015B88">
        <w:tc>
          <w:tcPr>
            <w:tcW w:w="2136" w:type="dxa"/>
            <w:tcBorders>
              <w:top w:val="nil"/>
              <w:left w:val="nil"/>
              <w:bottom w:val="nil"/>
              <w:right w:val="nil"/>
            </w:tcBorders>
          </w:tcPr>
          <w:p w14:paraId="6906AF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407C5A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-0.132</w:t>
            </w:r>
          </w:p>
        </w:tc>
        <w:tc>
          <w:tcPr>
            <w:tcW w:w="1656" w:type="dxa"/>
            <w:tcBorders>
              <w:top w:val="nil"/>
              <w:left w:val="nil"/>
              <w:bottom w:val="nil"/>
              <w:right w:val="nil"/>
            </w:tcBorders>
          </w:tcPr>
          <w:p w14:paraId="7DB9ECD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0.124</w:t>
            </w:r>
          </w:p>
        </w:tc>
        <w:tc>
          <w:tcPr>
            <w:tcW w:w="1656" w:type="dxa"/>
            <w:tcBorders>
              <w:top w:val="nil"/>
              <w:left w:val="nil"/>
              <w:bottom w:val="nil"/>
              <w:right w:val="nil"/>
            </w:tcBorders>
          </w:tcPr>
          <w:p w14:paraId="60BF3E9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-0.126</w:t>
            </w:r>
          </w:p>
        </w:tc>
        <w:tc>
          <w:tcPr>
            <w:tcW w:w="1656" w:type="dxa"/>
            <w:tcBorders>
              <w:top w:val="nil"/>
              <w:left w:val="nil"/>
              <w:bottom w:val="nil"/>
              <w:right w:val="nil"/>
            </w:tcBorders>
          </w:tcPr>
          <w:p w14:paraId="23D1A62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0.0724</w:t>
            </w:r>
          </w:p>
        </w:tc>
        <w:tc>
          <w:tcPr>
            <w:tcW w:w="1656" w:type="dxa"/>
            <w:tcBorders>
              <w:top w:val="nil"/>
              <w:left w:val="nil"/>
              <w:bottom w:val="nil"/>
              <w:right w:val="nil"/>
            </w:tcBorders>
          </w:tcPr>
          <w:p w14:paraId="3CDF60C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-0.0306</w:t>
            </w:r>
          </w:p>
        </w:tc>
      </w:tr>
      <w:tr w:rsidR="00320DC7" w:rsidRPr="002D58CD" w14:paraId="3A7EF54C" w14:textId="77777777" w:rsidTr="00015B88">
        <w:tc>
          <w:tcPr>
            <w:tcW w:w="2136" w:type="dxa"/>
            <w:tcBorders>
              <w:top w:val="nil"/>
              <w:left w:val="nil"/>
              <w:bottom w:val="nil"/>
              <w:right w:val="nil"/>
            </w:tcBorders>
          </w:tcPr>
          <w:p w14:paraId="2EB70EC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F0CC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(-0.81)</w:t>
            </w:r>
          </w:p>
        </w:tc>
        <w:tc>
          <w:tcPr>
            <w:tcW w:w="1656" w:type="dxa"/>
            <w:tcBorders>
              <w:top w:val="nil"/>
              <w:left w:val="nil"/>
              <w:bottom w:val="nil"/>
              <w:right w:val="nil"/>
            </w:tcBorders>
          </w:tcPr>
          <w:p w14:paraId="1F5963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(0.97)</w:t>
            </w:r>
          </w:p>
        </w:tc>
        <w:tc>
          <w:tcPr>
            <w:tcW w:w="1656" w:type="dxa"/>
            <w:tcBorders>
              <w:top w:val="nil"/>
              <w:left w:val="nil"/>
              <w:bottom w:val="nil"/>
              <w:right w:val="nil"/>
            </w:tcBorders>
          </w:tcPr>
          <w:p w14:paraId="43400E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c>
          <w:tcPr>
            <w:tcW w:w="1656" w:type="dxa"/>
            <w:tcBorders>
              <w:top w:val="nil"/>
              <w:left w:val="nil"/>
              <w:bottom w:val="nil"/>
              <w:right w:val="nil"/>
            </w:tcBorders>
          </w:tcPr>
          <w:p w14:paraId="0B7FA03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c>
          <w:tcPr>
            <w:tcW w:w="1656" w:type="dxa"/>
            <w:tcBorders>
              <w:top w:val="nil"/>
              <w:left w:val="nil"/>
              <w:bottom w:val="nil"/>
              <w:right w:val="nil"/>
            </w:tcBorders>
          </w:tcPr>
          <w:p w14:paraId="3A3265F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(-0.50)</w:t>
            </w:r>
          </w:p>
        </w:tc>
      </w:tr>
      <w:tr w:rsidR="00320DC7" w:rsidRPr="002D58CD" w14:paraId="5F905329" w14:textId="77777777" w:rsidTr="00015B88">
        <w:tc>
          <w:tcPr>
            <w:tcW w:w="2136" w:type="dxa"/>
            <w:tcBorders>
              <w:top w:val="nil"/>
              <w:left w:val="nil"/>
              <w:bottom w:val="nil"/>
              <w:right w:val="nil"/>
            </w:tcBorders>
          </w:tcPr>
          <w:p w14:paraId="339537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7B5F9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F9A7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A4D8D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205AC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47122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03570F6" w14:textId="77777777" w:rsidTr="00015B88">
        <w:tc>
          <w:tcPr>
            <w:tcW w:w="2136" w:type="dxa"/>
            <w:tcBorders>
              <w:top w:val="nil"/>
              <w:left w:val="nil"/>
              <w:bottom w:val="nil"/>
              <w:right w:val="nil"/>
            </w:tcBorders>
          </w:tcPr>
          <w:p w14:paraId="3ED3227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44DCF4A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-0.111</w:t>
            </w:r>
          </w:p>
        </w:tc>
        <w:tc>
          <w:tcPr>
            <w:tcW w:w="1656" w:type="dxa"/>
            <w:tcBorders>
              <w:top w:val="nil"/>
              <w:left w:val="nil"/>
              <w:bottom w:val="nil"/>
              <w:right w:val="nil"/>
            </w:tcBorders>
          </w:tcPr>
          <w:p w14:paraId="6BA2C64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-0.0717</w:t>
            </w:r>
          </w:p>
        </w:tc>
        <w:tc>
          <w:tcPr>
            <w:tcW w:w="1656" w:type="dxa"/>
            <w:tcBorders>
              <w:top w:val="nil"/>
              <w:left w:val="nil"/>
              <w:bottom w:val="nil"/>
              <w:right w:val="nil"/>
            </w:tcBorders>
          </w:tcPr>
          <w:p w14:paraId="5E9E0F5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0.159</w:t>
            </w:r>
          </w:p>
        </w:tc>
        <w:tc>
          <w:tcPr>
            <w:tcW w:w="1656" w:type="dxa"/>
            <w:tcBorders>
              <w:top w:val="nil"/>
              <w:left w:val="nil"/>
              <w:bottom w:val="nil"/>
              <w:right w:val="nil"/>
            </w:tcBorders>
          </w:tcPr>
          <w:p w14:paraId="70BFBC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-0.0283</w:t>
            </w:r>
          </w:p>
        </w:tc>
        <w:tc>
          <w:tcPr>
            <w:tcW w:w="1656" w:type="dxa"/>
            <w:tcBorders>
              <w:top w:val="nil"/>
              <w:left w:val="nil"/>
              <w:bottom w:val="nil"/>
              <w:right w:val="nil"/>
            </w:tcBorders>
          </w:tcPr>
          <w:p w14:paraId="06C0742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-0.0941</w:t>
            </w:r>
          </w:p>
        </w:tc>
      </w:tr>
      <w:tr w:rsidR="00320DC7" w:rsidRPr="002D58CD" w14:paraId="79F13E8B" w14:textId="77777777" w:rsidTr="00015B88">
        <w:tc>
          <w:tcPr>
            <w:tcW w:w="2136" w:type="dxa"/>
            <w:tcBorders>
              <w:top w:val="nil"/>
              <w:left w:val="nil"/>
              <w:bottom w:val="nil"/>
              <w:right w:val="nil"/>
            </w:tcBorders>
          </w:tcPr>
          <w:p w14:paraId="3D3B50F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9D745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(-0.83)</w:t>
            </w:r>
          </w:p>
        </w:tc>
        <w:tc>
          <w:tcPr>
            <w:tcW w:w="1656" w:type="dxa"/>
            <w:tcBorders>
              <w:top w:val="nil"/>
              <w:left w:val="nil"/>
              <w:bottom w:val="nil"/>
              <w:right w:val="nil"/>
            </w:tcBorders>
          </w:tcPr>
          <w:p w14:paraId="5E84DCF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(-0.56)</w:t>
            </w:r>
          </w:p>
        </w:tc>
        <w:tc>
          <w:tcPr>
            <w:tcW w:w="1656" w:type="dxa"/>
            <w:tcBorders>
              <w:top w:val="nil"/>
              <w:left w:val="nil"/>
              <w:bottom w:val="nil"/>
              <w:right w:val="nil"/>
            </w:tcBorders>
          </w:tcPr>
          <w:p w14:paraId="2A1D9B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(0.97)</w:t>
            </w:r>
          </w:p>
        </w:tc>
        <w:tc>
          <w:tcPr>
            <w:tcW w:w="1656" w:type="dxa"/>
            <w:tcBorders>
              <w:top w:val="nil"/>
              <w:left w:val="nil"/>
              <w:bottom w:val="nil"/>
              <w:right w:val="nil"/>
            </w:tcBorders>
          </w:tcPr>
          <w:p w14:paraId="4CE007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(-0.31)</w:t>
            </w:r>
          </w:p>
        </w:tc>
        <w:tc>
          <w:tcPr>
            <w:tcW w:w="1656" w:type="dxa"/>
            <w:tcBorders>
              <w:top w:val="nil"/>
              <w:left w:val="nil"/>
              <w:bottom w:val="nil"/>
              <w:right w:val="nil"/>
            </w:tcBorders>
          </w:tcPr>
          <w:p w14:paraId="4987CDD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(-1.47)</w:t>
            </w:r>
          </w:p>
        </w:tc>
      </w:tr>
      <w:tr w:rsidR="00320DC7" w:rsidRPr="002D58CD" w14:paraId="6AB8A4D7" w14:textId="77777777" w:rsidTr="00015B88">
        <w:tc>
          <w:tcPr>
            <w:tcW w:w="2136" w:type="dxa"/>
            <w:tcBorders>
              <w:top w:val="nil"/>
              <w:left w:val="nil"/>
              <w:bottom w:val="nil"/>
              <w:right w:val="nil"/>
            </w:tcBorders>
          </w:tcPr>
          <w:p w14:paraId="36F961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21CAE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70D8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2415A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F15F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B437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EA892F1" w14:textId="77777777" w:rsidTr="00015B88">
        <w:tc>
          <w:tcPr>
            <w:tcW w:w="2136" w:type="dxa"/>
            <w:tcBorders>
              <w:top w:val="nil"/>
              <w:left w:val="nil"/>
              <w:bottom w:val="nil"/>
              <w:right w:val="nil"/>
            </w:tcBorders>
          </w:tcPr>
          <w:p w14:paraId="4898C02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2711195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0.177</w:t>
            </w:r>
          </w:p>
        </w:tc>
        <w:tc>
          <w:tcPr>
            <w:tcW w:w="1656" w:type="dxa"/>
            <w:tcBorders>
              <w:top w:val="nil"/>
              <w:left w:val="nil"/>
              <w:bottom w:val="nil"/>
              <w:right w:val="nil"/>
            </w:tcBorders>
          </w:tcPr>
          <w:p w14:paraId="560547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0.313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239930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0.417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6DE9A6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0.0537</w:t>
            </w:r>
          </w:p>
        </w:tc>
        <w:tc>
          <w:tcPr>
            <w:tcW w:w="1656" w:type="dxa"/>
            <w:tcBorders>
              <w:top w:val="nil"/>
              <w:left w:val="nil"/>
              <w:bottom w:val="nil"/>
              <w:right w:val="nil"/>
            </w:tcBorders>
          </w:tcPr>
          <w:p w14:paraId="64D6C7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-0.0456</w:t>
            </w:r>
          </w:p>
        </w:tc>
      </w:tr>
      <w:tr w:rsidR="00320DC7" w:rsidRPr="002D58CD" w14:paraId="10F16D14" w14:textId="77777777" w:rsidTr="00015B88">
        <w:tc>
          <w:tcPr>
            <w:tcW w:w="2136" w:type="dxa"/>
            <w:tcBorders>
              <w:top w:val="nil"/>
              <w:left w:val="nil"/>
              <w:bottom w:val="nil"/>
              <w:right w:val="nil"/>
            </w:tcBorders>
          </w:tcPr>
          <w:p w14:paraId="4419E35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37ED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(1.77)</w:t>
            </w:r>
          </w:p>
        </w:tc>
        <w:tc>
          <w:tcPr>
            <w:tcW w:w="1656" w:type="dxa"/>
            <w:tcBorders>
              <w:top w:val="nil"/>
              <w:left w:val="nil"/>
              <w:bottom w:val="nil"/>
              <w:right w:val="nil"/>
            </w:tcBorders>
          </w:tcPr>
          <w:p w14:paraId="42969A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(2.37)</w:t>
            </w:r>
          </w:p>
        </w:tc>
        <w:tc>
          <w:tcPr>
            <w:tcW w:w="1656" w:type="dxa"/>
            <w:tcBorders>
              <w:top w:val="nil"/>
              <w:left w:val="nil"/>
              <w:bottom w:val="nil"/>
              <w:right w:val="nil"/>
            </w:tcBorders>
          </w:tcPr>
          <w:p w14:paraId="26A7C13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(2.22)</w:t>
            </w:r>
          </w:p>
        </w:tc>
        <w:tc>
          <w:tcPr>
            <w:tcW w:w="1656" w:type="dxa"/>
            <w:tcBorders>
              <w:top w:val="nil"/>
              <w:left w:val="nil"/>
              <w:bottom w:val="nil"/>
              <w:right w:val="nil"/>
            </w:tcBorders>
          </w:tcPr>
          <w:p w14:paraId="0CAD52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(0.53)</w:t>
            </w:r>
          </w:p>
        </w:tc>
        <w:tc>
          <w:tcPr>
            <w:tcW w:w="1656" w:type="dxa"/>
            <w:tcBorders>
              <w:top w:val="nil"/>
              <w:left w:val="nil"/>
              <w:bottom w:val="nil"/>
              <w:right w:val="nil"/>
            </w:tcBorders>
          </w:tcPr>
          <w:p w14:paraId="703DE11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(-0.80)</w:t>
            </w:r>
          </w:p>
        </w:tc>
      </w:tr>
      <w:tr w:rsidR="00320DC7" w:rsidRPr="002D58CD" w14:paraId="132BC728" w14:textId="77777777" w:rsidTr="00015B88">
        <w:tc>
          <w:tcPr>
            <w:tcW w:w="2136" w:type="dxa"/>
            <w:tcBorders>
              <w:top w:val="nil"/>
              <w:left w:val="nil"/>
              <w:bottom w:val="nil"/>
              <w:right w:val="nil"/>
            </w:tcBorders>
          </w:tcPr>
          <w:p w14:paraId="18F2487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D20F6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A517D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915D6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8929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C1C0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6062889" w14:textId="77777777" w:rsidTr="00015B88">
        <w:tc>
          <w:tcPr>
            <w:tcW w:w="2136" w:type="dxa"/>
            <w:tcBorders>
              <w:top w:val="nil"/>
              <w:left w:val="nil"/>
              <w:bottom w:val="nil"/>
              <w:right w:val="nil"/>
            </w:tcBorders>
          </w:tcPr>
          <w:p w14:paraId="11840D1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11F80B9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0.0307</w:t>
            </w:r>
          </w:p>
        </w:tc>
        <w:tc>
          <w:tcPr>
            <w:tcW w:w="1656" w:type="dxa"/>
            <w:tcBorders>
              <w:top w:val="nil"/>
              <w:left w:val="nil"/>
              <w:bottom w:val="nil"/>
              <w:right w:val="nil"/>
            </w:tcBorders>
          </w:tcPr>
          <w:p w14:paraId="73E19BE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-0.0643</w:t>
            </w:r>
          </w:p>
        </w:tc>
        <w:tc>
          <w:tcPr>
            <w:tcW w:w="1656" w:type="dxa"/>
            <w:tcBorders>
              <w:top w:val="nil"/>
              <w:left w:val="nil"/>
              <w:bottom w:val="nil"/>
              <w:right w:val="nil"/>
            </w:tcBorders>
          </w:tcPr>
          <w:p w14:paraId="312818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0.253</w:t>
            </w:r>
          </w:p>
        </w:tc>
        <w:tc>
          <w:tcPr>
            <w:tcW w:w="1656" w:type="dxa"/>
            <w:tcBorders>
              <w:top w:val="nil"/>
              <w:left w:val="nil"/>
              <w:bottom w:val="nil"/>
              <w:right w:val="nil"/>
            </w:tcBorders>
          </w:tcPr>
          <w:p w14:paraId="6A368BB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-0.0481</w:t>
            </w:r>
          </w:p>
        </w:tc>
        <w:tc>
          <w:tcPr>
            <w:tcW w:w="1656" w:type="dxa"/>
            <w:tcBorders>
              <w:top w:val="nil"/>
              <w:left w:val="nil"/>
              <w:bottom w:val="nil"/>
              <w:right w:val="nil"/>
            </w:tcBorders>
          </w:tcPr>
          <w:p w14:paraId="499BB8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-0.000472</w:t>
            </w:r>
          </w:p>
        </w:tc>
      </w:tr>
      <w:tr w:rsidR="00320DC7" w:rsidRPr="002D58CD" w14:paraId="5F3F56F3" w14:textId="77777777" w:rsidTr="00015B88">
        <w:tc>
          <w:tcPr>
            <w:tcW w:w="2136" w:type="dxa"/>
            <w:tcBorders>
              <w:top w:val="nil"/>
              <w:left w:val="nil"/>
              <w:bottom w:val="nil"/>
              <w:right w:val="nil"/>
            </w:tcBorders>
          </w:tcPr>
          <w:p w14:paraId="654E173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DE689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w:t>
            </w:r>
          </w:p>
        </w:tc>
        <w:tc>
          <w:tcPr>
            <w:tcW w:w="1656" w:type="dxa"/>
            <w:tcBorders>
              <w:top w:val="nil"/>
              <w:left w:val="nil"/>
              <w:bottom w:val="nil"/>
              <w:right w:val="nil"/>
            </w:tcBorders>
          </w:tcPr>
          <w:p w14:paraId="125F0BC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635377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(1.29)</w:t>
            </w:r>
          </w:p>
        </w:tc>
        <w:tc>
          <w:tcPr>
            <w:tcW w:w="1656" w:type="dxa"/>
            <w:tcBorders>
              <w:top w:val="nil"/>
              <w:left w:val="nil"/>
              <w:bottom w:val="nil"/>
              <w:right w:val="nil"/>
            </w:tcBorders>
          </w:tcPr>
          <w:p w14:paraId="1413E28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c>
          <w:tcPr>
            <w:tcW w:w="1656" w:type="dxa"/>
            <w:tcBorders>
              <w:top w:val="nil"/>
              <w:left w:val="nil"/>
              <w:bottom w:val="nil"/>
              <w:right w:val="nil"/>
            </w:tcBorders>
          </w:tcPr>
          <w:p w14:paraId="59E5C8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r>
      <w:tr w:rsidR="00320DC7" w:rsidRPr="002D58CD" w14:paraId="373FE5B5" w14:textId="77777777" w:rsidTr="00015B88">
        <w:tc>
          <w:tcPr>
            <w:tcW w:w="2136" w:type="dxa"/>
            <w:tcBorders>
              <w:top w:val="nil"/>
              <w:left w:val="nil"/>
              <w:bottom w:val="nil"/>
              <w:right w:val="nil"/>
            </w:tcBorders>
          </w:tcPr>
          <w:p w14:paraId="1BF788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2D80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9CF3A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3D46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2FFB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D8D3B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4522B39" w14:textId="77777777" w:rsidTr="00015B88">
        <w:tc>
          <w:tcPr>
            <w:tcW w:w="2136" w:type="dxa"/>
            <w:tcBorders>
              <w:top w:val="nil"/>
              <w:left w:val="nil"/>
              <w:bottom w:val="nil"/>
              <w:right w:val="nil"/>
            </w:tcBorders>
          </w:tcPr>
          <w:p w14:paraId="295C27B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4F6D9FC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-0.0543</w:t>
            </w:r>
          </w:p>
        </w:tc>
        <w:tc>
          <w:tcPr>
            <w:tcW w:w="1656" w:type="dxa"/>
            <w:tcBorders>
              <w:top w:val="nil"/>
              <w:left w:val="nil"/>
              <w:bottom w:val="nil"/>
              <w:right w:val="nil"/>
            </w:tcBorders>
          </w:tcPr>
          <w:p w14:paraId="3B987E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-0.106</w:t>
            </w:r>
          </w:p>
        </w:tc>
        <w:tc>
          <w:tcPr>
            <w:tcW w:w="1656" w:type="dxa"/>
            <w:tcBorders>
              <w:top w:val="nil"/>
              <w:left w:val="nil"/>
              <w:bottom w:val="nil"/>
              <w:right w:val="nil"/>
            </w:tcBorders>
          </w:tcPr>
          <w:p w14:paraId="6434E8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-0.251</w:t>
            </w:r>
          </w:p>
        </w:tc>
        <w:tc>
          <w:tcPr>
            <w:tcW w:w="1656" w:type="dxa"/>
            <w:tcBorders>
              <w:top w:val="nil"/>
              <w:left w:val="nil"/>
              <w:bottom w:val="nil"/>
              <w:right w:val="nil"/>
            </w:tcBorders>
          </w:tcPr>
          <w:p w14:paraId="5CD644C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0.0582</w:t>
            </w:r>
          </w:p>
        </w:tc>
        <w:tc>
          <w:tcPr>
            <w:tcW w:w="1656" w:type="dxa"/>
            <w:tcBorders>
              <w:top w:val="nil"/>
              <w:left w:val="nil"/>
              <w:bottom w:val="nil"/>
              <w:right w:val="nil"/>
            </w:tcBorders>
          </w:tcPr>
          <w:p w14:paraId="231915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-0.00881</w:t>
            </w:r>
          </w:p>
        </w:tc>
      </w:tr>
      <w:tr w:rsidR="00320DC7" w:rsidRPr="002D58CD" w14:paraId="616FE997" w14:textId="77777777" w:rsidTr="00015B88">
        <w:tc>
          <w:tcPr>
            <w:tcW w:w="2136" w:type="dxa"/>
            <w:tcBorders>
              <w:top w:val="nil"/>
              <w:left w:val="nil"/>
              <w:bottom w:val="nil"/>
              <w:right w:val="nil"/>
            </w:tcBorders>
          </w:tcPr>
          <w:p w14:paraId="2F50E8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FFB1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(-0.46)</w:t>
            </w:r>
          </w:p>
        </w:tc>
        <w:tc>
          <w:tcPr>
            <w:tcW w:w="1656" w:type="dxa"/>
            <w:tcBorders>
              <w:top w:val="nil"/>
              <w:left w:val="nil"/>
              <w:bottom w:val="nil"/>
              <w:right w:val="nil"/>
            </w:tcBorders>
          </w:tcPr>
          <w:p w14:paraId="655106D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(-0.99)</w:t>
            </w:r>
          </w:p>
        </w:tc>
        <w:tc>
          <w:tcPr>
            <w:tcW w:w="1656" w:type="dxa"/>
            <w:tcBorders>
              <w:top w:val="nil"/>
              <w:left w:val="nil"/>
              <w:bottom w:val="nil"/>
              <w:right w:val="nil"/>
            </w:tcBorders>
          </w:tcPr>
          <w:p w14:paraId="707FD4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(-1.29)</w:t>
            </w:r>
          </w:p>
        </w:tc>
        <w:tc>
          <w:tcPr>
            <w:tcW w:w="1656" w:type="dxa"/>
            <w:tcBorders>
              <w:top w:val="nil"/>
              <w:left w:val="nil"/>
              <w:bottom w:val="nil"/>
              <w:right w:val="nil"/>
            </w:tcBorders>
          </w:tcPr>
          <w:p w14:paraId="7319314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(0.61)</w:t>
            </w:r>
          </w:p>
        </w:tc>
        <w:tc>
          <w:tcPr>
            <w:tcW w:w="1656" w:type="dxa"/>
            <w:tcBorders>
              <w:top w:val="nil"/>
              <w:left w:val="nil"/>
              <w:bottom w:val="nil"/>
              <w:right w:val="nil"/>
            </w:tcBorders>
          </w:tcPr>
          <w:p w14:paraId="2883C02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w:t>
            </w:r>
          </w:p>
        </w:tc>
      </w:tr>
      <w:tr w:rsidR="00320DC7" w:rsidRPr="002D58CD" w14:paraId="7343A0BB" w14:textId="77777777" w:rsidTr="00015B88">
        <w:tc>
          <w:tcPr>
            <w:tcW w:w="2136" w:type="dxa"/>
            <w:tcBorders>
              <w:top w:val="nil"/>
              <w:left w:val="nil"/>
              <w:bottom w:val="nil"/>
              <w:right w:val="nil"/>
            </w:tcBorders>
          </w:tcPr>
          <w:p w14:paraId="1D6139F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AB3F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D6094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2DE13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27179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C1A0D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846DF5B" w14:textId="77777777" w:rsidTr="00015B88">
        <w:tc>
          <w:tcPr>
            <w:tcW w:w="2136" w:type="dxa"/>
            <w:tcBorders>
              <w:top w:val="nil"/>
              <w:left w:val="nil"/>
              <w:bottom w:val="nil"/>
              <w:right w:val="nil"/>
            </w:tcBorders>
          </w:tcPr>
          <w:p w14:paraId="047A1D3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5BBFCDC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-0.0852</w:t>
            </w:r>
          </w:p>
        </w:tc>
        <w:tc>
          <w:tcPr>
            <w:tcW w:w="1656" w:type="dxa"/>
            <w:tcBorders>
              <w:top w:val="nil"/>
              <w:left w:val="nil"/>
              <w:bottom w:val="nil"/>
              <w:right w:val="nil"/>
            </w:tcBorders>
          </w:tcPr>
          <w:p w14:paraId="68461C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0.0507</w:t>
            </w:r>
          </w:p>
        </w:tc>
        <w:tc>
          <w:tcPr>
            <w:tcW w:w="1656" w:type="dxa"/>
            <w:tcBorders>
              <w:top w:val="nil"/>
              <w:left w:val="nil"/>
              <w:bottom w:val="nil"/>
              <w:right w:val="nil"/>
            </w:tcBorders>
          </w:tcPr>
          <w:p w14:paraId="64BB0A2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-0.139</w:t>
            </w:r>
          </w:p>
        </w:tc>
        <w:tc>
          <w:tcPr>
            <w:tcW w:w="1656" w:type="dxa"/>
            <w:tcBorders>
              <w:top w:val="nil"/>
              <w:left w:val="nil"/>
              <w:bottom w:val="nil"/>
              <w:right w:val="nil"/>
            </w:tcBorders>
          </w:tcPr>
          <w:p w14:paraId="7681695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0.00510</w:t>
            </w:r>
          </w:p>
        </w:tc>
        <w:tc>
          <w:tcPr>
            <w:tcW w:w="1656" w:type="dxa"/>
            <w:tcBorders>
              <w:top w:val="nil"/>
              <w:left w:val="nil"/>
              <w:bottom w:val="nil"/>
              <w:right w:val="nil"/>
            </w:tcBorders>
          </w:tcPr>
          <w:p w14:paraId="5DB3DD8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0.0446</w:t>
            </w:r>
          </w:p>
        </w:tc>
      </w:tr>
      <w:tr w:rsidR="00320DC7" w:rsidRPr="002D58CD" w14:paraId="1B7DDA12" w14:textId="77777777" w:rsidTr="00015B88">
        <w:tc>
          <w:tcPr>
            <w:tcW w:w="2136" w:type="dxa"/>
            <w:tcBorders>
              <w:top w:val="nil"/>
              <w:left w:val="nil"/>
              <w:bottom w:val="nil"/>
              <w:right w:val="nil"/>
            </w:tcBorders>
          </w:tcPr>
          <w:p w14:paraId="31F3994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CE0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c>
          <w:tcPr>
            <w:tcW w:w="1656" w:type="dxa"/>
            <w:tcBorders>
              <w:top w:val="nil"/>
              <w:left w:val="nil"/>
              <w:bottom w:val="nil"/>
              <w:right w:val="nil"/>
            </w:tcBorders>
          </w:tcPr>
          <w:p w14:paraId="4548FF6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(0.49)</w:t>
            </w:r>
          </w:p>
        </w:tc>
        <w:tc>
          <w:tcPr>
            <w:tcW w:w="1656" w:type="dxa"/>
            <w:tcBorders>
              <w:top w:val="nil"/>
              <w:left w:val="nil"/>
              <w:bottom w:val="nil"/>
              <w:right w:val="nil"/>
            </w:tcBorders>
          </w:tcPr>
          <w:p w14:paraId="1C7A9FD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(-0.82)</w:t>
            </w:r>
          </w:p>
        </w:tc>
        <w:tc>
          <w:tcPr>
            <w:tcW w:w="1656" w:type="dxa"/>
            <w:tcBorders>
              <w:top w:val="nil"/>
              <w:left w:val="nil"/>
              <w:bottom w:val="nil"/>
              <w:right w:val="nil"/>
            </w:tcBorders>
          </w:tcPr>
          <w:p w14:paraId="2752759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w:t>
            </w:r>
          </w:p>
        </w:tc>
        <w:tc>
          <w:tcPr>
            <w:tcW w:w="1656" w:type="dxa"/>
            <w:tcBorders>
              <w:top w:val="nil"/>
              <w:left w:val="nil"/>
              <w:bottom w:val="nil"/>
              <w:right w:val="nil"/>
            </w:tcBorders>
          </w:tcPr>
          <w:p w14:paraId="2174DE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(0.77)</w:t>
            </w:r>
          </w:p>
        </w:tc>
      </w:tr>
      <w:tr w:rsidR="00320DC7" w:rsidRPr="002D58CD" w14:paraId="7DEA35A4" w14:textId="77777777" w:rsidTr="00015B88">
        <w:tc>
          <w:tcPr>
            <w:tcW w:w="2136" w:type="dxa"/>
            <w:tcBorders>
              <w:top w:val="nil"/>
              <w:left w:val="nil"/>
              <w:bottom w:val="nil"/>
              <w:right w:val="nil"/>
            </w:tcBorders>
          </w:tcPr>
          <w:p w14:paraId="4623A2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2918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61D2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78EF4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F702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FE2BF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FC6E373" w14:textId="77777777" w:rsidTr="00015B88">
        <w:tc>
          <w:tcPr>
            <w:tcW w:w="2136" w:type="dxa"/>
            <w:tcBorders>
              <w:top w:val="nil"/>
              <w:left w:val="nil"/>
              <w:bottom w:val="nil"/>
              <w:right w:val="nil"/>
            </w:tcBorders>
          </w:tcPr>
          <w:p w14:paraId="1D18BF4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596ED37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-0.0138</w:t>
            </w:r>
          </w:p>
        </w:tc>
        <w:tc>
          <w:tcPr>
            <w:tcW w:w="1656" w:type="dxa"/>
            <w:tcBorders>
              <w:top w:val="nil"/>
              <w:left w:val="nil"/>
              <w:bottom w:val="nil"/>
              <w:right w:val="nil"/>
            </w:tcBorders>
          </w:tcPr>
          <w:p w14:paraId="0BB28F4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0.0760</w:t>
            </w:r>
          </w:p>
        </w:tc>
        <w:tc>
          <w:tcPr>
            <w:tcW w:w="1656" w:type="dxa"/>
            <w:tcBorders>
              <w:top w:val="nil"/>
              <w:left w:val="nil"/>
              <w:bottom w:val="nil"/>
              <w:right w:val="nil"/>
            </w:tcBorders>
          </w:tcPr>
          <w:p w14:paraId="5C2FB9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-0.172</w:t>
            </w:r>
          </w:p>
        </w:tc>
        <w:tc>
          <w:tcPr>
            <w:tcW w:w="1656" w:type="dxa"/>
            <w:tcBorders>
              <w:top w:val="nil"/>
              <w:left w:val="nil"/>
              <w:bottom w:val="nil"/>
              <w:right w:val="nil"/>
            </w:tcBorders>
          </w:tcPr>
          <w:p w14:paraId="2DE50B1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0.0813</w:t>
            </w:r>
          </w:p>
        </w:tc>
        <w:tc>
          <w:tcPr>
            <w:tcW w:w="1656" w:type="dxa"/>
            <w:tcBorders>
              <w:top w:val="nil"/>
              <w:left w:val="nil"/>
              <w:bottom w:val="nil"/>
              <w:right w:val="nil"/>
            </w:tcBorders>
          </w:tcPr>
          <w:p w14:paraId="46E6D0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-0.0345</w:t>
            </w:r>
          </w:p>
        </w:tc>
      </w:tr>
      <w:tr w:rsidR="00320DC7" w:rsidRPr="002D58CD" w14:paraId="6AC1833D" w14:textId="77777777" w:rsidTr="00015B88">
        <w:tc>
          <w:tcPr>
            <w:tcW w:w="2136" w:type="dxa"/>
            <w:tcBorders>
              <w:top w:val="nil"/>
              <w:left w:val="nil"/>
              <w:bottom w:val="nil"/>
              <w:right w:val="nil"/>
            </w:tcBorders>
          </w:tcPr>
          <w:p w14:paraId="2C107CE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3B6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w:t>
            </w:r>
          </w:p>
        </w:tc>
        <w:tc>
          <w:tcPr>
            <w:tcW w:w="1656" w:type="dxa"/>
            <w:tcBorders>
              <w:top w:val="nil"/>
              <w:left w:val="nil"/>
              <w:bottom w:val="nil"/>
              <w:right w:val="nil"/>
            </w:tcBorders>
          </w:tcPr>
          <w:p w14:paraId="30C2BDE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c>
          <w:tcPr>
            <w:tcW w:w="1656" w:type="dxa"/>
            <w:tcBorders>
              <w:top w:val="nil"/>
              <w:left w:val="nil"/>
              <w:bottom w:val="nil"/>
              <w:right w:val="nil"/>
            </w:tcBorders>
          </w:tcPr>
          <w:p w14:paraId="39FBA01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(-1.30)</w:t>
            </w:r>
          </w:p>
        </w:tc>
        <w:tc>
          <w:tcPr>
            <w:tcW w:w="1656" w:type="dxa"/>
            <w:tcBorders>
              <w:top w:val="nil"/>
              <w:left w:val="nil"/>
              <w:bottom w:val="nil"/>
              <w:right w:val="nil"/>
            </w:tcBorders>
          </w:tcPr>
          <w:p w14:paraId="053A023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c>
          <w:tcPr>
            <w:tcW w:w="1656" w:type="dxa"/>
            <w:tcBorders>
              <w:top w:val="nil"/>
              <w:left w:val="nil"/>
              <w:bottom w:val="nil"/>
              <w:right w:val="nil"/>
            </w:tcBorders>
          </w:tcPr>
          <w:p w14:paraId="1D7348E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r>
      <w:tr w:rsidR="00320DC7" w:rsidRPr="002D58CD" w14:paraId="2DF6A89B" w14:textId="77777777" w:rsidTr="00015B88">
        <w:tc>
          <w:tcPr>
            <w:tcW w:w="2136" w:type="dxa"/>
            <w:tcBorders>
              <w:top w:val="nil"/>
              <w:left w:val="nil"/>
              <w:bottom w:val="nil"/>
              <w:right w:val="nil"/>
            </w:tcBorders>
          </w:tcPr>
          <w:p w14:paraId="1CD49E8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D2024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D11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97EE5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9FCB9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1174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959A8A2" w14:textId="77777777" w:rsidTr="00015B88">
        <w:tc>
          <w:tcPr>
            <w:tcW w:w="2136" w:type="dxa"/>
            <w:tcBorders>
              <w:top w:val="nil"/>
              <w:left w:val="nil"/>
              <w:bottom w:val="nil"/>
              <w:right w:val="nil"/>
            </w:tcBorders>
          </w:tcPr>
          <w:p w14:paraId="6AAF03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 xml:space="preserve">L9.(Lack of) Irregular CB </w:t>
            </w:r>
            <w:r w:rsidRPr="002D58CD">
              <w:rPr>
                <w:rFonts w:ascii="Times New Roman" w:hAnsi="Times New Roman" w:cs="Times New Roman"/>
                <w:sz w:val="16"/>
                <w:szCs w:val="16"/>
              </w:rPr>
              <w:lastRenderedPageBreak/>
              <w:t>Governor Turnover (higher = more de facto CBI)</w:t>
            </w:r>
          </w:p>
        </w:tc>
        <w:tc>
          <w:tcPr>
            <w:tcW w:w="1656" w:type="dxa"/>
            <w:tcBorders>
              <w:top w:val="nil"/>
              <w:left w:val="nil"/>
              <w:bottom w:val="nil"/>
              <w:right w:val="nil"/>
            </w:tcBorders>
          </w:tcPr>
          <w:p w14:paraId="57231A2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lastRenderedPageBreak/>
              <w:t>-0.389</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8AF34C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-0.105</w:t>
            </w:r>
          </w:p>
        </w:tc>
        <w:tc>
          <w:tcPr>
            <w:tcW w:w="1656" w:type="dxa"/>
            <w:tcBorders>
              <w:top w:val="nil"/>
              <w:left w:val="nil"/>
              <w:bottom w:val="nil"/>
              <w:right w:val="nil"/>
            </w:tcBorders>
          </w:tcPr>
          <w:p w14:paraId="748915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-0.193</w:t>
            </w:r>
          </w:p>
        </w:tc>
        <w:tc>
          <w:tcPr>
            <w:tcW w:w="1656" w:type="dxa"/>
            <w:tcBorders>
              <w:top w:val="nil"/>
              <w:left w:val="nil"/>
              <w:bottom w:val="nil"/>
              <w:right w:val="nil"/>
            </w:tcBorders>
          </w:tcPr>
          <w:p w14:paraId="4A07F41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0.0129</w:t>
            </w:r>
          </w:p>
        </w:tc>
        <w:tc>
          <w:tcPr>
            <w:tcW w:w="1656" w:type="dxa"/>
            <w:tcBorders>
              <w:top w:val="nil"/>
              <w:left w:val="nil"/>
              <w:bottom w:val="nil"/>
              <w:right w:val="nil"/>
            </w:tcBorders>
          </w:tcPr>
          <w:p w14:paraId="2E2C6CE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-0.0192</w:t>
            </w:r>
          </w:p>
        </w:tc>
      </w:tr>
      <w:tr w:rsidR="00320DC7" w:rsidRPr="002D58CD" w14:paraId="4495CDE2" w14:textId="77777777" w:rsidTr="00015B88">
        <w:tc>
          <w:tcPr>
            <w:tcW w:w="2136" w:type="dxa"/>
            <w:tcBorders>
              <w:top w:val="nil"/>
              <w:left w:val="nil"/>
              <w:bottom w:val="nil"/>
              <w:right w:val="nil"/>
            </w:tcBorders>
          </w:tcPr>
          <w:p w14:paraId="7FA7583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EF4E0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(-2.03)</w:t>
            </w:r>
          </w:p>
        </w:tc>
        <w:tc>
          <w:tcPr>
            <w:tcW w:w="1656" w:type="dxa"/>
            <w:tcBorders>
              <w:top w:val="nil"/>
              <w:left w:val="nil"/>
              <w:bottom w:val="nil"/>
              <w:right w:val="nil"/>
            </w:tcBorders>
          </w:tcPr>
          <w:p w14:paraId="64924B7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(-0.68)</w:t>
            </w:r>
          </w:p>
        </w:tc>
        <w:tc>
          <w:tcPr>
            <w:tcW w:w="1656" w:type="dxa"/>
            <w:tcBorders>
              <w:top w:val="nil"/>
              <w:left w:val="nil"/>
              <w:bottom w:val="nil"/>
              <w:right w:val="nil"/>
            </w:tcBorders>
          </w:tcPr>
          <w:p w14:paraId="5B6639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c>
          <w:tcPr>
            <w:tcW w:w="1656" w:type="dxa"/>
            <w:tcBorders>
              <w:top w:val="nil"/>
              <w:left w:val="nil"/>
              <w:bottom w:val="nil"/>
              <w:right w:val="nil"/>
            </w:tcBorders>
          </w:tcPr>
          <w:p w14:paraId="7BB3D8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3D7B772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(-0.36)</w:t>
            </w:r>
          </w:p>
        </w:tc>
      </w:tr>
      <w:tr w:rsidR="00320DC7" w:rsidRPr="002D58CD" w14:paraId="4DD68AFB" w14:textId="77777777" w:rsidTr="00015B88">
        <w:tc>
          <w:tcPr>
            <w:tcW w:w="2136" w:type="dxa"/>
            <w:tcBorders>
              <w:top w:val="nil"/>
              <w:left w:val="nil"/>
              <w:bottom w:val="nil"/>
              <w:right w:val="nil"/>
            </w:tcBorders>
          </w:tcPr>
          <w:p w14:paraId="420826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CC106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EE3A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8FCD5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5566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F7DB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64091A2" w14:textId="77777777" w:rsidTr="00015B88">
        <w:tc>
          <w:tcPr>
            <w:tcW w:w="2136" w:type="dxa"/>
            <w:tcBorders>
              <w:top w:val="nil"/>
              <w:left w:val="nil"/>
              <w:bottom w:val="nil"/>
              <w:right w:val="nil"/>
            </w:tcBorders>
          </w:tcPr>
          <w:p w14:paraId="3A9E8D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6F9B21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0.0854</w:t>
            </w:r>
          </w:p>
        </w:tc>
        <w:tc>
          <w:tcPr>
            <w:tcW w:w="1656" w:type="dxa"/>
            <w:tcBorders>
              <w:top w:val="nil"/>
              <w:left w:val="nil"/>
              <w:bottom w:val="nil"/>
              <w:right w:val="nil"/>
            </w:tcBorders>
          </w:tcPr>
          <w:p w14:paraId="2D58C5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-0.209</w:t>
            </w:r>
          </w:p>
        </w:tc>
        <w:tc>
          <w:tcPr>
            <w:tcW w:w="1656" w:type="dxa"/>
            <w:tcBorders>
              <w:top w:val="nil"/>
              <w:left w:val="nil"/>
              <w:bottom w:val="nil"/>
              <w:right w:val="nil"/>
            </w:tcBorders>
          </w:tcPr>
          <w:p w14:paraId="41AB68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-0.118</w:t>
            </w:r>
          </w:p>
        </w:tc>
        <w:tc>
          <w:tcPr>
            <w:tcW w:w="1656" w:type="dxa"/>
            <w:tcBorders>
              <w:top w:val="nil"/>
              <w:left w:val="nil"/>
              <w:bottom w:val="nil"/>
              <w:right w:val="nil"/>
            </w:tcBorders>
          </w:tcPr>
          <w:p w14:paraId="67DE9A2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0.0756</w:t>
            </w:r>
          </w:p>
        </w:tc>
        <w:tc>
          <w:tcPr>
            <w:tcW w:w="1656" w:type="dxa"/>
            <w:tcBorders>
              <w:top w:val="nil"/>
              <w:left w:val="nil"/>
              <w:bottom w:val="nil"/>
              <w:right w:val="nil"/>
            </w:tcBorders>
          </w:tcPr>
          <w:p w14:paraId="61CD26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0.0149</w:t>
            </w:r>
          </w:p>
        </w:tc>
      </w:tr>
      <w:tr w:rsidR="00320DC7" w:rsidRPr="002D58CD" w14:paraId="4381B64F" w14:textId="77777777" w:rsidTr="00015B88">
        <w:tc>
          <w:tcPr>
            <w:tcW w:w="2136" w:type="dxa"/>
            <w:tcBorders>
              <w:top w:val="nil"/>
              <w:left w:val="nil"/>
              <w:bottom w:val="nil"/>
              <w:right w:val="nil"/>
            </w:tcBorders>
          </w:tcPr>
          <w:p w14:paraId="461FB2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0C80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(0.70)</w:t>
            </w:r>
          </w:p>
        </w:tc>
        <w:tc>
          <w:tcPr>
            <w:tcW w:w="1656" w:type="dxa"/>
            <w:tcBorders>
              <w:top w:val="nil"/>
              <w:left w:val="nil"/>
              <w:bottom w:val="nil"/>
              <w:right w:val="nil"/>
            </w:tcBorders>
          </w:tcPr>
          <w:p w14:paraId="7F9929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(-1.58)</w:t>
            </w:r>
          </w:p>
        </w:tc>
        <w:tc>
          <w:tcPr>
            <w:tcW w:w="1656" w:type="dxa"/>
            <w:tcBorders>
              <w:top w:val="nil"/>
              <w:left w:val="nil"/>
              <w:bottom w:val="nil"/>
              <w:right w:val="nil"/>
            </w:tcBorders>
          </w:tcPr>
          <w:p w14:paraId="31DF7E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(-0.70)</w:t>
            </w:r>
          </w:p>
        </w:tc>
        <w:tc>
          <w:tcPr>
            <w:tcW w:w="1656" w:type="dxa"/>
            <w:tcBorders>
              <w:top w:val="nil"/>
              <w:left w:val="nil"/>
              <w:bottom w:val="nil"/>
              <w:right w:val="nil"/>
            </w:tcBorders>
          </w:tcPr>
          <w:p w14:paraId="65FB38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(1.33)</w:t>
            </w:r>
          </w:p>
        </w:tc>
        <w:tc>
          <w:tcPr>
            <w:tcW w:w="1656" w:type="dxa"/>
            <w:tcBorders>
              <w:top w:val="nil"/>
              <w:left w:val="nil"/>
              <w:bottom w:val="nil"/>
              <w:right w:val="nil"/>
            </w:tcBorders>
          </w:tcPr>
          <w:p w14:paraId="71C23BE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(0.30)</w:t>
            </w:r>
          </w:p>
        </w:tc>
      </w:tr>
      <w:tr w:rsidR="00320DC7" w:rsidRPr="002D58CD" w14:paraId="486ACE78" w14:textId="77777777" w:rsidTr="00015B88">
        <w:tc>
          <w:tcPr>
            <w:tcW w:w="2136" w:type="dxa"/>
            <w:tcBorders>
              <w:top w:val="nil"/>
              <w:left w:val="nil"/>
              <w:bottom w:val="nil"/>
              <w:right w:val="nil"/>
            </w:tcBorders>
          </w:tcPr>
          <w:p w14:paraId="623BCB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0D9A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188F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4F6D6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4D8D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9E9FF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4A51ABF" w14:textId="77777777" w:rsidTr="00015B88">
        <w:tc>
          <w:tcPr>
            <w:tcW w:w="2136" w:type="dxa"/>
            <w:tcBorders>
              <w:top w:val="nil"/>
              <w:left w:val="nil"/>
              <w:bottom w:val="nil"/>
              <w:right w:val="nil"/>
            </w:tcBorders>
          </w:tcPr>
          <w:p w14:paraId="447FBD5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2D58CD">
              <w:rPr>
                <w:rFonts w:ascii="Times New Roman" w:hAnsi="Times New Roman" w:cs="Times New Roman"/>
                <w:sz w:val="16"/>
                <w:szCs w:val="16"/>
              </w:rPr>
              <w:t>L.Exchange</w:t>
            </w:r>
            <w:proofErr w:type="spellEnd"/>
            <w:r w:rsidRPr="002D58CD">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38F941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0.0228</w:t>
            </w:r>
          </w:p>
        </w:tc>
        <w:tc>
          <w:tcPr>
            <w:tcW w:w="1656" w:type="dxa"/>
            <w:tcBorders>
              <w:top w:val="nil"/>
              <w:left w:val="nil"/>
              <w:bottom w:val="nil"/>
              <w:right w:val="nil"/>
            </w:tcBorders>
          </w:tcPr>
          <w:p w14:paraId="6630F5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0.0772</w:t>
            </w:r>
          </w:p>
        </w:tc>
        <w:tc>
          <w:tcPr>
            <w:tcW w:w="1656" w:type="dxa"/>
            <w:tcBorders>
              <w:top w:val="nil"/>
              <w:left w:val="nil"/>
              <w:bottom w:val="nil"/>
              <w:right w:val="nil"/>
            </w:tcBorders>
          </w:tcPr>
          <w:p w14:paraId="7F562D3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-0.00193</w:t>
            </w:r>
          </w:p>
        </w:tc>
        <w:tc>
          <w:tcPr>
            <w:tcW w:w="1656" w:type="dxa"/>
            <w:tcBorders>
              <w:top w:val="nil"/>
              <w:left w:val="nil"/>
              <w:bottom w:val="nil"/>
              <w:right w:val="nil"/>
            </w:tcBorders>
          </w:tcPr>
          <w:p w14:paraId="2811FE8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-0.0294</w:t>
            </w:r>
          </w:p>
        </w:tc>
        <w:tc>
          <w:tcPr>
            <w:tcW w:w="1656" w:type="dxa"/>
            <w:tcBorders>
              <w:top w:val="nil"/>
              <w:left w:val="nil"/>
              <w:bottom w:val="nil"/>
              <w:right w:val="nil"/>
            </w:tcBorders>
          </w:tcPr>
          <w:p w14:paraId="555DA5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-0.00229</w:t>
            </w:r>
          </w:p>
        </w:tc>
      </w:tr>
      <w:tr w:rsidR="00320DC7" w:rsidRPr="002D58CD" w14:paraId="63792DC1" w14:textId="77777777" w:rsidTr="00015B88">
        <w:tc>
          <w:tcPr>
            <w:tcW w:w="2136" w:type="dxa"/>
            <w:tcBorders>
              <w:top w:val="nil"/>
              <w:left w:val="nil"/>
              <w:bottom w:val="nil"/>
              <w:right w:val="nil"/>
            </w:tcBorders>
          </w:tcPr>
          <w:p w14:paraId="4CFFC2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E5675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(0.51)</w:t>
            </w:r>
          </w:p>
        </w:tc>
        <w:tc>
          <w:tcPr>
            <w:tcW w:w="1656" w:type="dxa"/>
            <w:tcBorders>
              <w:top w:val="nil"/>
              <w:left w:val="nil"/>
              <w:bottom w:val="nil"/>
              <w:right w:val="nil"/>
            </w:tcBorders>
          </w:tcPr>
          <w:p w14:paraId="1DB9863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(1.90)</w:t>
            </w:r>
          </w:p>
        </w:tc>
        <w:tc>
          <w:tcPr>
            <w:tcW w:w="1656" w:type="dxa"/>
            <w:tcBorders>
              <w:top w:val="nil"/>
              <w:left w:val="nil"/>
              <w:bottom w:val="nil"/>
              <w:right w:val="nil"/>
            </w:tcBorders>
          </w:tcPr>
          <w:p w14:paraId="715F96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c>
          <w:tcPr>
            <w:tcW w:w="1656" w:type="dxa"/>
            <w:tcBorders>
              <w:top w:val="nil"/>
              <w:left w:val="nil"/>
              <w:bottom w:val="nil"/>
              <w:right w:val="nil"/>
            </w:tcBorders>
          </w:tcPr>
          <w:p w14:paraId="7B23128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(-1.88)</w:t>
            </w:r>
          </w:p>
        </w:tc>
        <w:tc>
          <w:tcPr>
            <w:tcW w:w="1656" w:type="dxa"/>
            <w:tcBorders>
              <w:top w:val="nil"/>
              <w:left w:val="nil"/>
              <w:bottom w:val="nil"/>
              <w:right w:val="nil"/>
            </w:tcBorders>
          </w:tcPr>
          <w:p w14:paraId="0B8AB6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(-0.32)</w:t>
            </w:r>
          </w:p>
        </w:tc>
      </w:tr>
      <w:tr w:rsidR="00320DC7" w:rsidRPr="002D58CD" w14:paraId="0C6752D0" w14:textId="77777777" w:rsidTr="00015B88">
        <w:tc>
          <w:tcPr>
            <w:tcW w:w="2136" w:type="dxa"/>
            <w:tcBorders>
              <w:top w:val="nil"/>
              <w:left w:val="nil"/>
              <w:bottom w:val="nil"/>
              <w:right w:val="nil"/>
            </w:tcBorders>
          </w:tcPr>
          <w:p w14:paraId="3ADD404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F86EC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BE0F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0E0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51F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671A4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1CDDF6B" w14:textId="77777777" w:rsidTr="00015B88">
        <w:tc>
          <w:tcPr>
            <w:tcW w:w="2136" w:type="dxa"/>
            <w:tcBorders>
              <w:top w:val="nil"/>
              <w:left w:val="nil"/>
              <w:bottom w:val="nil"/>
              <w:right w:val="nil"/>
            </w:tcBorders>
          </w:tcPr>
          <w:p w14:paraId="72E09A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2D888F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-0.00835</w:t>
            </w:r>
          </w:p>
        </w:tc>
        <w:tc>
          <w:tcPr>
            <w:tcW w:w="1656" w:type="dxa"/>
            <w:tcBorders>
              <w:top w:val="nil"/>
              <w:left w:val="nil"/>
              <w:bottom w:val="nil"/>
              <w:right w:val="nil"/>
            </w:tcBorders>
          </w:tcPr>
          <w:p w14:paraId="6B05C1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-0.0190</w:t>
            </w:r>
          </w:p>
        </w:tc>
        <w:tc>
          <w:tcPr>
            <w:tcW w:w="1656" w:type="dxa"/>
            <w:tcBorders>
              <w:top w:val="nil"/>
              <w:left w:val="nil"/>
              <w:bottom w:val="nil"/>
              <w:right w:val="nil"/>
            </w:tcBorders>
          </w:tcPr>
          <w:p w14:paraId="56D850A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0.0320</w:t>
            </w:r>
          </w:p>
        </w:tc>
        <w:tc>
          <w:tcPr>
            <w:tcW w:w="1656" w:type="dxa"/>
            <w:tcBorders>
              <w:top w:val="nil"/>
              <w:left w:val="nil"/>
              <w:bottom w:val="nil"/>
              <w:right w:val="nil"/>
            </w:tcBorders>
          </w:tcPr>
          <w:p w14:paraId="439AC2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0.0587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2335CB8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0.00958</w:t>
            </w:r>
          </w:p>
        </w:tc>
      </w:tr>
      <w:tr w:rsidR="00320DC7" w:rsidRPr="002D58CD" w14:paraId="353BF382" w14:textId="77777777" w:rsidTr="00015B88">
        <w:tc>
          <w:tcPr>
            <w:tcW w:w="2136" w:type="dxa"/>
            <w:tcBorders>
              <w:top w:val="nil"/>
              <w:left w:val="nil"/>
              <w:bottom w:val="nil"/>
              <w:right w:val="nil"/>
            </w:tcBorders>
          </w:tcPr>
          <w:p w14:paraId="320102D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7767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w:t>
            </w:r>
          </w:p>
        </w:tc>
        <w:tc>
          <w:tcPr>
            <w:tcW w:w="1656" w:type="dxa"/>
            <w:tcBorders>
              <w:top w:val="nil"/>
              <w:left w:val="nil"/>
              <w:bottom w:val="nil"/>
              <w:right w:val="nil"/>
            </w:tcBorders>
          </w:tcPr>
          <w:p w14:paraId="43E92E3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(-0.52)</w:t>
            </w:r>
          </w:p>
        </w:tc>
        <w:tc>
          <w:tcPr>
            <w:tcW w:w="1656" w:type="dxa"/>
            <w:tcBorders>
              <w:top w:val="nil"/>
              <w:left w:val="nil"/>
              <w:bottom w:val="nil"/>
              <w:right w:val="nil"/>
            </w:tcBorders>
          </w:tcPr>
          <w:p w14:paraId="639FC7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(0.57)</w:t>
            </w:r>
          </w:p>
        </w:tc>
        <w:tc>
          <w:tcPr>
            <w:tcW w:w="1656" w:type="dxa"/>
            <w:tcBorders>
              <w:top w:val="nil"/>
              <w:left w:val="nil"/>
              <w:bottom w:val="nil"/>
              <w:right w:val="nil"/>
            </w:tcBorders>
          </w:tcPr>
          <w:p w14:paraId="03A9149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(3.14)</w:t>
            </w:r>
          </w:p>
        </w:tc>
        <w:tc>
          <w:tcPr>
            <w:tcW w:w="1656" w:type="dxa"/>
            <w:tcBorders>
              <w:top w:val="nil"/>
              <w:left w:val="nil"/>
              <w:bottom w:val="nil"/>
              <w:right w:val="nil"/>
            </w:tcBorders>
          </w:tcPr>
          <w:p w14:paraId="0886C4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(1.22)</w:t>
            </w:r>
          </w:p>
        </w:tc>
      </w:tr>
      <w:tr w:rsidR="00320DC7" w:rsidRPr="002D58CD" w14:paraId="64592068" w14:textId="77777777" w:rsidTr="00015B88">
        <w:tc>
          <w:tcPr>
            <w:tcW w:w="2136" w:type="dxa"/>
            <w:tcBorders>
              <w:top w:val="nil"/>
              <w:left w:val="nil"/>
              <w:bottom w:val="nil"/>
              <w:right w:val="nil"/>
            </w:tcBorders>
          </w:tcPr>
          <w:p w14:paraId="57F9A1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8810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BC3C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42DDB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0C4A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C5B26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413B234" w14:textId="77777777" w:rsidTr="00015B88">
        <w:tc>
          <w:tcPr>
            <w:tcW w:w="2136" w:type="dxa"/>
            <w:tcBorders>
              <w:top w:val="nil"/>
              <w:left w:val="nil"/>
              <w:bottom w:val="nil"/>
              <w:right w:val="nil"/>
            </w:tcBorders>
          </w:tcPr>
          <w:p w14:paraId="4A3D289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274A4D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-0.0261</w:t>
            </w:r>
          </w:p>
        </w:tc>
        <w:tc>
          <w:tcPr>
            <w:tcW w:w="1656" w:type="dxa"/>
            <w:tcBorders>
              <w:top w:val="nil"/>
              <w:left w:val="nil"/>
              <w:bottom w:val="nil"/>
              <w:right w:val="nil"/>
            </w:tcBorders>
          </w:tcPr>
          <w:p w14:paraId="6886F1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-0.0322</w:t>
            </w:r>
          </w:p>
        </w:tc>
        <w:tc>
          <w:tcPr>
            <w:tcW w:w="1656" w:type="dxa"/>
            <w:tcBorders>
              <w:top w:val="nil"/>
              <w:left w:val="nil"/>
              <w:bottom w:val="nil"/>
              <w:right w:val="nil"/>
            </w:tcBorders>
          </w:tcPr>
          <w:p w14:paraId="1BE415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0.00164</w:t>
            </w:r>
          </w:p>
        </w:tc>
        <w:tc>
          <w:tcPr>
            <w:tcW w:w="1656" w:type="dxa"/>
            <w:tcBorders>
              <w:top w:val="nil"/>
              <w:left w:val="nil"/>
              <w:bottom w:val="nil"/>
              <w:right w:val="nil"/>
            </w:tcBorders>
          </w:tcPr>
          <w:p w14:paraId="180F2E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-0.0495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973370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-0.0139</w:t>
            </w:r>
          </w:p>
        </w:tc>
      </w:tr>
      <w:tr w:rsidR="00320DC7" w:rsidRPr="002D58CD" w14:paraId="0A17BC1E" w14:textId="77777777" w:rsidTr="00015B88">
        <w:tc>
          <w:tcPr>
            <w:tcW w:w="2136" w:type="dxa"/>
            <w:tcBorders>
              <w:top w:val="nil"/>
              <w:left w:val="nil"/>
              <w:bottom w:val="nil"/>
              <w:right w:val="nil"/>
            </w:tcBorders>
          </w:tcPr>
          <w:p w14:paraId="32A875D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DAA2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(-0.47)</w:t>
            </w:r>
          </w:p>
        </w:tc>
        <w:tc>
          <w:tcPr>
            <w:tcW w:w="1656" w:type="dxa"/>
            <w:tcBorders>
              <w:top w:val="nil"/>
              <w:left w:val="nil"/>
              <w:bottom w:val="nil"/>
              <w:right w:val="nil"/>
            </w:tcBorders>
          </w:tcPr>
          <w:p w14:paraId="1E36377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(-0.65)</w:t>
            </w:r>
          </w:p>
        </w:tc>
        <w:tc>
          <w:tcPr>
            <w:tcW w:w="1656" w:type="dxa"/>
            <w:tcBorders>
              <w:top w:val="nil"/>
              <w:left w:val="nil"/>
              <w:bottom w:val="nil"/>
              <w:right w:val="nil"/>
            </w:tcBorders>
          </w:tcPr>
          <w:p w14:paraId="20FBD0F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w:t>
            </w:r>
          </w:p>
        </w:tc>
        <w:tc>
          <w:tcPr>
            <w:tcW w:w="1656" w:type="dxa"/>
            <w:tcBorders>
              <w:top w:val="nil"/>
              <w:left w:val="nil"/>
              <w:bottom w:val="nil"/>
              <w:right w:val="nil"/>
            </w:tcBorders>
          </w:tcPr>
          <w:p w14:paraId="778D49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(-2.23)</w:t>
            </w:r>
          </w:p>
        </w:tc>
        <w:tc>
          <w:tcPr>
            <w:tcW w:w="1656" w:type="dxa"/>
            <w:tcBorders>
              <w:top w:val="nil"/>
              <w:left w:val="nil"/>
              <w:bottom w:val="nil"/>
              <w:right w:val="nil"/>
            </w:tcBorders>
          </w:tcPr>
          <w:p w14:paraId="023D70A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(-1.60)</w:t>
            </w:r>
          </w:p>
        </w:tc>
      </w:tr>
      <w:tr w:rsidR="00320DC7" w:rsidRPr="002D58CD" w14:paraId="33336A78" w14:textId="77777777" w:rsidTr="00015B88">
        <w:tc>
          <w:tcPr>
            <w:tcW w:w="2136" w:type="dxa"/>
            <w:tcBorders>
              <w:top w:val="nil"/>
              <w:left w:val="nil"/>
              <w:bottom w:val="nil"/>
              <w:right w:val="nil"/>
            </w:tcBorders>
          </w:tcPr>
          <w:p w14:paraId="4B9891A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7D04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9F107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652D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E48D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122C1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AA317C5" w14:textId="77777777" w:rsidTr="00015B88">
        <w:tc>
          <w:tcPr>
            <w:tcW w:w="2136" w:type="dxa"/>
            <w:tcBorders>
              <w:top w:val="nil"/>
              <w:left w:val="nil"/>
              <w:bottom w:val="nil"/>
              <w:right w:val="nil"/>
            </w:tcBorders>
          </w:tcPr>
          <w:p w14:paraId="568842E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47B72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0.0518</w:t>
            </w:r>
          </w:p>
        </w:tc>
        <w:tc>
          <w:tcPr>
            <w:tcW w:w="1656" w:type="dxa"/>
            <w:tcBorders>
              <w:top w:val="nil"/>
              <w:left w:val="nil"/>
              <w:bottom w:val="nil"/>
              <w:right w:val="nil"/>
            </w:tcBorders>
          </w:tcPr>
          <w:p w14:paraId="4EE1CFF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0.0359</w:t>
            </w:r>
          </w:p>
        </w:tc>
        <w:tc>
          <w:tcPr>
            <w:tcW w:w="1656" w:type="dxa"/>
            <w:tcBorders>
              <w:top w:val="nil"/>
              <w:left w:val="nil"/>
              <w:bottom w:val="nil"/>
              <w:right w:val="nil"/>
            </w:tcBorders>
          </w:tcPr>
          <w:p w14:paraId="47F4D13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0.0923</w:t>
            </w:r>
          </w:p>
        </w:tc>
        <w:tc>
          <w:tcPr>
            <w:tcW w:w="1656" w:type="dxa"/>
            <w:tcBorders>
              <w:top w:val="nil"/>
              <w:left w:val="nil"/>
              <w:bottom w:val="nil"/>
              <w:right w:val="nil"/>
            </w:tcBorders>
          </w:tcPr>
          <w:p w14:paraId="160AD6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0.0189</w:t>
            </w:r>
          </w:p>
        </w:tc>
        <w:tc>
          <w:tcPr>
            <w:tcW w:w="1656" w:type="dxa"/>
            <w:tcBorders>
              <w:top w:val="nil"/>
              <w:left w:val="nil"/>
              <w:bottom w:val="nil"/>
              <w:right w:val="nil"/>
            </w:tcBorders>
          </w:tcPr>
          <w:p w14:paraId="38C8CE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-0.00239</w:t>
            </w:r>
          </w:p>
        </w:tc>
      </w:tr>
      <w:tr w:rsidR="00320DC7" w:rsidRPr="002D58CD" w14:paraId="70D78F82" w14:textId="77777777" w:rsidTr="00015B88">
        <w:tc>
          <w:tcPr>
            <w:tcW w:w="2136" w:type="dxa"/>
            <w:tcBorders>
              <w:top w:val="nil"/>
              <w:left w:val="nil"/>
              <w:bottom w:val="nil"/>
              <w:right w:val="nil"/>
            </w:tcBorders>
          </w:tcPr>
          <w:p w14:paraId="2DD3859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874A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(1.07)</w:t>
            </w:r>
          </w:p>
        </w:tc>
        <w:tc>
          <w:tcPr>
            <w:tcW w:w="1656" w:type="dxa"/>
            <w:tcBorders>
              <w:top w:val="nil"/>
              <w:left w:val="nil"/>
              <w:bottom w:val="nil"/>
              <w:right w:val="nil"/>
            </w:tcBorders>
          </w:tcPr>
          <w:p w14:paraId="0D5F139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c>
          <w:tcPr>
            <w:tcW w:w="1656" w:type="dxa"/>
            <w:tcBorders>
              <w:top w:val="nil"/>
              <w:left w:val="nil"/>
              <w:bottom w:val="nil"/>
              <w:right w:val="nil"/>
            </w:tcBorders>
          </w:tcPr>
          <w:p w14:paraId="138040A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(1.42)</w:t>
            </w:r>
          </w:p>
        </w:tc>
        <w:tc>
          <w:tcPr>
            <w:tcW w:w="1656" w:type="dxa"/>
            <w:tcBorders>
              <w:top w:val="nil"/>
              <w:left w:val="nil"/>
              <w:bottom w:val="nil"/>
              <w:right w:val="nil"/>
            </w:tcBorders>
          </w:tcPr>
          <w:p w14:paraId="3A3E3A7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(1.29)</w:t>
            </w:r>
          </w:p>
        </w:tc>
        <w:tc>
          <w:tcPr>
            <w:tcW w:w="1656" w:type="dxa"/>
            <w:tcBorders>
              <w:top w:val="nil"/>
              <w:left w:val="nil"/>
              <w:bottom w:val="nil"/>
              <w:right w:val="nil"/>
            </w:tcBorders>
          </w:tcPr>
          <w:p w14:paraId="0055A6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(-0.31)</w:t>
            </w:r>
          </w:p>
        </w:tc>
      </w:tr>
      <w:tr w:rsidR="00320DC7" w:rsidRPr="002D58CD" w14:paraId="3D97DFF5" w14:textId="77777777" w:rsidTr="00015B88">
        <w:tc>
          <w:tcPr>
            <w:tcW w:w="2136" w:type="dxa"/>
            <w:tcBorders>
              <w:top w:val="nil"/>
              <w:left w:val="nil"/>
              <w:bottom w:val="nil"/>
              <w:right w:val="nil"/>
            </w:tcBorders>
          </w:tcPr>
          <w:p w14:paraId="18A9592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CDF6D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82C55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D92F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F42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6FD7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F2C1C75" w14:textId="77777777" w:rsidTr="00015B88">
        <w:tc>
          <w:tcPr>
            <w:tcW w:w="2136" w:type="dxa"/>
            <w:tcBorders>
              <w:top w:val="nil"/>
              <w:left w:val="nil"/>
              <w:bottom w:val="nil"/>
              <w:right w:val="nil"/>
            </w:tcBorders>
          </w:tcPr>
          <w:p w14:paraId="0677864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32674E8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-0.0117</w:t>
            </w:r>
          </w:p>
        </w:tc>
        <w:tc>
          <w:tcPr>
            <w:tcW w:w="1656" w:type="dxa"/>
            <w:tcBorders>
              <w:top w:val="nil"/>
              <w:left w:val="nil"/>
              <w:bottom w:val="nil"/>
              <w:right w:val="nil"/>
            </w:tcBorders>
          </w:tcPr>
          <w:p w14:paraId="403D3B4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-0.0650</w:t>
            </w:r>
          </w:p>
        </w:tc>
        <w:tc>
          <w:tcPr>
            <w:tcW w:w="1656" w:type="dxa"/>
            <w:tcBorders>
              <w:top w:val="nil"/>
              <w:left w:val="nil"/>
              <w:bottom w:val="nil"/>
              <w:right w:val="nil"/>
            </w:tcBorders>
          </w:tcPr>
          <w:p w14:paraId="08172A1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-0.0694</w:t>
            </w:r>
          </w:p>
        </w:tc>
        <w:tc>
          <w:tcPr>
            <w:tcW w:w="1656" w:type="dxa"/>
            <w:tcBorders>
              <w:top w:val="nil"/>
              <w:left w:val="nil"/>
              <w:bottom w:val="nil"/>
              <w:right w:val="nil"/>
            </w:tcBorders>
          </w:tcPr>
          <w:p w14:paraId="7BB7A4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-0.000473</w:t>
            </w:r>
          </w:p>
        </w:tc>
        <w:tc>
          <w:tcPr>
            <w:tcW w:w="1656" w:type="dxa"/>
            <w:tcBorders>
              <w:top w:val="nil"/>
              <w:left w:val="nil"/>
              <w:bottom w:val="nil"/>
              <w:right w:val="nil"/>
            </w:tcBorders>
          </w:tcPr>
          <w:p w14:paraId="4F2525E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0.0105</w:t>
            </w:r>
          </w:p>
        </w:tc>
      </w:tr>
      <w:tr w:rsidR="00320DC7" w:rsidRPr="002D58CD" w14:paraId="789E3842" w14:textId="77777777" w:rsidTr="00015B88">
        <w:tc>
          <w:tcPr>
            <w:tcW w:w="2136" w:type="dxa"/>
            <w:tcBorders>
              <w:top w:val="nil"/>
              <w:left w:val="nil"/>
              <w:bottom w:val="nil"/>
              <w:right w:val="nil"/>
            </w:tcBorders>
          </w:tcPr>
          <w:p w14:paraId="3A4C92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CEF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(-0.35)</w:t>
            </w:r>
          </w:p>
        </w:tc>
        <w:tc>
          <w:tcPr>
            <w:tcW w:w="1656" w:type="dxa"/>
            <w:tcBorders>
              <w:top w:val="nil"/>
              <w:left w:val="nil"/>
              <w:bottom w:val="nil"/>
              <w:right w:val="nil"/>
            </w:tcBorders>
          </w:tcPr>
          <w:p w14:paraId="537683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(-1.83)</w:t>
            </w:r>
          </w:p>
        </w:tc>
        <w:tc>
          <w:tcPr>
            <w:tcW w:w="1656" w:type="dxa"/>
            <w:tcBorders>
              <w:top w:val="nil"/>
              <w:left w:val="nil"/>
              <w:bottom w:val="nil"/>
              <w:right w:val="nil"/>
            </w:tcBorders>
          </w:tcPr>
          <w:p w14:paraId="0497DFB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(-1.65)</w:t>
            </w:r>
          </w:p>
        </w:tc>
        <w:tc>
          <w:tcPr>
            <w:tcW w:w="1656" w:type="dxa"/>
            <w:tcBorders>
              <w:top w:val="nil"/>
              <w:left w:val="nil"/>
              <w:bottom w:val="nil"/>
              <w:right w:val="nil"/>
            </w:tcBorders>
          </w:tcPr>
          <w:p w14:paraId="516D3E0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c>
          <w:tcPr>
            <w:tcW w:w="1656" w:type="dxa"/>
            <w:tcBorders>
              <w:top w:val="nil"/>
              <w:left w:val="nil"/>
              <w:bottom w:val="nil"/>
              <w:right w:val="nil"/>
            </w:tcBorders>
          </w:tcPr>
          <w:p w14:paraId="66F24D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(1.25)</w:t>
            </w:r>
          </w:p>
        </w:tc>
      </w:tr>
      <w:tr w:rsidR="00320DC7" w:rsidRPr="002D58CD" w14:paraId="775700E7" w14:textId="77777777" w:rsidTr="00015B88">
        <w:tc>
          <w:tcPr>
            <w:tcW w:w="2136" w:type="dxa"/>
            <w:tcBorders>
              <w:top w:val="nil"/>
              <w:left w:val="nil"/>
              <w:bottom w:val="nil"/>
              <w:right w:val="nil"/>
            </w:tcBorders>
          </w:tcPr>
          <w:p w14:paraId="68E136E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54B8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2EAE8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E9D4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7E5E9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0FF8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BF21B22" w14:textId="77777777" w:rsidTr="00015B88">
        <w:tc>
          <w:tcPr>
            <w:tcW w:w="2136" w:type="dxa"/>
            <w:tcBorders>
              <w:top w:val="nil"/>
              <w:left w:val="nil"/>
              <w:bottom w:val="nil"/>
              <w:right w:val="nil"/>
            </w:tcBorders>
          </w:tcPr>
          <w:p w14:paraId="5FCAA6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C65AE5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-0.0192</w:t>
            </w:r>
          </w:p>
        </w:tc>
        <w:tc>
          <w:tcPr>
            <w:tcW w:w="1656" w:type="dxa"/>
            <w:tcBorders>
              <w:top w:val="nil"/>
              <w:left w:val="nil"/>
              <w:bottom w:val="nil"/>
              <w:right w:val="nil"/>
            </w:tcBorders>
          </w:tcPr>
          <w:p w14:paraId="63DD53D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0.0505</w:t>
            </w:r>
          </w:p>
        </w:tc>
        <w:tc>
          <w:tcPr>
            <w:tcW w:w="1656" w:type="dxa"/>
            <w:tcBorders>
              <w:top w:val="nil"/>
              <w:left w:val="nil"/>
              <w:bottom w:val="nil"/>
              <w:right w:val="nil"/>
            </w:tcBorders>
          </w:tcPr>
          <w:p w14:paraId="3CE6F14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-0.0000709</w:t>
            </w:r>
          </w:p>
        </w:tc>
        <w:tc>
          <w:tcPr>
            <w:tcW w:w="1656" w:type="dxa"/>
            <w:tcBorders>
              <w:top w:val="nil"/>
              <w:left w:val="nil"/>
              <w:bottom w:val="nil"/>
              <w:right w:val="nil"/>
            </w:tcBorders>
          </w:tcPr>
          <w:p w14:paraId="02C2AF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0.0132</w:t>
            </w:r>
          </w:p>
        </w:tc>
        <w:tc>
          <w:tcPr>
            <w:tcW w:w="1656" w:type="dxa"/>
            <w:tcBorders>
              <w:top w:val="nil"/>
              <w:left w:val="nil"/>
              <w:bottom w:val="nil"/>
              <w:right w:val="nil"/>
            </w:tcBorders>
          </w:tcPr>
          <w:p w14:paraId="01D177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-0.00597</w:t>
            </w:r>
          </w:p>
        </w:tc>
      </w:tr>
      <w:tr w:rsidR="00320DC7" w:rsidRPr="002D58CD" w14:paraId="5978756F" w14:textId="77777777" w:rsidTr="00015B88">
        <w:tc>
          <w:tcPr>
            <w:tcW w:w="2136" w:type="dxa"/>
            <w:tcBorders>
              <w:top w:val="nil"/>
              <w:left w:val="nil"/>
              <w:bottom w:val="nil"/>
              <w:right w:val="nil"/>
            </w:tcBorders>
          </w:tcPr>
          <w:p w14:paraId="7207D0F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99D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0D3FBFC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(1.66)</w:t>
            </w:r>
          </w:p>
        </w:tc>
        <w:tc>
          <w:tcPr>
            <w:tcW w:w="1656" w:type="dxa"/>
            <w:tcBorders>
              <w:top w:val="nil"/>
              <w:left w:val="nil"/>
              <w:bottom w:val="nil"/>
              <w:right w:val="nil"/>
            </w:tcBorders>
          </w:tcPr>
          <w:p w14:paraId="61AC4B5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w:t>
            </w:r>
          </w:p>
        </w:tc>
        <w:tc>
          <w:tcPr>
            <w:tcW w:w="1656" w:type="dxa"/>
            <w:tcBorders>
              <w:top w:val="nil"/>
              <w:left w:val="nil"/>
              <w:bottom w:val="nil"/>
              <w:right w:val="nil"/>
            </w:tcBorders>
          </w:tcPr>
          <w:p w14:paraId="29D34EF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(1.07)</w:t>
            </w:r>
          </w:p>
        </w:tc>
        <w:tc>
          <w:tcPr>
            <w:tcW w:w="1656" w:type="dxa"/>
            <w:tcBorders>
              <w:top w:val="nil"/>
              <w:left w:val="nil"/>
              <w:bottom w:val="nil"/>
              <w:right w:val="nil"/>
            </w:tcBorders>
          </w:tcPr>
          <w:p w14:paraId="2A88B44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(-0.79)</w:t>
            </w:r>
          </w:p>
        </w:tc>
      </w:tr>
      <w:tr w:rsidR="00320DC7" w:rsidRPr="002D58CD" w14:paraId="63B1201A" w14:textId="77777777" w:rsidTr="00015B88">
        <w:tc>
          <w:tcPr>
            <w:tcW w:w="2136" w:type="dxa"/>
            <w:tcBorders>
              <w:top w:val="nil"/>
              <w:left w:val="nil"/>
              <w:bottom w:val="nil"/>
              <w:right w:val="nil"/>
            </w:tcBorders>
          </w:tcPr>
          <w:p w14:paraId="7D3E104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304F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1CF0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D0C10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88D4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5F223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5F67CC6" w14:textId="77777777" w:rsidTr="00015B88">
        <w:tc>
          <w:tcPr>
            <w:tcW w:w="2136" w:type="dxa"/>
            <w:tcBorders>
              <w:top w:val="nil"/>
              <w:left w:val="nil"/>
              <w:bottom w:val="nil"/>
              <w:right w:val="nil"/>
            </w:tcBorders>
          </w:tcPr>
          <w:p w14:paraId="1D296A2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58DA127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0.0302</w:t>
            </w:r>
          </w:p>
        </w:tc>
        <w:tc>
          <w:tcPr>
            <w:tcW w:w="1656" w:type="dxa"/>
            <w:tcBorders>
              <w:top w:val="nil"/>
              <w:left w:val="nil"/>
              <w:bottom w:val="nil"/>
              <w:right w:val="nil"/>
            </w:tcBorders>
          </w:tcPr>
          <w:p w14:paraId="41023C5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-0.0118</w:t>
            </w:r>
          </w:p>
        </w:tc>
        <w:tc>
          <w:tcPr>
            <w:tcW w:w="1656" w:type="dxa"/>
            <w:tcBorders>
              <w:top w:val="nil"/>
              <w:left w:val="nil"/>
              <w:bottom w:val="nil"/>
              <w:right w:val="nil"/>
            </w:tcBorders>
          </w:tcPr>
          <w:p w14:paraId="0DD18D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0.0179</w:t>
            </w:r>
          </w:p>
        </w:tc>
        <w:tc>
          <w:tcPr>
            <w:tcW w:w="1656" w:type="dxa"/>
            <w:tcBorders>
              <w:top w:val="nil"/>
              <w:left w:val="nil"/>
              <w:bottom w:val="nil"/>
              <w:right w:val="nil"/>
            </w:tcBorders>
          </w:tcPr>
          <w:p w14:paraId="3B2B74C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-0.0212</w:t>
            </w:r>
          </w:p>
        </w:tc>
        <w:tc>
          <w:tcPr>
            <w:tcW w:w="1656" w:type="dxa"/>
            <w:tcBorders>
              <w:top w:val="nil"/>
              <w:left w:val="nil"/>
              <w:bottom w:val="nil"/>
              <w:right w:val="nil"/>
            </w:tcBorders>
          </w:tcPr>
          <w:p w14:paraId="0D2CAD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0.00855</w:t>
            </w:r>
          </w:p>
        </w:tc>
      </w:tr>
      <w:tr w:rsidR="00320DC7" w:rsidRPr="002D58CD" w14:paraId="3919EE02" w14:textId="77777777" w:rsidTr="00015B88">
        <w:tc>
          <w:tcPr>
            <w:tcW w:w="2136" w:type="dxa"/>
            <w:tcBorders>
              <w:top w:val="nil"/>
              <w:left w:val="nil"/>
              <w:bottom w:val="nil"/>
              <w:right w:val="nil"/>
            </w:tcBorders>
          </w:tcPr>
          <w:p w14:paraId="5C1D773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472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(0.83)</w:t>
            </w:r>
          </w:p>
        </w:tc>
        <w:tc>
          <w:tcPr>
            <w:tcW w:w="1656" w:type="dxa"/>
            <w:tcBorders>
              <w:top w:val="nil"/>
              <w:left w:val="nil"/>
              <w:bottom w:val="nil"/>
              <w:right w:val="nil"/>
            </w:tcBorders>
          </w:tcPr>
          <w:p w14:paraId="1B47044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(-0.41)</w:t>
            </w:r>
          </w:p>
        </w:tc>
        <w:tc>
          <w:tcPr>
            <w:tcW w:w="1656" w:type="dxa"/>
            <w:tcBorders>
              <w:top w:val="nil"/>
              <w:left w:val="nil"/>
              <w:bottom w:val="nil"/>
              <w:right w:val="nil"/>
            </w:tcBorders>
          </w:tcPr>
          <w:p w14:paraId="0E7B14B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(0.47)</w:t>
            </w:r>
          </w:p>
        </w:tc>
        <w:tc>
          <w:tcPr>
            <w:tcW w:w="1656" w:type="dxa"/>
            <w:tcBorders>
              <w:top w:val="nil"/>
              <w:left w:val="nil"/>
              <w:bottom w:val="nil"/>
              <w:right w:val="nil"/>
            </w:tcBorders>
          </w:tcPr>
          <w:p w14:paraId="22D7A2C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(-1.55)</w:t>
            </w:r>
          </w:p>
        </w:tc>
        <w:tc>
          <w:tcPr>
            <w:tcW w:w="1656" w:type="dxa"/>
            <w:tcBorders>
              <w:top w:val="nil"/>
              <w:left w:val="nil"/>
              <w:bottom w:val="nil"/>
              <w:right w:val="nil"/>
            </w:tcBorders>
          </w:tcPr>
          <w:p w14:paraId="458C796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(0.95)</w:t>
            </w:r>
          </w:p>
        </w:tc>
      </w:tr>
      <w:tr w:rsidR="00320DC7" w:rsidRPr="002D58CD" w14:paraId="52058661" w14:textId="77777777" w:rsidTr="00015B88">
        <w:tc>
          <w:tcPr>
            <w:tcW w:w="2136" w:type="dxa"/>
            <w:tcBorders>
              <w:top w:val="nil"/>
              <w:left w:val="nil"/>
              <w:bottom w:val="nil"/>
              <w:right w:val="nil"/>
            </w:tcBorders>
          </w:tcPr>
          <w:p w14:paraId="32CCA62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F27C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679B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8AC7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6D072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B941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C5384B0" w14:textId="77777777" w:rsidTr="00015B88">
        <w:tc>
          <w:tcPr>
            <w:tcW w:w="2136" w:type="dxa"/>
            <w:tcBorders>
              <w:top w:val="nil"/>
              <w:left w:val="nil"/>
              <w:bottom w:val="nil"/>
              <w:right w:val="nil"/>
            </w:tcBorders>
          </w:tcPr>
          <w:p w14:paraId="390111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7915BC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-0.0455</w:t>
            </w:r>
          </w:p>
        </w:tc>
        <w:tc>
          <w:tcPr>
            <w:tcW w:w="1656" w:type="dxa"/>
            <w:tcBorders>
              <w:top w:val="nil"/>
              <w:left w:val="nil"/>
              <w:bottom w:val="nil"/>
              <w:right w:val="nil"/>
            </w:tcBorders>
          </w:tcPr>
          <w:p w14:paraId="51F2DC7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-0.00322</w:t>
            </w:r>
          </w:p>
        </w:tc>
        <w:tc>
          <w:tcPr>
            <w:tcW w:w="1656" w:type="dxa"/>
            <w:tcBorders>
              <w:top w:val="nil"/>
              <w:left w:val="nil"/>
              <w:bottom w:val="nil"/>
              <w:right w:val="nil"/>
            </w:tcBorders>
          </w:tcPr>
          <w:p w14:paraId="6D0153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-0.0598</w:t>
            </w:r>
          </w:p>
        </w:tc>
        <w:tc>
          <w:tcPr>
            <w:tcW w:w="1656" w:type="dxa"/>
            <w:tcBorders>
              <w:top w:val="nil"/>
              <w:left w:val="nil"/>
              <w:bottom w:val="nil"/>
              <w:right w:val="nil"/>
            </w:tcBorders>
          </w:tcPr>
          <w:p w14:paraId="66DD959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0.00432</w:t>
            </w:r>
          </w:p>
        </w:tc>
        <w:tc>
          <w:tcPr>
            <w:tcW w:w="1656" w:type="dxa"/>
            <w:tcBorders>
              <w:top w:val="nil"/>
              <w:left w:val="nil"/>
              <w:bottom w:val="nil"/>
              <w:right w:val="nil"/>
            </w:tcBorders>
          </w:tcPr>
          <w:p w14:paraId="5DC07BA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0.000645</w:t>
            </w:r>
          </w:p>
        </w:tc>
      </w:tr>
      <w:tr w:rsidR="00320DC7" w:rsidRPr="002D58CD" w14:paraId="5B1CADE6" w14:textId="77777777" w:rsidTr="00015B88">
        <w:tc>
          <w:tcPr>
            <w:tcW w:w="2136" w:type="dxa"/>
            <w:tcBorders>
              <w:top w:val="nil"/>
              <w:left w:val="nil"/>
              <w:bottom w:val="nil"/>
              <w:right w:val="nil"/>
            </w:tcBorders>
          </w:tcPr>
          <w:p w14:paraId="6B162C6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33F4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(-1.39)</w:t>
            </w:r>
          </w:p>
        </w:tc>
        <w:tc>
          <w:tcPr>
            <w:tcW w:w="1656" w:type="dxa"/>
            <w:tcBorders>
              <w:top w:val="nil"/>
              <w:left w:val="nil"/>
              <w:bottom w:val="nil"/>
              <w:right w:val="nil"/>
            </w:tcBorders>
          </w:tcPr>
          <w:p w14:paraId="138FF7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w:t>
            </w:r>
          </w:p>
        </w:tc>
        <w:tc>
          <w:tcPr>
            <w:tcW w:w="1656" w:type="dxa"/>
            <w:tcBorders>
              <w:top w:val="nil"/>
              <w:left w:val="nil"/>
              <w:bottom w:val="nil"/>
              <w:right w:val="nil"/>
            </w:tcBorders>
          </w:tcPr>
          <w:p w14:paraId="1506F4D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(-1.51)</w:t>
            </w:r>
          </w:p>
        </w:tc>
        <w:tc>
          <w:tcPr>
            <w:tcW w:w="1656" w:type="dxa"/>
            <w:tcBorders>
              <w:top w:val="nil"/>
              <w:left w:val="nil"/>
              <w:bottom w:val="nil"/>
              <w:right w:val="nil"/>
            </w:tcBorders>
          </w:tcPr>
          <w:p w14:paraId="46EB9A8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(0.29)</w:t>
            </w:r>
          </w:p>
        </w:tc>
        <w:tc>
          <w:tcPr>
            <w:tcW w:w="1656" w:type="dxa"/>
            <w:tcBorders>
              <w:top w:val="nil"/>
              <w:left w:val="nil"/>
              <w:bottom w:val="nil"/>
              <w:right w:val="nil"/>
            </w:tcBorders>
          </w:tcPr>
          <w:p w14:paraId="5793C5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w:t>
            </w:r>
          </w:p>
        </w:tc>
      </w:tr>
      <w:tr w:rsidR="00320DC7" w:rsidRPr="002D58CD" w14:paraId="2E865D36" w14:textId="77777777" w:rsidTr="00015B88">
        <w:tc>
          <w:tcPr>
            <w:tcW w:w="2136" w:type="dxa"/>
            <w:tcBorders>
              <w:top w:val="nil"/>
              <w:left w:val="nil"/>
              <w:bottom w:val="nil"/>
              <w:right w:val="nil"/>
            </w:tcBorders>
          </w:tcPr>
          <w:p w14:paraId="76482F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44E3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9765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E943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8F84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A27D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7132E8A" w14:textId="77777777" w:rsidTr="00015B88">
        <w:tc>
          <w:tcPr>
            <w:tcW w:w="2136" w:type="dxa"/>
            <w:tcBorders>
              <w:top w:val="nil"/>
              <w:left w:val="nil"/>
              <w:bottom w:val="nil"/>
              <w:right w:val="nil"/>
            </w:tcBorders>
          </w:tcPr>
          <w:p w14:paraId="73B2A3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2740F3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0.0446</w:t>
            </w:r>
          </w:p>
        </w:tc>
        <w:tc>
          <w:tcPr>
            <w:tcW w:w="1656" w:type="dxa"/>
            <w:tcBorders>
              <w:top w:val="nil"/>
              <w:left w:val="nil"/>
              <w:bottom w:val="nil"/>
              <w:right w:val="nil"/>
            </w:tcBorders>
          </w:tcPr>
          <w:p w14:paraId="01C4FE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-0.00692</w:t>
            </w:r>
          </w:p>
        </w:tc>
        <w:tc>
          <w:tcPr>
            <w:tcW w:w="1656" w:type="dxa"/>
            <w:tcBorders>
              <w:top w:val="nil"/>
              <w:left w:val="nil"/>
              <w:bottom w:val="nil"/>
              <w:right w:val="nil"/>
            </w:tcBorders>
          </w:tcPr>
          <w:p w14:paraId="7D753A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-0.0245</w:t>
            </w:r>
          </w:p>
        </w:tc>
        <w:tc>
          <w:tcPr>
            <w:tcW w:w="1656" w:type="dxa"/>
            <w:tcBorders>
              <w:top w:val="nil"/>
              <w:left w:val="nil"/>
              <w:bottom w:val="nil"/>
              <w:right w:val="nil"/>
            </w:tcBorders>
          </w:tcPr>
          <w:p w14:paraId="154B1C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-0.0238</w:t>
            </w:r>
          </w:p>
        </w:tc>
        <w:tc>
          <w:tcPr>
            <w:tcW w:w="1656" w:type="dxa"/>
            <w:tcBorders>
              <w:top w:val="nil"/>
              <w:left w:val="nil"/>
              <w:bottom w:val="nil"/>
              <w:right w:val="nil"/>
            </w:tcBorders>
          </w:tcPr>
          <w:p w14:paraId="7D89B5D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0.0168</w:t>
            </w:r>
            <w:r w:rsidRPr="002D58CD">
              <w:rPr>
                <w:rFonts w:ascii="Times New Roman" w:hAnsi="Times New Roman" w:cs="Times New Roman"/>
                <w:sz w:val="16"/>
                <w:szCs w:val="16"/>
                <w:vertAlign w:val="superscript"/>
              </w:rPr>
              <w:t>**</w:t>
            </w:r>
          </w:p>
        </w:tc>
      </w:tr>
      <w:tr w:rsidR="00320DC7" w:rsidRPr="002D58CD" w14:paraId="70B737FD" w14:textId="77777777" w:rsidTr="00015B88">
        <w:tc>
          <w:tcPr>
            <w:tcW w:w="2136" w:type="dxa"/>
            <w:tcBorders>
              <w:top w:val="nil"/>
              <w:left w:val="nil"/>
              <w:bottom w:val="nil"/>
              <w:right w:val="nil"/>
            </w:tcBorders>
          </w:tcPr>
          <w:p w14:paraId="25ED27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C71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(1.16)</w:t>
            </w:r>
          </w:p>
        </w:tc>
        <w:tc>
          <w:tcPr>
            <w:tcW w:w="1656" w:type="dxa"/>
            <w:tcBorders>
              <w:top w:val="nil"/>
              <w:left w:val="nil"/>
              <w:bottom w:val="nil"/>
              <w:right w:val="nil"/>
            </w:tcBorders>
          </w:tcPr>
          <w:p w14:paraId="5C379AB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5C383D7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c>
          <w:tcPr>
            <w:tcW w:w="1656" w:type="dxa"/>
            <w:tcBorders>
              <w:top w:val="nil"/>
              <w:left w:val="nil"/>
              <w:bottom w:val="nil"/>
              <w:right w:val="nil"/>
            </w:tcBorders>
          </w:tcPr>
          <w:p w14:paraId="749A10C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(-1.95)</w:t>
            </w:r>
          </w:p>
        </w:tc>
        <w:tc>
          <w:tcPr>
            <w:tcW w:w="1656" w:type="dxa"/>
            <w:tcBorders>
              <w:top w:val="nil"/>
              <w:left w:val="nil"/>
              <w:bottom w:val="nil"/>
              <w:right w:val="nil"/>
            </w:tcBorders>
          </w:tcPr>
          <w:p w14:paraId="5581D43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(2.62)</w:t>
            </w:r>
          </w:p>
        </w:tc>
      </w:tr>
      <w:tr w:rsidR="00320DC7" w:rsidRPr="002D58CD" w14:paraId="755DC487" w14:textId="77777777" w:rsidTr="00015B88">
        <w:tc>
          <w:tcPr>
            <w:tcW w:w="2136" w:type="dxa"/>
            <w:tcBorders>
              <w:top w:val="nil"/>
              <w:left w:val="nil"/>
              <w:bottom w:val="nil"/>
              <w:right w:val="nil"/>
            </w:tcBorders>
          </w:tcPr>
          <w:p w14:paraId="3FEBE85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CF5C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AE62A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CA9A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D5D3A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5489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431E659" w14:textId="77777777" w:rsidTr="00015B88">
        <w:tc>
          <w:tcPr>
            <w:tcW w:w="2136" w:type="dxa"/>
            <w:tcBorders>
              <w:top w:val="nil"/>
              <w:left w:val="nil"/>
              <w:bottom w:val="nil"/>
              <w:right w:val="nil"/>
            </w:tcBorders>
          </w:tcPr>
          <w:p w14:paraId="294977C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028546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-0.000452</w:t>
            </w:r>
          </w:p>
        </w:tc>
        <w:tc>
          <w:tcPr>
            <w:tcW w:w="1656" w:type="dxa"/>
            <w:tcBorders>
              <w:top w:val="nil"/>
              <w:left w:val="nil"/>
              <w:bottom w:val="nil"/>
              <w:right w:val="nil"/>
            </w:tcBorders>
          </w:tcPr>
          <w:p w14:paraId="4DFD6FB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0.00631</w:t>
            </w:r>
          </w:p>
        </w:tc>
        <w:tc>
          <w:tcPr>
            <w:tcW w:w="1656" w:type="dxa"/>
            <w:tcBorders>
              <w:top w:val="nil"/>
              <w:left w:val="nil"/>
              <w:bottom w:val="nil"/>
              <w:right w:val="nil"/>
            </w:tcBorders>
          </w:tcPr>
          <w:p w14:paraId="0EB4C0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0.0285</w:t>
            </w:r>
          </w:p>
        </w:tc>
        <w:tc>
          <w:tcPr>
            <w:tcW w:w="1656" w:type="dxa"/>
            <w:tcBorders>
              <w:top w:val="nil"/>
              <w:left w:val="nil"/>
              <w:bottom w:val="nil"/>
              <w:right w:val="nil"/>
            </w:tcBorders>
          </w:tcPr>
          <w:p w14:paraId="4756C9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0.00823</w:t>
            </w:r>
          </w:p>
        </w:tc>
        <w:tc>
          <w:tcPr>
            <w:tcW w:w="1656" w:type="dxa"/>
            <w:tcBorders>
              <w:top w:val="nil"/>
              <w:left w:val="nil"/>
              <w:bottom w:val="nil"/>
              <w:right w:val="nil"/>
            </w:tcBorders>
          </w:tcPr>
          <w:p w14:paraId="6779515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0.000618</w:t>
            </w:r>
          </w:p>
        </w:tc>
      </w:tr>
      <w:tr w:rsidR="00320DC7" w:rsidRPr="002D58CD" w14:paraId="7BD05102" w14:textId="77777777" w:rsidTr="00015B88">
        <w:tc>
          <w:tcPr>
            <w:tcW w:w="2136" w:type="dxa"/>
            <w:tcBorders>
              <w:top w:val="nil"/>
              <w:left w:val="nil"/>
              <w:bottom w:val="nil"/>
              <w:right w:val="nil"/>
            </w:tcBorders>
          </w:tcPr>
          <w:p w14:paraId="795EAE3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4E2B3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c>
          <w:tcPr>
            <w:tcW w:w="1656" w:type="dxa"/>
            <w:tcBorders>
              <w:top w:val="nil"/>
              <w:left w:val="nil"/>
              <w:bottom w:val="nil"/>
              <w:right w:val="nil"/>
            </w:tcBorders>
          </w:tcPr>
          <w:p w14:paraId="11DC3EC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(0.27)</w:t>
            </w:r>
          </w:p>
        </w:tc>
        <w:tc>
          <w:tcPr>
            <w:tcW w:w="1656" w:type="dxa"/>
            <w:tcBorders>
              <w:top w:val="nil"/>
              <w:left w:val="nil"/>
              <w:bottom w:val="nil"/>
              <w:right w:val="nil"/>
            </w:tcBorders>
          </w:tcPr>
          <w:p w14:paraId="4961772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(0.87)</w:t>
            </w:r>
          </w:p>
        </w:tc>
        <w:tc>
          <w:tcPr>
            <w:tcW w:w="1656" w:type="dxa"/>
            <w:tcBorders>
              <w:top w:val="nil"/>
              <w:left w:val="nil"/>
              <w:bottom w:val="nil"/>
              <w:right w:val="nil"/>
            </w:tcBorders>
          </w:tcPr>
          <w:p w14:paraId="3B247C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(0.82)</w:t>
            </w:r>
          </w:p>
        </w:tc>
        <w:tc>
          <w:tcPr>
            <w:tcW w:w="1656" w:type="dxa"/>
            <w:tcBorders>
              <w:top w:val="nil"/>
              <w:left w:val="nil"/>
              <w:bottom w:val="nil"/>
              <w:right w:val="nil"/>
            </w:tcBorders>
          </w:tcPr>
          <w:p w14:paraId="01D8F8E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w:t>
            </w:r>
          </w:p>
        </w:tc>
      </w:tr>
      <w:tr w:rsidR="00320DC7" w:rsidRPr="002D58CD" w14:paraId="618F04DF" w14:textId="77777777" w:rsidTr="00015B88">
        <w:tc>
          <w:tcPr>
            <w:tcW w:w="2136" w:type="dxa"/>
            <w:tcBorders>
              <w:top w:val="nil"/>
              <w:left w:val="nil"/>
              <w:bottom w:val="nil"/>
              <w:right w:val="nil"/>
            </w:tcBorders>
          </w:tcPr>
          <w:p w14:paraId="01C0BD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2B226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D333F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7E63B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C3AE5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04BB3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92EFAA1" w14:textId="77777777" w:rsidTr="00015B88">
        <w:tc>
          <w:tcPr>
            <w:tcW w:w="2136" w:type="dxa"/>
            <w:tcBorders>
              <w:top w:val="nil"/>
              <w:left w:val="nil"/>
              <w:bottom w:val="nil"/>
              <w:right w:val="nil"/>
            </w:tcBorders>
          </w:tcPr>
          <w:p w14:paraId="46BABB5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2D58CD">
              <w:rPr>
                <w:rFonts w:ascii="Times New Roman" w:hAnsi="Times New Roman" w:cs="Times New Roman"/>
                <w:sz w:val="16"/>
                <w:szCs w:val="16"/>
              </w:rPr>
              <w:t>L.Polity</w:t>
            </w:r>
            <w:proofErr w:type="spellEnd"/>
            <w:r w:rsidRPr="002D58CD">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04B1309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0.00309</w:t>
            </w:r>
          </w:p>
        </w:tc>
        <w:tc>
          <w:tcPr>
            <w:tcW w:w="1656" w:type="dxa"/>
            <w:tcBorders>
              <w:top w:val="nil"/>
              <w:left w:val="nil"/>
              <w:bottom w:val="nil"/>
              <w:right w:val="nil"/>
            </w:tcBorders>
          </w:tcPr>
          <w:p w14:paraId="1CA2486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0.00357</w:t>
            </w:r>
          </w:p>
        </w:tc>
        <w:tc>
          <w:tcPr>
            <w:tcW w:w="1656" w:type="dxa"/>
            <w:tcBorders>
              <w:top w:val="nil"/>
              <w:left w:val="nil"/>
              <w:bottom w:val="nil"/>
              <w:right w:val="nil"/>
            </w:tcBorders>
          </w:tcPr>
          <w:p w14:paraId="18C17E8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0.0229</w:t>
            </w:r>
          </w:p>
        </w:tc>
        <w:tc>
          <w:tcPr>
            <w:tcW w:w="1656" w:type="dxa"/>
            <w:tcBorders>
              <w:top w:val="nil"/>
              <w:left w:val="nil"/>
              <w:bottom w:val="nil"/>
              <w:right w:val="nil"/>
            </w:tcBorders>
          </w:tcPr>
          <w:p w14:paraId="5220B1D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-0.0309</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B53CEB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-0.00119</w:t>
            </w:r>
          </w:p>
        </w:tc>
      </w:tr>
      <w:tr w:rsidR="00320DC7" w:rsidRPr="002D58CD" w14:paraId="7322F4FA" w14:textId="77777777" w:rsidTr="00015B88">
        <w:tc>
          <w:tcPr>
            <w:tcW w:w="2136" w:type="dxa"/>
            <w:tcBorders>
              <w:top w:val="nil"/>
              <w:left w:val="nil"/>
              <w:bottom w:val="nil"/>
              <w:right w:val="nil"/>
            </w:tcBorders>
          </w:tcPr>
          <w:p w14:paraId="4A51E7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3494D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w:t>
            </w:r>
          </w:p>
        </w:tc>
        <w:tc>
          <w:tcPr>
            <w:tcW w:w="1656" w:type="dxa"/>
            <w:tcBorders>
              <w:top w:val="nil"/>
              <w:left w:val="nil"/>
              <w:bottom w:val="nil"/>
              <w:right w:val="nil"/>
            </w:tcBorders>
          </w:tcPr>
          <w:p w14:paraId="533F62C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w:t>
            </w:r>
          </w:p>
        </w:tc>
        <w:tc>
          <w:tcPr>
            <w:tcW w:w="1656" w:type="dxa"/>
            <w:tcBorders>
              <w:top w:val="nil"/>
              <w:left w:val="nil"/>
              <w:bottom w:val="nil"/>
              <w:right w:val="nil"/>
            </w:tcBorders>
          </w:tcPr>
          <w:p w14:paraId="41BE83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(0.65)</w:t>
            </w:r>
          </w:p>
        </w:tc>
        <w:tc>
          <w:tcPr>
            <w:tcW w:w="1656" w:type="dxa"/>
            <w:tcBorders>
              <w:top w:val="nil"/>
              <w:left w:val="nil"/>
              <w:bottom w:val="nil"/>
              <w:right w:val="nil"/>
            </w:tcBorders>
          </w:tcPr>
          <w:p w14:paraId="44C5D45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(-2.26)</w:t>
            </w:r>
          </w:p>
        </w:tc>
        <w:tc>
          <w:tcPr>
            <w:tcW w:w="1656" w:type="dxa"/>
            <w:tcBorders>
              <w:top w:val="nil"/>
              <w:left w:val="nil"/>
              <w:bottom w:val="nil"/>
              <w:right w:val="nil"/>
            </w:tcBorders>
          </w:tcPr>
          <w:p w14:paraId="746F768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(-0.14)</w:t>
            </w:r>
          </w:p>
        </w:tc>
      </w:tr>
      <w:tr w:rsidR="00320DC7" w:rsidRPr="002D58CD" w14:paraId="1F3A2EBF" w14:textId="77777777" w:rsidTr="00015B88">
        <w:tc>
          <w:tcPr>
            <w:tcW w:w="2136" w:type="dxa"/>
            <w:tcBorders>
              <w:top w:val="nil"/>
              <w:left w:val="nil"/>
              <w:bottom w:val="nil"/>
              <w:right w:val="nil"/>
            </w:tcBorders>
          </w:tcPr>
          <w:p w14:paraId="1F1D163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A8F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4997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FCFA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CD414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4D5EC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C35CD27" w14:textId="77777777" w:rsidTr="00015B88">
        <w:tc>
          <w:tcPr>
            <w:tcW w:w="2136" w:type="dxa"/>
            <w:tcBorders>
              <w:top w:val="nil"/>
              <w:left w:val="nil"/>
              <w:bottom w:val="nil"/>
              <w:right w:val="nil"/>
            </w:tcBorders>
          </w:tcPr>
          <w:p w14:paraId="1620142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L2.Polity Democracy Score (v2)</w:t>
            </w:r>
          </w:p>
        </w:tc>
        <w:tc>
          <w:tcPr>
            <w:tcW w:w="1656" w:type="dxa"/>
            <w:tcBorders>
              <w:top w:val="nil"/>
              <w:left w:val="nil"/>
              <w:bottom w:val="nil"/>
              <w:right w:val="nil"/>
            </w:tcBorders>
          </w:tcPr>
          <w:p w14:paraId="67B2E4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-0.0353</w:t>
            </w:r>
          </w:p>
        </w:tc>
        <w:tc>
          <w:tcPr>
            <w:tcW w:w="1656" w:type="dxa"/>
            <w:tcBorders>
              <w:top w:val="nil"/>
              <w:left w:val="nil"/>
              <w:bottom w:val="nil"/>
              <w:right w:val="nil"/>
            </w:tcBorders>
          </w:tcPr>
          <w:p w14:paraId="54F220E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-0.0369</w:t>
            </w:r>
          </w:p>
        </w:tc>
        <w:tc>
          <w:tcPr>
            <w:tcW w:w="1656" w:type="dxa"/>
            <w:tcBorders>
              <w:top w:val="nil"/>
              <w:left w:val="nil"/>
              <w:bottom w:val="nil"/>
              <w:right w:val="nil"/>
            </w:tcBorders>
          </w:tcPr>
          <w:p w14:paraId="67E45E8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0.0122</w:t>
            </w:r>
          </w:p>
        </w:tc>
        <w:tc>
          <w:tcPr>
            <w:tcW w:w="1656" w:type="dxa"/>
            <w:tcBorders>
              <w:top w:val="nil"/>
              <w:left w:val="nil"/>
              <w:bottom w:val="nil"/>
              <w:right w:val="nil"/>
            </w:tcBorders>
          </w:tcPr>
          <w:p w14:paraId="3F0B7E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0.0416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370DEC7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0.0000367</w:t>
            </w:r>
          </w:p>
        </w:tc>
      </w:tr>
      <w:tr w:rsidR="00320DC7" w:rsidRPr="002D58CD" w14:paraId="3083B83A" w14:textId="77777777" w:rsidTr="00015B88">
        <w:tc>
          <w:tcPr>
            <w:tcW w:w="2136" w:type="dxa"/>
            <w:tcBorders>
              <w:top w:val="nil"/>
              <w:left w:val="nil"/>
              <w:bottom w:val="nil"/>
              <w:right w:val="nil"/>
            </w:tcBorders>
          </w:tcPr>
          <w:p w14:paraId="270C19E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B5A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(-1.03)</w:t>
            </w:r>
          </w:p>
        </w:tc>
        <w:tc>
          <w:tcPr>
            <w:tcW w:w="1656" w:type="dxa"/>
            <w:tcBorders>
              <w:top w:val="nil"/>
              <w:left w:val="nil"/>
              <w:bottom w:val="nil"/>
              <w:right w:val="nil"/>
            </w:tcBorders>
          </w:tcPr>
          <w:p w14:paraId="63EA7C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(-1.36)</w:t>
            </w:r>
          </w:p>
        </w:tc>
        <w:tc>
          <w:tcPr>
            <w:tcW w:w="1656" w:type="dxa"/>
            <w:tcBorders>
              <w:top w:val="nil"/>
              <w:left w:val="nil"/>
              <w:bottom w:val="nil"/>
              <w:right w:val="nil"/>
            </w:tcBorders>
          </w:tcPr>
          <w:p w14:paraId="35B2346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(0.30)</w:t>
            </w:r>
          </w:p>
        </w:tc>
        <w:tc>
          <w:tcPr>
            <w:tcW w:w="1656" w:type="dxa"/>
            <w:tcBorders>
              <w:top w:val="nil"/>
              <w:left w:val="nil"/>
              <w:bottom w:val="nil"/>
              <w:right w:val="nil"/>
            </w:tcBorders>
          </w:tcPr>
          <w:p w14:paraId="1091693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(3.12)</w:t>
            </w:r>
          </w:p>
        </w:tc>
        <w:tc>
          <w:tcPr>
            <w:tcW w:w="1656" w:type="dxa"/>
            <w:tcBorders>
              <w:top w:val="nil"/>
              <w:left w:val="nil"/>
              <w:bottom w:val="nil"/>
              <w:right w:val="nil"/>
            </w:tcBorders>
          </w:tcPr>
          <w:p w14:paraId="357DA7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r>
      <w:tr w:rsidR="00320DC7" w:rsidRPr="002D58CD" w14:paraId="1C159A3C" w14:textId="77777777" w:rsidTr="00015B88">
        <w:tc>
          <w:tcPr>
            <w:tcW w:w="2136" w:type="dxa"/>
            <w:tcBorders>
              <w:top w:val="nil"/>
              <w:left w:val="nil"/>
              <w:bottom w:val="nil"/>
              <w:right w:val="nil"/>
            </w:tcBorders>
          </w:tcPr>
          <w:p w14:paraId="483F50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0D6C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6C684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88F4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CA44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C8093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3655F56" w14:textId="77777777" w:rsidTr="00015B88">
        <w:tc>
          <w:tcPr>
            <w:tcW w:w="2136" w:type="dxa"/>
            <w:tcBorders>
              <w:top w:val="nil"/>
              <w:left w:val="nil"/>
              <w:bottom w:val="nil"/>
              <w:right w:val="nil"/>
            </w:tcBorders>
          </w:tcPr>
          <w:p w14:paraId="03CAA5D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L3.Polity Democracy Score (v2)</w:t>
            </w:r>
          </w:p>
        </w:tc>
        <w:tc>
          <w:tcPr>
            <w:tcW w:w="1656" w:type="dxa"/>
            <w:tcBorders>
              <w:top w:val="nil"/>
              <w:left w:val="nil"/>
              <w:bottom w:val="nil"/>
              <w:right w:val="nil"/>
            </w:tcBorders>
          </w:tcPr>
          <w:p w14:paraId="104841B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-0.0198</w:t>
            </w:r>
          </w:p>
        </w:tc>
        <w:tc>
          <w:tcPr>
            <w:tcW w:w="1656" w:type="dxa"/>
            <w:tcBorders>
              <w:top w:val="nil"/>
              <w:left w:val="nil"/>
              <w:bottom w:val="nil"/>
              <w:right w:val="nil"/>
            </w:tcBorders>
          </w:tcPr>
          <w:p w14:paraId="3F0D7D1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-0.00184</w:t>
            </w:r>
          </w:p>
        </w:tc>
        <w:tc>
          <w:tcPr>
            <w:tcW w:w="1656" w:type="dxa"/>
            <w:tcBorders>
              <w:top w:val="nil"/>
              <w:left w:val="nil"/>
              <w:bottom w:val="nil"/>
              <w:right w:val="nil"/>
            </w:tcBorders>
          </w:tcPr>
          <w:p w14:paraId="0385C2D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-0.0331</w:t>
            </w:r>
          </w:p>
        </w:tc>
        <w:tc>
          <w:tcPr>
            <w:tcW w:w="1656" w:type="dxa"/>
            <w:tcBorders>
              <w:top w:val="nil"/>
              <w:left w:val="nil"/>
              <w:bottom w:val="nil"/>
              <w:right w:val="nil"/>
            </w:tcBorders>
          </w:tcPr>
          <w:p w14:paraId="3D915F6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-0.0278</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D0567A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-0.00450</w:t>
            </w:r>
          </w:p>
        </w:tc>
      </w:tr>
      <w:tr w:rsidR="00320DC7" w:rsidRPr="002D58CD" w14:paraId="29276D92" w14:textId="77777777" w:rsidTr="00015B88">
        <w:tc>
          <w:tcPr>
            <w:tcW w:w="2136" w:type="dxa"/>
            <w:tcBorders>
              <w:top w:val="nil"/>
              <w:left w:val="nil"/>
              <w:bottom w:val="nil"/>
              <w:right w:val="nil"/>
            </w:tcBorders>
          </w:tcPr>
          <w:p w14:paraId="0307238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B089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2AB4C6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c>
          <w:tcPr>
            <w:tcW w:w="1656" w:type="dxa"/>
            <w:tcBorders>
              <w:top w:val="nil"/>
              <w:left w:val="nil"/>
              <w:bottom w:val="nil"/>
              <w:right w:val="nil"/>
            </w:tcBorders>
          </w:tcPr>
          <w:p w14:paraId="741D9DC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(-0.88)</w:t>
            </w:r>
          </w:p>
        </w:tc>
        <w:tc>
          <w:tcPr>
            <w:tcW w:w="1656" w:type="dxa"/>
            <w:tcBorders>
              <w:top w:val="nil"/>
              <w:left w:val="nil"/>
              <w:bottom w:val="nil"/>
              <w:right w:val="nil"/>
            </w:tcBorders>
          </w:tcPr>
          <w:p w14:paraId="2F3A03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(-2.07)</w:t>
            </w:r>
          </w:p>
        </w:tc>
        <w:tc>
          <w:tcPr>
            <w:tcW w:w="1656" w:type="dxa"/>
            <w:tcBorders>
              <w:top w:val="nil"/>
              <w:left w:val="nil"/>
              <w:bottom w:val="nil"/>
              <w:right w:val="nil"/>
            </w:tcBorders>
          </w:tcPr>
          <w:p w14:paraId="5FA71D9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(-0.62)</w:t>
            </w:r>
          </w:p>
        </w:tc>
      </w:tr>
      <w:tr w:rsidR="00320DC7" w:rsidRPr="002D58CD" w14:paraId="6CCCE8E4" w14:textId="77777777" w:rsidTr="00015B88">
        <w:tc>
          <w:tcPr>
            <w:tcW w:w="2136" w:type="dxa"/>
            <w:tcBorders>
              <w:top w:val="nil"/>
              <w:left w:val="nil"/>
              <w:bottom w:val="nil"/>
              <w:right w:val="nil"/>
            </w:tcBorders>
          </w:tcPr>
          <w:p w14:paraId="68A33E9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5552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C00C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FAD6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C63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59EE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AAB0336" w14:textId="77777777" w:rsidTr="00015B88">
        <w:tc>
          <w:tcPr>
            <w:tcW w:w="2136" w:type="dxa"/>
            <w:tcBorders>
              <w:top w:val="nil"/>
              <w:left w:val="nil"/>
              <w:bottom w:val="nil"/>
              <w:right w:val="nil"/>
            </w:tcBorders>
          </w:tcPr>
          <w:p w14:paraId="0C0F53C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L4.Polity Democracy Score (v2)</w:t>
            </w:r>
          </w:p>
        </w:tc>
        <w:tc>
          <w:tcPr>
            <w:tcW w:w="1656" w:type="dxa"/>
            <w:tcBorders>
              <w:top w:val="nil"/>
              <w:left w:val="nil"/>
              <w:bottom w:val="nil"/>
              <w:right w:val="nil"/>
            </w:tcBorders>
          </w:tcPr>
          <w:p w14:paraId="430E2D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0.0374</w:t>
            </w:r>
          </w:p>
        </w:tc>
        <w:tc>
          <w:tcPr>
            <w:tcW w:w="1656" w:type="dxa"/>
            <w:tcBorders>
              <w:top w:val="nil"/>
              <w:left w:val="nil"/>
              <w:bottom w:val="nil"/>
              <w:right w:val="nil"/>
            </w:tcBorders>
          </w:tcPr>
          <w:p w14:paraId="11E2F5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0.0202</w:t>
            </w:r>
          </w:p>
        </w:tc>
        <w:tc>
          <w:tcPr>
            <w:tcW w:w="1656" w:type="dxa"/>
            <w:tcBorders>
              <w:top w:val="nil"/>
              <w:left w:val="nil"/>
              <w:bottom w:val="nil"/>
              <w:right w:val="nil"/>
            </w:tcBorders>
          </w:tcPr>
          <w:p w14:paraId="4AFDC9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0.0706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522DE9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0.0161</w:t>
            </w:r>
          </w:p>
        </w:tc>
        <w:tc>
          <w:tcPr>
            <w:tcW w:w="1656" w:type="dxa"/>
            <w:tcBorders>
              <w:top w:val="nil"/>
              <w:left w:val="nil"/>
              <w:bottom w:val="nil"/>
              <w:right w:val="nil"/>
            </w:tcBorders>
          </w:tcPr>
          <w:p w14:paraId="25C1E64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0.00373</w:t>
            </w:r>
          </w:p>
        </w:tc>
      </w:tr>
      <w:tr w:rsidR="00320DC7" w:rsidRPr="002D58CD" w14:paraId="1B201429" w14:textId="77777777" w:rsidTr="00015B88">
        <w:tc>
          <w:tcPr>
            <w:tcW w:w="2136" w:type="dxa"/>
            <w:tcBorders>
              <w:top w:val="nil"/>
              <w:left w:val="nil"/>
              <w:bottom w:val="nil"/>
              <w:right w:val="nil"/>
            </w:tcBorders>
          </w:tcPr>
          <w:p w14:paraId="2DA6FF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490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(1.52)</w:t>
            </w:r>
          </w:p>
        </w:tc>
        <w:tc>
          <w:tcPr>
            <w:tcW w:w="1656" w:type="dxa"/>
            <w:tcBorders>
              <w:top w:val="nil"/>
              <w:left w:val="nil"/>
              <w:bottom w:val="nil"/>
              <w:right w:val="nil"/>
            </w:tcBorders>
          </w:tcPr>
          <w:p w14:paraId="7C286A3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(0.68)</w:t>
            </w:r>
          </w:p>
        </w:tc>
        <w:tc>
          <w:tcPr>
            <w:tcW w:w="1656" w:type="dxa"/>
            <w:tcBorders>
              <w:top w:val="nil"/>
              <w:left w:val="nil"/>
              <w:bottom w:val="nil"/>
              <w:right w:val="nil"/>
            </w:tcBorders>
          </w:tcPr>
          <w:p w14:paraId="357F16D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(2.17)</w:t>
            </w:r>
          </w:p>
        </w:tc>
        <w:tc>
          <w:tcPr>
            <w:tcW w:w="1656" w:type="dxa"/>
            <w:tcBorders>
              <w:top w:val="nil"/>
              <w:left w:val="nil"/>
              <w:bottom w:val="nil"/>
              <w:right w:val="nil"/>
            </w:tcBorders>
          </w:tcPr>
          <w:p w14:paraId="679C411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(1.56)</w:t>
            </w:r>
          </w:p>
        </w:tc>
        <w:tc>
          <w:tcPr>
            <w:tcW w:w="1656" w:type="dxa"/>
            <w:tcBorders>
              <w:top w:val="nil"/>
              <w:left w:val="nil"/>
              <w:bottom w:val="nil"/>
              <w:right w:val="nil"/>
            </w:tcBorders>
          </w:tcPr>
          <w:p w14:paraId="707A33B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r>
      <w:tr w:rsidR="00320DC7" w:rsidRPr="002D58CD" w14:paraId="540085DD" w14:textId="77777777" w:rsidTr="00015B88">
        <w:tc>
          <w:tcPr>
            <w:tcW w:w="2136" w:type="dxa"/>
            <w:tcBorders>
              <w:top w:val="nil"/>
              <w:left w:val="nil"/>
              <w:bottom w:val="nil"/>
              <w:right w:val="nil"/>
            </w:tcBorders>
          </w:tcPr>
          <w:p w14:paraId="38B220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9273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A4C9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7EC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751F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A19E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2C97278" w14:textId="77777777" w:rsidTr="00015B88">
        <w:tc>
          <w:tcPr>
            <w:tcW w:w="2136" w:type="dxa"/>
            <w:tcBorders>
              <w:top w:val="nil"/>
              <w:left w:val="nil"/>
              <w:bottom w:val="nil"/>
              <w:right w:val="nil"/>
            </w:tcBorders>
          </w:tcPr>
          <w:p w14:paraId="331C4C0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L5.Polity Democracy Score (v2)</w:t>
            </w:r>
          </w:p>
        </w:tc>
        <w:tc>
          <w:tcPr>
            <w:tcW w:w="1656" w:type="dxa"/>
            <w:tcBorders>
              <w:top w:val="nil"/>
              <w:left w:val="nil"/>
              <w:bottom w:val="nil"/>
              <w:right w:val="nil"/>
            </w:tcBorders>
          </w:tcPr>
          <w:p w14:paraId="5F9E3D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-0.0321</w:t>
            </w:r>
          </w:p>
        </w:tc>
        <w:tc>
          <w:tcPr>
            <w:tcW w:w="1656" w:type="dxa"/>
            <w:tcBorders>
              <w:top w:val="nil"/>
              <w:left w:val="nil"/>
              <w:bottom w:val="nil"/>
              <w:right w:val="nil"/>
            </w:tcBorders>
          </w:tcPr>
          <w:p w14:paraId="54A0B8B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-0.0284</w:t>
            </w:r>
          </w:p>
        </w:tc>
        <w:tc>
          <w:tcPr>
            <w:tcW w:w="1656" w:type="dxa"/>
            <w:tcBorders>
              <w:top w:val="nil"/>
              <w:left w:val="nil"/>
              <w:bottom w:val="nil"/>
              <w:right w:val="nil"/>
            </w:tcBorders>
          </w:tcPr>
          <w:p w14:paraId="34DBE12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-0.0816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258B13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0.00173</w:t>
            </w:r>
          </w:p>
        </w:tc>
        <w:tc>
          <w:tcPr>
            <w:tcW w:w="1656" w:type="dxa"/>
            <w:tcBorders>
              <w:top w:val="nil"/>
              <w:left w:val="nil"/>
              <w:bottom w:val="nil"/>
              <w:right w:val="nil"/>
            </w:tcBorders>
          </w:tcPr>
          <w:p w14:paraId="4F9358F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0.00430</w:t>
            </w:r>
          </w:p>
        </w:tc>
      </w:tr>
      <w:tr w:rsidR="00320DC7" w:rsidRPr="002D58CD" w14:paraId="138A355D" w14:textId="77777777" w:rsidTr="00015B88">
        <w:tc>
          <w:tcPr>
            <w:tcW w:w="2136" w:type="dxa"/>
            <w:tcBorders>
              <w:top w:val="nil"/>
              <w:left w:val="nil"/>
              <w:bottom w:val="nil"/>
              <w:right w:val="nil"/>
            </w:tcBorders>
          </w:tcPr>
          <w:p w14:paraId="653944E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152D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c>
          <w:tcPr>
            <w:tcW w:w="1656" w:type="dxa"/>
            <w:tcBorders>
              <w:top w:val="nil"/>
              <w:left w:val="nil"/>
              <w:bottom w:val="nil"/>
              <w:right w:val="nil"/>
            </w:tcBorders>
          </w:tcPr>
          <w:p w14:paraId="048180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(-1.16)</w:t>
            </w:r>
          </w:p>
        </w:tc>
        <w:tc>
          <w:tcPr>
            <w:tcW w:w="1656" w:type="dxa"/>
            <w:tcBorders>
              <w:top w:val="nil"/>
              <w:left w:val="nil"/>
              <w:bottom w:val="nil"/>
              <w:right w:val="nil"/>
            </w:tcBorders>
          </w:tcPr>
          <w:p w14:paraId="771A0F9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(-2.66)</w:t>
            </w:r>
          </w:p>
        </w:tc>
        <w:tc>
          <w:tcPr>
            <w:tcW w:w="1656" w:type="dxa"/>
            <w:tcBorders>
              <w:top w:val="nil"/>
              <w:left w:val="nil"/>
              <w:bottom w:val="nil"/>
              <w:right w:val="nil"/>
            </w:tcBorders>
          </w:tcPr>
          <w:p w14:paraId="3DD42B4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w:t>
            </w:r>
          </w:p>
        </w:tc>
        <w:tc>
          <w:tcPr>
            <w:tcW w:w="1656" w:type="dxa"/>
            <w:tcBorders>
              <w:top w:val="nil"/>
              <w:left w:val="nil"/>
              <w:bottom w:val="nil"/>
              <w:right w:val="nil"/>
            </w:tcBorders>
          </w:tcPr>
          <w:p w14:paraId="0F8C46F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r>
      <w:tr w:rsidR="00320DC7" w:rsidRPr="002D58CD" w14:paraId="6D545EE6" w14:textId="77777777" w:rsidTr="00015B88">
        <w:tc>
          <w:tcPr>
            <w:tcW w:w="2136" w:type="dxa"/>
            <w:tcBorders>
              <w:top w:val="nil"/>
              <w:left w:val="nil"/>
              <w:bottom w:val="nil"/>
              <w:right w:val="nil"/>
            </w:tcBorders>
          </w:tcPr>
          <w:p w14:paraId="382DF1E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5D87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6E849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E10D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BBB8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B70C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750A0B7" w14:textId="77777777" w:rsidTr="00015B88">
        <w:tc>
          <w:tcPr>
            <w:tcW w:w="2136" w:type="dxa"/>
            <w:tcBorders>
              <w:top w:val="nil"/>
              <w:left w:val="nil"/>
              <w:bottom w:val="nil"/>
              <w:right w:val="nil"/>
            </w:tcBorders>
          </w:tcPr>
          <w:p w14:paraId="58C983E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L6.Polity Democracy Score (v2)</w:t>
            </w:r>
          </w:p>
        </w:tc>
        <w:tc>
          <w:tcPr>
            <w:tcW w:w="1656" w:type="dxa"/>
            <w:tcBorders>
              <w:top w:val="nil"/>
              <w:left w:val="nil"/>
              <w:bottom w:val="nil"/>
              <w:right w:val="nil"/>
            </w:tcBorders>
          </w:tcPr>
          <w:p w14:paraId="45D639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0.0389</w:t>
            </w:r>
          </w:p>
        </w:tc>
        <w:tc>
          <w:tcPr>
            <w:tcW w:w="1656" w:type="dxa"/>
            <w:tcBorders>
              <w:top w:val="nil"/>
              <w:left w:val="nil"/>
              <w:bottom w:val="nil"/>
              <w:right w:val="nil"/>
            </w:tcBorders>
          </w:tcPr>
          <w:p w14:paraId="4678AF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0.0692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EF79E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0.0722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C7D8A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0.0137</w:t>
            </w:r>
          </w:p>
        </w:tc>
        <w:tc>
          <w:tcPr>
            <w:tcW w:w="1656" w:type="dxa"/>
            <w:tcBorders>
              <w:top w:val="nil"/>
              <w:left w:val="nil"/>
              <w:bottom w:val="nil"/>
              <w:right w:val="nil"/>
            </w:tcBorders>
          </w:tcPr>
          <w:p w14:paraId="172AFDA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-0.0100</w:t>
            </w:r>
          </w:p>
        </w:tc>
      </w:tr>
      <w:tr w:rsidR="00320DC7" w:rsidRPr="002D58CD" w14:paraId="419C4E9A" w14:textId="77777777" w:rsidTr="00015B88">
        <w:tc>
          <w:tcPr>
            <w:tcW w:w="2136" w:type="dxa"/>
            <w:tcBorders>
              <w:top w:val="nil"/>
              <w:left w:val="nil"/>
              <w:bottom w:val="nil"/>
              <w:right w:val="nil"/>
            </w:tcBorders>
          </w:tcPr>
          <w:p w14:paraId="1B3272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255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(1.27)</w:t>
            </w:r>
          </w:p>
        </w:tc>
        <w:tc>
          <w:tcPr>
            <w:tcW w:w="1656" w:type="dxa"/>
            <w:tcBorders>
              <w:top w:val="nil"/>
              <w:left w:val="nil"/>
              <w:bottom w:val="nil"/>
              <w:right w:val="nil"/>
            </w:tcBorders>
          </w:tcPr>
          <w:p w14:paraId="6694C7F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(3.04)</w:t>
            </w:r>
          </w:p>
        </w:tc>
        <w:tc>
          <w:tcPr>
            <w:tcW w:w="1656" w:type="dxa"/>
            <w:tcBorders>
              <w:top w:val="nil"/>
              <w:left w:val="nil"/>
              <w:bottom w:val="nil"/>
              <w:right w:val="nil"/>
            </w:tcBorders>
          </w:tcPr>
          <w:p w14:paraId="74C8CB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(2.57)</w:t>
            </w:r>
          </w:p>
        </w:tc>
        <w:tc>
          <w:tcPr>
            <w:tcW w:w="1656" w:type="dxa"/>
            <w:tcBorders>
              <w:top w:val="nil"/>
              <w:left w:val="nil"/>
              <w:bottom w:val="nil"/>
              <w:right w:val="nil"/>
            </w:tcBorders>
          </w:tcPr>
          <w:p w14:paraId="562CA1D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(1.34)</w:t>
            </w:r>
          </w:p>
        </w:tc>
        <w:tc>
          <w:tcPr>
            <w:tcW w:w="1656" w:type="dxa"/>
            <w:tcBorders>
              <w:top w:val="nil"/>
              <w:left w:val="nil"/>
              <w:bottom w:val="nil"/>
              <w:right w:val="nil"/>
            </w:tcBorders>
          </w:tcPr>
          <w:p w14:paraId="09489C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(-1.72)</w:t>
            </w:r>
          </w:p>
        </w:tc>
      </w:tr>
      <w:tr w:rsidR="00320DC7" w:rsidRPr="002D58CD" w14:paraId="5ADC4D6F" w14:textId="77777777" w:rsidTr="00015B88">
        <w:tc>
          <w:tcPr>
            <w:tcW w:w="2136" w:type="dxa"/>
            <w:tcBorders>
              <w:top w:val="nil"/>
              <w:left w:val="nil"/>
              <w:bottom w:val="nil"/>
              <w:right w:val="nil"/>
            </w:tcBorders>
          </w:tcPr>
          <w:p w14:paraId="2480452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E9055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F9CB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AC3A2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0A99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6C62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8EF8A50" w14:textId="77777777" w:rsidTr="00015B88">
        <w:tc>
          <w:tcPr>
            <w:tcW w:w="2136" w:type="dxa"/>
            <w:tcBorders>
              <w:top w:val="nil"/>
              <w:left w:val="nil"/>
              <w:bottom w:val="nil"/>
              <w:right w:val="nil"/>
            </w:tcBorders>
          </w:tcPr>
          <w:p w14:paraId="50938C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L7.Polity Democracy Score (v2)</w:t>
            </w:r>
          </w:p>
        </w:tc>
        <w:tc>
          <w:tcPr>
            <w:tcW w:w="1656" w:type="dxa"/>
            <w:tcBorders>
              <w:top w:val="nil"/>
              <w:left w:val="nil"/>
              <w:bottom w:val="nil"/>
              <w:right w:val="nil"/>
            </w:tcBorders>
          </w:tcPr>
          <w:p w14:paraId="4791D4E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-0.0243</w:t>
            </w:r>
          </w:p>
        </w:tc>
        <w:tc>
          <w:tcPr>
            <w:tcW w:w="1656" w:type="dxa"/>
            <w:tcBorders>
              <w:top w:val="nil"/>
              <w:left w:val="nil"/>
              <w:bottom w:val="nil"/>
              <w:right w:val="nil"/>
            </w:tcBorders>
          </w:tcPr>
          <w:p w14:paraId="40A2AC3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-0.0781</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3BB4A5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-0.00969</w:t>
            </w:r>
          </w:p>
        </w:tc>
        <w:tc>
          <w:tcPr>
            <w:tcW w:w="1656" w:type="dxa"/>
            <w:tcBorders>
              <w:top w:val="nil"/>
              <w:left w:val="nil"/>
              <w:bottom w:val="nil"/>
              <w:right w:val="nil"/>
            </w:tcBorders>
          </w:tcPr>
          <w:p w14:paraId="1C458BF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-0.00175</w:t>
            </w:r>
          </w:p>
        </w:tc>
        <w:tc>
          <w:tcPr>
            <w:tcW w:w="1656" w:type="dxa"/>
            <w:tcBorders>
              <w:top w:val="nil"/>
              <w:left w:val="nil"/>
              <w:bottom w:val="nil"/>
              <w:right w:val="nil"/>
            </w:tcBorders>
          </w:tcPr>
          <w:p w14:paraId="33171E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0.0109</w:t>
            </w:r>
          </w:p>
        </w:tc>
      </w:tr>
      <w:tr w:rsidR="00320DC7" w:rsidRPr="002D58CD" w14:paraId="331F67E4" w14:textId="77777777" w:rsidTr="00015B88">
        <w:tc>
          <w:tcPr>
            <w:tcW w:w="2136" w:type="dxa"/>
            <w:tcBorders>
              <w:top w:val="nil"/>
              <w:left w:val="nil"/>
              <w:bottom w:val="nil"/>
              <w:right w:val="nil"/>
            </w:tcBorders>
          </w:tcPr>
          <w:p w14:paraId="3899E07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571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(-0.81)</w:t>
            </w:r>
          </w:p>
        </w:tc>
        <w:tc>
          <w:tcPr>
            <w:tcW w:w="1656" w:type="dxa"/>
            <w:tcBorders>
              <w:top w:val="nil"/>
              <w:left w:val="nil"/>
              <w:bottom w:val="nil"/>
              <w:right w:val="nil"/>
            </w:tcBorders>
          </w:tcPr>
          <w:p w14:paraId="3D29ACE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(-3.73)</w:t>
            </w:r>
          </w:p>
        </w:tc>
        <w:tc>
          <w:tcPr>
            <w:tcW w:w="1656" w:type="dxa"/>
            <w:tcBorders>
              <w:top w:val="nil"/>
              <w:left w:val="nil"/>
              <w:bottom w:val="nil"/>
              <w:right w:val="nil"/>
            </w:tcBorders>
          </w:tcPr>
          <w:p w14:paraId="02DA6E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(-0.36)</w:t>
            </w:r>
          </w:p>
        </w:tc>
        <w:tc>
          <w:tcPr>
            <w:tcW w:w="1656" w:type="dxa"/>
            <w:tcBorders>
              <w:top w:val="nil"/>
              <w:left w:val="nil"/>
              <w:bottom w:val="nil"/>
              <w:right w:val="nil"/>
            </w:tcBorders>
          </w:tcPr>
          <w:p w14:paraId="10BB490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c>
          <w:tcPr>
            <w:tcW w:w="1656" w:type="dxa"/>
            <w:tcBorders>
              <w:top w:val="nil"/>
              <w:left w:val="nil"/>
              <w:bottom w:val="nil"/>
              <w:right w:val="nil"/>
            </w:tcBorders>
          </w:tcPr>
          <w:p w14:paraId="7BEC4B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(1.71)</w:t>
            </w:r>
          </w:p>
        </w:tc>
      </w:tr>
      <w:tr w:rsidR="00320DC7" w:rsidRPr="002D58CD" w14:paraId="717224F1" w14:textId="77777777" w:rsidTr="00015B88">
        <w:tc>
          <w:tcPr>
            <w:tcW w:w="2136" w:type="dxa"/>
            <w:tcBorders>
              <w:top w:val="nil"/>
              <w:left w:val="nil"/>
              <w:bottom w:val="nil"/>
              <w:right w:val="nil"/>
            </w:tcBorders>
          </w:tcPr>
          <w:p w14:paraId="56E1530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BB6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C976E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3547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2CE75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B4140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B74DA99" w14:textId="77777777" w:rsidTr="00015B88">
        <w:tc>
          <w:tcPr>
            <w:tcW w:w="2136" w:type="dxa"/>
            <w:tcBorders>
              <w:top w:val="nil"/>
              <w:left w:val="nil"/>
              <w:bottom w:val="nil"/>
              <w:right w:val="nil"/>
            </w:tcBorders>
          </w:tcPr>
          <w:p w14:paraId="430012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L8.Polity Democracy Score (v2)</w:t>
            </w:r>
          </w:p>
        </w:tc>
        <w:tc>
          <w:tcPr>
            <w:tcW w:w="1656" w:type="dxa"/>
            <w:tcBorders>
              <w:top w:val="nil"/>
              <w:left w:val="nil"/>
              <w:bottom w:val="nil"/>
              <w:right w:val="nil"/>
            </w:tcBorders>
          </w:tcPr>
          <w:p w14:paraId="74DE605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0.0343</w:t>
            </w:r>
          </w:p>
        </w:tc>
        <w:tc>
          <w:tcPr>
            <w:tcW w:w="1656" w:type="dxa"/>
            <w:tcBorders>
              <w:top w:val="nil"/>
              <w:left w:val="nil"/>
              <w:bottom w:val="nil"/>
              <w:right w:val="nil"/>
            </w:tcBorders>
          </w:tcPr>
          <w:p w14:paraId="122305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0.0262</w:t>
            </w:r>
          </w:p>
        </w:tc>
        <w:tc>
          <w:tcPr>
            <w:tcW w:w="1656" w:type="dxa"/>
            <w:tcBorders>
              <w:top w:val="nil"/>
              <w:left w:val="nil"/>
              <w:bottom w:val="nil"/>
              <w:right w:val="nil"/>
            </w:tcBorders>
          </w:tcPr>
          <w:p w14:paraId="648F6C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-0.0685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6D4481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0.00763</w:t>
            </w:r>
          </w:p>
        </w:tc>
        <w:tc>
          <w:tcPr>
            <w:tcW w:w="1656" w:type="dxa"/>
            <w:tcBorders>
              <w:top w:val="nil"/>
              <w:left w:val="nil"/>
              <w:bottom w:val="nil"/>
              <w:right w:val="nil"/>
            </w:tcBorders>
          </w:tcPr>
          <w:p w14:paraId="781652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0.000280</w:t>
            </w:r>
          </w:p>
        </w:tc>
      </w:tr>
      <w:tr w:rsidR="00320DC7" w:rsidRPr="002D58CD" w14:paraId="49607DCC" w14:textId="77777777" w:rsidTr="00015B88">
        <w:tc>
          <w:tcPr>
            <w:tcW w:w="2136" w:type="dxa"/>
            <w:tcBorders>
              <w:top w:val="nil"/>
              <w:left w:val="nil"/>
              <w:bottom w:val="nil"/>
              <w:right w:val="nil"/>
            </w:tcBorders>
          </w:tcPr>
          <w:p w14:paraId="1CF2E6F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9455B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(1.22)</w:t>
            </w:r>
          </w:p>
        </w:tc>
        <w:tc>
          <w:tcPr>
            <w:tcW w:w="1656" w:type="dxa"/>
            <w:tcBorders>
              <w:top w:val="nil"/>
              <w:left w:val="nil"/>
              <w:bottom w:val="nil"/>
              <w:right w:val="nil"/>
            </w:tcBorders>
          </w:tcPr>
          <w:p w14:paraId="2EA95D9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(1.03)</w:t>
            </w:r>
          </w:p>
        </w:tc>
        <w:tc>
          <w:tcPr>
            <w:tcW w:w="1656" w:type="dxa"/>
            <w:tcBorders>
              <w:top w:val="nil"/>
              <w:left w:val="nil"/>
              <w:bottom w:val="nil"/>
              <w:right w:val="nil"/>
            </w:tcBorders>
          </w:tcPr>
          <w:p w14:paraId="327768D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(-2.24)</w:t>
            </w:r>
          </w:p>
        </w:tc>
        <w:tc>
          <w:tcPr>
            <w:tcW w:w="1656" w:type="dxa"/>
            <w:tcBorders>
              <w:top w:val="nil"/>
              <w:left w:val="nil"/>
              <w:bottom w:val="nil"/>
              <w:right w:val="nil"/>
            </w:tcBorders>
          </w:tcPr>
          <w:p w14:paraId="29FD6F1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(0.72)</w:t>
            </w:r>
          </w:p>
        </w:tc>
        <w:tc>
          <w:tcPr>
            <w:tcW w:w="1656" w:type="dxa"/>
            <w:tcBorders>
              <w:top w:val="nil"/>
              <w:left w:val="nil"/>
              <w:bottom w:val="nil"/>
              <w:right w:val="nil"/>
            </w:tcBorders>
          </w:tcPr>
          <w:p w14:paraId="7A9BE30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r>
      <w:tr w:rsidR="00320DC7" w:rsidRPr="002D58CD" w14:paraId="5A1B4910" w14:textId="77777777" w:rsidTr="00015B88">
        <w:tc>
          <w:tcPr>
            <w:tcW w:w="2136" w:type="dxa"/>
            <w:tcBorders>
              <w:top w:val="nil"/>
              <w:left w:val="nil"/>
              <w:bottom w:val="nil"/>
              <w:right w:val="nil"/>
            </w:tcBorders>
          </w:tcPr>
          <w:p w14:paraId="15C6CC4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96CEF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E2B5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21E4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54574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A53C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80BE20C" w14:textId="77777777" w:rsidTr="00015B88">
        <w:tc>
          <w:tcPr>
            <w:tcW w:w="2136" w:type="dxa"/>
            <w:tcBorders>
              <w:top w:val="nil"/>
              <w:left w:val="nil"/>
              <w:bottom w:val="nil"/>
              <w:right w:val="nil"/>
            </w:tcBorders>
          </w:tcPr>
          <w:p w14:paraId="63CEBF8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L9.Polity Democracy Score (v2)</w:t>
            </w:r>
          </w:p>
        </w:tc>
        <w:tc>
          <w:tcPr>
            <w:tcW w:w="1656" w:type="dxa"/>
            <w:tcBorders>
              <w:top w:val="nil"/>
              <w:left w:val="nil"/>
              <w:bottom w:val="nil"/>
              <w:right w:val="nil"/>
            </w:tcBorders>
          </w:tcPr>
          <w:p w14:paraId="0D97952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-0.0693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B411E6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-0.00394</w:t>
            </w:r>
          </w:p>
        </w:tc>
        <w:tc>
          <w:tcPr>
            <w:tcW w:w="1656" w:type="dxa"/>
            <w:tcBorders>
              <w:top w:val="nil"/>
              <w:left w:val="nil"/>
              <w:bottom w:val="nil"/>
              <w:right w:val="nil"/>
            </w:tcBorders>
          </w:tcPr>
          <w:p w14:paraId="5C393D1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0.0238</w:t>
            </w:r>
          </w:p>
        </w:tc>
        <w:tc>
          <w:tcPr>
            <w:tcW w:w="1656" w:type="dxa"/>
            <w:tcBorders>
              <w:top w:val="nil"/>
              <w:left w:val="nil"/>
              <w:bottom w:val="nil"/>
              <w:right w:val="nil"/>
            </w:tcBorders>
          </w:tcPr>
          <w:p w14:paraId="1AE8D6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-0.0114</w:t>
            </w:r>
          </w:p>
        </w:tc>
        <w:tc>
          <w:tcPr>
            <w:tcW w:w="1656" w:type="dxa"/>
            <w:tcBorders>
              <w:top w:val="nil"/>
              <w:left w:val="nil"/>
              <w:bottom w:val="nil"/>
              <w:right w:val="nil"/>
            </w:tcBorders>
          </w:tcPr>
          <w:p w14:paraId="718AE1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0.00122</w:t>
            </w:r>
          </w:p>
        </w:tc>
      </w:tr>
      <w:tr w:rsidR="00320DC7" w:rsidRPr="002D58CD" w14:paraId="751D2C9A" w14:textId="77777777" w:rsidTr="00015B88">
        <w:tc>
          <w:tcPr>
            <w:tcW w:w="2136" w:type="dxa"/>
            <w:tcBorders>
              <w:top w:val="nil"/>
              <w:left w:val="nil"/>
              <w:bottom w:val="nil"/>
              <w:right w:val="nil"/>
            </w:tcBorders>
          </w:tcPr>
          <w:p w14:paraId="7AEBE9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662F2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(-2.29)</w:t>
            </w:r>
          </w:p>
        </w:tc>
        <w:tc>
          <w:tcPr>
            <w:tcW w:w="1656" w:type="dxa"/>
            <w:tcBorders>
              <w:top w:val="nil"/>
              <w:left w:val="nil"/>
              <w:bottom w:val="nil"/>
              <w:right w:val="nil"/>
            </w:tcBorders>
          </w:tcPr>
          <w:p w14:paraId="362B7BB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(-0.14)</w:t>
            </w:r>
          </w:p>
        </w:tc>
        <w:tc>
          <w:tcPr>
            <w:tcW w:w="1656" w:type="dxa"/>
            <w:tcBorders>
              <w:top w:val="nil"/>
              <w:left w:val="nil"/>
              <w:bottom w:val="nil"/>
              <w:right w:val="nil"/>
            </w:tcBorders>
          </w:tcPr>
          <w:p w14:paraId="3D366DE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(0.73)</w:t>
            </w:r>
          </w:p>
        </w:tc>
        <w:tc>
          <w:tcPr>
            <w:tcW w:w="1656" w:type="dxa"/>
            <w:tcBorders>
              <w:top w:val="nil"/>
              <w:left w:val="nil"/>
              <w:bottom w:val="nil"/>
              <w:right w:val="nil"/>
            </w:tcBorders>
          </w:tcPr>
          <w:p w14:paraId="6C222C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(-1.55)</w:t>
            </w:r>
          </w:p>
        </w:tc>
        <w:tc>
          <w:tcPr>
            <w:tcW w:w="1656" w:type="dxa"/>
            <w:tcBorders>
              <w:top w:val="nil"/>
              <w:left w:val="nil"/>
              <w:bottom w:val="nil"/>
              <w:right w:val="nil"/>
            </w:tcBorders>
          </w:tcPr>
          <w:p w14:paraId="760D3E5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w:t>
            </w:r>
          </w:p>
        </w:tc>
      </w:tr>
      <w:tr w:rsidR="00320DC7" w:rsidRPr="002D58CD" w14:paraId="38475EA1" w14:textId="77777777" w:rsidTr="00015B88">
        <w:tc>
          <w:tcPr>
            <w:tcW w:w="2136" w:type="dxa"/>
            <w:tcBorders>
              <w:top w:val="nil"/>
              <w:left w:val="nil"/>
              <w:bottom w:val="nil"/>
              <w:right w:val="nil"/>
            </w:tcBorders>
          </w:tcPr>
          <w:p w14:paraId="7B44F52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E82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52400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6EBD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59A4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AE17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C099167" w14:textId="77777777" w:rsidTr="00015B88">
        <w:tc>
          <w:tcPr>
            <w:tcW w:w="2136" w:type="dxa"/>
            <w:tcBorders>
              <w:top w:val="nil"/>
              <w:left w:val="nil"/>
              <w:bottom w:val="nil"/>
              <w:right w:val="nil"/>
            </w:tcBorders>
          </w:tcPr>
          <w:p w14:paraId="2506114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L10.Polity Democracy Score (v2)</w:t>
            </w:r>
          </w:p>
        </w:tc>
        <w:tc>
          <w:tcPr>
            <w:tcW w:w="1656" w:type="dxa"/>
            <w:tcBorders>
              <w:top w:val="nil"/>
              <w:left w:val="nil"/>
              <w:bottom w:val="nil"/>
              <w:right w:val="nil"/>
            </w:tcBorders>
          </w:tcPr>
          <w:p w14:paraId="74D142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0.0335</w:t>
            </w:r>
          </w:p>
        </w:tc>
        <w:tc>
          <w:tcPr>
            <w:tcW w:w="1656" w:type="dxa"/>
            <w:tcBorders>
              <w:top w:val="nil"/>
              <w:left w:val="nil"/>
              <w:bottom w:val="nil"/>
              <w:right w:val="nil"/>
            </w:tcBorders>
          </w:tcPr>
          <w:p w14:paraId="1AE4CEC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0.00877</w:t>
            </w:r>
          </w:p>
        </w:tc>
        <w:tc>
          <w:tcPr>
            <w:tcW w:w="1656" w:type="dxa"/>
            <w:tcBorders>
              <w:top w:val="nil"/>
              <w:left w:val="nil"/>
              <w:bottom w:val="nil"/>
              <w:right w:val="nil"/>
            </w:tcBorders>
          </w:tcPr>
          <w:p w14:paraId="56DE847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-0.0156</w:t>
            </w:r>
          </w:p>
        </w:tc>
        <w:tc>
          <w:tcPr>
            <w:tcW w:w="1656" w:type="dxa"/>
            <w:tcBorders>
              <w:top w:val="nil"/>
              <w:left w:val="nil"/>
              <w:bottom w:val="nil"/>
              <w:right w:val="nil"/>
            </w:tcBorders>
          </w:tcPr>
          <w:p w14:paraId="318D661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0.00803</w:t>
            </w:r>
          </w:p>
        </w:tc>
        <w:tc>
          <w:tcPr>
            <w:tcW w:w="1656" w:type="dxa"/>
            <w:tcBorders>
              <w:top w:val="nil"/>
              <w:left w:val="nil"/>
              <w:bottom w:val="nil"/>
              <w:right w:val="nil"/>
            </w:tcBorders>
          </w:tcPr>
          <w:p w14:paraId="18930A9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0.0110</w:t>
            </w:r>
          </w:p>
        </w:tc>
      </w:tr>
      <w:tr w:rsidR="00320DC7" w:rsidRPr="002D58CD" w14:paraId="5B0C6CB2" w14:textId="77777777" w:rsidTr="00015B88">
        <w:tc>
          <w:tcPr>
            <w:tcW w:w="2136" w:type="dxa"/>
            <w:tcBorders>
              <w:top w:val="nil"/>
              <w:left w:val="nil"/>
              <w:bottom w:val="nil"/>
              <w:right w:val="nil"/>
            </w:tcBorders>
          </w:tcPr>
          <w:p w14:paraId="761BFA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6F8BE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(1.67)</w:t>
            </w:r>
          </w:p>
        </w:tc>
        <w:tc>
          <w:tcPr>
            <w:tcW w:w="1656" w:type="dxa"/>
            <w:tcBorders>
              <w:top w:val="nil"/>
              <w:left w:val="nil"/>
              <w:bottom w:val="nil"/>
              <w:right w:val="nil"/>
            </w:tcBorders>
          </w:tcPr>
          <w:p w14:paraId="1456724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(0.51)</w:t>
            </w:r>
          </w:p>
        </w:tc>
        <w:tc>
          <w:tcPr>
            <w:tcW w:w="1656" w:type="dxa"/>
            <w:tcBorders>
              <w:top w:val="nil"/>
              <w:left w:val="nil"/>
              <w:bottom w:val="nil"/>
              <w:right w:val="nil"/>
            </w:tcBorders>
          </w:tcPr>
          <w:p w14:paraId="536B26C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c>
          <w:tcPr>
            <w:tcW w:w="1656" w:type="dxa"/>
            <w:tcBorders>
              <w:top w:val="nil"/>
              <w:left w:val="nil"/>
              <w:bottom w:val="nil"/>
              <w:right w:val="nil"/>
            </w:tcBorders>
          </w:tcPr>
          <w:p w14:paraId="50BC36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(1.17)</w:t>
            </w:r>
          </w:p>
        </w:tc>
        <w:tc>
          <w:tcPr>
            <w:tcW w:w="1656" w:type="dxa"/>
            <w:tcBorders>
              <w:top w:val="nil"/>
              <w:left w:val="nil"/>
              <w:bottom w:val="nil"/>
              <w:right w:val="nil"/>
            </w:tcBorders>
          </w:tcPr>
          <w:p w14:paraId="5F83B6E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(1.32)</w:t>
            </w:r>
          </w:p>
        </w:tc>
      </w:tr>
      <w:tr w:rsidR="00320DC7" w:rsidRPr="002D58CD" w14:paraId="79A12A88" w14:textId="77777777" w:rsidTr="00015B88">
        <w:tc>
          <w:tcPr>
            <w:tcW w:w="2136" w:type="dxa"/>
            <w:tcBorders>
              <w:top w:val="nil"/>
              <w:left w:val="nil"/>
              <w:bottom w:val="nil"/>
              <w:right w:val="nil"/>
            </w:tcBorders>
          </w:tcPr>
          <w:p w14:paraId="06B2CC0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49B0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6094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E99E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F1D8E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9F38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E536EDE" w14:textId="77777777" w:rsidTr="00015B88">
        <w:tc>
          <w:tcPr>
            <w:tcW w:w="2136" w:type="dxa"/>
            <w:tcBorders>
              <w:top w:val="nil"/>
              <w:left w:val="nil"/>
              <w:bottom w:val="nil"/>
              <w:right w:val="nil"/>
            </w:tcBorders>
          </w:tcPr>
          <w:p w14:paraId="36E99A1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2D58CD">
              <w:rPr>
                <w:rFonts w:ascii="Times New Roman" w:hAnsi="Times New Roman" w:cs="Times New Roman"/>
                <w:sz w:val="16"/>
                <w:szCs w:val="16"/>
              </w:rPr>
              <w:t>L.De</w:t>
            </w:r>
            <w:proofErr w:type="spellEnd"/>
            <w:r w:rsidRPr="002D58CD">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3AC959C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-0.0166</w:t>
            </w:r>
          </w:p>
        </w:tc>
        <w:tc>
          <w:tcPr>
            <w:tcW w:w="1656" w:type="dxa"/>
            <w:tcBorders>
              <w:top w:val="nil"/>
              <w:left w:val="nil"/>
              <w:bottom w:val="nil"/>
              <w:right w:val="nil"/>
            </w:tcBorders>
          </w:tcPr>
          <w:p w14:paraId="5985A63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0.000380</w:t>
            </w:r>
          </w:p>
        </w:tc>
        <w:tc>
          <w:tcPr>
            <w:tcW w:w="1656" w:type="dxa"/>
            <w:tcBorders>
              <w:top w:val="nil"/>
              <w:left w:val="nil"/>
              <w:bottom w:val="nil"/>
              <w:right w:val="nil"/>
            </w:tcBorders>
          </w:tcPr>
          <w:p w14:paraId="774783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0.0141</w:t>
            </w:r>
          </w:p>
        </w:tc>
        <w:tc>
          <w:tcPr>
            <w:tcW w:w="1656" w:type="dxa"/>
            <w:tcBorders>
              <w:top w:val="nil"/>
              <w:left w:val="nil"/>
              <w:bottom w:val="nil"/>
              <w:right w:val="nil"/>
            </w:tcBorders>
          </w:tcPr>
          <w:p w14:paraId="0D9BCD3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-0.00323</w:t>
            </w:r>
          </w:p>
        </w:tc>
        <w:tc>
          <w:tcPr>
            <w:tcW w:w="1656" w:type="dxa"/>
            <w:tcBorders>
              <w:top w:val="nil"/>
              <w:left w:val="nil"/>
              <w:bottom w:val="nil"/>
              <w:right w:val="nil"/>
            </w:tcBorders>
          </w:tcPr>
          <w:p w14:paraId="2D1BCB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0.0103</w:t>
            </w:r>
            <w:r w:rsidRPr="002D58CD">
              <w:rPr>
                <w:rFonts w:ascii="Times New Roman" w:hAnsi="Times New Roman" w:cs="Times New Roman"/>
                <w:sz w:val="16"/>
                <w:szCs w:val="16"/>
                <w:vertAlign w:val="superscript"/>
              </w:rPr>
              <w:t>**</w:t>
            </w:r>
          </w:p>
        </w:tc>
      </w:tr>
      <w:tr w:rsidR="00320DC7" w:rsidRPr="002D58CD" w14:paraId="462B03AB" w14:textId="77777777" w:rsidTr="00015B88">
        <w:tc>
          <w:tcPr>
            <w:tcW w:w="2136" w:type="dxa"/>
            <w:tcBorders>
              <w:top w:val="nil"/>
              <w:left w:val="nil"/>
              <w:bottom w:val="nil"/>
              <w:right w:val="nil"/>
            </w:tcBorders>
          </w:tcPr>
          <w:p w14:paraId="01D0F3F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C493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(-1.30)</w:t>
            </w:r>
          </w:p>
        </w:tc>
        <w:tc>
          <w:tcPr>
            <w:tcW w:w="1656" w:type="dxa"/>
            <w:tcBorders>
              <w:top w:val="nil"/>
              <w:left w:val="nil"/>
              <w:bottom w:val="nil"/>
              <w:right w:val="nil"/>
            </w:tcBorders>
          </w:tcPr>
          <w:p w14:paraId="6601677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c>
          <w:tcPr>
            <w:tcW w:w="1656" w:type="dxa"/>
            <w:tcBorders>
              <w:top w:val="nil"/>
              <w:left w:val="nil"/>
              <w:bottom w:val="nil"/>
              <w:right w:val="nil"/>
            </w:tcBorders>
          </w:tcPr>
          <w:p w14:paraId="5EEB690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(1.07)</w:t>
            </w:r>
          </w:p>
        </w:tc>
        <w:tc>
          <w:tcPr>
            <w:tcW w:w="1656" w:type="dxa"/>
            <w:tcBorders>
              <w:top w:val="nil"/>
              <w:left w:val="nil"/>
              <w:bottom w:val="nil"/>
              <w:right w:val="nil"/>
            </w:tcBorders>
          </w:tcPr>
          <w:p w14:paraId="0829ADE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(-0.56)</w:t>
            </w:r>
          </w:p>
        </w:tc>
        <w:tc>
          <w:tcPr>
            <w:tcW w:w="1656" w:type="dxa"/>
            <w:tcBorders>
              <w:top w:val="nil"/>
              <w:left w:val="nil"/>
              <w:bottom w:val="nil"/>
              <w:right w:val="nil"/>
            </w:tcBorders>
          </w:tcPr>
          <w:p w14:paraId="420147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(2.81)</w:t>
            </w:r>
          </w:p>
        </w:tc>
      </w:tr>
      <w:tr w:rsidR="00320DC7" w:rsidRPr="002D58CD" w14:paraId="32E886B2" w14:textId="77777777" w:rsidTr="00015B88">
        <w:tc>
          <w:tcPr>
            <w:tcW w:w="2136" w:type="dxa"/>
            <w:tcBorders>
              <w:top w:val="nil"/>
              <w:left w:val="nil"/>
              <w:bottom w:val="nil"/>
              <w:right w:val="nil"/>
            </w:tcBorders>
          </w:tcPr>
          <w:p w14:paraId="7B388C5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BC7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056C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ED3D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A178A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9E9C8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E81134C" w14:textId="77777777" w:rsidTr="00015B88">
        <w:tc>
          <w:tcPr>
            <w:tcW w:w="2136" w:type="dxa"/>
            <w:tcBorders>
              <w:top w:val="nil"/>
              <w:left w:val="nil"/>
              <w:bottom w:val="nil"/>
              <w:right w:val="nil"/>
            </w:tcBorders>
          </w:tcPr>
          <w:p w14:paraId="1D841A6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L2.De Facto CBI * Polity Democracy</w:t>
            </w:r>
          </w:p>
        </w:tc>
        <w:tc>
          <w:tcPr>
            <w:tcW w:w="1656" w:type="dxa"/>
            <w:tcBorders>
              <w:top w:val="nil"/>
              <w:left w:val="nil"/>
              <w:bottom w:val="nil"/>
              <w:right w:val="nil"/>
            </w:tcBorders>
          </w:tcPr>
          <w:p w14:paraId="6FF6B78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-0.000438</w:t>
            </w:r>
          </w:p>
        </w:tc>
        <w:tc>
          <w:tcPr>
            <w:tcW w:w="1656" w:type="dxa"/>
            <w:tcBorders>
              <w:top w:val="nil"/>
              <w:left w:val="nil"/>
              <w:bottom w:val="nil"/>
              <w:right w:val="nil"/>
            </w:tcBorders>
          </w:tcPr>
          <w:p w14:paraId="66EC113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-0.0201</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95D03A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-0.00482</w:t>
            </w:r>
          </w:p>
        </w:tc>
        <w:tc>
          <w:tcPr>
            <w:tcW w:w="1656" w:type="dxa"/>
            <w:tcBorders>
              <w:top w:val="nil"/>
              <w:left w:val="nil"/>
              <w:bottom w:val="nil"/>
              <w:right w:val="nil"/>
            </w:tcBorders>
          </w:tcPr>
          <w:p w14:paraId="50612E7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-0.00568</w:t>
            </w:r>
          </w:p>
        </w:tc>
        <w:tc>
          <w:tcPr>
            <w:tcW w:w="1656" w:type="dxa"/>
            <w:tcBorders>
              <w:top w:val="nil"/>
              <w:left w:val="nil"/>
              <w:bottom w:val="nil"/>
              <w:right w:val="nil"/>
            </w:tcBorders>
          </w:tcPr>
          <w:p w14:paraId="3B40C2E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0.00440</w:t>
            </w:r>
          </w:p>
        </w:tc>
      </w:tr>
      <w:tr w:rsidR="00320DC7" w:rsidRPr="002D58CD" w14:paraId="7E675F9F" w14:textId="77777777" w:rsidTr="00015B88">
        <w:tc>
          <w:tcPr>
            <w:tcW w:w="2136" w:type="dxa"/>
            <w:tcBorders>
              <w:top w:val="nil"/>
              <w:left w:val="nil"/>
              <w:bottom w:val="nil"/>
              <w:right w:val="nil"/>
            </w:tcBorders>
          </w:tcPr>
          <w:p w14:paraId="78CE11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382D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w:t>
            </w:r>
          </w:p>
        </w:tc>
        <w:tc>
          <w:tcPr>
            <w:tcW w:w="1656" w:type="dxa"/>
            <w:tcBorders>
              <w:top w:val="nil"/>
              <w:left w:val="nil"/>
              <w:bottom w:val="nil"/>
              <w:right w:val="nil"/>
            </w:tcBorders>
          </w:tcPr>
          <w:p w14:paraId="2E6E5A6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(-2.41)</w:t>
            </w:r>
          </w:p>
        </w:tc>
        <w:tc>
          <w:tcPr>
            <w:tcW w:w="1656" w:type="dxa"/>
            <w:tcBorders>
              <w:top w:val="nil"/>
              <w:left w:val="nil"/>
              <w:bottom w:val="nil"/>
              <w:right w:val="nil"/>
            </w:tcBorders>
          </w:tcPr>
          <w:p w14:paraId="5A8DF58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(-0.38)</w:t>
            </w:r>
          </w:p>
        </w:tc>
        <w:tc>
          <w:tcPr>
            <w:tcW w:w="1656" w:type="dxa"/>
            <w:tcBorders>
              <w:top w:val="nil"/>
              <w:left w:val="nil"/>
              <w:bottom w:val="nil"/>
              <w:right w:val="nil"/>
            </w:tcBorders>
          </w:tcPr>
          <w:p w14:paraId="1311486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(-0.88)</w:t>
            </w:r>
          </w:p>
        </w:tc>
        <w:tc>
          <w:tcPr>
            <w:tcW w:w="1656" w:type="dxa"/>
            <w:tcBorders>
              <w:top w:val="nil"/>
              <w:left w:val="nil"/>
              <w:bottom w:val="nil"/>
              <w:right w:val="nil"/>
            </w:tcBorders>
          </w:tcPr>
          <w:p w14:paraId="1912B99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(1.10)</w:t>
            </w:r>
          </w:p>
        </w:tc>
      </w:tr>
      <w:tr w:rsidR="00320DC7" w:rsidRPr="002D58CD" w14:paraId="366D7C29" w14:textId="77777777" w:rsidTr="00015B88">
        <w:tc>
          <w:tcPr>
            <w:tcW w:w="2136" w:type="dxa"/>
            <w:tcBorders>
              <w:top w:val="nil"/>
              <w:left w:val="nil"/>
              <w:bottom w:val="nil"/>
              <w:right w:val="nil"/>
            </w:tcBorders>
          </w:tcPr>
          <w:p w14:paraId="5ECC61A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C21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1D15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E87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F59D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ABC9E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7901C37" w14:textId="77777777" w:rsidTr="00015B88">
        <w:tc>
          <w:tcPr>
            <w:tcW w:w="2136" w:type="dxa"/>
            <w:tcBorders>
              <w:top w:val="nil"/>
              <w:left w:val="nil"/>
              <w:bottom w:val="nil"/>
              <w:right w:val="nil"/>
            </w:tcBorders>
          </w:tcPr>
          <w:p w14:paraId="2140F13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L3.De Facto CBI * Polity Democracy</w:t>
            </w:r>
          </w:p>
        </w:tc>
        <w:tc>
          <w:tcPr>
            <w:tcW w:w="1656" w:type="dxa"/>
            <w:tcBorders>
              <w:top w:val="nil"/>
              <w:left w:val="nil"/>
              <w:bottom w:val="nil"/>
              <w:right w:val="nil"/>
            </w:tcBorders>
          </w:tcPr>
          <w:p w14:paraId="5371831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0.00239</w:t>
            </w:r>
          </w:p>
        </w:tc>
        <w:tc>
          <w:tcPr>
            <w:tcW w:w="1656" w:type="dxa"/>
            <w:tcBorders>
              <w:top w:val="nil"/>
              <w:left w:val="nil"/>
              <w:bottom w:val="nil"/>
              <w:right w:val="nil"/>
            </w:tcBorders>
          </w:tcPr>
          <w:p w14:paraId="44BE321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0.00355</w:t>
            </w:r>
          </w:p>
        </w:tc>
        <w:tc>
          <w:tcPr>
            <w:tcW w:w="1656" w:type="dxa"/>
            <w:tcBorders>
              <w:top w:val="nil"/>
              <w:left w:val="nil"/>
              <w:bottom w:val="nil"/>
              <w:right w:val="nil"/>
            </w:tcBorders>
          </w:tcPr>
          <w:p w14:paraId="4F93789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-0.0176</w:t>
            </w:r>
          </w:p>
        </w:tc>
        <w:tc>
          <w:tcPr>
            <w:tcW w:w="1656" w:type="dxa"/>
            <w:tcBorders>
              <w:top w:val="nil"/>
              <w:left w:val="nil"/>
              <w:bottom w:val="nil"/>
              <w:right w:val="nil"/>
            </w:tcBorders>
          </w:tcPr>
          <w:p w14:paraId="6785039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0.00253</w:t>
            </w:r>
          </w:p>
        </w:tc>
        <w:tc>
          <w:tcPr>
            <w:tcW w:w="1656" w:type="dxa"/>
            <w:tcBorders>
              <w:top w:val="nil"/>
              <w:left w:val="nil"/>
              <w:bottom w:val="nil"/>
              <w:right w:val="nil"/>
            </w:tcBorders>
          </w:tcPr>
          <w:p w14:paraId="74E81C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0.00580</w:t>
            </w:r>
          </w:p>
        </w:tc>
      </w:tr>
      <w:tr w:rsidR="00320DC7" w:rsidRPr="002D58CD" w14:paraId="7D8A15B5" w14:textId="77777777" w:rsidTr="00015B88">
        <w:tc>
          <w:tcPr>
            <w:tcW w:w="2136" w:type="dxa"/>
            <w:tcBorders>
              <w:top w:val="nil"/>
              <w:left w:val="nil"/>
              <w:bottom w:val="nil"/>
              <w:right w:val="nil"/>
            </w:tcBorders>
          </w:tcPr>
          <w:p w14:paraId="3E972B8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6E4A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4A3AD2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(0.40)</w:t>
            </w:r>
          </w:p>
        </w:tc>
        <w:tc>
          <w:tcPr>
            <w:tcW w:w="1656" w:type="dxa"/>
            <w:tcBorders>
              <w:top w:val="nil"/>
              <w:left w:val="nil"/>
              <w:bottom w:val="nil"/>
              <w:right w:val="nil"/>
            </w:tcBorders>
          </w:tcPr>
          <w:p w14:paraId="4D9E1D0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(-1.61)</w:t>
            </w:r>
          </w:p>
        </w:tc>
        <w:tc>
          <w:tcPr>
            <w:tcW w:w="1656" w:type="dxa"/>
            <w:tcBorders>
              <w:top w:val="nil"/>
              <w:left w:val="nil"/>
              <w:bottom w:val="nil"/>
              <w:right w:val="nil"/>
            </w:tcBorders>
          </w:tcPr>
          <w:p w14:paraId="45CB97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(0.45)</w:t>
            </w:r>
          </w:p>
        </w:tc>
        <w:tc>
          <w:tcPr>
            <w:tcW w:w="1656" w:type="dxa"/>
            <w:tcBorders>
              <w:top w:val="nil"/>
              <w:left w:val="nil"/>
              <w:bottom w:val="nil"/>
              <w:right w:val="nil"/>
            </w:tcBorders>
          </w:tcPr>
          <w:p w14:paraId="2E8348B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r>
      <w:tr w:rsidR="00320DC7" w:rsidRPr="002D58CD" w14:paraId="610C8E58" w14:textId="77777777" w:rsidTr="00015B88">
        <w:tc>
          <w:tcPr>
            <w:tcW w:w="2136" w:type="dxa"/>
            <w:tcBorders>
              <w:top w:val="nil"/>
              <w:left w:val="nil"/>
              <w:bottom w:val="nil"/>
              <w:right w:val="nil"/>
            </w:tcBorders>
          </w:tcPr>
          <w:p w14:paraId="356FB08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D4C50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9658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C1CB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B2B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9047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4E68DB6" w14:textId="77777777" w:rsidTr="00015B88">
        <w:tc>
          <w:tcPr>
            <w:tcW w:w="2136" w:type="dxa"/>
            <w:tcBorders>
              <w:top w:val="nil"/>
              <w:left w:val="nil"/>
              <w:bottom w:val="nil"/>
              <w:right w:val="nil"/>
            </w:tcBorders>
          </w:tcPr>
          <w:p w14:paraId="39BDAE5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L4.De Facto CBI * Polity Democracy</w:t>
            </w:r>
          </w:p>
        </w:tc>
        <w:tc>
          <w:tcPr>
            <w:tcW w:w="1656" w:type="dxa"/>
            <w:tcBorders>
              <w:top w:val="nil"/>
              <w:left w:val="nil"/>
              <w:bottom w:val="nil"/>
              <w:right w:val="nil"/>
            </w:tcBorders>
          </w:tcPr>
          <w:p w14:paraId="3CD640C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-0.00599</w:t>
            </w:r>
          </w:p>
        </w:tc>
        <w:tc>
          <w:tcPr>
            <w:tcW w:w="1656" w:type="dxa"/>
            <w:tcBorders>
              <w:top w:val="nil"/>
              <w:left w:val="nil"/>
              <w:bottom w:val="nil"/>
              <w:right w:val="nil"/>
            </w:tcBorders>
          </w:tcPr>
          <w:p w14:paraId="0280183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72CD9F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-0.0128</w:t>
            </w:r>
          </w:p>
        </w:tc>
        <w:tc>
          <w:tcPr>
            <w:tcW w:w="1656" w:type="dxa"/>
            <w:tcBorders>
              <w:top w:val="nil"/>
              <w:left w:val="nil"/>
              <w:bottom w:val="nil"/>
              <w:right w:val="nil"/>
            </w:tcBorders>
          </w:tcPr>
          <w:p w14:paraId="5EB345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-0.00265</w:t>
            </w:r>
          </w:p>
        </w:tc>
        <w:tc>
          <w:tcPr>
            <w:tcW w:w="1656" w:type="dxa"/>
            <w:tcBorders>
              <w:top w:val="nil"/>
              <w:left w:val="nil"/>
              <w:bottom w:val="nil"/>
              <w:right w:val="nil"/>
            </w:tcBorders>
          </w:tcPr>
          <w:p w14:paraId="1E75B67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0.00528</w:t>
            </w:r>
          </w:p>
        </w:tc>
      </w:tr>
      <w:tr w:rsidR="00320DC7" w:rsidRPr="002D58CD" w14:paraId="0C80372F" w14:textId="77777777" w:rsidTr="00015B88">
        <w:tc>
          <w:tcPr>
            <w:tcW w:w="2136" w:type="dxa"/>
            <w:tcBorders>
              <w:top w:val="nil"/>
              <w:left w:val="nil"/>
              <w:bottom w:val="nil"/>
              <w:right w:val="nil"/>
            </w:tcBorders>
          </w:tcPr>
          <w:p w14:paraId="3BD750B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04EE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c>
          <w:tcPr>
            <w:tcW w:w="1656" w:type="dxa"/>
            <w:tcBorders>
              <w:top w:val="nil"/>
              <w:left w:val="nil"/>
              <w:bottom w:val="nil"/>
              <w:right w:val="nil"/>
            </w:tcBorders>
          </w:tcPr>
          <w:p w14:paraId="141FC64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(-2.25)</w:t>
            </w:r>
          </w:p>
        </w:tc>
        <w:tc>
          <w:tcPr>
            <w:tcW w:w="1656" w:type="dxa"/>
            <w:tcBorders>
              <w:top w:val="nil"/>
              <w:left w:val="nil"/>
              <w:bottom w:val="nil"/>
              <w:right w:val="nil"/>
            </w:tcBorders>
          </w:tcPr>
          <w:p w14:paraId="2205EA1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(-0.99)</w:t>
            </w:r>
          </w:p>
        </w:tc>
        <w:tc>
          <w:tcPr>
            <w:tcW w:w="1656" w:type="dxa"/>
            <w:tcBorders>
              <w:top w:val="nil"/>
              <w:left w:val="nil"/>
              <w:bottom w:val="nil"/>
              <w:right w:val="nil"/>
            </w:tcBorders>
          </w:tcPr>
          <w:p w14:paraId="57F1F72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(-0.43)</w:t>
            </w:r>
          </w:p>
        </w:tc>
        <w:tc>
          <w:tcPr>
            <w:tcW w:w="1656" w:type="dxa"/>
            <w:tcBorders>
              <w:top w:val="nil"/>
              <w:left w:val="nil"/>
              <w:bottom w:val="nil"/>
              <w:right w:val="nil"/>
            </w:tcBorders>
          </w:tcPr>
          <w:p w14:paraId="78A27C1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r>
      <w:tr w:rsidR="00320DC7" w:rsidRPr="002D58CD" w14:paraId="58EBB2B0" w14:textId="77777777" w:rsidTr="00015B88">
        <w:tc>
          <w:tcPr>
            <w:tcW w:w="2136" w:type="dxa"/>
            <w:tcBorders>
              <w:top w:val="nil"/>
              <w:left w:val="nil"/>
              <w:bottom w:val="nil"/>
              <w:right w:val="nil"/>
            </w:tcBorders>
          </w:tcPr>
          <w:p w14:paraId="2DD1C70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CD909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1C9E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1B67D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BF43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553C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C38D1B1" w14:textId="77777777" w:rsidTr="00015B88">
        <w:tc>
          <w:tcPr>
            <w:tcW w:w="2136" w:type="dxa"/>
            <w:tcBorders>
              <w:top w:val="nil"/>
              <w:left w:val="nil"/>
              <w:bottom w:val="nil"/>
              <w:right w:val="nil"/>
            </w:tcBorders>
          </w:tcPr>
          <w:p w14:paraId="6532E90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L5.De Facto CBI * Polity Democracy</w:t>
            </w:r>
          </w:p>
        </w:tc>
        <w:tc>
          <w:tcPr>
            <w:tcW w:w="1656" w:type="dxa"/>
            <w:tcBorders>
              <w:top w:val="nil"/>
              <w:left w:val="nil"/>
              <w:bottom w:val="nil"/>
              <w:right w:val="nil"/>
            </w:tcBorders>
          </w:tcPr>
          <w:p w14:paraId="6D2251E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0.0000752</w:t>
            </w:r>
          </w:p>
        </w:tc>
        <w:tc>
          <w:tcPr>
            <w:tcW w:w="1656" w:type="dxa"/>
            <w:tcBorders>
              <w:top w:val="nil"/>
              <w:left w:val="nil"/>
              <w:bottom w:val="nil"/>
              <w:right w:val="nil"/>
            </w:tcBorders>
          </w:tcPr>
          <w:p w14:paraId="58AD437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0.00829</w:t>
            </w:r>
          </w:p>
        </w:tc>
        <w:tc>
          <w:tcPr>
            <w:tcW w:w="1656" w:type="dxa"/>
            <w:tcBorders>
              <w:top w:val="nil"/>
              <w:left w:val="nil"/>
              <w:bottom w:val="nil"/>
              <w:right w:val="nil"/>
            </w:tcBorders>
          </w:tcPr>
          <w:p w14:paraId="0A0214C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-0.00945</w:t>
            </w:r>
          </w:p>
        </w:tc>
        <w:tc>
          <w:tcPr>
            <w:tcW w:w="1656" w:type="dxa"/>
            <w:tcBorders>
              <w:top w:val="nil"/>
              <w:left w:val="nil"/>
              <w:bottom w:val="nil"/>
              <w:right w:val="nil"/>
            </w:tcBorders>
          </w:tcPr>
          <w:p w14:paraId="0CE318D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0.00296</w:t>
            </w:r>
          </w:p>
        </w:tc>
        <w:tc>
          <w:tcPr>
            <w:tcW w:w="1656" w:type="dxa"/>
            <w:tcBorders>
              <w:top w:val="nil"/>
              <w:left w:val="nil"/>
              <w:bottom w:val="nil"/>
              <w:right w:val="nil"/>
            </w:tcBorders>
          </w:tcPr>
          <w:p w14:paraId="7F3DAD9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0.00275</w:t>
            </w:r>
          </w:p>
        </w:tc>
      </w:tr>
      <w:tr w:rsidR="00320DC7" w:rsidRPr="002D58CD" w14:paraId="27A14655" w14:textId="77777777" w:rsidTr="00015B88">
        <w:tc>
          <w:tcPr>
            <w:tcW w:w="2136" w:type="dxa"/>
            <w:tcBorders>
              <w:top w:val="nil"/>
              <w:left w:val="nil"/>
              <w:bottom w:val="nil"/>
              <w:right w:val="nil"/>
            </w:tcBorders>
          </w:tcPr>
          <w:p w14:paraId="2AD165B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38056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c>
          <w:tcPr>
            <w:tcW w:w="1656" w:type="dxa"/>
            <w:tcBorders>
              <w:top w:val="nil"/>
              <w:left w:val="nil"/>
              <w:bottom w:val="nil"/>
              <w:right w:val="nil"/>
            </w:tcBorders>
          </w:tcPr>
          <w:p w14:paraId="06343E2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(1.01)</w:t>
            </w:r>
          </w:p>
        </w:tc>
        <w:tc>
          <w:tcPr>
            <w:tcW w:w="1656" w:type="dxa"/>
            <w:tcBorders>
              <w:top w:val="nil"/>
              <w:left w:val="nil"/>
              <w:bottom w:val="nil"/>
              <w:right w:val="nil"/>
            </w:tcBorders>
          </w:tcPr>
          <w:p w14:paraId="1D4109B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(-0.77)</w:t>
            </w:r>
          </w:p>
        </w:tc>
        <w:tc>
          <w:tcPr>
            <w:tcW w:w="1656" w:type="dxa"/>
            <w:tcBorders>
              <w:top w:val="nil"/>
              <w:left w:val="nil"/>
              <w:bottom w:val="nil"/>
              <w:right w:val="nil"/>
            </w:tcBorders>
          </w:tcPr>
          <w:p w14:paraId="631E065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(0.61)</w:t>
            </w:r>
          </w:p>
        </w:tc>
        <w:tc>
          <w:tcPr>
            <w:tcW w:w="1656" w:type="dxa"/>
            <w:tcBorders>
              <w:top w:val="nil"/>
              <w:left w:val="nil"/>
              <w:bottom w:val="nil"/>
              <w:right w:val="nil"/>
            </w:tcBorders>
          </w:tcPr>
          <w:p w14:paraId="11E560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(0.59)</w:t>
            </w:r>
          </w:p>
        </w:tc>
      </w:tr>
      <w:tr w:rsidR="00320DC7" w:rsidRPr="002D58CD" w14:paraId="51CB2BBB" w14:textId="77777777" w:rsidTr="00015B88">
        <w:tc>
          <w:tcPr>
            <w:tcW w:w="2136" w:type="dxa"/>
            <w:tcBorders>
              <w:top w:val="nil"/>
              <w:left w:val="nil"/>
              <w:bottom w:val="nil"/>
              <w:right w:val="nil"/>
            </w:tcBorders>
          </w:tcPr>
          <w:p w14:paraId="7113EC4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5CC2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540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AF11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FEEA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323FE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396F677" w14:textId="77777777" w:rsidTr="00015B88">
        <w:tc>
          <w:tcPr>
            <w:tcW w:w="2136" w:type="dxa"/>
            <w:tcBorders>
              <w:top w:val="nil"/>
              <w:left w:val="nil"/>
              <w:bottom w:val="nil"/>
              <w:right w:val="nil"/>
            </w:tcBorders>
          </w:tcPr>
          <w:p w14:paraId="7A598D7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L6.De Facto CBI * Polity Democracy</w:t>
            </w:r>
          </w:p>
        </w:tc>
        <w:tc>
          <w:tcPr>
            <w:tcW w:w="1656" w:type="dxa"/>
            <w:tcBorders>
              <w:top w:val="nil"/>
              <w:left w:val="nil"/>
              <w:bottom w:val="nil"/>
              <w:right w:val="nil"/>
            </w:tcBorders>
          </w:tcPr>
          <w:p w14:paraId="5894AA4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-0.00409</w:t>
            </w:r>
          </w:p>
        </w:tc>
        <w:tc>
          <w:tcPr>
            <w:tcW w:w="1656" w:type="dxa"/>
            <w:tcBorders>
              <w:top w:val="nil"/>
              <w:left w:val="nil"/>
              <w:bottom w:val="nil"/>
              <w:right w:val="nil"/>
            </w:tcBorders>
          </w:tcPr>
          <w:p w14:paraId="5A54570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0.00168</w:t>
            </w:r>
          </w:p>
        </w:tc>
        <w:tc>
          <w:tcPr>
            <w:tcW w:w="1656" w:type="dxa"/>
            <w:tcBorders>
              <w:top w:val="nil"/>
              <w:left w:val="nil"/>
              <w:bottom w:val="nil"/>
              <w:right w:val="nil"/>
            </w:tcBorders>
          </w:tcPr>
          <w:p w14:paraId="709C8C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0.0105</w:t>
            </w:r>
          </w:p>
        </w:tc>
        <w:tc>
          <w:tcPr>
            <w:tcW w:w="1656" w:type="dxa"/>
            <w:tcBorders>
              <w:top w:val="nil"/>
              <w:left w:val="nil"/>
              <w:bottom w:val="nil"/>
              <w:right w:val="nil"/>
            </w:tcBorders>
          </w:tcPr>
          <w:p w14:paraId="40D830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-0.00478</w:t>
            </w:r>
          </w:p>
        </w:tc>
        <w:tc>
          <w:tcPr>
            <w:tcW w:w="1656" w:type="dxa"/>
            <w:tcBorders>
              <w:top w:val="nil"/>
              <w:left w:val="nil"/>
              <w:bottom w:val="nil"/>
              <w:right w:val="nil"/>
            </w:tcBorders>
          </w:tcPr>
          <w:p w14:paraId="40C794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0.00271</w:t>
            </w:r>
          </w:p>
        </w:tc>
      </w:tr>
      <w:tr w:rsidR="00320DC7" w:rsidRPr="002D58CD" w14:paraId="720AD8C2" w14:textId="77777777" w:rsidTr="00015B88">
        <w:tc>
          <w:tcPr>
            <w:tcW w:w="2136" w:type="dxa"/>
            <w:tcBorders>
              <w:top w:val="nil"/>
              <w:left w:val="nil"/>
              <w:bottom w:val="nil"/>
              <w:right w:val="nil"/>
            </w:tcBorders>
          </w:tcPr>
          <w:p w14:paraId="117A024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64F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(-0.41)</w:t>
            </w:r>
          </w:p>
        </w:tc>
        <w:tc>
          <w:tcPr>
            <w:tcW w:w="1656" w:type="dxa"/>
            <w:tcBorders>
              <w:top w:val="nil"/>
              <w:left w:val="nil"/>
              <w:bottom w:val="nil"/>
              <w:right w:val="nil"/>
            </w:tcBorders>
          </w:tcPr>
          <w:p w14:paraId="3D2189C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c>
          <w:tcPr>
            <w:tcW w:w="1656" w:type="dxa"/>
            <w:tcBorders>
              <w:top w:val="nil"/>
              <w:left w:val="nil"/>
              <w:bottom w:val="nil"/>
              <w:right w:val="nil"/>
            </w:tcBorders>
          </w:tcPr>
          <w:p w14:paraId="4AAE6F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(0.77)</w:t>
            </w:r>
          </w:p>
        </w:tc>
        <w:tc>
          <w:tcPr>
            <w:tcW w:w="1656" w:type="dxa"/>
            <w:tcBorders>
              <w:top w:val="nil"/>
              <w:left w:val="nil"/>
              <w:bottom w:val="nil"/>
              <w:right w:val="nil"/>
            </w:tcBorders>
          </w:tcPr>
          <w:p w14:paraId="2102134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(-0.84)</w:t>
            </w:r>
          </w:p>
        </w:tc>
        <w:tc>
          <w:tcPr>
            <w:tcW w:w="1656" w:type="dxa"/>
            <w:tcBorders>
              <w:top w:val="nil"/>
              <w:left w:val="nil"/>
              <w:bottom w:val="nil"/>
              <w:right w:val="nil"/>
            </w:tcBorders>
          </w:tcPr>
          <w:p w14:paraId="67A9A42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(0.65)</w:t>
            </w:r>
          </w:p>
        </w:tc>
      </w:tr>
      <w:tr w:rsidR="00320DC7" w:rsidRPr="002D58CD" w14:paraId="09CF0FE9" w14:textId="77777777" w:rsidTr="00015B88">
        <w:tc>
          <w:tcPr>
            <w:tcW w:w="2136" w:type="dxa"/>
            <w:tcBorders>
              <w:top w:val="nil"/>
              <w:left w:val="nil"/>
              <w:bottom w:val="nil"/>
              <w:right w:val="nil"/>
            </w:tcBorders>
          </w:tcPr>
          <w:p w14:paraId="252A88F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4E9D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1C62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E8AC7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2DEF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6F12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704342F" w14:textId="77777777" w:rsidTr="00015B88">
        <w:tc>
          <w:tcPr>
            <w:tcW w:w="2136" w:type="dxa"/>
            <w:tcBorders>
              <w:top w:val="nil"/>
              <w:left w:val="nil"/>
              <w:bottom w:val="nil"/>
              <w:right w:val="nil"/>
            </w:tcBorders>
          </w:tcPr>
          <w:p w14:paraId="67A218D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L7.De Facto CBI * Polity Democracy</w:t>
            </w:r>
          </w:p>
        </w:tc>
        <w:tc>
          <w:tcPr>
            <w:tcW w:w="1656" w:type="dxa"/>
            <w:tcBorders>
              <w:top w:val="nil"/>
              <w:left w:val="nil"/>
              <w:bottom w:val="nil"/>
              <w:right w:val="nil"/>
            </w:tcBorders>
          </w:tcPr>
          <w:p w14:paraId="509FB6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0.000346</w:t>
            </w:r>
          </w:p>
        </w:tc>
        <w:tc>
          <w:tcPr>
            <w:tcW w:w="1656" w:type="dxa"/>
            <w:tcBorders>
              <w:top w:val="nil"/>
              <w:left w:val="nil"/>
              <w:bottom w:val="nil"/>
              <w:right w:val="nil"/>
            </w:tcBorders>
          </w:tcPr>
          <w:p w14:paraId="1A2D7BF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0.00520</w:t>
            </w:r>
          </w:p>
        </w:tc>
        <w:tc>
          <w:tcPr>
            <w:tcW w:w="1656" w:type="dxa"/>
            <w:tcBorders>
              <w:top w:val="nil"/>
              <w:left w:val="nil"/>
              <w:bottom w:val="nil"/>
              <w:right w:val="nil"/>
            </w:tcBorders>
          </w:tcPr>
          <w:p w14:paraId="5DF90E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0.00400</w:t>
            </w:r>
          </w:p>
        </w:tc>
        <w:tc>
          <w:tcPr>
            <w:tcW w:w="1656" w:type="dxa"/>
            <w:tcBorders>
              <w:top w:val="nil"/>
              <w:left w:val="nil"/>
              <w:bottom w:val="nil"/>
              <w:right w:val="nil"/>
            </w:tcBorders>
          </w:tcPr>
          <w:p w14:paraId="369E69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-0.00195</w:t>
            </w:r>
          </w:p>
        </w:tc>
        <w:tc>
          <w:tcPr>
            <w:tcW w:w="1656" w:type="dxa"/>
            <w:tcBorders>
              <w:top w:val="nil"/>
              <w:left w:val="nil"/>
              <w:bottom w:val="nil"/>
              <w:right w:val="nil"/>
            </w:tcBorders>
          </w:tcPr>
          <w:p w14:paraId="762F7E1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0.000209</w:t>
            </w:r>
          </w:p>
        </w:tc>
      </w:tr>
      <w:tr w:rsidR="00320DC7" w:rsidRPr="002D58CD" w14:paraId="2289A681" w14:textId="77777777" w:rsidTr="00015B88">
        <w:tc>
          <w:tcPr>
            <w:tcW w:w="2136" w:type="dxa"/>
            <w:tcBorders>
              <w:top w:val="nil"/>
              <w:left w:val="nil"/>
              <w:bottom w:val="nil"/>
              <w:right w:val="nil"/>
            </w:tcBorders>
          </w:tcPr>
          <w:p w14:paraId="1752B90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91261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c>
          <w:tcPr>
            <w:tcW w:w="1656" w:type="dxa"/>
            <w:tcBorders>
              <w:top w:val="nil"/>
              <w:left w:val="nil"/>
              <w:bottom w:val="nil"/>
              <w:right w:val="nil"/>
            </w:tcBorders>
          </w:tcPr>
          <w:p w14:paraId="6A6F5DC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(0.79)</w:t>
            </w:r>
          </w:p>
        </w:tc>
        <w:tc>
          <w:tcPr>
            <w:tcW w:w="1656" w:type="dxa"/>
            <w:tcBorders>
              <w:top w:val="nil"/>
              <w:left w:val="nil"/>
              <w:bottom w:val="nil"/>
              <w:right w:val="nil"/>
            </w:tcBorders>
          </w:tcPr>
          <w:p w14:paraId="4D6D8D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7ECE218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(-0.36)</w:t>
            </w:r>
          </w:p>
        </w:tc>
        <w:tc>
          <w:tcPr>
            <w:tcW w:w="1656" w:type="dxa"/>
            <w:tcBorders>
              <w:top w:val="nil"/>
              <w:left w:val="nil"/>
              <w:bottom w:val="nil"/>
              <w:right w:val="nil"/>
            </w:tcBorders>
          </w:tcPr>
          <w:p w14:paraId="44E8657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r>
      <w:tr w:rsidR="00320DC7" w:rsidRPr="002D58CD" w14:paraId="0AAFFAA5" w14:textId="77777777" w:rsidTr="00015B88">
        <w:tc>
          <w:tcPr>
            <w:tcW w:w="2136" w:type="dxa"/>
            <w:tcBorders>
              <w:top w:val="nil"/>
              <w:left w:val="nil"/>
              <w:bottom w:val="nil"/>
              <w:right w:val="nil"/>
            </w:tcBorders>
          </w:tcPr>
          <w:p w14:paraId="15C56A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9163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F6AA8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9CA4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D0C9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A7B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1505DCE" w14:textId="77777777" w:rsidTr="00015B88">
        <w:tc>
          <w:tcPr>
            <w:tcW w:w="2136" w:type="dxa"/>
            <w:tcBorders>
              <w:top w:val="nil"/>
              <w:left w:val="nil"/>
              <w:bottom w:val="nil"/>
              <w:right w:val="nil"/>
            </w:tcBorders>
          </w:tcPr>
          <w:p w14:paraId="1C2F39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L8.De Facto CBI * Polity Democracy</w:t>
            </w:r>
          </w:p>
        </w:tc>
        <w:tc>
          <w:tcPr>
            <w:tcW w:w="1656" w:type="dxa"/>
            <w:tcBorders>
              <w:top w:val="nil"/>
              <w:left w:val="nil"/>
              <w:bottom w:val="nil"/>
              <w:right w:val="nil"/>
            </w:tcBorders>
          </w:tcPr>
          <w:p w14:paraId="5AC367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0.00647</w:t>
            </w:r>
          </w:p>
        </w:tc>
        <w:tc>
          <w:tcPr>
            <w:tcW w:w="1656" w:type="dxa"/>
            <w:tcBorders>
              <w:top w:val="nil"/>
              <w:left w:val="nil"/>
              <w:bottom w:val="nil"/>
              <w:right w:val="nil"/>
            </w:tcBorders>
          </w:tcPr>
          <w:p w14:paraId="15667D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0.00752</w:t>
            </w:r>
          </w:p>
        </w:tc>
        <w:tc>
          <w:tcPr>
            <w:tcW w:w="1656" w:type="dxa"/>
            <w:tcBorders>
              <w:top w:val="nil"/>
              <w:left w:val="nil"/>
              <w:bottom w:val="nil"/>
              <w:right w:val="nil"/>
            </w:tcBorders>
          </w:tcPr>
          <w:p w14:paraId="17E1F11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0.0101</w:t>
            </w:r>
          </w:p>
        </w:tc>
        <w:tc>
          <w:tcPr>
            <w:tcW w:w="1656" w:type="dxa"/>
            <w:tcBorders>
              <w:top w:val="nil"/>
              <w:left w:val="nil"/>
              <w:bottom w:val="nil"/>
              <w:right w:val="nil"/>
            </w:tcBorders>
          </w:tcPr>
          <w:p w14:paraId="51EA5A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-0.00745</w:t>
            </w:r>
          </w:p>
        </w:tc>
        <w:tc>
          <w:tcPr>
            <w:tcW w:w="1656" w:type="dxa"/>
            <w:tcBorders>
              <w:top w:val="nil"/>
              <w:left w:val="nil"/>
              <w:bottom w:val="nil"/>
              <w:right w:val="nil"/>
            </w:tcBorders>
          </w:tcPr>
          <w:p w14:paraId="26A41F4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0.00244</w:t>
            </w:r>
          </w:p>
        </w:tc>
      </w:tr>
      <w:tr w:rsidR="00320DC7" w:rsidRPr="002D58CD" w14:paraId="224E2CF6" w14:textId="77777777" w:rsidTr="00015B88">
        <w:tc>
          <w:tcPr>
            <w:tcW w:w="2136" w:type="dxa"/>
            <w:tcBorders>
              <w:top w:val="nil"/>
              <w:left w:val="nil"/>
              <w:bottom w:val="nil"/>
              <w:right w:val="nil"/>
            </w:tcBorders>
          </w:tcPr>
          <w:p w14:paraId="032B63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85D04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(0.67)</w:t>
            </w:r>
          </w:p>
        </w:tc>
        <w:tc>
          <w:tcPr>
            <w:tcW w:w="1656" w:type="dxa"/>
            <w:tcBorders>
              <w:top w:val="nil"/>
              <w:left w:val="nil"/>
              <w:bottom w:val="nil"/>
              <w:right w:val="nil"/>
            </w:tcBorders>
          </w:tcPr>
          <w:p w14:paraId="52945ED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(1.00)</w:t>
            </w:r>
          </w:p>
        </w:tc>
        <w:tc>
          <w:tcPr>
            <w:tcW w:w="1656" w:type="dxa"/>
            <w:tcBorders>
              <w:top w:val="nil"/>
              <w:left w:val="nil"/>
              <w:bottom w:val="nil"/>
              <w:right w:val="nil"/>
            </w:tcBorders>
          </w:tcPr>
          <w:p w14:paraId="21063E6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(1.25)</w:t>
            </w:r>
          </w:p>
        </w:tc>
        <w:tc>
          <w:tcPr>
            <w:tcW w:w="1656" w:type="dxa"/>
            <w:tcBorders>
              <w:top w:val="nil"/>
              <w:left w:val="nil"/>
              <w:bottom w:val="nil"/>
              <w:right w:val="nil"/>
            </w:tcBorders>
          </w:tcPr>
          <w:p w14:paraId="07948F5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(-1.41)</w:t>
            </w:r>
          </w:p>
        </w:tc>
        <w:tc>
          <w:tcPr>
            <w:tcW w:w="1656" w:type="dxa"/>
            <w:tcBorders>
              <w:top w:val="nil"/>
              <w:left w:val="nil"/>
              <w:bottom w:val="nil"/>
              <w:right w:val="nil"/>
            </w:tcBorders>
          </w:tcPr>
          <w:p w14:paraId="694BF6F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r>
      <w:tr w:rsidR="00320DC7" w:rsidRPr="002D58CD" w14:paraId="4CCF4653" w14:textId="77777777" w:rsidTr="00015B88">
        <w:tc>
          <w:tcPr>
            <w:tcW w:w="2136" w:type="dxa"/>
            <w:tcBorders>
              <w:top w:val="nil"/>
              <w:left w:val="nil"/>
              <w:bottom w:val="nil"/>
              <w:right w:val="nil"/>
            </w:tcBorders>
          </w:tcPr>
          <w:p w14:paraId="2C1F9AE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8773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735D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6A1F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DF5C6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E91B7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44E8417" w14:textId="77777777" w:rsidTr="00015B88">
        <w:tc>
          <w:tcPr>
            <w:tcW w:w="2136" w:type="dxa"/>
            <w:tcBorders>
              <w:top w:val="nil"/>
              <w:left w:val="nil"/>
              <w:bottom w:val="nil"/>
              <w:right w:val="nil"/>
            </w:tcBorders>
          </w:tcPr>
          <w:p w14:paraId="46C9AA6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L9.De Facto CBI * Polity Democracy</w:t>
            </w:r>
          </w:p>
        </w:tc>
        <w:tc>
          <w:tcPr>
            <w:tcW w:w="1656" w:type="dxa"/>
            <w:tcBorders>
              <w:top w:val="nil"/>
              <w:left w:val="nil"/>
              <w:bottom w:val="nil"/>
              <w:right w:val="nil"/>
            </w:tcBorders>
          </w:tcPr>
          <w:p w14:paraId="419C145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0.0223</w:t>
            </w:r>
          </w:p>
        </w:tc>
        <w:tc>
          <w:tcPr>
            <w:tcW w:w="1656" w:type="dxa"/>
            <w:tcBorders>
              <w:top w:val="nil"/>
              <w:left w:val="nil"/>
              <w:bottom w:val="nil"/>
              <w:right w:val="nil"/>
            </w:tcBorders>
          </w:tcPr>
          <w:p w14:paraId="1BC5AB1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-0.00190</w:t>
            </w:r>
          </w:p>
        </w:tc>
        <w:tc>
          <w:tcPr>
            <w:tcW w:w="1656" w:type="dxa"/>
            <w:tcBorders>
              <w:top w:val="nil"/>
              <w:left w:val="nil"/>
              <w:bottom w:val="nil"/>
              <w:right w:val="nil"/>
            </w:tcBorders>
          </w:tcPr>
          <w:p w14:paraId="09418E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0.00610</w:t>
            </w:r>
          </w:p>
        </w:tc>
        <w:tc>
          <w:tcPr>
            <w:tcW w:w="1656" w:type="dxa"/>
            <w:tcBorders>
              <w:top w:val="nil"/>
              <w:left w:val="nil"/>
              <w:bottom w:val="nil"/>
              <w:right w:val="nil"/>
            </w:tcBorders>
          </w:tcPr>
          <w:p w14:paraId="3312714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-0.000779</w:t>
            </w:r>
          </w:p>
        </w:tc>
        <w:tc>
          <w:tcPr>
            <w:tcW w:w="1656" w:type="dxa"/>
            <w:tcBorders>
              <w:top w:val="nil"/>
              <w:left w:val="nil"/>
              <w:bottom w:val="nil"/>
              <w:right w:val="nil"/>
            </w:tcBorders>
          </w:tcPr>
          <w:p w14:paraId="6590851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0.00277</w:t>
            </w:r>
          </w:p>
        </w:tc>
      </w:tr>
      <w:tr w:rsidR="00320DC7" w:rsidRPr="002D58CD" w14:paraId="454CA86C" w14:textId="77777777" w:rsidTr="00015B88">
        <w:tc>
          <w:tcPr>
            <w:tcW w:w="2136" w:type="dxa"/>
            <w:tcBorders>
              <w:top w:val="nil"/>
              <w:left w:val="nil"/>
              <w:bottom w:val="nil"/>
              <w:right w:val="nil"/>
            </w:tcBorders>
          </w:tcPr>
          <w:p w14:paraId="032E64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551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(1.75)</w:t>
            </w:r>
          </w:p>
        </w:tc>
        <w:tc>
          <w:tcPr>
            <w:tcW w:w="1656" w:type="dxa"/>
            <w:tcBorders>
              <w:top w:val="nil"/>
              <w:left w:val="nil"/>
              <w:bottom w:val="nil"/>
              <w:right w:val="nil"/>
            </w:tcBorders>
          </w:tcPr>
          <w:p w14:paraId="1DE1498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w:t>
            </w:r>
          </w:p>
        </w:tc>
        <w:tc>
          <w:tcPr>
            <w:tcW w:w="1656" w:type="dxa"/>
            <w:tcBorders>
              <w:top w:val="nil"/>
              <w:left w:val="nil"/>
              <w:bottom w:val="nil"/>
              <w:right w:val="nil"/>
            </w:tcBorders>
          </w:tcPr>
          <w:p w14:paraId="66CE6EC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(0.59)</w:t>
            </w:r>
          </w:p>
        </w:tc>
        <w:tc>
          <w:tcPr>
            <w:tcW w:w="1656" w:type="dxa"/>
            <w:tcBorders>
              <w:top w:val="nil"/>
              <w:left w:val="nil"/>
              <w:bottom w:val="nil"/>
              <w:right w:val="nil"/>
            </w:tcBorders>
          </w:tcPr>
          <w:p w14:paraId="187D6F2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c>
          <w:tcPr>
            <w:tcW w:w="1656" w:type="dxa"/>
            <w:tcBorders>
              <w:top w:val="nil"/>
              <w:left w:val="nil"/>
              <w:bottom w:val="nil"/>
              <w:right w:val="nil"/>
            </w:tcBorders>
          </w:tcPr>
          <w:p w14:paraId="1F1D623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r>
      <w:tr w:rsidR="00320DC7" w:rsidRPr="002D58CD" w14:paraId="034D0401" w14:textId="77777777" w:rsidTr="00015B88">
        <w:tc>
          <w:tcPr>
            <w:tcW w:w="2136" w:type="dxa"/>
            <w:tcBorders>
              <w:top w:val="nil"/>
              <w:left w:val="nil"/>
              <w:bottom w:val="nil"/>
              <w:right w:val="nil"/>
            </w:tcBorders>
          </w:tcPr>
          <w:p w14:paraId="28E6210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E1C0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6168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A24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A15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E362A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843203F" w14:textId="77777777" w:rsidTr="00015B88">
        <w:tc>
          <w:tcPr>
            <w:tcW w:w="2136" w:type="dxa"/>
            <w:tcBorders>
              <w:top w:val="nil"/>
              <w:left w:val="nil"/>
              <w:bottom w:val="nil"/>
              <w:right w:val="nil"/>
            </w:tcBorders>
          </w:tcPr>
          <w:p w14:paraId="3C9F51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L10.De Facto CBI * Polity Democracy</w:t>
            </w:r>
          </w:p>
        </w:tc>
        <w:tc>
          <w:tcPr>
            <w:tcW w:w="1656" w:type="dxa"/>
            <w:tcBorders>
              <w:top w:val="nil"/>
              <w:left w:val="nil"/>
              <w:bottom w:val="nil"/>
              <w:right w:val="nil"/>
            </w:tcBorders>
          </w:tcPr>
          <w:p w14:paraId="4709BC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-0.0118</w:t>
            </w:r>
          </w:p>
        </w:tc>
        <w:tc>
          <w:tcPr>
            <w:tcW w:w="1656" w:type="dxa"/>
            <w:tcBorders>
              <w:top w:val="nil"/>
              <w:left w:val="nil"/>
              <w:bottom w:val="nil"/>
              <w:right w:val="nil"/>
            </w:tcBorders>
          </w:tcPr>
          <w:p w14:paraId="5B8A2B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0.00322</w:t>
            </w:r>
          </w:p>
        </w:tc>
        <w:tc>
          <w:tcPr>
            <w:tcW w:w="1656" w:type="dxa"/>
            <w:tcBorders>
              <w:top w:val="nil"/>
              <w:left w:val="nil"/>
              <w:bottom w:val="nil"/>
              <w:right w:val="nil"/>
            </w:tcBorders>
          </w:tcPr>
          <w:p w14:paraId="5EA8DB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0.000549</w:t>
            </w:r>
          </w:p>
        </w:tc>
        <w:tc>
          <w:tcPr>
            <w:tcW w:w="1656" w:type="dxa"/>
            <w:tcBorders>
              <w:top w:val="nil"/>
              <w:left w:val="nil"/>
              <w:bottom w:val="nil"/>
              <w:right w:val="nil"/>
            </w:tcBorders>
          </w:tcPr>
          <w:p w14:paraId="0EEF69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-0.00471</w:t>
            </w:r>
          </w:p>
        </w:tc>
        <w:tc>
          <w:tcPr>
            <w:tcW w:w="1656" w:type="dxa"/>
            <w:tcBorders>
              <w:top w:val="nil"/>
              <w:left w:val="nil"/>
              <w:bottom w:val="nil"/>
              <w:right w:val="nil"/>
            </w:tcBorders>
          </w:tcPr>
          <w:p w14:paraId="11A0289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0.00126</w:t>
            </w:r>
          </w:p>
        </w:tc>
      </w:tr>
      <w:tr w:rsidR="00320DC7" w:rsidRPr="002D58CD" w14:paraId="5D1D500C" w14:textId="77777777" w:rsidTr="00015B88">
        <w:tc>
          <w:tcPr>
            <w:tcW w:w="2136" w:type="dxa"/>
            <w:tcBorders>
              <w:top w:val="nil"/>
              <w:left w:val="nil"/>
              <w:bottom w:val="nil"/>
              <w:right w:val="nil"/>
            </w:tcBorders>
          </w:tcPr>
          <w:p w14:paraId="5238EB7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AE71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(-1.17)</w:t>
            </w:r>
          </w:p>
        </w:tc>
        <w:tc>
          <w:tcPr>
            <w:tcW w:w="1656" w:type="dxa"/>
            <w:tcBorders>
              <w:top w:val="nil"/>
              <w:left w:val="nil"/>
              <w:bottom w:val="nil"/>
              <w:right w:val="nil"/>
            </w:tcBorders>
          </w:tcPr>
          <w:p w14:paraId="7B564DD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38F4435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c>
          <w:tcPr>
            <w:tcW w:w="1656" w:type="dxa"/>
            <w:tcBorders>
              <w:top w:val="nil"/>
              <w:left w:val="nil"/>
              <w:bottom w:val="nil"/>
              <w:right w:val="nil"/>
            </w:tcBorders>
          </w:tcPr>
          <w:p w14:paraId="0DC810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(-1.32)</w:t>
            </w:r>
          </w:p>
        </w:tc>
        <w:tc>
          <w:tcPr>
            <w:tcW w:w="1656" w:type="dxa"/>
            <w:tcBorders>
              <w:top w:val="nil"/>
              <w:left w:val="nil"/>
              <w:bottom w:val="nil"/>
              <w:right w:val="nil"/>
            </w:tcBorders>
          </w:tcPr>
          <w:p w14:paraId="4F21C2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(0.32)</w:t>
            </w:r>
          </w:p>
        </w:tc>
      </w:tr>
      <w:tr w:rsidR="00320DC7" w:rsidRPr="002D58CD" w14:paraId="05BE1236" w14:textId="77777777" w:rsidTr="00015B88">
        <w:tc>
          <w:tcPr>
            <w:tcW w:w="2136" w:type="dxa"/>
            <w:tcBorders>
              <w:top w:val="nil"/>
              <w:left w:val="nil"/>
              <w:bottom w:val="nil"/>
              <w:right w:val="nil"/>
            </w:tcBorders>
          </w:tcPr>
          <w:p w14:paraId="4894BD7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567A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661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0064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DD2E2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F702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7BFF2ED" w14:textId="77777777" w:rsidTr="00015B88">
        <w:tc>
          <w:tcPr>
            <w:tcW w:w="2136" w:type="dxa"/>
            <w:tcBorders>
              <w:top w:val="nil"/>
              <w:left w:val="nil"/>
              <w:bottom w:val="nil"/>
              <w:right w:val="nil"/>
            </w:tcBorders>
          </w:tcPr>
          <w:p w14:paraId="67CD624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2D58CD">
              <w:rPr>
                <w:rFonts w:ascii="Times New Roman" w:hAnsi="Times New Roman" w:cs="Times New Roman"/>
                <w:sz w:val="16"/>
                <w:szCs w:val="16"/>
              </w:rPr>
              <w:t>L.More</w:t>
            </w:r>
            <w:proofErr w:type="spellEnd"/>
            <w:r w:rsidRPr="002D58CD">
              <w:rPr>
                <w:rFonts w:ascii="Times New Roman" w:hAnsi="Times New Roman" w:cs="Times New Roman"/>
                <w:sz w:val="16"/>
                <w:szCs w:val="16"/>
              </w:rPr>
              <w:t xml:space="preserve"> Fixed Rate * Polity </w:t>
            </w:r>
            <w:r w:rsidRPr="002D58CD">
              <w:rPr>
                <w:rFonts w:ascii="Times New Roman" w:hAnsi="Times New Roman" w:cs="Times New Roman"/>
                <w:sz w:val="16"/>
                <w:szCs w:val="16"/>
              </w:rPr>
              <w:lastRenderedPageBreak/>
              <w:t>Democracy</w:t>
            </w:r>
          </w:p>
        </w:tc>
        <w:tc>
          <w:tcPr>
            <w:tcW w:w="1656" w:type="dxa"/>
            <w:tcBorders>
              <w:top w:val="nil"/>
              <w:left w:val="nil"/>
              <w:bottom w:val="nil"/>
              <w:right w:val="nil"/>
            </w:tcBorders>
          </w:tcPr>
          <w:p w14:paraId="4D4034A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lastRenderedPageBreak/>
              <w:t>0.0000705</w:t>
            </w:r>
          </w:p>
        </w:tc>
        <w:tc>
          <w:tcPr>
            <w:tcW w:w="1656" w:type="dxa"/>
            <w:tcBorders>
              <w:top w:val="nil"/>
              <w:left w:val="nil"/>
              <w:bottom w:val="nil"/>
              <w:right w:val="nil"/>
            </w:tcBorders>
          </w:tcPr>
          <w:p w14:paraId="332FE17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-0.00530</w:t>
            </w:r>
          </w:p>
        </w:tc>
        <w:tc>
          <w:tcPr>
            <w:tcW w:w="1656" w:type="dxa"/>
            <w:tcBorders>
              <w:top w:val="nil"/>
              <w:left w:val="nil"/>
              <w:bottom w:val="nil"/>
              <w:right w:val="nil"/>
            </w:tcBorders>
          </w:tcPr>
          <w:p w14:paraId="4EE9C8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-0.00197</w:t>
            </w:r>
          </w:p>
        </w:tc>
        <w:tc>
          <w:tcPr>
            <w:tcW w:w="1656" w:type="dxa"/>
            <w:tcBorders>
              <w:top w:val="nil"/>
              <w:left w:val="nil"/>
              <w:bottom w:val="nil"/>
              <w:right w:val="nil"/>
            </w:tcBorders>
          </w:tcPr>
          <w:p w14:paraId="79C780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58F5B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0.000605</w:t>
            </w:r>
          </w:p>
        </w:tc>
      </w:tr>
      <w:tr w:rsidR="00320DC7" w:rsidRPr="002D58CD" w14:paraId="50F6E2D1" w14:textId="77777777" w:rsidTr="00015B88">
        <w:tc>
          <w:tcPr>
            <w:tcW w:w="2136" w:type="dxa"/>
            <w:tcBorders>
              <w:top w:val="nil"/>
              <w:left w:val="nil"/>
              <w:bottom w:val="nil"/>
              <w:right w:val="nil"/>
            </w:tcBorders>
          </w:tcPr>
          <w:p w14:paraId="39D732A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F38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w:t>
            </w:r>
          </w:p>
        </w:tc>
        <w:tc>
          <w:tcPr>
            <w:tcW w:w="1656" w:type="dxa"/>
            <w:tcBorders>
              <w:top w:val="nil"/>
              <w:left w:val="nil"/>
              <w:bottom w:val="nil"/>
              <w:right w:val="nil"/>
            </w:tcBorders>
          </w:tcPr>
          <w:p w14:paraId="35EABF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(-1.77)</w:t>
            </w:r>
          </w:p>
        </w:tc>
        <w:tc>
          <w:tcPr>
            <w:tcW w:w="1656" w:type="dxa"/>
            <w:tcBorders>
              <w:top w:val="nil"/>
              <w:left w:val="nil"/>
              <w:bottom w:val="nil"/>
              <w:right w:val="nil"/>
            </w:tcBorders>
          </w:tcPr>
          <w:p w14:paraId="09BC29B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(-0.74)</w:t>
            </w:r>
          </w:p>
        </w:tc>
        <w:tc>
          <w:tcPr>
            <w:tcW w:w="1656" w:type="dxa"/>
            <w:tcBorders>
              <w:top w:val="nil"/>
              <w:left w:val="nil"/>
              <w:bottom w:val="nil"/>
              <w:right w:val="nil"/>
            </w:tcBorders>
          </w:tcPr>
          <w:p w14:paraId="1298AC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(2.98)</w:t>
            </w:r>
          </w:p>
        </w:tc>
        <w:tc>
          <w:tcPr>
            <w:tcW w:w="1656" w:type="dxa"/>
            <w:tcBorders>
              <w:top w:val="nil"/>
              <w:left w:val="nil"/>
              <w:bottom w:val="nil"/>
              <w:right w:val="nil"/>
            </w:tcBorders>
          </w:tcPr>
          <w:p w14:paraId="062B94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(1.21)</w:t>
            </w:r>
          </w:p>
        </w:tc>
      </w:tr>
      <w:tr w:rsidR="00320DC7" w:rsidRPr="002D58CD" w14:paraId="5439F385" w14:textId="77777777" w:rsidTr="00015B88">
        <w:tc>
          <w:tcPr>
            <w:tcW w:w="2136" w:type="dxa"/>
            <w:tcBorders>
              <w:top w:val="nil"/>
              <w:left w:val="nil"/>
              <w:bottom w:val="nil"/>
              <w:right w:val="nil"/>
            </w:tcBorders>
          </w:tcPr>
          <w:p w14:paraId="2A684DE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8293C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C1DD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1DE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8892C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2AB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1BBBE61" w14:textId="77777777" w:rsidTr="00015B88">
        <w:tc>
          <w:tcPr>
            <w:tcW w:w="2136" w:type="dxa"/>
            <w:tcBorders>
              <w:top w:val="nil"/>
              <w:left w:val="nil"/>
              <w:bottom w:val="nil"/>
              <w:right w:val="nil"/>
            </w:tcBorders>
          </w:tcPr>
          <w:p w14:paraId="4E400D8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L2.More Fixed Rate * Polity Democracy</w:t>
            </w:r>
          </w:p>
        </w:tc>
        <w:tc>
          <w:tcPr>
            <w:tcW w:w="1656" w:type="dxa"/>
            <w:tcBorders>
              <w:top w:val="nil"/>
              <w:left w:val="nil"/>
              <w:bottom w:val="nil"/>
              <w:right w:val="nil"/>
            </w:tcBorders>
          </w:tcPr>
          <w:p w14:paraId="0A5475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0.000216</w:t>
            </w:r>
          </w:p>
        </w:tc>
        <w:tc>
          <w:tcPr>
            <w:tcW w:w="1656" w:type="dxa"/>
            <w:tcBorders>
              <w:top w:val="nil"/>
              <w:left w:val="nil"/>
              <w:bottom w:val="nil"/>
              <w:right w:val="nil"/>
            </w:tcBorders>
          </w:tcPr>
          <w:p w14:paraId="653DA6B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0.00122</w:t>
            </w:r>
          </w:p>
        </w:tc>
        <w:tc>
          <w:tcPr>
            <w:tcW w:w="1656" w:type="dxa"/>
            <w:tcBorders>
              <w:top w:val="nil"/>
              <w:left w:val="nil"/>
              <w:bottom w:val="nil"/>
              <w:right w:val="nil"/>
            </w:tcBorders>
          </w:tcPr>
          <w:p w14:paraId="0930D61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-0.00137</w:t>
            </w:r>
          </w:p>
        </w:tc>
        <w:tc>
          <w:tcPr>
            <w:tcW w:w="1656" w:type="dxa"/>
            <w:tcBorders>
              <w:top w:val="nil"/>
              <w:left w:val="nil"/>
              <w:bottom w:val="nil"/>
              <w:right w:val="nil"/>
            </w:tcBorders>
          </w:tcPr>
          <w:p w14:paraId="319187D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-0.00333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371452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-0.000157</w:t>
            </w:r>
          </w:p>
        </w:tc>
      </w:tr>
      <w:tr w:rsidR="00320DC7" w:rsidRPr="002D58CD" w14:paraId="162F33E1" w14:textId="77777777" w:rsidTr="00015B88">
        <w:tc>
          <w:tcPr>
            <w:tcW w:w="2136" w:type="dxa"/>
            <w:tcBorders>
              <w:top w:val="nil"/>
              <w:left w:val="nil"/>
              <w:bottom w:val="nil"/>
              <w:right w:val="nil"/>
            </w:tcBorders>
          </w:tcPr>
          <w:p w14:paraId="3A835DC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B0E97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w:t>
            </w:r>
          </w:p>
        </w:tc>
        <w:tc>
          <w:tcPr>
            <w:tcW w:w="1656" w:type="dxa"/>
            <w:tcBorders>
              <w:top w:val="nil"/>
              <w:left w:val="nil"/>
              <w:bottom w:val="nil"/>
              <w:right w:val="nil"/>
            </w:tcBorders>
          </w:tcPr>
          <w:p w14:paraId="09F95C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(0.47)</w:t>
            </w:r>
          </w:p>
        </w:tc>
        <w:tc>
          <w:tcPr>
            <w:tcW w:w="1656" w:type="dxa"/>
            <w:tcBorders>
              <w:top w:val="nil"/>
              <w:left w:val="nil"/>
              <w:bottom w:val="nil"/>
              <w:right w:val="nil"/>
            </w:tcBorders>
          </w:tcPr>
          <w:p w14:paraId="3E4E9A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(-0.39)</w:t>
            </w:r>
          </w:p>
        </w:tc>
        <w:tc>
          <w:tcPr>
            <w:tcW w:w="1656" w:type="dxa"/>
            <w:tcBorders>
              <w:top w:val="nil"/>
              <w:left w:val="nil"/>
              <w:bottom w:val="nil"/>
              <w:right w:val="nil"/>
            </w:tcBorders>
          </w:tcPr>
          <w:p w14:paraId="68851B4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(-2.88)</w:t>
            </w:r>
          </w:p>
        </w:tc>
        <w:tc>
          <w:tcPr>
            <w:tcW w:w="1656" w:type="dxa"/>
            <w:tcBorders>
              <w:top w:val="nil"/>
              <w:left w:val="nil"/>
              <w:bottom w:val="nil"/>
              <w:right w:val="nil"/>
            </w:tcBorders>
          </w:tcPr>
          <w:p w14:paraId="557575A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w:t>
            </w:r>
          </w:p>
        </w:tc>
      </w:tr>
      <w:tr w:rsidR="00320DC7" w:rsidRPr="002D58CD" w14:paraId="4D9FECE6" w14:textId="77777777" w:rsidTr="00015B88">
        <w:tc>
          <w:tcPr>
            <w:tcW w:w="2136" w:type="dxa"/>
            <w:tcBorders>
              <w:top w:val="nil"/>
              <w:left w:val="nil"/>
              <w:bottom w:val="nil"/>
              <w:right w:val="nil"/>
            </w:tcBorders>
          </w:tcPr>
          <w:p w14:paraId="2BE5F8A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812E8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2E7A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DE0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EB885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A0FE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1DB71ED" w14:textId="77777777" w:rsidTr="00015B88">
        <w:tc>
          <w:tcPr>
            <w:tcW w:w="2136" w:type="dxa"/>
            <w:tcBorders>
              <w:top w:val="nil"/>
              <w:left w:val="nil"/>
              <w:bottom w:val="nil"/>
              <w:right w:val="nil"/>
            </w:tcBorders>
          </w:tcPr>
          <w:p w14:paraId="0B501C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L3.More Fixed Rate * Polity Democracy</w:t>
            </w:r>
          </w:p>
        </w:tc>
        <w:tc>
          <w:tcPr>
            <w:tcW w:w="1656" w:type="dxa"/>
            <w:tcBorders>
              <w:top w:val="nil"/>
              <w:left w:val="nil"/>
              <w:bottom w:val="nil"/>
              <w:right w:val="nil"/>
            </w:tcBorders>
          </w:tcPr>
          <w:p w14:paraId="1B5AB3A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0.00111</w:t>
            </w:r>
          </w:p>
        </w:tc>
        <w:tc>
          <w:tcPr>
            <w:tcW w:w="1656" w:type="dxa"/>
            <w:tcBorders>
              <w:top w:val="nil"/>
              <w:left w:val="nil"/>
              <w:bottom w:val="nil"/>
              <w:right w:val="nil"/>
            </w:tcBorders>
          </w:tcPr>
          <w:p w14:paraId="01A9F26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0.00236</w:t>
            </w:r>
          </w:p>
        </w:tc>
        <w:tc>
          <w:tcPr>
            <w:tcW w:w="1656" w:type="dxa"/>
            <w:tcBorders>
              <w:top w:val="nil"/>
              <w:left w:val="nil"/>
              <w:bottom w:val="nil"/>
              <w:right w:val="nil"/>
            </w:tcBorders>
          </w:tcPr>
          <w:p w14:paraId="6FC5BEE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0.000824</w:t>
            </w:r>
          </w:p>
        </w:tc>
        <w:tc>
          <w:tcPr>
            <w:tcW w:w="1656" w:type="dxa"/>
            <w:tcBorders>
              <w:top w:val="nil"/>
              <w:left w:val="nil"/>
              <w:bottom w:val="nil"/>
              <w:right w:val="nil"/>
            </w:tcBorders>
          </w:tcPr>
          <w:p w14:paraId="103A4B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0.00232</w:t>
            </w:r>
          </w:p>
        </w:tc>
        <w:tc>
          <w:tcPr>
            <w:tcW w:w="1656" w:type="dxa"/>
            <w:tcBorders>
              <w:top w:val="nil"/>
              <w:left w:val="nil"/>
              <w:bottom w:val="nil"/>
              <w:right w:val="nil"/>
            </w:tcBorders>
          </w:tcPr>
          <w:p w14:paraId="277295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0.000578</w:t>
            </w:r>
          </w:p>
        </w:tc>
      </w:tr>
      <w:tr w:rsidR="00320DC7" w:rsidRPr="002D58CD" w14:paraId="5F858A20" w14:textId="77777777" w:rsidTr="00015B88">
        <w:tc>
          <w:tcPr>
            <w:tcW w:w="2136" w:type="dxa"/>
            <w:tcBorders>
              <w:top w:val="nil"/>
              <w:left w:val="nil"/>
              <w:bottom w:val="nil"/>
              <w:right w:val="nil"/>
            </w:tcBorders>
          </w:tcPr>
          <w:p w14:paraId="0AAE908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C4A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34E038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(0.81)</w:t>
            </w:r>
          </w:p>
        </w:tc>
        <w:tc>
          <w:tcPr>
            <w:tcW w:w="1656" w:type="dxa"/>
            <w:tcBorders>
              <w:top w:val="nil"/>
              <w:left w:val="nil"/>
              <w:bottom w:val="nil"/>
              <w:right w:val="nil"/>
            </w:tcBorders>
          </w:tcPr>
          <w:p w14:paraId="18DC81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5E72D01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(1.74)</w:t>
            </w:r>
          </w:p>
        </w:tc>
        <w:tc>
          <w:tcPr>
            <w:tcW w:w="1656" w:type="dxa"/>
            <w:tcBorders>
              <w:top w:val="nil"/>
              <w:left w:val="nil"/>
              <w:bottom w:val="nil"/>
              <w:right w:val="nil"/>
            </w:tcBorders>
          </w:tcPr>
          <w:p w14:paraId="75A53F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(1.04)</w:t>
            </w:r>
          </w:p>
        </w:tc>
      </w:tr>
      <w:tr w:rsidR="00320DC7" w:rsidRPr="002D58CD" w14:paraId="121A5A69" w14:textId="77777777" w:rsidTr="00015B88">
        <w:tc>
          <w:tcPr>
            <w:tcW w:w="2136" w:type="dxa"/>
            <w:tcBorders>
              <w:top w:val="nil"/>
              <w:left w:val="nil"/>
              <w:bottom w:val="nil"/>
              <w:right w:val="nil"/>
            </w:tcBorders>
          </w:tcPr>
          <w:p w14:paraId="2110DA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0D0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76E85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B4CD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F665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4EA3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DB88882" w14:textId="77777777" w:rsidTr="00015B88">
        <w:tc>
          <w:tcPr>
            <w:tcW w:w="2136" w:type="dxa"/>
            <w:tcBorders>
              <w:top w:val="nil"/>
              <w:left w:val="nil"/>
              <w:bottom w:val="nil"/>
              <w:right w:val="nil"/>
            </w:tcBorders>
          </w:tcPr>
          <w:p w14:paraId="180B2F8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L4.More Fixed Rate * Polity Democracy</w:t>
            </w:r>
          </w:p>
        </w:tc>
        <w:tc>
          <w:tcPr>
            <w:tcW w:w="1656" w:type="dxa"/>
            <w:tcBorders>
              <w:top w:val="nil"/>
              <w:left w:val="nil"/>
              <w:bottom w:val="nil"/>
              <w:right w:val="nil"/>
            </w:tcBorders>
          </w:tcPr>
          <w:p w14:paraId="002C4A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-0.00188</w:t>
            </w:r>
          </w:p>
        </w:tc>
        <w:tc>
          <w:tcPr>
            <w:tcW w:w="1656" w:type="dxa"/>
            <w:tcBorders>
              <w:top w:val="nil"/>
              <w:left w:val="nil"/>
              <w:bottom w:val="nil"/>
              <w:right w:val="nil"/>
            </w:tcBorders>
          </w:tcPr>
          <w:p w14:paraId="3E2E456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-0.000782</w:t>
            </w:r>
          </w:p>
        </w:tc>
        <w:tc>
          <w:tcPr>
            <w:tcW w:w="1656" w:type="dxa"/>
            <w:tcBorders>
              <w:top w:val="nil"/>
              <w:left w:val="nil"/>
              <w:bottom w:val="nil"/>
              <w:right w:val="nil"/>
            </w:tcBorders>
          </w:tcPr>
          <w:p w14:paraId="102861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-0.00697</w:t>
            </w:r>
          </w:p>
        </w:tc>
        <w:tc>
          <w:tcPr>
            <w:tcW w:w="1656" w:type="dxa"/>
            <w:tcBorders>
              <w:top w:val="nil"/>
              <w:left w:val="nil"/>
              <w:bottom w:val="nil"/>
              <w:right w:val="nil"/>
            </w:tcBorders>
          </w:tcPr>
          <w:p w14:paraId="782E438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-0.00165</w:t>
            </w:r>
          </w:p>
        </w:tc>
        <w:tc>
          <w:tcPr>
            <w:tcW w:w="1656" w:type="dxa"/>
            <w:tcBorders>
              <w:top w:val="nil"/>
              <w:left w:val="nil"/>
              <w:bottom w:val="nil"/>
              <w:right w:val="nil"/>
            </w:tcBorders>
          </w:tcPr>
          <w:p w14:paraId="21E15CF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0.000301</w:t>
            </w:r>
          </w:p>
        </w:tc>
      </w:tr>
      <w:tr w:rsidR="00320DC7" w:rsidRPr="002D58CD" w14:paraId="4D7815AE" w14:textId="77777777" w:rsidTr="00015B88">
        <w:tc>
          <w:tcPr>
            <w:tcW w:w="2136" w:type="dxa"/>
            <w:tcBorders>
              <w:top w:val="nil"/>
              <w:left w:val="nil"/>
              <w:bottom w:val="nil"/>
              <w:right w:val="nil"/>
            </w:tcBorders>
          </w:tcPr>
          <w:p w14:paraId="0B59CB1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08E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(-0.62)</w:t>
            </w:r>
          </w:p>
        </w:tc>
        <w:tc>
          <w:tcPr>
            <w:tcW w:w="1656" w:type="dxa"/>
            <w:tcBorders>
              <w:top w:val="nil"/>
              <w:left w:val="nil"/>
              <w:bottom w:val="nil"/>
              <w:right w:val="nil"/>
            </w:tcBorders>
          </w:tcPr>
          <w:p w14:paraId="71FDE5C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(-0.32)</w:t>
            </w:r>
          </w:p>
        </w:tc>
        <w:tc>
          <w:tcPr>
            <w:tcW w:w="1656" w:type="dxa"/>
            <w:tcBorders>
              <w:top w:val="nil"/>
              <w:left w:val="nil"/>
              <w:bottom w:val="nil"/>
              <w:right w:val="nil"/>
            </w:tcBorders>
          </w:tcPr>
          <w:p w14:paraId="3464CAD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(-1.73)</w:t>
            </w:r>
          </w:p>
        </w:tc>
        <w:tc>
          <w:tcPr>
            <w:tcW w:w="1656" w:type="dxa"/>
            <w:tcBorders>
              <w:top w:val="nil"/>
              <w:left w:val="nil"/>
              <w:bottom w:val="nil"/>
              <w:right w:val="nil"/>
            </w:tcBorders>
          </w:tcPr>
          <w:p w14:paraId="19C6D2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(-1.94)</w:t>
            </w:r>
          </w:p>
        </w:tc>
        <w:tc>
          <w:tcPr>
            <w:tcW w:w="1656" w:type="dxa"/>
            <w:tcBorders>
              <w:top w:val="nil"/>
              <w:left w:val="nil"/>
              <w:bottom w:val="nil"/>
              <w:right w:val="nil"/>
            </w:tcBorders>
          </w:tcPr>
          <w:p w14:paraId="7B8C39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(0.58)</w:t>
            </w:r>
          </w:p>
        </w:tc>
      </w:tr>
      <w:tr w:rsidR="00320DC7" w:rsidRPr="002D58CD" w14:paraId="7418FAE9" w14:textId="77777777" w:rsidTr="00015B88">
        <w:tc>
          <w:tcPr>
            <w:tcW w:w="2136" w:type="dxa"/>
            <w:tcBorders>
              <w:top w:val="nil"/>
              <w:left w:val="nil"/>
              <w:bottom w:val="nil"/>
              <w:right w:val="nil"/>
            </w:tcBorders>
          </w:tcPr>
          <w:p w14:paraId="12E48FB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69978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E7C7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40E5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06046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E4C2F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6E233CD" w14:textId="77777777" w:rsidTr="00015B88">
        <w:tc>
          <w:tcPr>
            <w:tcW w:w="2136" w:type="dxa"/>
            <w:tcBorders>
              <w:top w:val="nil"/>
              <w:left w:val="nil"/>
              <w:bottom w:val="nil"/>
              <w:right w:val="nil"/>
            </w:tcBorders>
          </w:tcPr>
          <w:p w14:paraId="7D5EB3C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L5.More Fixed Rate * Polity Democracy</w:t>
            </w:r>
          </w:p>
        </w:tc>
        <w:tc>
          <w:tcPr>
            <w:tcW w:w="1656" w:type="dxa"/>
            <w:tcBorders>
              <w:top w:val="nil"/>
              <w:left w:val="nil"/>
              <w:bottom w:val="nil"/>
              <w:right w:val="nil"/>
            </w:tcBorders>
          </w:tcPr>
          <w:p w14:paraId="3523D24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0.000677</w:t>
            </w:r>
          </w:p>
        </w:tc>
        <w:tc>
          <w:tcPr>
            <w:tcW w:w="1656" w:type="dxa"/>
            <w:tcBorders>
              <w:top w:val="nil"/>
              <w:left w:val="nil"/>
              <w:bottom w:val="nil"/>
              <w:right w:val="nil"/>
            </w:tcBorders>
          </w:tcPr>
          <w:p w14:paraId="3A47BB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0.00388</w:t>
            </w:r>
          </w:p>
        </w:tc>
        <w:tc>
          <w:tcPr>
            <w:tcW w:w="1656" w:type="dxa"/>
            <w:tcBorders>
              <w:top w:val="nil"/>
              <w:left w:val="nil"/>
              <w:bottom w:val="nil"/>
              <w:right w:val="nil"/>
            </w:tcBorders>
          </w:tcPr>
          <w:p w14:paraId="6CE93EF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0.00787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B2109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-0.000194</w:t>
            </w:r>
          </w:p>
        </w:tc>
        <w:tc>
          <w:tcPr>
            <w:tcW w:w="1656" w:type="dxa"/>
            <w:tcBorders>
              <w:top w:val="nil"/>
              <w:left w:val="nil"/>
              <w:bottom w:val="nil"/>
              <w:right w:val="nil"/>
            </w:tcBorders>
          </w:tcPr>
          <w:p w14:paraId="4D7685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-0.0000245</w:t>
            </w:r>
          </w:p>
        </w:tc>
      </w:tr>
      <w:tr w:rsidR="00320DC7" w:rsidRPr="002D58CD" w14:paraId="61A77551" w14:textId="77777777" w:rsidTr="00015B88">
        <w:tc>
          <w:tcPr>
            <w:tcW w:w="2136" w:type="dxa"/>
            <w:tcBorders>
              <w:top w:val="nil"/>
              <w:left w:val="nil"/>
              <w:bottom w:val="nil"/>
              <w:right w:val="nil"/>
            </w:tcBorders>
          </w:tcPr>
          <w:p w14:paraId="3EEA139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FF6D9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(0.26)</w:t>
            </w:r>
          </w:p>
        </w:tc>
        <w:tc>
          <w:tcPr>
            <w:tcW w:w="1656" w:type="dxa"/>
            <w:tcBorders>
              <w:top w:val="nil"/>
              <w:left w:val="nil"/>
              <w:bottom w:val="nil"/>
              <w:right w:val="nil"/>
            </w:tcBorders>
          </w:tcPr>
          <w:p w14:paraId="461B0CF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(1.77)</w:t>
            </w:r>
          </w:p>
        </w:tc>
        <w:tc>
          <w:tcPr>
            <w:tcW w:w="1656" w:type="dxa"/>
            <w:tcBorders>
              <w:top w:val="nil"/>
              <w:left w:val="nil"/>
              <w:bottom w:val="nil"/>
              <w:right w:val="nil"/>
            </w:tcBorders>
          </w:tcPr>
          <w:p w14:paraId="16CE6A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(2.83)</w:t>
            </w:r>
          </w:p>
        </w:tc>
        <w:tc>
          <w:tcPr>
            <w:tcW w:w="1656" w:type="dxa"/>
            <w:tcBorders>
              <w:top w:val="nil"/>
              <w:left w:val="nil"/>
              <w:bottom w:val="nil"/>
              <w:right w:val="nil"/>
            </w:tcBorders>
          </w:tcPr>
          <w:p w14:paraId="07E238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w:t>
            </w:r>
          </w:p>
        </w:tc>
        <w:tc>
          <w:tcPr>
            <w:tcW w:w="1656" w:type="dxa"/>
            <w:tcBorders>
              <w:top w:val="nil"/>
              <w:left w:val="nil"/>
              <w:bottom w:val="nil"/>
              <w:right w:val="nil"/>
            </w:tcBorders>
          </w:tcPr>
          <w:p w14:paraId="0CB047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r>
      <w:tr w:rsidR="00320DC7" w:rsidRPr="002D58CD" w14:paraId="47BC4EF9" w14:textId="77777777" w:rsidTr="00015B88">
        <w:tc>
          <w:tcPr>
            <w:tcW w:w="2136" w:type="dxa"/>
            <w:tcBorders>
              <w:top w:val="nil"/>
              <w:left w:val="nil"/>
              <w:bottom w:val="nil"/>
              <w:right w:val="nil"/>
            </w:tcBorders>
          </w:tcPr>
          <w:p w14:paraId="704C9A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BF7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37CA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3100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BBB1B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CAD9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FA7BB0E" w14:textId="77777777" w:rsidTr="00015B88">
        <w:tc>
          <w:tcPr>
            <w:tcW w:w="2136" w:type="dxa"/>
            <w:tcBorders>
              <w:top w:val="nil"/>
              <w:left w:val="nil"/>
              <w:bottom w:val="nil"/>
              <w:right w:val="nil"/>
            </w:tcBorders>
          </w:tcPr>
          <w:p w14:paraId="1E2E8D7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L6.More Fixed Rate * Polity Democracy</w:t>
            </w:r>
          </w:p>
        </w:tc>
        <w:tc>
          <w:tcPr>
            <w:tcW w:w="1656" w:type="dxa"/>
            <w:tcBorders>
              <w:top w:val="nil"/>
              <w:left w:val="nil"/>
              <w:bottom w:val="nil"/>
              <w:right w:val="nil"/>
            </w:tcBorders>
          </w:tcPr>
          <w:p w14:paraId="7AF69E8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0.000412</w:t>
            </w:r>
          </w:p>
        </w:tc>
        <w:tc>
          <w:tcPr>
            <w:tcW w:w="1656" w:type="dxa"/>
            <w:tcBorders>
              <w:top w:val="nil"/>
              <w:left w:val="nil"/>
              <w:bottom w:val="nil"/>
              <w:right w:val="nil"/>
            </w:tcBorders>
          </w:tcPr>
          <w:p w14:paraId="622C31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-0.00597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546C40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-0.00245</w:t>
            </w:r>
          </w:p>
        </w:tc>
        <w:tc>
          <w:tcPr>
            <w:tcW w:w="1656" w:type="dxa"/>
            <w:tcBorders>
              <w:top w:val="nil"/>
              <w:left w:val="nil"/>
              <w:bottom w:val="nil"/>
              <w:right w:val="nil"/>
            </w:tcBorders>
          </w:tcPr>
          <w:p w14:paraId="5800918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-0.000471</w:t>
            </w:r>
          </w:p>
        </w:tc>
        <w:tc>
          <w:tcPr>
            <w:tcW w:w="1656" w:type="dxa"/>
            <w:tcBorders>
              <w:top w:val="nil"/>
              <w:left w:val="nil"/>
              <w:bottom w:val="nil"/>
              <w:right w:val="nil"/>
            </w:tcBorders>
          </w:tcPr>
          <w:p w14:paraId="28DCF4C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0.000846</w:t>
            </w:r>
          </w:p>
        </w:tc>
      </w:tr>
      <w:tr w:rsidR="00320DC7" w:rsidRPr="002D58CD" w14:paraId="231177AB" w14:textId="77777777" w:rsidTr="00015B88">
        <w:tc>
          <w:tcPr>
            <w:tcW w:w="2136" w:type="dxa"/>
            <w:tcBorders>
              <w:top w:val="nil"/>
              <w:left w:val="nil"/>
              <w:bottom w:val="nil"/>
              <w:right w:val="nil"/>
            </w:tcBorders>
          </w:tcPr>
          <w:p w14:paraId="20BFE17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9D38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w:t>
            </w:r>
          </w:p>
        </w:tc>
        <w:tc>
          <w:tcPr>
            <w:tcW w:w="1656" w:type="dxa"/>
            <w:tcBorders>
              <w:top w:val="nil"/>
              <w:left w:val="nil"/>
              <w:bottom w:val="nil"/>
              <w:right w:val="nil"/>
            </w:tcBorders>
          </w:tcPr>
          <w:p w14:paraId="51756D9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(-2.86)</w:t>
            </w:r>
          </w:p>
        </w:tc>
        <w:tc>
          <w:tcPr>
            <w:tcW w:w="1656" w:type="dxa"/>
            <w:tcBorders>
              <w:top w:val="nil"/>
              <w:left w:val="nil"/>
              <w:bottom w:val="nil"/>
              <w:right w:val="nil"/>
            </w:tcBorders>
          </w:tcPr>
          <w:p w14:paraId="20FAEC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(-1.08)</w:t>
            </w:r>
          </w:p>
        </w:tc>
        <w:tc>
          <w:tcPr>
            <w:tcW w:w="1656" w:type="dxa"/>
            <w:tcBorders>
              <w:top w:val="nil"/>
              <w:left w:val="nil"/>
              <w:bottom w:val="nil"/>
              <w:right w:val="nil"/>
            </w:tcBorders>
          </w:tcPr>
          <w:p w14:paraId="553FEF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(-0.59)</w:t>
            </w:r>
          </w:p>
        </w:tc>
        <w:tc>
          <w:tcPr>
            <w:tcW w:w="1656" w:type="dxa"/>
            <w:tcBorders>
              <w:top w:val="nil"/>
              <w:left w:val="nil"/>
              <w:bottom w:val="nil"/>
              <w:right w:val="nil"/>
            </w:tcBorders>
          </w:tcPr>
          <w:p w14:paraId="10E101D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(1.93)</w:t>
            </w:r>
          </w:p>
        </w:tc>
      </w:tr>
      <w:tr w:rsidR="00320DC7" w:rsidRPr="002D58CD" w14:paraId="7C1D1D51" w14:textId="77777777" w:rsidTr="00015B88">
        <w:tc>
          <w:tcPr>
            <w:tcW w:w="2136" w:type="dxa"/>
            <w:tcBorders>
              <w:top w:val="nil"/>
              <w:left w:val="nil"/>
              <w:bottom w:val="nil"/>
              <w:right w:val="nil"/>
            </w:tcBorders>
          </w:tcPr>
          <w:p w14:paraId="7028A2A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5B2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152D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442A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5E934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44FFF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3D96853" w14:textId="77777777" w:rsidTr="00015B88">
        <w:tc>
          <w:tcPr>
            <w:tcW w:w="2136" w:type="dxa"/>
            <w:tcBorders>
              <w:top w:val="nil"/>
              <w:left w:val="nil"/>
              <w:bottom w:val="nil"/>
              <w:right w:val="nil"/>
            </w:tcBorders>
          </w:tcPr>
          <w:p w14:paraId="03FAA4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L7.More Fixed Rate * Polity Democracy</w:t>
            </w:r>
          </w:p>
        </w:tc>
        <w:tc>
          <w:tcPr>
            <w:tcW w:w="1656" w:type="dxa"/>
            <w:tcBorders>
              <w:top w:val="nil"/>
              <w:left w:val="nil"/>
              <w:bottom w:val="nil"/>
              <w:right w:val="nil"/>
            </w:tcBorders>
          </w:tcPr>
          <w:p w14:paraId="41789CE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0.000721</w:t>
            </w:r>
          </w:p>
        </w:tc>
        <w:tc>
          <w:tcPr>
            <w:tcW w:w="1656" w:type="dxa"/>
            <w:tcBorders>
              <w:top w:val="nil"/>
              <w:left w:val="nil"/>
              <w:bottom w:val="nil"/>
              <w:right w:val="nil"/>
            </w:tcBorders>
          </w:tcPr>
          <w:p w14:paraId="4B28F66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0.00412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D80CF9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-0.000359</w:t>
            </w:r>
          </w:p>
        </w:tc>
        <w:tc>
          <w:tcPr>
            <w:tcW w:w="1656" w:type="dxa"/>
            <w:tcBorders>
              <w:top w:val="nil"/>
              <w:left w:val="nil"/>
              <w:bottom w:val="nil"/>
              <w:right w:val="nil"/>
            </w:tcBorders>
          </w:tcPr>
          <w:p w14:paraId="51A994D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0.000740</w:t>
            </w:r>
          </w:p>
        </w:tc>
        <w:tc>
          <w:tcPr>
            <w:tcW w:w="1656" w:type="dxa"/>
            <w:tcBorders>
              <w:top w:val="nil"/>
              <w:left w:val="nil"/>
              <w:bottom w:val="nil"/>
              <w:right w:val="nil"/>
            </w:tcBorders>
          </w:tcPr>
          <w:p w14:paraId="71C028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-0.000238</w:t>
            </w:r>
          </w:p>
        </w:tc>
      </w:tr>
      <w:tr w:rsidR="00320DC7" w:rsidRPr="002D58CD" w14:paraId="54423978" w14:textId="77777777" w:rsidTr="00015B88">
        <w:tc>
          <w:tcPr>
            <w:tcW w:w="2136" w:type="dxa"/>
            <w:tcBorders>
              <w:top w:val="nil"/>
              <w:left w:val="nil"/>
              <w:bottom w:val="nil"/>
              <w:right w:val="nil"/>
            </w:tcBorders>
          </w:tcPr>
          <w:p w14:paraId="768431C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75D8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(0.24)</w:t>
            </w:r>
          </w:p>
        </w:tc>
        <w:tc>
          <w:tcPr>
            <w:tcW w:w="1656" w:type="dxa"/>
            <w:tcBorders>
              <w:top w:val="nil"/>
              <w:left w:val="nil"/>
              <w:bottom w:val="nil"/>
              <w:right w:val="nil"/>
            </w:tcBorders>
          </w:tcPr>
          <w:p w14:paraId="6BF374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(2.12)</w:t>
            </w:r>
          </w:p>
        </w:tc>
        <w:tc>
          <w:tcPr>
            <w:tcW w:w="1656" w:type="dxa"/>
            <w:tcBorders>
              <w:top w:val="nil"/>
              <w:left w:val="nil"/>
              <w:bottom w:val="nil"/>
              <w:right w:val="nil"/>
            </w:tcBorders>
          </w:tcPr>
          <w:p w14:paraId="75D8254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w:t>
            </w:r>
          </w:p>
        </w:tc>
        <w:tc>
          <w:tcPr>
            <w:tcW w:w="1656" w:type="dxa"/>
            <w:tcBorders>
              <w:top w:val="nil"/>
              <w:left w:val="nil"/>
              <w:bottom w:val="nil"/>
              <w:right w:val="nil"/>
            </w:tcBorders>
          </w:tcPr>
          <w:p w14:paraId="001B9F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c>
          <w:tcPr>
            <w:tcW w:w="1656" w:type="dxa"/>
            <w:tcBorders>
              <w:top w:val="nil"/>
              <w:left w:val="nil"/>
              <w:bottom w:val="nil"/>
              <w:right w:val="nil"/>
            </w:tcBorders>
          </w:tcPr>
          <w:p w14:paraId="3ECCDCD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(-0.43)</w:t>
            </w:r>
          </w:p>
        </w:tc>
      </w:tr>
      <w:tr w:rsidR="00320DC7" w:rsidRPr="002D58CD" w14:paraId="0F0F20FA" w14:textId="77777777" w:rsidTr="00015B88">
        <w:tc>
          <w:tcPr>
            <w:tcW w:w="2136" w:type="dxa"/>
            <w:tcBorders>
              <w:top w:val="nil"/>
              <w:left w:val="nil"/>
              <w:bottom w:val="nil"/>
              <w:right w:val="nil"/>
            </w:tcBorders>
          </w:tcPr>
          <w:p w14:paraId="0BA38C6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D52A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7F2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2CD0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40DBE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416D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B3B7B9B" w14:textId="77777777" w:rsidTr="00015B88">
        <w:tc>
          <w:tcPr>
            <w:tcW w:w="2136" w:type="dxa"/>
            <w:tcBorders>
              <w:top w:val="nil"/>
              <w:left w:val="nil"/>
              <w:bottom w:val="nil"/>
              <w:right w:val="nil"/>
            </w:tcBorders>
          </w:tcPr>
          <w:p w14:paraId="5270C36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L8.More Fixed Rate * Polity Democracy</w:t>
            </w:r>
          </w:p>
        </w:tc>
        <w:tc>
          <w:tcPr>
            <w:tcW w:w="1656" w:type="dxa"/>
            <w:tcBorders>
              <w:top w:val="nil"/>
              <w:left w:val="nil"/>
              <w:bottom w:val="nil"/>
              <w:right w:val="nil"/>
            </w:tcBorders>
          </w:tcPr>
          <w:p w14:paraId="4B0523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0.00137</w:t>
            </w:r>
          </w:p>
        </w:tc>
        <w:tc>
          <w:tcPr>
            <w:tcW w:w="1656" w:type="dxa"/>
            <w:tcBorders>
              <w:top w:val="nil"/>
              <w:left w:val="nil"/>
              <w:bottom w:val="nil"/>
              <w:right w:val="nil"/>
            </w:tcBorders>
          </w:tcPr>
          <w:p w14:paraId="1F23709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-0.00124</w:t>
            </w:r>
          </w:p>
        </w:tc>
        <w:tc>
          <w:tcPr>
            <w:tcW w:w="1656" w:type="dxa"/>
            <w:tcBorders>
              <w:top w:val="nil"/>
              <w:left w:val="nil"/>
              <w:bottom w:val="nil"/>
              <w:right w:val="nil"/>
            </w:tcBorders>
          </w:tcPr>
          <w:p w14:paraId="2DA3BC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0.00355</w:t>
            </w:r>
          </w:p>
        </w:tc>
        <w:tc>
          <w:tcPr>
            <w:tcW w:w="1656" w:type="dxa"/>
            <w:tcBorders>
              <w:top w:val="nil"/>
              <w:left w:val="nil"/>
              <w:bottom w:val="nil"/>
              <w:right w:val="nil"/>
            </w:tcBorders>
          </w:tcPr>
          <w:p w14:paraId="7D80A4C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-0.0000614</w:t>
            </w:r>
          </w:p>
        </w:tc>
        <w:tc>
          <w:tcPr>
            <w:tcW w:w="1656" w:type="dxa"/>
            <w:tcBorders>
              <w:top w:val="nil"/>
              <w:left w:val="nil"/>
              <w:bottom w:val="nil"/>
              <w:right w:val="nil"/>
            </w:tcBorders>
          </w:tcPr>
          <w:p w14:paraId="4B3F01F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-0.000164</w:t>
            </w:r>
          </w:p>
        </w:tc>
      </w:tr>
      <w:tr w:rsidR="00320DC7" w:rsidRPr="002D58CD" w14:paraId="79055AA2" w14:textId="77777777" w:rsidTr="00015B88">
        <w:tc>
          <w:tcPr>
            <w:tcW w:w="2136" w:type="dxa"/>
            <w:tcBorders>
              <w:top w:val="nil"/>
              <w:left w:val="nil"/>
              <w:bottom w:val="nil"/>
              <w:right w:val="nil"/>
            </w:tcBorders>
          </w:tcPr>
          <w:p w14:paraId="4401D47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05C9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612D60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24DA1A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(1.39)</w:t>
            </w:r>
          </w:p>
        </w:tc>
        <w:tc>
          <w:tcPr>
            <w:tcW w:w="1656" w:type="dxa"/>
            <w:tcBorders>
              <w:top w:val="nil"/>
              <w:left w:val="nil"/>
              <w:bottom w:val="nil"/>
              <w:right w:val="nil"/>
            </w:tcBorders>
          </w:tcPr>
          <w:p w14:paraId="5E2B40F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w:t>
            </w:r>
          </w:p>
        </w:tc>
        <w:tc>
          <w:tcPr>
            <w:tcW w:w="1656" w:type="dxa"/>
            <w:tcBorders>
              <w:top w:val="nil"/>
              <w:left w:val="nil"/>
              <w:bottom w:val="nil"/>
              <w:right w:val="nil"/>
            </w:tcBorders>
          </w:tcPr>
          <w:p w14:paraId="3C67E69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(-0.34)</w:t>
            </w:r>
          </w:p>
        </w:tc>
      </w:tr>
      <w:tr w:rsidR="00320DC7" w:rsidRPr="002D58CD" w14:paraId="168C5A70" w14:textId="77777777" w:rsidTr="00015B88">
        <w:tc>
          <w:tcPr>
            <w:tcW w:w="2136" w:type="dxa"/>
            <w:tcBorders>
              <w:top w:val="nil"/>
              <w:left w:val="nil"/>
              <w:bottom w:val="nil"/>
              <w:right w:val="nil"/>
            </w:tcBorders>
          </w:tcPr>
          <w:p w14:paraId="5D72F2C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7EAB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538FE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C521B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BEA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C92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E69CF9F" w14:textId="77777777" w:rsidTr="00015B88">
        <w:tc>
          <w:tcPr>
            <w:tcW w:w="2136" w:type="dxa"/>
            <w:tcBorders>
              <w:top w:val="nil"/>
              <w:left w:val="nil"/>
              <w:bottom w:val="nil"/>
              <w:right w:val="nil"/>
            </w:tcBorders>
          </w:tcPr>
          <w:p w14:paraId="2176405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L9.More Fixed Rate * Polity Democracy</w:t>
            </w:r>
          </w:p>
        </w:tc>
        <w:tc>
          <w:tcPr>
            <w:tcW w:w="1656" w:type="dxa"/>
            <w:tcBorders>
              <w:top w:val="nil"/>
              <w:left w:val="nil"/>
              <w:bottom w:val="nil"/>
              <w:right w:val="nil"/>
            </w:tcBorders>
          </w:tcPr>
          <w:p w14:paraId="509053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-0.00259</w:t>
            </w:r>
          </w:p>
        </w:tc>
        <w:tc>
          <w:tcPr>
            <w:tcW w:w="1656" w:type="dxa"/>
            <w:tcBorders>
              <w:top w:val="nil"/>
              <w:left w:val="nil"/>
              <w:bottom w:val="nil"/>
              <w:right w:val="nil"/>
            </w:tcBorders>
          </w:tcPr>
          <w:p w14:paraId="4BE051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-0.000210</w:t>
            </w:r>
          </w:p>
        </w:tc>
        <w:tc>
          <w:tcPr>
            <w:tcW w:w="1656" w:type="dxa"/>
            <w:tcBorders>
              <w:top w:val="nil"/>
              <w:left w:val="nil"/>
              <w:bottom w:val="nil"/>
              <w:right w:val="nil"/>
            </w:tcBorders>
          </w:tcPr>
          <w:p w14:paraId="779B13B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0.000492</w:t>
            </w:r>
          </w:p>
        </w:tc>
        <w:tc>
          <w:tcPr>
            <w:tcW w:w="1656" w:type="dxa"/>
            <w:tcBorders>
              <w:top w:val="nil"/>
              <w:left w:val="nil"/>
              <w:bottom w:val="nil"/>
              <w:right w:val="nil"/>
            </w:tcBorders>
          </w:tcPr>
          <w:p w14:paraId="134F53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0.00112</w:t>
            </w:r>
          </w:p>
        </w:tc>
        <w:tc>
          <w:tcPr>
            <w:tcW w:w="1656" w:type="dxa"/>
            <w:tcBorders>
              <w:top w:val="nil"/>
              <w:left w:val="nil"/>
              <w:bottom w:val="nil"/>
              <w:right w:val="nil"/>
            </w:tcBorders>
          </w:tcPr>
          <w:p w14:paraId="65490C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-0.000682</w:t>
            </w:r>
          </w:p>
        </w:tc>
      </w:tr>
      <w:tr w:rsidR="00320DC7" w:rsidRPr="002D58CD" w14:paraId="340BB030" w14:textId="77777777" w:rsidTr="00015B88">
        <w:tc>
          <w:tcPr>
            <w:tcW w:w="2136" w:type="dxa"/>
            <w:tcBorders>
              <w:top w:val="nil"/>
              <w:left w:val="nil"/>
              <w:bottom w:val="nil"/>
              <w:right w:val="nil"/>
            </w:tcBorders>
          </w:tcPr>
          <w:p w14:paraId="7C4EE4F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B1FE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(-1.12)</w:t>
            </w:r>
          </w:p>
        </w:tc>
        <w:tc>
          <w:tcPr>
            <w:tcW w:w="1656" w:type="dxa"/>
            <w:tcBorders>
              <w:top w:val="nil"/>
              <w:left w:val="nil"/>
              <w:bottom w:val="nil"/>
              <w:right w:val="nil"/>
            </w:tcBorders>
          </w:tcPr>
          <w:p w14:paraId="3C6E957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w:t>
            </w:r>
          </w:p>
        </w:tc>
        <w:tc>
          <w:tcPr>
            <w:tcW w:w="1656" w:type="dxa"/>
            <w:tcBorders>
              <w:top w:val="nil"/>
              <w:left w:val="nil"/>
              <w:bottom w:val="nil"/>
              <w:right w:val="nil"/>
            </w:tcBorders>
          </w:tcPr>
          <w:p w14:paraId="79681A7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(0.18)</w:t>
            </w:r>
          </w:p>
        </w:tc>
        <w:tc>
          <w:tcPr>
            <w:tcW w:w="1656" w:type="dxa"/>
            <w:tcBorders>
              <w:top w:val="nil"/>
              <w:left w:val="nil"/>
              <w:bottom w:val="nil"/>
              <w:right w:val="nil"/>
            </w:tcBorders>
          </w:tcPr>
          <w:p w14:paraId="29CB4D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(1.60)</w:t>
            </w:r>
          </w:p>
        </w:tc>
        <w:tc>
          <w:tcPr>
            <w:tcW w:w="1656" w:type="dxa"/>
            <w:tcBorders>
              <w:top w:val="nil"/>
              <w:left w:val="nil"/>
              <w:bottom w:val="nil"/>
              <w:right w:val="nil"/>
            </w:tcBorders>
          </w:tcPr>
          <w:p w14:paraId="77708E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(-1.80)</w:t>
            </w:r>
          </w:p>
        </w:tc>
      </w:tr>
      <w:tr w:rsidR="00320DC7" w:rsidRPr="002D58CD" w14:paraId="07851D1C" w14:textId="77777777" w:rsidTr="00015B88">
        <w:tc>
          <w:tcPr>
            <w:tcW w:w="2136" w:type="dxa"/>
            <w:tcBorders>
              <w:top w:val="nil"/>
              <w:left w:val="nil"/>
              <w:bottom w:val="nil"/>
              <w:right w:val="nil"/>
            </w:tcBorders>
          </w:tcPr>
          <w:p w14:paraId="3F72F8E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2A89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B061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B6957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9218D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05CC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C7E595C" w14:textId="77777777" w:rsidTr="00015B88">
        <w:tc>
          <w:tcPr>
            <w:tcW w:w="2136" w:type="dxa"/>
            <w:tcBorders>
              <w:top w:val="nil"/>
              <w:left w:val="nil"/>
              <w:bottom w:val="nil"/>
              <w:right w:val="nil"/>
            </w:tcBorders>
          </w:tcPr>
          <w:p w14:paraId="18BA7F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45BD4AC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-0.000145</w:t>
            </w:r>
          </w:p>
        </w:tc>
        <w:tc>
          <w:tcPr>
            <w:tcW w:w="1656" w:type="dxa"/>
            <w:tcBorders>
              <w:top w:val="nil"/>
              <w:left w:val="nil"/>
              <w:bottom w:val="nil"/>
              <w:right w:val="nil"/>
            </w:tcBorders>
          </w:tcPr>
          <w:p w14:paraId="09E976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0.000213</w:t>
            </w:r>
          </w:p>
        </w:tc>
        <w:tc>
          <w:tcPr>
            <w:tcW w:w="1656" w:type="dxa"/>
            <w:tcBorders>
              <w:top w:val="nil"/>
              <w:left w:val="nil"/>
              <w:bottom w:val="nil"/>
              <w:right w:val="nil"/>
            </w:tcBorders>
          </w:tcPr>
          <w:p w14:paraId="5C73E2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-0.000141</w:t>
            </w:r>
          </w:p>
        </w:tc>
        <w:tc>
          <w:tcPr>
            <w:tcW w:w="1656" w:type="dxa"/>
            <w:tcBorders>
              <w:top w:val="nil"/>
              <w:left w:val="nil"/>
              <w:bottom w:val="nil"/>
              <w:right w:val="nil"/>
            </w:tcBorders>
          </w:tcPr>
          <w:p w14:paraId="64CB8F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-0.000918</w:t>
            </w:r>
          </w:p>
        </w:tc>
        <w:tc>
          <w:tcPr>
            <w:tcW w:w="1656" w:type="dxa"/>
            <w:tcBorders>
              <w:top w:val="nil"/>
              <w:left w:val="nil"/>
              <w:bottom w:val="nil"/>
              <w:right w:val="nil"/>
            </w:tcBorders>
          </w:tcPr>
          <w:p w14:paraId="70515D8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-0.0000176</w:t>
            </w:r>
          </w:p>
        </w:tc>
      </w:tr>
      <w:tr w:rsidR="00320DC7" w:rsidRPr="002D58CD" w14:paraId="03205349" w14:textId="77777777" w:rsidTr="00015B88">
        <w:tc>
          <w:tcPr>
            <w:tcW w:w="2136" w:type="dxa"/>
            <w:tcBorders>
              <w:top w:val="nil"/>
              <w:left w:val="nil"/>
              <w:bottom w:val="nil"/>
              <w:right w:val="nil"/>
            </w:tcBorders>
          </w:tcPr>
          <w:p w14:paraId="163723B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2291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w:t>
            </w:r>
          </w:p>
        </w:tc>
        <w:tc>
          <w:tcPr>
            <w:tcW w:w="1656" w:type="dxa"/>
            <w:tcBorders>
              <w:top w:val="nil"/>
              <w:left w:val="nil"/>
              <w:bottom w:val="nil"/>
              <w:right w:val="nil"/>
            </w:tcBorders>
          </w:tcPr>
          <w:p w14:paraId="3CCEB8E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(0.14)</w:t>
            </w:r>
          </w:p>
        </w:tc>
        <w:tc>
          <w:tcPr>
            <w:tcW w:w="1656" w:type="dxa"/>
            <w:tcBorders>
              <w:top w:val="nil"/>
              <w:left w:val="nil"/>
              <w:bottom w:val="nil"/>
              <w:right w:val="nil"/>
            </w:tcBorders>
          </w:tcPr>
          <w:p w14:paraId="61998C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w:t>
            </w:r>
          </w:p>
        </w:tc>
        <w:tc>
          <w:tcPr>
            <w:tcW w:w="1656" w:type="dxa"/>
            <w:tcBorders>
              <w:top w:val="nil"/>
              <w:left w:val="nil"/>
              <w:bottom w:val="nil"/>
              <w:right w:val="nil"/>
            </w:tcBorders>
          </w:tcPr>
          <w:p w14:paraId="5AAC349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(-1.58)</w:t>
            </w:r>
          </w:p>
        </w:tc>
        <w:tc>
          <w:tcPr>
            <w:tcW w:w="1656" w:type="dxa"/>
            <w:tcBorders>
              <w:top w:val="nil"/>
              <w:left w:val="nil"/>
              <w:bottom w:val="nil"/>
              <w:right w:val="nil"/>
            </w:tcBorders>
          </w:tcPr>
          <w:p w14:paraId="1B6B6C2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r>
      <w:tr w:rsidR="00320DC7" w:rsidRPr="002D58CD" w14:paraId="49FEB38B" w14:textId="77777777" w:rsidTr="00015B88">
        <w:tc>
          <w:tcPr>
            <w:tcW w:w="2136" w:type="dxa"/>
            <w:tcBorders>
              <w:top w:val="nil"/>
              <w:left w:val="nil"/>
              <w:bottom w:val="nil"/>
              <w:right w:val="nil"/>
            </w:tcBorders>
          </w:tcPr>
          <w:p w14:paraId="0A27BF7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E8BE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695E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4247A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49E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F5E9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846269A" w14:textId="77777777" w:rsidTr="00015B88">
        <w:tc>
          <w:tcPr>
            <w:tcW w:w="2136" w:type="dxa"/>
            <w:tcBorders>
              <w:top w:val="nil"/>
              <w:left w:val="nil"/>
              <w:bottom w:val="nil"/>
              <w:right w:val="nil"/>
            </w:tcBorders>
          </w:tcPr>
          <w:p w14:paraId="4B3AB9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Constant</w:t>
            </w:r>
          </w:p>
        </w:tc>
        <w:tc>
          <w:tcPr>
            <w:tcW w:w="1656" w:type="dxa"/>
            <w:tcBorders>
              <w:top w:val="nil"/>
              <w:left w:val="nil"/>
              <w:bottom w:val="nil"/>
              <w:right w:val="nil"/>
            </w:tcBorders>
          </w:tcPr>
          <w:p w14:paraId="26F22E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0.228</w:t>
            </w:r>
          </w:p>
        </w:tc>
        <w:tc>
          <w:tcPr>
            <w:tcW w:w="1656" w:type="dxa"/>
            <w:tcBorders>
              <w:top w:val="nil"/>
              <w:left w:val="nil"/>
              <w:bottom w:val="nil"/>
              <w:right w:val="nil"/>
            </w:tcBorders>
          </w:tcPr>
          <w:p w14:paraId="33EB690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-0.0466</w:t>
            </w:r>
          </w:p>
        </w:tc>
        <w:tc>
          <w:tcPr>
            <w:tcW w:w="1656" w:type="dxa"/>
            <w:tcBorders>
              <w:top w:val="nil"/>
              <w:left w:val="nil"/>
              <w:bottom w:val="nil"/>
              <w:right w:val="nil"/>
            </w:tcBorders>
          </w:tcPr>
          <w:p w14:paraId="692A220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0.191</w:t>
            </w:r>
          </w:p>
        </w:tc>
        <w:tc>
          <w:tcPr>
            <w:tcW w:w="1656" w:type="dxa"/>
            <w:tcBorders>
              <w:top w:val="nil"/>
              <w:left w:val="nil"/>
              <w:bottom w:val="nil"/>
              <w:right w:val="nil"/>
            </w:tcBorders>
          </w:tcPr>
          <w:p w14:paraId="1068BF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-0.969</w:t>
            </w:r>
          </w:p>
        </w:tc>
        <w:tc>
          <w:tcPr>
            <w:tcW w:w="1656" w:type="dxa"/>
            <w:tcBorders>
              <w:top w:val="nil"/>
              <w:left w:val="nil"/>
              <w:bottom w:val="nil"/>
              <w:right w:val="nil"/>
            </w:tcBorders>
          </w:tcPr>
          <w:p w14:paraId="1D80263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-0.0901</w:t>
            </w:r>
          </w:p>
        </w:tc>
      </w:tr>
      <w:tr w:rsidR="00320DC7" w:rsidRPr="002D58CD" w14:paraId="3F6EC1B0" w14:textId="77777777" w:rsidTr="00015B88">
        <w:tc>
          <w:tcPr>
            <w:tcW w:w="2136" w:type="dxa"/>
            <w:tcBorders>
              <w:top w:val="nil"/>
              <w:left w:val="nil"/>
              <w:bottom w:val="single" w:sz="4" w:space="0" w:color="auto"/>
              <w:right w:val="nil"/>
            </w:tcBorders>
          </w:tcPr>
          <w:p w14:paraId="1643C5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0E96FC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(0.46)</w:t>
            </w:r>
          </w:p>
        </w:tc>
        <w:tc>
          <w:tcPr>
            <w:tcW w:w="1656" w:type="dxa"/>
            <w:tcBorders>
              <w:top w:val="nil"/>
              <w:left w:val="nil"/>
              <w:bottom w:val="single" w:sz="4" w:space="0" w:color="auto"/>
              <w:right w:val="nil"/>
            </w:tcBorders>
          </w:tcPr>
          <w:p w14:paraId="5672433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w:t>
            </w:r>
          </w:p>
        </w:tc>
        <w:tc>
          <w:tcPr>
            <w:tcW w:w="1656" w:type="dxa"/>
            <w:tcBorders>
              <w:top w:val="nil"/>
              <w:left w:val="nil"/>
              <w:bottom w:val="single" w:sz="4" w:space="0" w:color="auto"/>
              <w:right w:val="nil"/>
            </w:tcBorders>
          </w:tcPr>
          <w:p w14:paraId="788A777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(0.39)</w:t>
            </w:r>
          </w:p>
        </w:tc>
        <w:tc>
          <w:tcPr>
            <w:tcW w:w="1656" w:type="dxa"/>
            <w:tcBorders>
              <w:top w:val="nil"/>
              <w:left w:val="nil"/>
              <w:bottom w:val="single" w:sz="4" w:space="0" w:color="auto"/>
              <w:right w:val="nil"/>
            </w:tcBorders>
          </w:tcPr>
          <w:p w14:paraId="7315F7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(-1.37)</w:t>
            </w:r>
          </w:p>
        </w:tc>
        <w:tc>
          <w:tcPr>
            <w:tcW w:w="1656" w:type="dxa"/>
            <w:tcBorders>
              <w:top w:val="nil"/>
              <w:left w:val="nil"/>
              <w:bottom w:val="single" w:sz="4" w:space="0" w:color="auto"/>
              <w:right w:val="nil"/>
            </w:tcBorders>
          </w:tcPr>
          <w:p w14:paraId="2CB88FB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r>
      <w:tr w:rsidR="00320DC7" w:rsidRPr="002D58CD" w14:paraId="001C8F2F" w14:textId="77777777" w:rsidTr="00015B88">
        <w:tc>
          <w:tcPr>
            <w:tcW w:w="2136" w:type="dxa"/>
            <w:tcBorders>
              <w:top w:val="nil"/>
              <w:left w:val="nil"/>
              <w:bottom w:val="single" w:sz="4" w:space="0" w:color="auto"/>
              <w:right w:val="nil"/>
            </w:tcBorders>
          </w:tcPr>
          <w:p w14:paraId="1709651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E77E94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1063</w:t>
            </w:r>
          </w:p>
        </w:tc>
        <w:tc>
          <w:tcPr>
            <w:tcW w:w="1656" w:type="dxa"/>
            <w:tcBorders>
              <w:top w:val="nil"/>
              <w:left w:val="nil"/>
              <w:bottom w:val="single" w:sz="4" w:space="0" w:color="auto"/>
              <w:right w:val="nil"/>
            </w:tcBorders>
          </w:tcPr>
          <w:p w14:paraId="393C9B3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1064</w:t>
            </w:r>
          </w:p>
        </w:tc>
        <w:tc>
          <w:tcPr>
            <w:tcW w:w="1656" w:type="dxa"/>
            <w:tcBorders>
              <w:top w:val="nil"/>
              <w:left w:val="nil"/>
              <w:bottom w:val="single" w:sz="4" w:space="0" w:color="auto"/>
              <w:right w:val="nil"/>
            </w:tcBorders>
          </w:tcPr>
          <w:p w14:paraId="651C3C3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884</w:t>
            </w:r>
          </w:p>
        </w:tc>
        <w:tc>
          <w:tcPr>
            <w:tcW w:w="1656" w:type="dxa"/>
            <w:tcBorders>
              <w:top w:val="nil"/>
              <w:left w:val="nil"/>
              <w:bottom w:val="single" w:sz="4" w:space="0" w:color="auto"/>
              <w:right w:val="nil"/>
            </w:tcBorders>
          </w:tcPr>
          <w:p w14:paraId="073EE7A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2145</w:t>
            </w:r>
          </w:p>
        </w:tc>
        <w:tc>
          <w:tcPr>
            <w:tcW w:w="1656" w:type="dxa"/>
            <w:tcBorders>
              <w:top w:val="nil"/>
              <w:left w:val="nil"/>
              <w:bottom w:val="single" w:sz="4" w:space="0" w:color="auto"/>
              <w:right w:val="nil"/>
            </w:tcBorders>
          </w:tcPr>
          <w:p w14:paraId="13495A5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2565</w:t>
            </w:r>
          </w:p>
        </w:tc>
      </w:tr>
    </w:tbl>
    <w:p w14:paraId="62ADB90A" w14:textId="77777777" w:rsidR="00320DC7" w:rsidRPr="002D58CD" w:rsidRDefault="00320DC7" w:rsidP="00320DC7">
      <w:pPr>
        <w:widowControl w:val="0"/>
        <w:autoSpaceDE w:val="0"/>
        <w:autoSpaceDN w:val="0"/>
        <w:adjustRightInd w:val="0"/>
        <w:spacing w:after="0" w:line="240" w:lineRule="auto"/>
        <w:rPr>
          <w:rFonts w:ascii="Times New Roman" w:hAnsi="Times New Roman" w:cs="Times New Roman"/>
          <w:sz w:val="12"/>
          <w:szCs w:val="12"/>
        </w:rPr>
      </w:pPr>
      <w:r w:rsidRPr="002D58CD">
        <w:rPr>
          <w:rFonts w:ascii="Times New Roman" w:hAnsi="Times New Roman" w:cs="Times New Roman"/>
          <w:i/>
          <w:iCs/>
          <w:sz w:val="12"/>
          <w:szCs w:val="12"/>
        </w:rPr>
        <w:t>t</w:t>
      </w:r>
      <w:r w:rsidRPr="002D58CD">
        <w:rPr>
          <w:rFonts w:ascii="Times New Roman" w:hAnsi="Times New Roman" w:cs="Times New Roman"/>
          <w:sz w:val="12"/>
          <w:szCs w:val="12"/>
        </w:rPr>
        <w:t xml:space="preserve"> statistics in parentheses</w:t>
      </w:r>
    </w:p>
    <w:p w14:paraId="3DA0B2F7" w14:textId="77777777" w:rsidR="00320DC7" w:rsidRPr="002D58CD" w:rsidRDefault="00320DC7" w:rsidP="00320DC7">
      <w:pPr>
        <w:widowControl w:val="0"/>
        <w:autoSpaceDE w:val="0"/>
        <w:autoSpaceDN w:val="0"/>
        <w:adjustRightInd w:val="0"/>
        <w:spacing w:after="0" w:line="240" w:lineRule="auto"/>
        <w:rPr>
          <w:rFonts w:ascii="Times New Roman" w:hAnsi="Times New Roman" w:cs="Times New Roman"/>
          <w:sz w:val="12"/>
          <w:szCs w:val="12"/>
        </w:rPr>
      </w:pPr>
      <w:r w:rsidRPr="002D58CD">
        <w:rPr>
          <w:rFonts w:ascii="Times New Roman" w:hAnsi="Times New Roman" w:cs="Times New Roman"/>
          <w:sz w:val="12"/>
          <w:szCs w:val="12"/>
          <w:vertAlign w:val="superscript"/>
        </w:rPr>
        <w:t>*</w:t>
      </w:r>
      <w:r w:rsidRPr="002D58CD">
        <w:rPr>
          <w:rFonts w:ascii="Times New Roman" w:hAnsi="Times New Roman" w:cs="Times New Roman"/>
          <w:sz w:val="12"/>
          <w:szCs w:val="12"/>
        </w:rPr>
        <w:t xml:space="preserve"> </w:t>
      </w:r>
      <w:r w:rsidRPr="002D58CD">
        <w:rPr>
          <w:rFonts w:ascii="Times New Roman" w:hAnsi="Times New Roman" w:cs="Times New Roman"/>
          <w:i/>
          <w:iCs/>
          <w:sz w:val="12"/>
          <w:szCs w:val="12"/>
        </w:rPr>
        <w:t>p</w:t>
      </w:r>
      <w:r w:rsidRPr="002D58CD">
        <w:rPr>
          <w:rFonts w:ascii="Times New Roman" w:hAnsi="Times New Roman" w:cs="Times New Roman"/>
          <w:sz w:val="12"/>
          <w:szCs w:val="12"/>
        </w:rPr>
        <w:t xml:space="preserve"> &lt; 0.05, </w:t>
      </w:r>
      <w:r w:rsidRPr="002D58CD">
        <w:rPr>
          <w:rFonts w:ascii="Times New Roman" w:hAnsi="Times New Roman" w:cs="Times New Roman"/>
          <w:sz w:val="12"/>
          <w:szCs w:val="12"/>
          <w:vertAlign w:val="superscript"/>
        </w:rPr>
        <w:t>**</w:t>
      </w:r>
      <w:r w:rsidRPr="002D58CD">
        <w:rPr>
          <w:rFonts w:ascii="Times New Roman" w:hAnsi="Times New Roman" w:cs="Times New Roman"/>
          <w:sz w:val="12"/>
          <w:szCs w:val="12"/>
        </w:rPr>
        <w:t xml:space="preserve"> </w:t>
      </w:r>
      <w:r w:rsidRPr="002D58CD">
        <w:rPr>
          <w:rFonts w:ascii="Times New Roman" w:hAnsi="Times New Roman" w:cs="Times New Roman"/>
          <w:i/>
          <w:iCs/>
          <w:sz w:val="12"/>
          <w:szCs w:val="12"/>
        </w:rPr>
        <w:t>p</w:t>
      </w:r>
      <w:r w:rsidRPr="002D58CD">
        <w:rPr>
          <w:rFonts w:ascii="Times New Roman" w:hAnsi="Times New Roman" w:cs="Times New Roman"/>
          <w:sz w:val="12"/>
          <w:szCs w:val="12"/>
        </w:rPr>
        <w:t xml:space="preserve"> &lt; 0.01, </w:t>
      </w:r>
      <w:r w:rsidRPr="002D58CD">
        <w:rPr>
          <w:rFonts w:ascii="Times New Roman" w:hAnsi="Times New Roman" w:cs="Times New Roman"/>
          <w:sz w:val="12"/>
          <w:szCs w:val="12"/>
          <w:vertAlign w:val="superscript"/>
        </w:rPr>
        <w:t>***</w:t>
      </w:r>
      <w:r w:rsidRPr="002D58CD">
        <w:rPr>
          <w:rFonts w:ascii="Times New Roman" w:hAnsi="Times New Roman" w:cs="Times New Roman"/>
          <w:sz w:val="12"/>
          <w:szCs w:val="12"/>
        </w:rPr>
        <w:t xml:space="preserve"> </w:t>
      </w:r>
      <w:r w:rsidRPr="002D58CD">
        <w:rPr>
          <w:rFonts w:ascii="Times New Roman" w:hAnsi="Times New Roman" w:cs="Times New Roman"/>
          <w:i/>
          <w:iCs/>
          <w:sz w:val="12"/>
          <w:szCs w:val="12"/>
        </w:rPr>
        <w:t>p</w:t>
      </w:r>
      <w:r w:rsidRPr="002D58CD">
        <w:rPr>
          <w:rFonts w:ascii="Times New Roman" w:hAnsi="Times New Roman" w:cs="Times New Roman"/>
          <w:sz w:val="12"/>
          <w:szCs w:val="12"/>
        </w:rPr>
        <w:t xml:space="preserve"> &lt; 0.001</w:t>
      </w:r>
    </w:p>
    <w:p w14:paraId="3AA74FA3" w14:textId="77777777" w:rsidR="00320DC7" w:rsidRPr="000C463F" w:rsidRDefault="00320DC7" w:rsidP="00DB7775"/>
    <w:p w14:paraId="23B73D64" w14:textId="0E5589B9" w:rsidR="000C463F" w:rsidRDefault="000C463F" w:rsidP="00DB7775">
      <w:r w:rsidRPr="000C463F">
        <w:t xml:space="preserve">Lags- ordered logit </w:t>
      </w:r>
      <w:proofErr w:type="spellStart"/>
      <w:r w:rsidRPr="000C463F">
        <w:t>coeffs</w:t>
      </w:r>
      <w:proofErr w:type="spellEnd"/>
    </w:p>
    <w:tbl>
      <w:tblPr>
        <w:tblW w:w="0" w:type="auto"/>
        <w:tblLayout w:type="fixed"/>
        <w:tblLook w:val="0000" w:firstRow="0" w:lastRow="0" w:firstColumn="0" w:lastColumn="0" w:noHBand="0" w:noVBand="0"/>
      </w:tblPr>
      <w:tblGrid>
        <w:gridCol w:w="2136"/>
        <w:gridCol w:w="1656"/>
        <w:gridCol w:w="1656"/>
        <w:gridCol w:w="1656"/>
        <w:gridCol w:w="1656"/>
      </w:tblGrid>
      <w:tr w:rsidR="008E7D4B" w:rsidRPr="0082225C" w14:paraId="6AC508A0" w14:textId="77777777" w:rsidTr="00015B88">
        <w:tc>
          <w:tcPr>
            <w:tcW w:w="2136" w:type="dxa"/>
            <w:tcBorders>
              <w:top w:val="single" w:sz="4" w:space="0" w:color="auto"/>
              <w:left w:val="nil"/>
              <w:bottom w:val="nil"/>
              <w:right w:val="nil"/>
            </w:tcBorders>
          </w:tcPr>
          <w:p w14:paraId="04186B5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7DB5E9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w:t>
            </w:r>
          </w:p>
        </w:tc>
        <w:tc>
          <w:tcPr>
            <w:tcW w:w="1656" w:type="dxa"/>
            <w:tcBorders>
              <w:top w:val="single" w:sz="4" w:space="0" w:color="auto"/>
              <w:left w:val="nil"/>
              <w:bottom w:val="nil"/>
              <w:right w:val="nil"/>
            </w:tcBorders>
          </w:tcPr>
          <w:p w14:paraId="75C8D39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w:t>
            </w:r>
          </w:p>
        </w:tc>
        <w:tc>
          <w:tcPr>
            <w:tcW w:w="1656" w:type="dxa"/>
            <w:tcBorders>
              <w:top w:val="single" w:sz="4" w:space="0" w:color="auto"/>
              <w:left w:val="nil"/>
              <w:bottom w:val="nil"/>
              <w:right w:val="nil"/>
            </w:tcBorders>
          </w:tcPr>
          <w:p w14:paraId="346966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w:t>
            </w:r>
          </w:p>
        </w:tc>
        <w:tc>
          <w:tcPr>
            <w:tcW w:w="1656" w:type="dxa"/>
            <w:tcBorders>
              <w:top w:val="single" w:sz="4" w:space="0" w:color="auto"/>
              <w:left w:val="nil"/>
              <w:bottom w:val="nil"/>
              <w:right w:val="nil"/>
            </w:tcBorders>
          </w:tcPr>
          <w:p w14:paraId="4A8EFE7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w:t>
            </w:r>
          </w:p>
        </w:tc>
      </w:tr>
      <w:tr w:rsidR="008E7D4B" w:rsidRPr="0082225C" w14:paraId="4D53368E" w14:textId="77777777" w:rsidTr="00015B88">
        <w:tc>
          <w:tcPr>
            <w:tcW w:w="2136" w:type="dxa"/>
            <w:tcBorders>
              <w:top w:val="nil"/>
              <w:left w:val="nil"/>
              <w:bottom w:val="nil"/>
              <w:right w:val="nil"/>
            </w:tcBorders>
          </w:tcPr>
          <w:p w14:paraId="23E8C37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F37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Head of Govt. Turnover</w:t>
            </w:r>
          </w:p>
        </w:tc>
        <w:tc>
          <w:tcPr>
            <w:tcW w:w="1656" w:type="dxa"/>
            <w:tcBorders>
              <w:top w:val="nil"/>
              <w:left w:val="nil"/>
              <w:bottom w:val="nil"/>
              <w:right w:val="nil"/>
            </w:tcBorders>
          </w:tcPr>
          <w:p w14:paraId="7E22B9B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Head of State Turnover</w:t>
            </w:r>
          </w:p>
        </w:tc>
        <w:tc>
          <w:tcPr>
            <w:tcW w:w="1656" w:type="dxa"/>
            <w:tcBorders>
              <w:top w:val="nil"/>
              <w:left w:val="nil"/>
              <w:bottom w:val="nil"/>
              <w:right w:val="nil"/>
            </w:tcBorders>
          </w:tcPr>
          <w:p w14:paraId="153C9D9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Lower House Turnover</w:t>
            </w:r>
          </w:p>
        </w:tc>
        <w:tc>
          <w:tcPr>
            <w:tcW w:w="1656" w:type="dxa"/>
            <w:tcBorders>
              <w:top w:val="nil"/>
              <w:left w:val="nil"/>
              <w:bottom w:val="nil"/>
              <w:right w:val="nil"/>
            </w:tcBorders>
          </w:tcPr>
          <w:p w14:paraId="5176958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Instability Event Indicator</w:t>
            </w:r>
          </w:p>
        </w:tc>
      </w:tr>
      <w:tr w:rsidR="008E7D4B" w:rsidRPr="0082225C" w14:paraId="2D28F678" w14:textId="77777777" w:rsidTr="00015B88">
        <w:tc>
          <w:tcPr>
            <w:tcW w:w="2136" w:type="dxa"/>
            <w:tcBorders>
              <w:top w:val="single" w:sz="4" w:space="0" w:color="auto"/>
              <w:left w:val="nil"/>
              <w:bottom w:val="nil"/>
              <w:right w:val="nil"/>
            </w:tcBorders>
          </w:tcPr>
          <w:p w14:paraId="0C60CF9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9096E5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9DAAAD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4D8CC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C2E095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31DDF45B" w14:textId="77777777" w:rsidTr="00015B88">
        <w:tc>
          <w:tcPr>
            <w:tcW w:w="2136" w:type="dxa"/>
            <w:tcBorders>
              <w:top w:val="nil"/>
              <w:left w:val="nil"/>
              <w:bottom w:val="nil"/>
              <w:right w:val="nil"/>
            </w:tcBorders>
          </w:tcPr>
          <w:p w14:paraId="1784255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De Jure CBI (CNW Index)</w:t>
            </w:r>
          </w:p>
        </w:tc>
        <w:tc>
          <w:tcPr>
            <w:tcW w:w="1656" w:type="dxa"/>
            <w:tcBorders>
              <w:top w:val="nil"/>
              <w:left w:val="nil"/>
              <w:bottom w:val="nil"/>
              <w:right w:val="nil"/>
            </w:tcBorders>
          </w:tcPr>
          <w:p w14:paraId="4399934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-7.255</w:t>
            </w:r>
          </w:p>
        </w:tc>
        <w:tc>
          <w:tcPr>
            <w:tcW w:w="1656" w:type="dxa"/>
            <w:tcBorders>
              <w:top w:val="nil"/>
              <w:left w:val="nil"/>
              <w:bottom w:val="nil"/>
              <w:right w:val="nil"/>
            </w:tcBorders>
          </w:tcPr>
          <w:p w14:paraId="75B51E9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-8.381</w:t>
            </w:r>
          </w:p>
        </w:tc>
        <w:tc>
          <w:tcPr>
            <w:tcW w:w="1656" w:type="dxa"/>
            <w:tcBorders>
              <w:top w:val="nil"/>
              <w:left w:val="nil"/>
              <w:bottom w:val="nil"/>
              <w:right w:val="nil"/>
            </w:tcBorders>
          </w:tcPr>
          <w:p w14:paraId="40630EA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0.606</w:t>
            </w:r>
          </w:p>
        </w:tc>
        <w:tc>
          <w:tcPr>
            <w:tcW w:w="1656" w:type="dxa"/>
            <w:tcBorders>
              <w:top w:val="nil"/>
              <w:left w:val="nil"/>
              <w:bottom w:val="nil"/>
              <w:right w:val="nil"/>
            </w:tcBorders>
          </w:tcPr>
          <w:p w14:paraId="3335CBF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2.572</w:t>
            </w:r>
          </w:p>
        </w:tc>
      </w:tr>
      <w:tr w:rsidR="008E7D4B" w:rsidRPr="0082225C" w14:paraId="2AEE41A4" w14:textId="77777777" w:rsidTr="00015B88">
        <w:tc>
          <w:tcPr>
            <w:tcW w:w="2136" w:type="dxa"/>
            <w:tcBorders>
              <w:top w:val="nil"/>
              <w:left w:val="nil"/>
              <w:bottom w:val="nil"/>
              <w:right w:val="nil"/>
            </w:tcBorders>
          </w:tcPr>
          <w:p w14:paraId="2AF4210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A4A8F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(-1.67)</w:t>
            </w:r>
          </w:p>
        </w:tc>
        <w:tc>
          <w:tcPr>
            <w:tcW w:w="1656" w:type="dxa"/>
            <w:tcBorders>
              <w:top w:val="nil"/>
              <w:left w:val="nil"/>
              <w:bottom w:val="nil"/>
              <w:right w:val="nil"/>
            </w:tcBorders>
          </w:tcPr>
          <w:p w14:paraId="31F3033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(-0.84)</w:t>
            </w:r>
          </w:p>
        </w:tc>
        <w:tc>
          <w:tcPr>
            <w:tcW w:w="1656" w:type="dxa"/>
            <w:tcBorders>
              <w:top w:val="nil"/>
              <w:left w:val="nil"/>
              <w:bottom w:val="nil"/>
              <w:right w:val="nil"/>
            </w:tcBorders>
          </w:tcPr>
          <w:p w14:paraId="52D0309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w:t>
            </w:r>
          </w:p>
        </w:tc>
        <w:tc>
          <w:tcPr>
            <w:tcW w:w="1656" w:type="dxa"/>
            <w:tcBorders>
              <w:top w:val="nil"/>
              <w:left w:val="nil"/>
              <w:bottom w:val="nil"/>
              <w:right w:val="nil"/>
            </w:tcBorders>
          </w:tcPr>
          <w:p w14:paraId="17E4431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w:t>
            </w:r>
          </w:p>
        </w:tc>
      </w:tr>
      <w:tr w:rsidR="008E7D4B" w:rsidRPr="0082225C" w14:paraId="672A4F06" w14:textId="77777777" w:rsidTr="00015B88">
        <w:tc>
          <w:tcPr>
            <w:tcW w:w="2136" w:type="dxa"/>
            <w:tcBorders>
              <w:top w:val="nil"/>
              <w:left w:val="nil"/>
              <w:bottom w:val="nil"/>
              <w:right w:val="nil"/>
            </w:tcBorders>
          </w:tcPr>
          <w:p w14:paraId="1158EF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DE0B7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B939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94E1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057A1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EB19609" w14:textId="77777777" w:rsidTr="00015B88">
        <w:tc>
          <w:tcPr>
            <w:tcW w:w="2136" w:type="dxa"/>
            <w:tcBorders>
              <w:top w:val="nil"/>
              <w:left w:val="nil"/>
              <w:bottom w:val="nil"/>
              <w:right w:val="nil"/>
            </w:tcBorders>
          </w:tcPr>
          <w:p w14:paraId="5D2684A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9BADA1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-0.0478</w:t>
            </w:r>
          </w:p>
        </w:tc>
        <w:tc>
          <w:tcPr>
            <w:tcW w:w="1656" w:type="dxa"/>
            <w:tcBorders>
              <w:top w:val="nil"/>
              <w:left w:val="nil"/>
              <w:bottom w:val="nil"/>
              <w:right w:val="nil"/>
            </w:tcBorders>
          </w:tcPr>
          <w:p w14:paraId="004DC1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-0.263</w:t>
            </w:r>
          </w:p>
        </w:tc>
        <w:tc>
          <w:tcPr>
            <w:tcW w:w="1656" w:type="dxa"/>
            <w:tcBorders>
              <w:top w:val="nil"/>
              <w:left w:val="nil"/>
              <w:bottom w:val="nil"/>
              <w:right w:val="nil"/>
            </w:tcBorders>
          </w:tcPr>
          <w:p w14:paraId="41F6025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-0.0874</w:t>
            </w:r>
          </w:p>
        </w:tc>
        <w:tc>
          <w:tcPr>
            <w:tcW w:w="1656" w:type="dxa"/>
            <w:tcBorders>
              <w:top w:val="nil"/>
              <w:left w:val="nil"/>
              <w:bottom w:val="nil"/>
              <w:right w:val="nil"/>
            </w:tcBorders>
          </w:tcPr>
          <w:p w14:paraId="15C4EC8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-0.00996</w:t>
            </w:r>
          </w:p>
        </w:tc>
      </w:tr>
      <w:tr w:rsidR="008E7D4B" w:rsidRPr="0082225C" w14:paraId="6FD10549" w14:textId="77777777" w:rsidTr="00015B88">
        <w:tc>
          <w:tcPr>
            <w:tcW w:w="2136" w:type="dxa"/>
            <w:tcBorders>
              <w:top w:val="nil"/>
              <w:left w:val="nil"/>
              <w:bottom w:val="nil"/>
              <w:right w:val="nil"/>
            </w:tcBorders>
          </w:tcPr>
          <w:p w14:paraId="3DD59F3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94F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(-0.40)</w:t>
            </w:r>
          </w:p>
        </w:tc>
        <w:tc>
          <w:tcPr>
            <w:tcW w:w="1656" w:type="dxa"/>
            <w:tcBorders>
              <w:top w:val="nil"/>
              <w:left w:val="nil"/>
              <w:bottom w:val="nil"/>
              <w:right w:val="nil"/>
            </w:tcBorders>
          </w:tcPr>
          <w:p w14:paraId="62856B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(-1.36)</w:t>
            </w:r>
          </w:p>
        </w:tc>
        <w:tc>
          <w:tcPr>
            <w:tcW w:w="1656" w:type="dxa"/>
            <w:tcBorders>
              <w:top w:val="nil"/>
              <w:left w:val="nil"/>
              <w:bottom w:val="nil"/>
              <w:right w:val="nil"/>
            </w:tcBorders>
          </w:tcPr>
          <w:p w14:paraId="338CB0B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(-0.53)</w:t>
            </w:r>
          </w:p>
        </w:tc>
        <w:tc>
          <w:tcPr>
            <w:tcW w:w="1656" w:type="dxa"/>
            <w:tcBorders>
              <w:top w:val="nil"/>
              <w:left w:val="nil"/>
              <w:bottom w:val="nil"/>
              <w:right w:val="nil"/>
            </w:tcBorders>
          </w:tcPr>
          <w:p w14:paraId="3763195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w:t>
            </w:r>
          </w:p>
        </w:tc>
      </w:tr>
      <w:tr w:rsidR="008E7D4B" w:rsidRPr="0082225C" w14:paraId="184FC450" w14:textId="77777777" w:rsidTr="00015B88">
        <w:tc>
          <w:tcPr>
            <w:tcW w:w="2136" w:type="dxa"/>
            <w:tcBorders>
              <w:top w:val="nil"/>
              <w:left w:val="nil"/>
              <w:bottom w:val="nil"/>
              <w:right w:val="nil"/>
            </w:tcBorders>
          </w:tcPr>
          <w:p w14:paraId="40C4AF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CE83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E5FD1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2B5D8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AF0B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DB6581B" w14:textId="77777777" w:rsidTr="00015B88">
        <w:tc>
          <w:tcPr>
            <w:tcW w:w="2136" w:type="dxa"/>
            <w:tcBorders>
              <w:top w:val="nil"/>
              <w:left w:val="nil"/>
              <w:bottom w:val="nil"/>
              <w:right w:val="nil"/>
            </w:tcBorders>
          </w:tcPr>
          <w:p w14:paraId="472AE2A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Polity Democracy Score (v2)</w:t>
            </w:r>
          </w:p>
        </w:tc>
        <w:tc>
          <w:tcPr>
            <w:tcW w:w="1656" w:type="dxa"/>
            <w:tcBorders>
              <w:top w:val="nil"/>
              <w:left w:val="nil"/>
              <w:bottom w:val="nil"/>
              <w:right w:val="nil"/>
            </w:tcBorders>
          </w:tcPr>
          <w:p w14:paraId="534677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0.0850</w:t>
            </w:r>
          </w:p>
        </w:tc>
        <w:tc>
          <w:tcPr>
            <w:tcW w:w="1656" w:type="dxa"/>
            <w:tcBorders>
              <w:top w:val="nil"/>
              <w:left w:val="nil"/>
              <w:bottom w:val="nil"/>
              <w:right w:val="nil"/>
            </w:tcBorders>
          </w:tcPr>
          <w:p w14:paraId="515187F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0.0161</w:t>
            </w:r>
          </w:p>
        </w:tc>
        <w:tc>
          <w:tcPr>
            <w:tcW w:w="1656" w:type="dxa"/>
            <w:tcBorders>
              <w:top w:val="nil"/>
              <w:left w:val="nil"/>
              <w:bottom w:val="nil"/>
              <w:right w:val="nil"/>
            </w:tcBorders>
          </w:tcPr>
          <w:p w14:paraId="3FD9AD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0.0826</w:t>
            </w:r>
          </w:p>
        </w:tc>
        <w:tc>
          <w:tcPr>
            <w:tcW w:w="1656" w:type="dxa"/>
            <w:tcBorders>
              <w:top w:val="nil"/>
              <w:left w:val="nil"/>
              <w:bottom w:val="nil"/>
              <w:right w:val="nil"/>
            </w:tcBorders>
          </w:tcPr>
          <w:p w14:paraId="1CD761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-0.0872</w:t>
            </w:r>
          </w:p>
        </w:tc>
      </w:tr>
      <w:tr w:rsidR="008E7D4B" w:rsidRPr="0082225C" w14:paraId="78391C24" w14:textId="77777777" w:rsidTr="00015B88">
        <w:tc>
          <w:tcPr>
            <w:tcW w:w="2136" w:type="dxa"/>
            <w:tcBorders>
              <w:top w:val="nil"/>
              <w:left w:val="nil"/>
              <w:bottom w:val="nil"/>
              <w:right w:val="nil"/>
            </w:tcBorders>
          </w:tcPr>
          <w:p w14:paraId="275EB5D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39FA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(0.76)</w:t>
            </w:r>
          </w:p>
        </w:tc>
        <w:tc>
          <w:tcPr>
            <w:tcW w:w="1656" w:type="dxa"/>
            <w:tcBorders>
              <w:top w:val="nil"/>
              <w:left w:val="nil"/>
              <w:bottom w:val="nil"/>
              <w:right w:val="nil"/>
            </w:tcBorders>
          </w:tcPr>
          <w:p w14:paraId="29C07E4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58B8E45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481C140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r>
      <w:tr w:rsidR="008E7D4B" w:rsidRPr="0082225C" w14:paraId="1F5E0E58" w14:textId="77777777" w:rsidTr="00015B88">
        <w:tc>
          <w:tcPr>
            <w:tcW w:w="2136" w:type="dxa"/>
            <w:tcBorders>
              <w:top w:val="nil"/>
              <w:left w:val="nil"/>
              <w:bottom w:val="nil"/>
              <w:right w:val="nil"/>
            </w:tcBorders>
          </w:tcPr>
          <w:p w14:paraId="41F99BD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DC969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8A18F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D7E9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1E81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10201D3" w14:textId="77777777" w:rsidTr="00015B88">
        <w:tc>
          <w:tcPr>
            <w:tcW w:w="2136" w:type="dxa"/>
            <w:tcBorders>
              <w:top w:val="nil"/>
              <w:left w:val="nil"/>
              <w:bottom w:val="nil"/>
              <w:right w:val="nil"/>
            </w:tcBorders>
          </w:tcPr>
          <w:p w14:paraId="7658F7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De Jure CBI * Polity Democracy</w:t>
            </w:r>
          </w:p>
        </w:tc>
        <w:tc>
          <w:tcPr>
            <w:tcW w:w="1656" w:type="dxa"/>
            <w:tcBorders>
              <w:top w:val="nil"/>
              <w:left w:val="nil"/>
              <w:bottom w:val="nil"/>
              <w:right w:val="nil"/>
            </w:tcBorders>
          </w:tcPr>
          <w:p w14:paraId="4E2CDEA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0.435</w:t>
            </w:r>
          </w:p>
        </w:tc>
        <w:tc>
          <w:tcPr>
            <w:tcW w:w="1656" w:type="dxa"/>
            <w:tcBorders>
              <w:top w:val="nil"/>
              <w:left w:val="nil"/>
              <w:bottom w:val="nil"/>
              <w:right w:val="nil"/>
            </w:tcBorders>
          </w:tcPr>
          <w:p w14:paraId="2A674B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0.638</w:t>
            </w:r>
          </w:p>
        </w:tc>
        <w:tc>
          <w:tcPr>
            <w:tcW w:w="1656" w:type="dxa"/>
            <w:tcBorders>
              <w:top w:val="nil"/>
              <w:left w:val="nil"/>
              <w:bottom w:val="nil"/>
              <w:right w:val="nil"/>
            </w:tcBorders>
          </w:tcPr>
          <w:p w14:paraId="57D0A6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0.0846</w:t>
            </w:r>
          </w:p>
        </w:tc>
        <w:tc>
          <w:tcPr>
            <w:tcW w:w="1656" w:type="dxa"/>
            <w:tcBorders>
              <w:top w:val="nil"/>
              <w:left w:val="nil"/>
              <w:bottom w:val="nil"/>
              <w:right w:val="nil"/>
            </w:tcBorders>
          </w:tcPr>
          <w:p w14:paraId="7A90D32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-0.0845</w:t>
            </w:r>
          </w:p>
        </w:tc>
      </w:tr>
      <w:tr w:rsidR="008E7D4B" w:rsidRPr="0082225C" w14:paraId="08EF7570" w14:textId="77777777" w:rsidTr="00015B88">
        <w:tc>
          <w:tcPr>
            <w:tcW w:w="2136" w:type="dxa"/>
            <w:tcBorders>
              <w:top w:val="nil"/>
              <w:left w:val="nil"/>
              <w:bottom w:val="nil"/>
              <w:right w:val="nil"/>
            </w:tcBorders>
          </w:tcPr>
          <w:p w14:paraId="650CB00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9D5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(1.93)</w:t>
            </w:r>
          </w:p>
        </w:tc>
        <w:tc>
          <w:tcPr>
            <w:tcW w:w="1656" w:type="dxa"/>
            <w:tcBorders>
              <w:top w:val="nil"/>
              <w:left w:val="nil"/>
              <w:bottom w:val="nil"/>
              <w:right w:val="nil"/>
            </w:tcBorders>
          </w:tcPr>
          <w:p w14:paraId="0401617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(1.21)</w:t>
            </w:r>
          </w:p>
        </w:tc>
        <w:tc>
          <w:tcPr>
            <w:tcW w:w="1656" w:type="dxa"/>
            <w:tcBorders>
              <w:top w:val="nil"/>
              <w:left w:val="nil"/>
              <w:bottom w:val="nil"/>
              <w:right w:val="nil"/>
            </w:tcBorders>
          </w:tcPr>
          <w:p w14:paraId="440531A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w:t>
            </w:r>
          </w:p>
        </w:tc>
        <w:tc>
          <w:tcPr>
            <w:tcW w:w="1656" w:type="dxa"/>
            <w:tcBorders>
              <w:top w:val="nil"/>
              <w:left w:val="nil"/>
              <w:bottom w:val="nil"/>
              <w:right w:val="nil"/>
            </w:tcBorders>
          </w:tcPr>
          <w:p w14:paraId="164FA81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r>
      <w:tr w:rsidR="008E7D4B" w:rsidRPr="0082225C" w14:paraId="73F8BFF7" w14:textId="77777777" w:rsidTr="00015B88">
        <w:tc>
          <w:tcPr>
            <w:tcW w:w="2136" w:type="dxa"/>
            <w:tcBorders>
              <w:top w:val="nil"/>
              <w:left w:val="nil"/>
              <w:bottom w:val="nil"/>
              <w:right w:val="nil"/>
            </w:tcBorders>
          </w:tcPr>
          <w:p w14:paraId="6578F45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41D53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9C85C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C405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67E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5CA18D3" w14:textId="77777777" w:rsidTr="00015B88">
        <w:tc>
          <w:tcPr>
            <w:tcW w:w="2136" w:type="dxa"/>
            <w:tcBorders>
              <w:top w:val="nil"/>
              <w:left w:val="nil"/>
              <w:bottom w:val="nil"/>
              <w:right w:val="nil"/>
            </w:tcBorders>
          </w:tcPr>
          <w:p w14:paraId="28E95F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1BF0DE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-0.00567</w:t>
            </w:r>
          </w:p>
        </w:tc>
        <w:tc>
          <w:tcPr>
            <w:tcW w:w="1656" w:type="dxa"/>
            <w:tcBorders>
              <w:top w:val="nil"/>
              <w:left w:val="nil"/>
              <w:bottom w:val="nil"/>
              <w:right w:val="nil"/>
            </w:tcBorders>
          </w:tcPr>
          <w:p w14:paraId="028A22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0.00711</w:t>
            </w:r>
          </w:p>
        </w:tc>
        <w:tc>
          <w:tcPr>
            <w:tcW w:w="1656" w:type="dxa"/>
            <w:tcBorders>
              <w:top w:val="nil"/>
              <w:left w:val="nil"/>
              <w:bottom w:val="nil"/>
              <w:right w:val="nil"/>
            </w:tcBorders>
          </w:tcPr>
          <w:p w14:paraId="0863E4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0.00729</w:t>
            </w:r>
          </w:p>
        </w:tc>
        <w:tc>
          <w:tcPr>
            <w:tcW w:w="1656" w:type="dxa"/>
            <w:tcBorders>
              <w:top w:val="nil"/>
              <w:left w:val="nil"/>
              <w:bottom w:val="nil"/>
              <w:right w:val="nil"/>
            </w:tcBorders>
          </w:tcPr>
          <w:p w14:paraId="7B4BCB7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0.00360</w:t>
            </w:r>
          </w:p>
        </w:tc>
      </w:tr>
      <w:tr w:rsidR="008E7D4B" w:rsidRPr="0082225C" w14:paraId="09459CB8" w14:textId="77777777" w:rsidTr="00015B88">
        <w:tc>
          <w:tcPr>
            <w:tcW w:w="2136" w:type="dxa"/>
            <w:tcBorders>
              <w:top w:val="nil"/>
              <w:left w:val="nil"/>
              <w:bottom w:val="nil"/>
              <w:right w:val="nil"/>
            </w:tcBorders>
          </w:tcPr>
          <w:p w14:paraId="5527179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1CE6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(-0.77)</w:t>
            </w:r>
          </w:p>
        </w:tc>
        <w:tc>
          <w:tcPr>
            <w:tcW w:w="1656" w:type="dxa"/>
            <w:tcBorders>
              <w:top w:val="nil"/>
              <w:left w:val="nil"/>
              <w:bottom w:val="nil"/>
              <w:right w:val="nil"/>
            </w:tcBorders>
          </w:tcPr>
          <w:p w14:paraId="4117521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(0.62)</w:t>
            </w:r>
          </w:p>
        </w:tc>
        <w:tc>
          <w:tcPr>
            <w:tcW w:w="1656" w:type="dxa"/>
            <w:tcBorders>
              <w:top w:val="nil"/>
              <w:left w:val="nil"/>
              <w:bottom w:val="nil"/>
              <w:right w:val="nil"/>
            </w:tcBorders>
          </w:tcPr>
          <w:p w14:paraId="36B59AB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(0.72)</w:t>
            </w:r>
          </w:p>
        </w:tc>
        <w:tc>
          <w:tcPr>
            <w:tcW w:w="1656" w:type="dxa"/>
            <w:tcBorders>
              <w:top w:val="nil"/>
              <w:left w:val="nil"/>
              <w:bottom w:val="nil"/>
              <w:right w:val="nil"/>
            </w:tcBorders>
          </w:tcPr>
          <w:p w14:paraId="6FFE490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(0.68)</w:t>
            </w:r>
          </w:p>
        </w:tc>
      </w:tr>
      <w:tr w:rsidR="008E7D4B" w:rsidRPr="0082225C" w14:paraId="543BB835" w14:textId="77777777" w:rsidTr="00015B88">
        <w:tc>
          <w:tcPr>
            <w:tcW w:w="2136" w:type="dxa"/>
            <w:tcBorders>
              <w:top w:val="nil"/>
              <w:left w:val="nil"/>
              <w:bottom w:val="nil"/>
              <w:right w:val="nil"/>
            </w:tcBorders>
          </w:tcPr>
          <w:p w14:paraId="4E99F16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CF870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B62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8144C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8204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70F0BB6" w14:textId="77777777" w:rsidTr="00015B88">
        <w:tc>
          <w:tcPr>
            <w:tcW w:w="2136" w:type="dxa"/>
            <w:tcBorders>
              <w:top w:val="nil"/>
              <w:left w:val="nil"/>
              <w:bottom w:val="nil"/>
              <w:right w:val="nil"/>
            </w:tcBorders>
          </w:tcPr>
          <w:p w14:paraId="1216B6B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2225C">
              <w:rPr>
                <w:rFonts w:ascii="Times New Roman" w:hAnsi="Times New Roman" w:cs="Times New Roman"/>
                <w:sz w:val="16"/>
                <w:szCs w:val="16"/>
              </w:rPr>
              <w:t>L.De</w:t>
            </w:r>
            <w:proofErr w:type="spellEnd"/>
            <w:r w:rsidRPr="0082225C">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0C6CBF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10.59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42FBB21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13.11</w:t>
            </w:r>
          </w:p>
        </w:tc>
        <w:tc>
          <w:tcPr>
            <w:tcW w:w="1656" w:type="dxa"/>
            <w:tcBorders>
              <w:top w:val="nil"/>
              <w:left w:val="nil"/>
              <w:bottom w:val="nil"/>
              <w:right w:val="nil"/>
            </w:tcBorders>
          </w:tcPr>
          <w:p w14:paraId="4CEB403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-1.491</w:t>
            </w:r>
          </w:p>
        </w:tc>
        <w:tc>
          <w:tcPr>
            <w:tcW w:w="1656" w:type="dxa"/>
            <w:tcBorders>
              <w:top w:val="nil"/>
              <w:left w:val="nil"/>
              <w:bottom w:val="nil"/>
              <w:right w:val="nil"/>
            </w:tcBorders>
          </w:tcPr>
          <w:p w14:paraId="780A87F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-1.627</w:t>
            </w:r>
          </w:p>
        </w:tc>
      </w:tr>
      <w:tr w:rsidR="008E7D4B" w:rsidRPr="0082225C" w14:paraId="621C66F1" w14:textId="77777777" w:rsidTr="00015B88">
        <w:tc>
          <w:tcPr>
            <w:tcW w:w="2136" w:type="dxa"/>
            <w:tcBorders>
              <w:top w:val="nil"/>
              <w:left w:val="nil"/>
              <w:bottom w:val="nil"/>
              <w:right w:val="nil"/>
            </w:tcBorders>
          </w:tcPr>
          <w:p w14:paraId="27411E0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AF03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(2.49)</w:t>
            </w:r>
          </w:p>
        </w:tc>
        <w:tc>
          <w:tcPr>
            <w:tcW w:w="1656" w:type="dxa"/>
            <w:tcBorders>
              <w:top w:val="nil"/>
              <w:left w:val="nil"/>
              <w:bottom w:val="nil"/>
              <w:right w:val="nil"/>
            </w:tcBorders>
          </w:tcPr>
          <w:p w14:paraId="724EC5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(1.28)</w:t>
            </w:r>
          </w:p>
        </w:tc>
        <w:tc>
          <w:tcPr>
            <w:tcW w:w="1656" w:type="dxa"/>
            <w:tcBorders>
              <w:top w:val="nil"/>
              <w:left w:val="nil"/>
              <w:bottom w:val="nil"/>
              <w:right w:val="nil"/>
            </w:tcBorders>
          </w:tcPr>
          <w:p w14:paraId="52FD7BF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(-0.23)</w:t>
            </w:r>
          </w:p>
        </w:tc>
        <w:tc>
          <w:tcPr>
            <w:tcW w:w="1656" w:type="dxa"/>
            <w:tcBorders>
              <w:top w:val="nil"/>
              <w:left w:val="nil"/>
              <w:bottom w:val="nil"/>
              <w:right w:val="nil"/>
            </w:tcBorders>
          </w:tcPr>
          <w:p w14:paraId="61890F4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w:t>
            </w:r>
          </w:p>
        </w:tc>
      </w:tr>
      <w:tr w:rsidR="008E7D4B" w:rsidRPr="0082225C" w14:paraId="39385C08" w14:textId="77777777" w:rsidTr="00015B88">
        <w:tc>
          <w:tcPr>
            <w:tcW w:w="2136" w:type="dxa"/>
            <w:tcBorders>
              <w:top w:val="nil"/>
              <w:left w:val="nil"/>
              <w:bottom w:val="nil"/>
              <w:right w:val="nil"/>
            </w:tcBorders>
          </w:tcPr>
          <w:p w14:paraId="76A61C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9376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F02EE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45549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B604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3647CF2" w14:textId="77777777" w:rsidTr="00015B88">
        <w:tc>
          <w:tcPr>
            <w:tcW w:w="2136" w:type="dxa"/>
            <w:tcBorders>
              <w:top w:val="nil"/>
              <w:left w:val="nil"/>
              <w:bottom w:val="nil"/>
              <w:right w:val="nil"/>
            </w:tcBorders>
          </w:tcPr>
          <w:p w14:paraId="422F5E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L2.De Jure CBI (CNW Index)</w:t>
            </w:r>
          </w:p>
        </w:tc>
        <w:tc>
          <w:tcPr>
            <w:tcW w:w="1656" w:type="dxa"/>
            <w:tcBorders>
              <w:top w:val="nil"/>
              <w:left w:val="nil"/>
              <w:bottom w:val="nil"/>
              <w:right w:val="nil"/>
            </w:tcBorders>
          </w:tcPr>
          <w:p w14:paraId="2E3E76D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-10.59</w:t>
            </w:r>
          </w:p>
        </w:tc>
        <w:tc>
          <w:tcPr>
            <w:tcW w:w="1656" w:type="dxa"/>
            <w:tcBorders>
              <w:top w:val="nil"/>
              <w:left w:val="nil"/>
              <w:bottom w:val="nil"/>
              <w:right w:val="nil"/>
            </w:tcBorders>
          </w:tcPr>
          <w:p w14:paraId="2D61F0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-4.876</w:t>
            </w:r>
          </w:p>
        </w:tc>
        <w:tc>
          <w:tcPr>
            <w:tcW w:w="1656" w:type="dxa"/>
            <w:tcBorders>
              <w:top w:val="nil"/>
              <w:left w:val="nil"/>
              <w:bottom w:val="nil"/>
              <w:right w:val="nil"/>
            </w:tcBorders>
          </w:tcPr>
          <w:p w14:paraId="2155E7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-4.245</w:t>
            </w:r>
          </w:p>
        </w:tc>
        <w:tc>
          <w:tcPr>
            <w:tcW w:w="1656" w:type="dxa"/>
            <w:tcBorders>
              <w:top w:val="nil"/>
              <w:left w:val="nil"/>
              <w:bottom w:val="nil"/>
              <w:right w:val="nil"/>
            </w:tcBorders>
          </w:tcPr>
          <w:p w14:paraId="77A0EB0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5.479</w:t>
            </w:r>
          </w:p>
        </w:tc>
      </w:tr>
      <w:tr w:rsidR="008E7D4B" w:rsidRPr="0082225C" w14:paraId="4D19B937" w14:textId="77777777" w:rsidTr="00015B88">
        <w:tc>
          <w:tcPr>
            <w:tcW w:w="2136" w:type="dxa"/>
            <w:tcBorders>
              <w:top w:val="nil"/>
              <w:left w:val="nil"/>
              <w:bottom w:val="nil"/>
              <w:right w:val="nil"/>
            </w:tcBorders>
          </w:tcPr>
          <w:p w14:paraId="711A4C3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EAE75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(-1.37)</w:t>
            </w:r>
          </w:p>
        </w:tc>
        <w:tc>
          <w:tcPr>
            <w:tcW w:w="1656" w:type="dxa"/>
            <w:tcBorders>
              <w:top w:val="nil"/>
              <w:left w:val="nil"/>
              <w:bottom w:val="nil"/>
              <w:right w:val="nil"/>
            </w:tcBorders>
          </w:tcPr>
          <w:p w14:paraId="06BAF8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(-0.71)</w:t>
            </w:r>
          </w:p>
        </w:tc>
        <w:tc>
          <w:tcPr>
            <w:tcW w:w="1656" w:type="dxa"/>
            <w:tcBorders>
              <w:top w:val="nil"/>
              <w:left w:val="nil"/>
              <w:bottom w:val="nil"/>
              <w:right w:val="nil"/>
            </w:tcBorders>
          </w:tcPr>
          <w:p w14:paraId="4DCB3B6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(-0.64)</w:t>
            </w:r>
          </w:p>
        </w:tc>
        <w:tc>
          <w:tcPr>
            <w:tcW w:w="1656" w:type="dxa"/>
            <w:tcBorders>
              <w:top w:val="nil"/>
              <w:left w:val="nil"/>
              <w:bottom w:val="nil"/>
              <w:right w:val="nil"/>
            </w:tcBorders>
          </w:tcPr>
          <w:p w14:paraId="08B2C41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(1.85)</w:t>
            </w:r>
          </w:p>
        </w:tc>
      </w:tr>
      <w:tr w:rsidR="008E7D4B" w:rsidRPr="0082225C" w14:paraId="44BB0313" w14:textId="77777777" w:rsidTr="00015B88">
        <w:tc>
          <w:tcPr>
            <w:tcW w:w="2136" w:type="dxa"/>
            <w:tcBorders>
              <w:top w:val="nil"/>
              <w:left w:val="nil"/>
              <w:bottom w:val="nil"/>
              <w:right w:val="nil"/>
            </w:tcBorders>
          </w:tcPr>
          <w:p w14:paraId="6EE34D6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DE4E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4370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00D1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212E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4E38730" w14:textId="77777777" w:rsidTr="00015B88">
        <w:tc>
          <w:tcPr>
            <w:tcW w:w="2136" w:type="dxa"/>
            <w:tcBorders>
              <w:top w:val="nil"/>
              <w:left w:val="nil"/>
              <w:bottom w:val="nil"/>
              <w:right w:val="nil"/>
            </w:tcBorders>
          </w:tcPr>
          <w:p w14:paraId="5571D8B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L3.De Jure CBI (CNW Index)</w:t>
            </w:r>
          </w:p>
        </w:tc>
        <w:tc>
          <w:tcPr>
            <w:tcW w:w="1656" w:type="dxa"/>
            <w:tcBorders>
              <w:top w:val="nil"/>
              <w:left w:val="nil"/>
              <w:bottom w:val="nil"/>
              <w:right w:val="nil"/>
            </w:tcBorders>
          </w:tcPr>
          <w:p w14:paraId="0B9435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4.296</w:t>
            </w:r>
          </w:p>
        </w:tc>
        <w:tc>
          <w:tcPr>
            <w:tcW w:w="1656" w:type="dxa"/>
            <w:tcBorders>
              <w:top w:val="nil"/>
              <w:left w:val="nil"/>
              <w:bottom w:val="nil"/>
              <w:right w:val="nil"/>
            </w:tcBorders>
          </w:tcPr>
          <w:p w14:paraId="4FE1F3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-18.18</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2A3B44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-4.875</w:t>
            </w:r>
          </w:p>
        </w:tc>
        <w:tc>
          <w:tcPr>
            <w:tcW w:w="1656" w:type="dxa"/>
            <w:tcBorders>
              <w:top w:val="nil"/>
              <w:left w:val="nil"/>
              <w:bottom w:val="nil"/>
              <w:right w:val="nil"/>
            </w:tcBorders>
          </w:tcPr>
          <w:p w14:paraId="3ECDB69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2.358</w:t>
            </w:r>
          </w:p>
        </w:tc>
      </w:tr>
      <w:tr w:rsidR="008E7D4B" w:rsidRPr="0082225C" w14:paraId="3C2094A3" w14:textId="77777777" w:rsidTr="00015B88">
        <w:tc>
          <w:tcPr>
            <w:tcW w:w="2136" w:type="dxa"/>
            <w:tcBorders>
              <w:top w:val="nil"/>
              <w:left w:val="nil"/>
              <w:bottom w:val="nil"/>
              <w:right w:val="nil"/>
            </w:tcBorders>
          </w:tcPr>
          <w:p w14:paraId="57C63A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674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(0.55)</w:t>
            </w:r>
          </w:p>
        </w:tc>
        <w:tc>
          <w:tcPr>
            <w:tcW w:w="1656" w:type="dxa"/>
            <w:tcBorders>
              <w:top w:val="nil"/>
              <w:left w:val="nil"/>
              <w:bottom w:val="nil"/>
              <w:right w:val="nil"/>
            </w:tcBorders>
          </w:tcPr>
          <w:p w14:paraId="5A775C5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(-2.03)</w:t>
            </w:r>
          </w:p>
        </w:tc>
        <w:tc>
          <w:tcPr>
            <w:tcW w:w="1656" w:type="dxa"/>
            <w:tcBorders>
              <w:top w:val="nil"/>
              <w:left w:val="nil"/>
              <w:bottom w:val="nil"/>
              <w:right w:val="nil"/>
            </w:tcBorders>
          </w:tcPr>
          <w:p w14:paraId="301ECF6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(-0.81)</w:t>
            </w:r>
          </w:p>
        </w:tc>
        <w:tc>
          <w:tcPr>
            <w:tcW w:w="1656" w:type="dxa"/>
            <w:tcBorders>
              <w:top w:val="nil"/>
              <w:left w:val="nil"/>
              <w:bottom w:val="nil"/>
              <w:right w:val="nil"/>
            </w:tcBorders>
          </w:tcPr>
          <w:p w14:paraId="29083D3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(0.95)</w:t>
            </w:r>
          </w:p>
        </w:tc>
      </w:tr>
      <w:tr w:rsidR="008E7D4B" w:rsidRPr="0082225C" w14:paraId="3C9219D0" w14:textId="77777777" w:rsidTr="00015B88">
        <w:tc>
          <w:tcPr>
            <w:tcW w:w="2136" w:type="dxa"/>
            <w:tcBorders>
              <w:top w:val="nil"/>
              <w:left w:val="nil"/>
              <w:bottom w:val="nil"/>
              <w:right w:val="nil"/>
            </w:tcBorders>
          </w:tcPr>
          <w:p w14:paraId="48F2F32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6F30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59DB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01723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86986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7C6C513" w14:textId="77777777" w:rsidTr="00015B88">
        <w:tc>
          <w:tcPr>
            <w:tcW w:w="2136" w:type="dxa"/>
            <w:tcBorders>
              <w:top w:val="nil"/>
              <w:left w:val="nil"/>
              <w:bottom w:val="nil"/>
              <w:right w:val="nil"/>
            </w:tcBorders>
          </w:tcPr>
          <w:p w14:paraId="4BF50B6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L4.De Jure CBI (CNW Index)</w:t>
            </w:r>
          </w:p>
        </w:tc>
        <w:tc>
          <w:tcPr>
            <w:tcW w:w="1656" w:type="dxa"/>
            <w:tcBorders>
              <w:top w:val="nil"/>
              <w:left w:val="nil"/>
              <w:bottom w:val="nil"/>
              <w:right w:val="nil"/>
            </w:tcBorders>
          </w:tcPr>
          <w:p w14:paraId="12C3CCF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5.652</w:t>
            </w:r>
          </w:p>
        </w:tc>
        <w:tc>
          <w:tcPr>
            <w:tcW w:w="1656" w:type="dxa"/>
            <w:tcBorders>
              <w:top w:val="nil"/>
              <w:left w:val="nil"/>
              <w:bottom w:val="nil"/>
              <w:right w:val="nil"/>
            </w:tcBorders>
          </w:tcPr>
          <w:p w14:paraId="7C9A989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22.37</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51DD8F0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11.04</w:t>
            </w:r>
          </w:p>
        </w:tc>
        <w:tc>
          <w:tcPr>
            <w:tcW w:w="1656" w:type="dxa"/>
            <w:tcBorders>
              <w:top w:val="nil"/>
              <w:left w:val="nil"/>
              <w:bottom w:val="nil"/>
              <w:right w:val="nil"/>
            </w:tcBorders>
          </w:tcPr>
          <w:p w14:paraId="3BC60B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-1.692</w:t>
            </w:r>
          </w:p>
        </w:tc>
      </w:tr>
      <w:tr w:rsidR="008E7D4B" w:rsidRPr="0082225C" w14:paraId="31BB51C9" w14:textId="77777777" w:rsidTr="00015B88">
        <w:tc>
          <w:tcPr>
            <w:tcW w:w="2136" w:type="dxa"/>
            <w:tcBorders>
              <w:top w:val="nil"/>
              <w:left w:val="nil"/>
              <w:bottom w:val="nil"/>
              <w:right w:val="nil"/>
            </w:tcBorders>
          </w:tcPr>
          <w:p w14:paraId="5F832D6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72083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(0.85)</w:t>
            </w:r>
          </w:p>
        </w:tc>
        <w:tc>
          <w:tcPr>
            <w:tcW w:w="1656" w:type="dxa"/>
            <w:tcBorders>
              <w:top w:val="nil"/>
              <w:left w:val="nil"/>
              <w:bottom w:val="nil"/>
              <w:right w:val="nil"/>
            </w:tcBorders>
          </w:tcPr>
          <w:p w14:paraId="1FB2BFA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(2.23)</w:t>
            </w:r>
          </w:p>
        </w:tc>
        <w:tc>
          <w:tcPr>
            <w:tcW w:w="1656" w:type="dxa"/>
            <w:tcBorders>
              <w:top w:val="nil"/>
              <w:left w:val="nil"/>
              <w:bottom w:val="nil"/>
              <w:right w:val="nil"/>
            </w:tcBorders>
          </w:tcPr>
          <w:p w14:paraId="276EA1E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(1.85)</w:t>
            </w:r>
          </w:p>
        </w:tc>
        <w:tc>
          <w:tcPr>
            <w:tcW w:w="1656" w:type="dxa"/>
            <w:tcBorders>
              <w:top w:val="nil"/>
              <w:left w:val="nil"/>
              <w:bottom w:val="nil"/>
              <w:right w:val="nil"/>
            </w:tcBorders>
          </w:tcPr>
          <w:p w14:paraId="5A455AD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r>
      <w:tr w:rsidR="008E7D4B" w:rsidRPr="0082225C" w14:paraId="120E0F6A" w14:textId="77777777" w:rsidTr="00015B88">
        <w:tc>
          <w:tcPr>
            <w:tcW w:w="2136" w:type="dxa"/>
            <w:tcBorders>
              <w:top w:val="nil"/>
              <w:left w:val="nil"/>
              <w:bottom w:val="nil"/>
              <w:right w:val="nil"/>
            </w:tcBorders>
          </w:tcPr>
          <w:p w14:paraId="7A3D57C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5D12E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B2F5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42F28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5EA5D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6EAC530" w14:textId="77777777" w:rsidTr="00015B88">
        <w:tc>
          <w:tcPr>
            <w:tcW w:w="2136" w:type="dxa"/>
            <w:tcBorders>
              <w:top w:val="nil"/>
              <w:left w:val="nil"/>
              <w:bottom w:val="nil"/>
              <w:right w:val="nil"/>
            </w:tcBorders>
          </w:tcPr>
          <w:p w14:paraId="407220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L5.De Jure CBI (CNW Index)</w:t>
            </w:r>
          </w:p>
        </w:tc>
        <w:tc>
          <w:tcPr>
            <w:tcW w:w="1656" w:type="dxa"/>
            <w:tcBorders>
              <w:top w:val="nil"/>
              <w:left w:val="nil"/>
              <w:bottom w:val="nil"/>
              <w:right w:val="nil"/>
            </w:tcBorders>
          </w:tcPr>
          <w:p w14:paraId="754A95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3.284</w:t>
            </w:r>
          </w:p>
        </w:tc>
        <w:tc>
          <w:tcPr>
            <w:tcW w:w="1656" w:type="dxa"/>
            <w:tcBorders>
              <w:top w:val="nil"/>
              <w:left w:val="nil"/>
              <w:bottom w:val="nil"/>
              <w:right w:val="nil"/>
            </w:tcBorders>
          </w:tcPr>
          <w:p w14:paraId="4947E0D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-0.493</w:t>
            </w:r>
          </w:p>
        </w:tc>
        <w:tc>
          <w:tcPr>
            <w:tcW w:w="1656" w:type="dxa"/>
            <w:tcBorders>
              <w:top w:val="nil"/>
              <w:left w:val="nil"/>
              <w:bottom w:val="nil"/>
              <w:right w:val="nil"/>
            </w:tcBorders>
          </w:tcPr>
          <w:p w14:paraId="6589677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0.914</w:t>
            </w:r>
          </w:p>
        </w:tc>
        <w:tc>
          <w:tcPr>
            <w:tcW w:w="1656" w:type="dxa"/>
            <w:tcBorders>
              <w:top w:val="nil"/>
              <w:left w:val="nil"/>
              <w:bottom w:val="nil"/>
              <w:right w:val="nil"/>
            </w:tcBorders>
          </w:tcPr>
          <w:p w14:paraId="6352B4B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-1.847</w:t>
            </w:r>
          </w:p>
        </w:tc>
      </w:tr>
      <w:tr w:rsidR="008E7D4B" w:rsidRPr="0082225C" w14:paraId="59F3F1EC" w14:textId="77777777" w:rsidTr="00015B88">
        <w:tc>
          <w:tcPr>
            <w:tcW w:w="2136" w:type="dxa"/>
            <w:tcBorders>
              <w:top w:val="nil"/>
              <w:left w:val="nil"/>
              <w:bottom w:val="nil"/>
              <w:right w:val="nil"/>
            </w:tcBorders>
          </w:tcPr>
          <w:p w14:paraId="279BA8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CEB9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w:t>
            </w:r>
          </w:p>
        </w:tc>
        <w:tc>
          <w:tcPr>
            <w:tcW w:w="1656" w:type="dxa"/>
            <w:tcBorders>
              <w:top w:val="nil"/>
              <w:left w:val="nil"/>
              <w:bottom w:val="nil"/>
              <w:right w:val="nil"/>
            </w:tcBorders>
          </w:tcPr>
          <w:p w14:paraId="19D7932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7E34B34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(0.19)</w:t>
            </w:r>
          </w:p>
        </w:tc>
        <w:tc>
          <w:tcPr>
            <w:tcW w:w="1656" w:type="dxa"/>
            <w:tcBorders>
              <w:top w:val="nil"/>
              <w:left w:val="nil"/>
              <w:bottom w:val="nil"/>
              <w:right w:val="nil"/>
            </w:tcBorders>
          </w:tcPr>
          <w:p w14:paraId="46CDA3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(-0.79)</w:t>
            </w:r>
          </w:p>
        </w:tc>
      </w:tr>
      <w:tr w:rsidR="008E7D4B" w:rsidRPr="0082225C" w14:paraId="50BC7D6F" w14:textId="77777777" w:rsidTr="00015B88">
        <w:tc>
          <w:tcPr>
            <w:tcW w:w="2136" w:type="dxa"/>
            <w:tcBorders>
              <w:top w:val="nil"/>
              <w:left w:val="nil"/>
              <w:bottom w:val="nil"/>
              <w:right w:val="nil"/>
            </w:tcBorders>
          </w:tcPr>
          <w:p w14:paraId="7E94D54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7103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6A8F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4DA78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1F4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25C57E6" w14:textId="77777777" w:rsidTr="00015B88">
        <w:tc>
          <w:tcPr>
            <w:tcW w:w="2136" w:type="dxa"/>
            <w:tcBorders>
              <w:top w:val="nil"/>
              <w:left w:val="nil"/>
              <w:bottom w:val="nil"/>
              <w:right w:val="nil"/>
            </w:tcBorders>
          </w:tcPr>
          <w:p w14:paraId="6A24E46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L6.De Jure CBI (CNW Index)</w:t>
            </w:r>
          </w:p>
        </w:tc>
        <w:tc>
          <w:tcPr>
            <w:tcW w:w="1656" w:type="dxa"/>
            <w:tcBorders>
              <w:top w:val="nil"/>
              <w:left w:val="nil"/>
              <w:bottom w:val="nil"/>
              <w:right w:val="nil"/>
            </w:tcBorders>
          </w:tcPr>
          <w:p w14:paraId="245B8F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-6.657</w:t>
            </w:r>
          </w:p>
        </w:tc>
        <w:tc>
          <w:tcPr>
            <w:tcW w:w="1656" w:type="dxa"/>
            <w:tcBorders>
              <w:top w:val="nil"/>
              <w:left w:val="nil"/>
              <w:bottom w:val="nil"/>
              <w:right w:val="nil"/>
            </w:tcBorders>
          </w:tcPr>
          <w:p w14:paraId="679259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0.197</w:t>
            </w:r>
          </w:p>
        </w:tc>
        <w:tc>
          <w:tcPr>
            <w:tcW w:w="1656" w:type="dxa"/>
            <w:tcBorders>
              <w:top w:val="nil"/>
              <w:left w:val="nil"/>
              <w:bottom w:val="nil"/>
              <w:right w:val="nil"/>
            </w:tcBorders>
          </w:tcPr>
          <w:p w14:paraId="7491636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-2.716</w:t>
            </w:r>
          </w:p>
        </w:tc>
        <w:tc>
          <w:tcPr>
            <w:tcW w:w="1656" w:type="dxa"/>
            <w:tcBorders>
              <w:top w:val="nil"/>
              <w:left w:val="nil"/>
              <w:bottom w:val="nil"/>
              <w:right w:val="nil"/>
            </w:tcBorders>
          </w:tcPr>
          <w:p w14:paraId="089EE24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7.501</w:t>
            </w:r>
            <w:r w:rsidRPr="0082225C">
              <w:rPr>
                <w:rFonts w:ascii="Times New Roman" w:hAnsi="Times New Roman" w:cs="Times New Roman"/>
                <w:sz w:val="16"/>
                <w:szCs w:val="16"/>
                <w:vertAlign w:val="superscript"/>
              </w:rPr>
              <w:t>**</w:t>
            </w:r>
          </w:p>
        </w:tc>
      </w:tr>
      <w:tr w:rsidR="008E7D4B" w:rsidRPr="0082225C" w14:paraId="33208367" w14:textId="77777777" w:rsidTr="00015B88">
        <w:tc>
          <w:tcPr>
            <w:tcW w:w="2136" w:type="dxa"/>
            <w:tcBorders>
              <w:top w:val="nil"/>
              <w:left w:val="nil"/>
              <w:bottom w:val="nil"/>
              <w:right w:val="nil"/>
            </w:tcBorders>
          </w:tcPr>
          <w:p w14:paraId="3BA4E7A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898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21DFAA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(0.03)</w:t>
            </w:r>
          </w:p>
        </w:tc>
        <w:tc>
          <w:tcPr>
            <w:tcW w:w="1656" w:type="dxa"/>
            <w:tcBorders>
              <w:top w:val="nil"/>
              <w:left w:val="nil"/>
              <w:bottom w:val="nil"/>
              <w:right w:val="nil"/>
            </w:tcBorders>
          </w:tcPr>
          <w:p w14:paraId="1C8C04C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w:t>
            </w:r>
          </w:p>
        </w:tc>
        <w:tc>
          <w:tcPr>
            <w:tcW w:w="1656" w:type="dxa"/>
            <w:tcBorders>
              <w:top w:val="nil"/>
              <w:left w:val="nil"/>
              <w:bottom w:val="nil"/>
              <w:right w:val="nil"/>
            </w:tcBorders>
          </w:tcPr>
          <w:p w14:paraId="42A0EFE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(2.79)</w:t>
            </w:r>
          </w:p>
        </w:tc>
      </w:tr>
      <w:tr w:rsidR="008E7D4B" w:rsidRPr="0082225C" w14:paraId="6E01E823" w14:textId="77777777" w:rsidTr="00015B88">
        <w:tc>
          <w:tcPr>
            <w:tcW w:w="2136" w:type="dxa"/>
            <w:tcBorders>
              <w:top w:val="nil"/>
              <w:left w:val="nil"/>
              <w:bottom w:val="nil"/>
              <w:right w:val="nil"/>
            </w:tcBorders>
          </w:tcPr>
          <w:p w14:paraId="015DE46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F2E8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791AB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1738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A740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DF57C99" w14:textId="77777777" w:rsidTr="00015B88">
        <w:tc>
          <w:tcPr>
            <w:tcW w:w="2136" w:type="dxa"/>
            <w:tcBorders>
              <w:top w:val="nil"/>
              <w:left w:val="nil"/>
              <w:bottom w:val="nil"/>
              <w:right w:val="nil"/>
            </w:tcBorders>
          </w:tcPr>
          <w:p w14:paraId="5A337E6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L7.De Jure CBI (CNW Index)</w:t>
            </w:r>
          </w:p>
        </w:tc>
        <w:tc>
          <w:tcPr>
            <w:tcW w:w="1656" w:type="dxa"/>
            <w:tcBorders>
              <w:top w:val="nil"/>
              <w:left w:val="nil"/>
              <w:bottom w:val="nil"/>
              <w:right w:val="nil"/>
            </w:tcBorders>
          </w:tcPr>
          <w:p w14:paraId="048405D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5.801</w:t>
            </w:r>
          </w:p>
        </w:tc>
        <w:tc>
          <w:tcPr>
            <w:tcW w:w="1656" w:type="dxa"/>
            <w:tcBorders>
              <w:top w:val="nil"/>
              <w:left w:val="nil"/>
              <w:bottom w:val="nil"/>
              <w:right w:val="nil"/>
            </w:tcBorders>
          </w:tcPr>
          <w:p w14:paraId="57E1B2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-6.477</w:t>
            </w:r>
          </w:p>
        </w:tc>
        <w:tc>
          <w:tcPr>
            <w:tcW w:w="1656" w:type="dxa"/>
            <w:tcBorders>
              <w:top w:val="nil"/>
              <w:left w:val="nil"/>
              <w:bottom w:val="nil"/>
              <w:right w:val="nil"/>
            </w:tcBorders>
          </w:tcPr>
          <w:p w14:paraId="089228F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5.479</w:t>
            </w:r>
          </w:p>
        </w:tc>
        <w:tc>
          <w:tcPr>
            <w:tcW w:w="1656" w:type="dxa"/>
            <w:tcBorders>
              <w:top w:val="nil"/>
              <w:left w:val="nil"/>
              <w:bottom w:val="nil"/>
              <w:right w:val="nil"/>
            </w:tcBorders>
          </w:tcPr>
          <w:p w14:paraId="6A3A69B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-1.135</w:t>
            </w:r>
          </w:p>
        </w:tc>
      </w:tr>
      <w:tr w:rsidR="008E7D4B" w:rsidRPr="0082225C" w14:paraId="61739706" w14:textId="77777777" w:rsidTr="00015B88">
        <w:tc>
          <w:tcPr>
            <w:tcW w:w="2136" w:type="dxa"/>
            <w:tcBorders>
              <w:top w:val="nil"/>
              <w:left w:val="nil"/>
              <w:bottom w:val="nil"/>
              <w:right w:val="nil"/>
            </w:tcBorders>
          </w:tcPr>
          <w:p w14:paraId="2DB9D6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6682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(0.89)</w:t>
            </w:r>
          </w:p>
        </w:tc>
        <w:tc>
          <w:tcPr>
            <w:tcW w:w="1656" w:type="dxa"/>
            <w:tcBorders>
              <w:top w:val="nil"/>
              <w:left w:val="nil"/>
              <w:bottom w:val="nil"/>
              <w:right w:val="nil"/>
            </w:tcBorders>
          </w:tcPr>
          <w:p w14:paraId="70AD3E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(-0.95)</w:t>
            </w:r>
          </w:p>
        </w:tc>
        <w:tc>
          <w:tcPr>
            <w:tcW w:w="1656" w:type="dxa"/>
            <w:tcBorders>
              <w:top w:val="nil"/>
              <w:left w:val="nil"/>
              <w:bottom w:val="nil"/>
              <w:right w:val="nil"/>
            </w:tcBorders>
          </w:tcPr>
          <w:p w14:paraId="413795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(0.99)</w:t>
            </w:r>
          </w:p>
        </w:tc>
        <w:tc>
          <w:tcPr>
            <w:tcW w:w="1656" w:type="dxa"/>
            <w:tcBorders>
              <w:top w:val="nil"/>
              <w:left w:val="nil"/>
              <w:bottom w:val="nil"/>
              <w:right w:val="nil"/>
            </w:tcBorders>
          </w:tcPr>
          <w:p w14:paraId="0C5CDC1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(-0.52)</w:t>
            </w:r>
          </w:p>
        </w:tc>
      </w:tr>
      <w:tr w:rsidR="008E7D4B" w:rsidRPr="0082225C" w14:paraId="6ABDE2A6" w14:textId="77777777" w:rsidTr="00015B88">
        <w:tc>
          <w:tcPr>
            <w:tcW w:w="2136" w:type="dxa"/>
            <w:tcBorders>
              <w:top w:val="nil"/>
              <w:left w:val="nil"/>
              <w:bottom w:val="nil"/>
              <w:right w:val="nil"/>
            </w:tcBorders>
          </w:tcPr>
          <w:p w14:paraId="2A759E0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BDB5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59806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A0B2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FB677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0D0917C" w14:textId="77777777" w:rsidTr="00015B88">
        <w:tc>
          <w:tcPr>
            <w:tcW w:w="2136" w:type="dxa"/>
            <w:tcBorders>
              <w:top w:val="nil"/>
              <w:left w:val="nil"/>
              <w:bottom w:val="nil"/>
              <w:right w:val="nil"/>
            </w:tcBorders>
          </w:tcPr>
          <w:p w14:paraId="11ACFC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L8.De Jure CBI (CNW Index)</w:t>
            </w:r>
          </w:p>
        </w:tc>
        <w:tc>
          <w:tcPr>
            <w:tcW w:w="1656" w:type="dxa"/>
            <w:tcBorders>
              <w:top w:val="nil"/>
              <w:left w:val="nil"/>
              <w:bottom w:val="nil"/>
              <w:right w:val="nil"/>
            </w:tcBorders>
          </w:tcPr>
          <w:p w14:paraId="344C9C5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-5.709</w:t>
            </w:r>
          </w:p>
        </w:tc>
        <w:tc>
          <w:tcPr>
            <w:tcW w:w="1656" w:type="dxa"/>
            <w:tcBorders>
              <w:top w:val="nil"/>
              <w:left w:val="nil"/>
              <w:bottom w:val="nil"/>
              <w:right w:val="nil"/>
            </w:tcBorders>
          </w:tcPr>
          <w:p w14:paraId="7A157C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-7.453</w:t>
            </w:r>
          </w:p>
        </w:tc>
        <w:tc>
          <w:tcPr>
            <w:tcW w:w="1656" w:type="dxa"/>
            <w:tcBorders>
              <w:top w:val="nil"/>
              <w:left w:val="nil"/>
              <w:bottom w:val="nil"/>
              <w:right w:val="nil"/>
            </w:tcBorders>
          </w:tcPr>
          <w:p w14:paraId="255FF43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-4.064</w:t>
            </w:r>
          </w:p>
        </w:tc>
        <w:tc>
          <w:tcPr>
            <w:tcW w:w="1656" w:type="dxa"/>
            <w:tcBorders>
              <w:top w:val="nil"/>
              <w:left w:val="nil"/>
              <w:bottom w:val="nil"/>
              <w:right w:val="nil"/>
            </w:tcBorders>
          </w:tcPr>
          <w:p w14:paraId="6D27F4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6.927</w:t>
            </w:r>
          </w:p>
        </w:tc>
      </w:tr>
      <w:tr w:rsidR="008E7D4B" w:rsidRPr="0082225C" w14:paraId="60EA6E5F" w14:textId="77777777" w:rsidTr="00015B88">
        <w:tc>
          <w:tcPr>
            <w:tcW w:w="2136" w:type="dxa"/>
            <w:tcBorders>
              <w:top w:val="nil"/>
              <w:left w:val="nil"/>
              <w:bottom w:val="nil"/>
              <w:right w:val="nil"/>
            </w:tcBorders>
          </w:tcPr>
          <w:p w14:paraId="4C6A222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E1A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c>
          <w:tcPr>
            <w:tcW w:w="1656" w:type="dxa"/>
            <w:tcBorders>
              <w:top w:val="nil"/>
              <w:left w:val="nil"/>
              <w:bottom w:val="nil"/>
              <w:right w:val="nil"/>
            </w:tcBorders>
          </w:tcPr>
          <w:p w14:paraId="1832C7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(-0.84)</w:t>
            </w:r>
          </w:p>
        </w:tc>
        <w:tc>
          <w:tcPr>
            <w:tcW w:w="1656" w:type="dxa"/>
            <w:tcBorders>
              <w:top w:val="nil"/>
              <w:left w:val="nil"/>
              <w:bottom w:val="nil"/>
              <w:right w:val="nil"/>
            </w:tcBorders>
          </w:tcPr>
          <w:p w14:paraId="6F2C70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(-1.10)</w:t>
            </w:r>
          </w:p>
        </w:tc>
        <w:tc>
          <w:tcPr>
            <w:tcW w:w="1656" w:type="dxa"/>
            <w:tcBorders>
              <w:top w:val="nil"/>
              <w:left w:val="nil"/>
              <w:bottom w:val="nil"/>
              <w:right w:val="nil"/>
            </w:tcBorders>
          </w:tcPr>
          <w:p w14:paraId="16D4130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(1.56)</w:t>
            </w:r>
          </w:p>
        </w:tc>
      </w:tr>
      <w:tr w:rsidR="008E7D4B" w:rsidRPr="0082225C" w14:paraId="12C2F31E" w14:textId="77777777" w:rsidTr="00015B88">
        <w:tc>
          <w:tcPr>
            <w:tcW w:w="2136" w:type="dxa"/>
            <w:tcBorders>
              <w:top w:val="nil"/>
              <w:left w:val="nil"/>
              <w:bottom w:val="nil"/>
              <w:right w:val="nil"/>
            </w:tcBorders>
          </w:tcPr>
          <w:p w14:paraId="1C991E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2AAB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08D6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DA9D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8AB5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856EC80" w14:textId="77777777" w:rsidTr="00015B88">
        <w:tc>
          <w:tcPr>
            <w:tcW w:w="2136" w:type="dxa"/>
            <w:tcBorders>
              <w:top w:val="nil"/>
              <w:left w:val="nil"/>
              <w:bottom w:val="nil"/>
              <w:right w:val="nil"/>
            </w:tcBorders>
          </w:tcPr>
          <w:p w14:paraId="5BF581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L9.De Jure CBI (CNW Index)</w:t>
            </w:r>
          </w:p>
        </w:tc>
        <w:tc>
          <w:tcPr>
            <w:tcW w:w="1656" w:type="dxa"/>
            <w:tcBorders>
              <w:top w:val="nil"/>
              <w:left w:val="nil"/>
              <w:bottom w:val="nil"/>
              <w:right w:val="nil"/>
            </w:tcBorders>
          </w:tcPr>
          <w:p w14:paraId="747D3B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0.789</w:t>
            </w:r>
          </w:p>
        </w:tc>
        <w:tc>
          <w:tcPr>
            <w:tcW w:w="1656" w:type="dxa"/>
            <w:tcBorders>
              <w:top w:val="nil"/>
              <w:left w:val="nil"/>
              <w:bottom w:val="nil"/>
              <w:right w:val="nil"/>
            </w:tcBorders>
          </w:tcPr>
          <w:p w14:paraId="0354A3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17.94</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610260F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-1.731</w:t>
            </w:r>
          </w:p>
        </w:tc>
        <w:tc>
          <w:tcPr>
            <w:tcW w:w="1656" w:type="dxa"/>
            <w:tcBorders>
              <w:top w:val="nil"/>
              <w:left w:val="nil"/>
              <w:bottom w:val="nil"/>
              <w:right w:val="nil"/>
            </w:tcBorders>
          </w:tcPr>
          <w:p w14:paraId="334F68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-1.782</w:t>
            </w:r>
          </w:p>
        </w:tc>
      </w:tr>
      <w:tr w:rsidR="008E7D4B" w:rsidRPr="0082225C" w14:paraId="1B5C59C1" w14:textId="77777777" w:rsidTr="00015B88">
        <w:tc>
          <w:tcPr>
            <w:tcW w:w="2136" w:type="dxa"/>
            <w:tcBorders>
              <w:top w:val="nil"/>
              <w:left w:val="nil"/>
              <w:bottom w:val="nil"/>
              <w:right w:val="nil"/>
            </w:tcBorders>
          </w:tcPr>
          <w:p w14:paraId="09BBAC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C4B92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w:t>
            </w:r>
          </w:p>
        </w:tc>
        <w:tc>
          <w:tcPr>
            <w:tcW w:w="1656" w:type="dxa"/>
            <w:tcBorders>
              <w:top w:val="nil"/>
              <w:left w:val="nil"/>
              <w:bottom w:val="nil"/>
              <w:right w:val="nil"/>
            </w:tcBorders>
          </w:tcPr>
          <w:p w14:paraId="3900EB9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(2.16)</w:t>
            </w:r>
          </w:p>
        </w:tc>
        <w:tc>
          <w:tcPr>
            <w:tcW w:w="1656" w:type="dxa"/>
            <w:tcBorders>
              <w:top w:val="nil"/>
              <w:left w:val="nil"/>
              <w:bottom w:val="nil"/>
              <w:right w:val="nil"/>
            </w:tcBorders>
          </w:tcPr>
          <w:p w14:paraId="735B87A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w:t>
            </w:r>
          </w:p>
        </w:tc>
        <w:tc>
          <w:tcPr>
            <w:tcW w:w="1656" w:type="dxa"/>
            <w:tcBorders>
              <w:top w:val="nil"/>
              <w:left w:val="nil"/>
              <w:bottom w:val="nil"/>
              <w:right w:val="nil"/>
            </w:tcBorders>
          </w:tcPr>
          <w:p w14:paraId="1970E70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(-0.88)</w:t>
            </w:r>
          </w:p>
        </w:tc>
      </w:tr>
      <w:tr w:rsidR="008E7D4B" w:rsidRPr="0082225C" w14:paraId="595A33ED" w14:textId="77777777" w:rsidTr="00015B88">
        <w:tc>
          <w:tcPr>
            <w:tcW w:w="2136" w:type="dxa"/>
            <w:tcBorders>
              <w:top w:val="nil"/>
              <w:left w:val="nil"/>
              <w:bottom w:val="nil"/>
              <w:right w:val="nil"/>
            </w:tcBorders>
          </w:tcPr>
          <w:p w14:paraId="40EC02E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81DD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DD138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43D14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06E7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B5317DF" w14:textId="77777777" w:rsidTr="00015B88">
        <w:tc>
          <w:tcPr>
            <w:tcW w:w="2136" w:type="dxa"/>
            <w:tcBorders>
              <w:top w:val="nil"/>
              <w:left w:val="nil"/>
              <w:bottom w:val="nil"/>
              <w:right w:val="nil"/>
            </w:tcBorders>
          </w:tcPr>
          <w:p w14:paraId="7486F87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L10.De Jure CBI (CNW Index)</w:t>
            </w:r>
          </w:p>
        </w:tc>
        <w:tc>
          <w:tcPr>
            <w:tcW w:w="1656" w:type="dxa"/>
            <w:tcBorders>
              <w:top w:val="nil"/>
              <w:left w:val="nil"/>
              <w:bottom w:val="nil"/>
              <w:right w:val="nil"/>
            </w:tcBorders>
          </w:tcPr>
          <w:p w14:paraId="78F7DB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-2.563</w:t>
            </w:r>
          </w:p>
        </w:tc>
        <w:tc>
          <w:tcPr>
            <w:tcW w:w="1656" w:type="dxa"/>
            <w:tcBorders>
              <w:top w:val="nil"/>
              <w:left w:val="nil"/>
              <w:bottom w:val="nil"/>
              <w:right w:val="nil"/>
            </w:tcBorders>
          </w:tcPr>
          <w:p w14:paraId="579D72D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-7.329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4E4BD92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0.144</w:t>
            </w:r>
          </w:p>
        </w:tc>
        <w:tc>
          <w:tcPr>
            <w:tcW w:w="1656" w:type="dxa"/>
            <w:tcBorders>
              <w:top w:val="nil"/>
              <w:left w:val="nil"/>
              <w:bottom w:val="nil"/>
              <w:right w:val="nil"/>
            </w:tcBorders>
          </w:tcPr>
          <w:p w14:paraId="4ED6A3B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-1.924</w:t>
            </w:r>
          </w:p>
        </w:tc>
      </w:tr>
      <w:tr w:rsidR="008E7D4B" w:rsidRPr="0082225C" w14:paraId="24A6941F" w14:textId="77777777" w:rsidTr="00015B88">
        <w:tc>
          <w:tcPr>
            <w:tcW w:w="2136" w:type="dxa"/>
            <w:tcBorders>
              <w:top w:val="nil"/>
              <w:left w:val="nil"/>
              <w:bottom w:val="nil"/>
              <w:right w:val="nil"/>
            </w:tcBorders>
          </w:tcPr>
          <w:p w14:paraId="5DC773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A96C4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c>
          <w:tcPr>
            <w:tcW w:w="1656" w:type="dxa"/>
            <w:tcBorders>
              <w:top w:val="nil"/>
              <w:left w:val="nil"/>
              <w:bottom w:val="nil"/>
              <w:right w:val="nil"/>
            </w:tcBorders>
          </w:tcPr>
          <w:p w14:paraId="49AC8BA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(-2.25)</w:t>
            </w:r>
          </w:p>
        </w:tc>
        <w:tc>
          <w:tcPr>
            <w:tcW w:w="1656" w:type="dxa"/>
            <w:tcBorders>
              <w:top w:val="nil"/>
              <w:left w:val="nil"/>
              <w:bottom w:val="nil"/>
              <w:right w:val="nil"/>
            </w:tcBorders>
          </w:tcPr>
          <w:p w14:paraId="7B76830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w:t>
            </w:r>
          </w:p>
        </w:tc>
        <w:tc>
          <w:tcPr>
            <w:tcW w:w="1656" w:type="dxa"/>
            <w:tcBorders>
              <w:top w:val="nil"/>
              <w:left w:val="nil"/>
              <w:bottom w:val="nil"/>
              <w:right w:val="nil"/>
            </w:tcBorders>
          </w:tcPr>
          <w:p w14:paraId="0C8D52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(-0.72)</w:t>
            </w:r>
          </w:p>
        </w:tc>
      </w:tr>
      <w:tr w:rsidR="008E7D4B" w:rsidRPr="0082225C" w14:paraId="0246015C" w14:textId="77777777" w:rsidTr="00015B88">
        <w:tc>
          <w:tcPr>
            <w:tcW w:w="2136" w:type="dxa"/>
            <w:tcBorders>
              <w:top w:val="nil"/>
              <w:left w:val="nil"/>
              <w:bottom w:val="nil"/>
              <w:right w:val="nil"/>
            </w:tcBorders>
          </w:tcPr>
          <w:p w14:paraId="258D294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45AB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9BA0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1C52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254EA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950682E" w14:textId="77777777" w:rsidTr="00015B88">
        <w:tc>
          <w:tcPr>
            <w:tcW w:w="2136" w:type="dxa"/>
            <w:tcBorders>
              <w:top w:val="nil"/>
              <w:left w:val="nil"/>
              <w:bottom w:val="nil"/>
              <w:right w:val="nil"/>
            </w:tcBorders>
          </w:tcPr>
          <w:p w14:paraId="52AED78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2225C">
              <w:rPr>
                <w:rFonts w:ascii="Times New Roman" w:hAnsi="Times New Roman" w:cs="Times New Roman"/>
                <w:sz w:val="16"/>
                <w:szCs w:val="16"/>
              </w:rPr>
              <w:t>L.Exchange</w:t>
            </w:r>
            <w:proofErr w:type="spellEnd"/>
            <w:r w:rsidRPr="0082225C">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88E225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0.0131</w:t>
            </w:r>
          </w:p>
        </w:tc>
        <w:tc>
          <w:tcPr>
            <w:tcW w:w="1656" w:type="dxa"/>
            <w:tcBorders>
              <w:top w:val="nil"/>
              <w:left w:val="nil"/>
              <w:bottom w:val="nil"/>
              <w:right w:val="nil"/>
            </w:tcBorders>
          </w:tcPr>
          <w:p w14:paraId="1FC94AF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0.320</w:t>
            </w:r>
          </w:p>
        </w:tc>
        <w:tc>
          <w:tcPr>
            <w:tcW w:w="1656" w:type="dxa"/>
            <w:tcBorders>
              <w:top w:val="nil"/>
              <w:left w:val="nil"/>
              <w:bottom w:val="nil"/>
              <w:right w:val="nil"/>
            </w:tcBorders>
          </w:tcPr>
          <w:p w14:paraId="084D9E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0.0981</w:t>
            </w:r>
          </w:p>
        </w:tc>
        <w:tc>
          <w:tcPr>
            <w:tcW w:w="1656" w:type="dxa"/>
            <w:tcBorders>
              <w:top w:val="nil"/>
              <w:left w:val="nil"/>
              <w:bottom w:val="nil"/>
              <w:right w:val="nil"/>
            </w:tcBorders>
          </w:tcPr>
          <w:p w14:paraId="24D5CE1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-0.0365</w:t>
            </w:r>
          </w:p>
        </w:tc>
      </w:tr>
      <w:tr w:rsidR="008E7D4B" w:rsidRPr="0082225C" w14:paraId="0A1E0F65" w14:textId="77777777" w:rsidTr="00015B88">
        <w:tc>
          <w:tcPr>
            <w:tcW w:w="2136" w:type="dxa"/>
            <w:tcBorders>
              <w:top w:val="nil"/>
              <w:left w:val="nil"/>
              <w:bottom w:val="nil"/>
              <w:right w:val="nil"/>
            </w:tcBorders>
          </w:tcPr>
          <w:p w14:paraId="5CB9710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2A60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1F1793F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(1.42)</w:t>
            </w:r>
          </w:p>
        </w:tc>
        <w:tc>
          <w:tcPr>
            <w:tcW w:w="1656" w:type="dxa"/>
            <w:tcBorders>
              <w:top w:val="nil"/>
              <w:left w:val="nil"/>
              <w:bottom w:val="nil"/>
              <w:right w:val="nil"/>
            </w:tcBorders>
          </w:tcPr>
          <w:p w14:paraId="66941A2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(0.58)</w:t>
            </w:r>
          </w:p>
        </w:tc>
        <w:tc>
          <w:tcPr>
            <w:tcW w:w="1656" w:type="dxa"/>
            <w:tcBorders>
              <w:top w:val="nil"/>
              <w:left w:val="nil"/>
              <w:bottom w:val="nil"/>
              <w:right w:val="nil"/>
            </w:tcBorders>
          </w:tcPr>
          <w:p w14:paraId="5ABC6F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(-0.53)</w:t>
            </w:r>
          </w:p>
        </w:tc>
      </w:tr>
      <w:tr w:rsidR="008E7D4B" w:rsidRPr="0082225C" w14:paraId="328302D3" w14:textId="77777777" w:rsidTr="00015B88">
        <w:tc>
          <w:tcPr>
            <w:tcW w:w="2136" w:type="dxa"/>
            <w:tcBorders>
              <w:top w:val="nil"/>
              <w:left w:val="nil"/>
              <w:bottom w:val="nil"/>
              <w:right w:val="nil"/>
            </w:tcBorders>
          </w:tcPr>
          <w:p w14:paraId="3E414FB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ADD0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1EBB1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FD831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A88E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A21CA7A" w14:textId="77777777" w:rsidTr="00015B88">
        <w:tc>
          <w:tcPr>
            <w:tcW w:w="2136" w:type="dxa"/>
            <w:tcBorders>
              <w:top w:val="nil"/>
              <w:left w:val="nil"/>
              <w:bottom w:val="nil"/>
              <w:right w:val="nil"/>
            </w:tcBorders>
          </w:tcPr>
          <w:p w14:paraId="67102A9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72400B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-0.0940</w:t>
            </w:r>
          </w:p>
        </w:tc>
        <w:tc>
          <w:tcPr>
            <w:tcW w:w="1656" w:type="dxa"/>
            <w:tcBorders>
              <w:top w:val="nil"/>
              <w:left w:val="nil"/>
              <w:bottom w:val="nil"/>
              <w:right w:val="nil"/>
            </w:tcBorders>
          </w:tcPr>
          <w:p w14:paraId="1DF3C94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-0.329</w:t>
            </w:r>
          </w:p>
        </w:tc>
        <w:tc>
          <w:tcPr>
            <w:tcW w:w="1656" w:type="dxa"/>
            <w:tcBorders>
              <w:top w:val="nil"/>
              <w:left w:val="nil"/>
              <w:bottom w:val="nil"/>
              <w:right w:val="nil"/>
            </w:tcBorders>
          </w:tcPr>
          <w:p w14:paraId="2C7DC2C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0.112</w:t>
            </w:r>
          </w:p>
        </w:tc>
        <w:tc>
          <w:tcPr>
            <w:tcW w:w="1656" w:type="dxa"/>
            <w:tcBorders>
              <w:top w:val="nil"/>
              <w:left w:val="nil"/>
              <w:bottom w:val="nil"/>
              <w:right w:val="nil"/>
            </w:tcBorders>
          </w:tcPr>
          <w:p w14:paraId="6FA5E3D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0.0837</w:t>
            </w:r>
          </w:p>
        </w:tc>
      </w:tr>
      <w:tr w:rsidR="008E7D4B" w:rsidRPr="0082225C" w14:paraId="04D1AC0D" w14:textId="77777777" w:rsidTr="00015B88">
        <w:tc>
          <w:tcPr>
            <w:tcW w:w="2136" w:type="dxa"/>
            <w:tcBorders>
              <w:top w:val="nil"/>
              <w:left w:val="nil"/>
              <w:bottom w:val="nil"/>
              <w:right w:val="nil"/>
            </w:tcBorders>
          </w:tcPr>
          <w:p w14:paraId="0D61866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6E26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w:t>
            </w:r>
          </w:p>
        </w:tc>
        <w:tc>
          <w:tcPr>
            <w:tcW w:w="1656" w:type="dxa"/>
            <w:tcBorders>
              <w:top w:val="nil"/>
              <w:left w:val="nil"/>
              <w:bottom w:val="nil"/>
              <w:right w:val="nil"/>
            </w:tcBorders>
          </w:tcPr>
          <w:p w14:paraId="29CEFEC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(-1.49)</w:t>
            </w:r>
          </w:p>
        </w:tc>
        <w:tc>
          <w:tcPr>
            <w:tcW w:w="1656" w:type="dxa"/>
            <w:tcBorders>
              <w:top w:val="nil"/>
              <w:left w:val="nil"/>
              <w:bottom w:val="nil"/>
              <w:right w:val="nil"/>
            </w:tcBorders>
          </w:tcPr>
          <w:p w14:paraId="05113E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(0.92)</w:t>
            </w:r>
          </w:p>
        </w:tc>
        <w:tc>
          <w:tcPr>
            <w:tcW w:w="1656" w:type="dxa"/>
            <w:tcBorders>
              <w:top w:val="nil"/>
              <w:left w:val="nil"/>
              <w:bottom w:val="nil"/>
              <w:right w:val="nil"/>
            </w:tcBorders>
          </w:tcPr>
          <w:p w14:paraId="0199D01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(0.88)</w:t>
            </w:r>
          </w:p>
        </w:tc>
      </w:tr>
      <w:tr w:rsidR="008E7D4B" w:rsidRPr="0082225C" w14:paraId="20C30CD7" w14:textId="77777777" w:rsidTr="00015B88">
        <w:tc>
          <w:tcPr>
            <w:tcW w:w="2136" w:type="dxa"/>
            <w:tcBorders>
              <w:top w:val="nil"/>
              <w:left w:val="nil"/>
              <w:bottom w:val="nil"/>
              <w:right w:val="nil"/>
            </w:tcBorders>
          </w:tcPr>
          <w:p w14:paraId="7AC2151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FD2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4B94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E5C88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4B59D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409DD36" w14:textId="77777777" w:rsidTr="00015B88">
        <w:tc>
          <w:tcPr>
            <w:tcW w:w="2136" w:type="dxa"/>
            <w:tcBorders>
              <w:top w:val="nil"/>
              <w:left w:val="nil"/>
              <w:bottom w:val="nil"/>
              <w:right w:val="nil"/>
            </w:tcBorders>
          </w:tcPr>
          <w:p w14:paraId="75D045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5200B4A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0.0254</w:t>
            </w:r>
          </w:p>
        </w:tc>
        <w:tc>
          <w:tcPr>
            <w:tcW w:w="1656" w:type="dxa"/>
            <w:tcBorders>
              <w:top w:val="nil"/>
              <w:left w:val="nil"/>
              <w:bottom w:val="nil"/>
              <w:right w:val="nil"/>
            </w:tcBorders>
          </w:tcPr>
          <w:p w14:paraId="0020592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0.456</w:t>
            </w:r>
          </w:p>
        </w:tc>
        <w:tc>
          <w:tcPr>
            <w:tcW w:w="1656" w:type="dxa"/>
            <w:tcBorders>
              <w:top w:val="nil"/>
              <w:left w:val="nil"/>
              <w:bottom w:val="nil"/>
              <w:right w:val="nil"/>
            </w:tcBorders>
          </w:tcPr>
          <w:p w14:paraId="7408A3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-0.156</w:t>
            </w:r>
          </w:p>
        </w:tc>
        <w:tc>
          <w:tcPr>
            <w:tcW w:w="1656" w:type="dxa"/>
            <w:tcBorders>
              <w:top w:val="nil"/>
              <w:left w:val="nil"/>
              <w:bottom w:val="nil"/>
              <w:right w:val="nil"/>
            </w:tcBorders>
          </w:tcPr>
          <w:p w14:paraId="0A7275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-0.0814</w:t>
            </w:r>
          </w:p>
        </w:tc>
      </w:tr>
      <w:tr w:rsidR="008E7D4B" w:rsidRPr="0082225C" w14:paraId="03B3C12F" w14:textId="77777777" w:rsidTr="00015B88">
        <w:tc>
          <w:tcPr>
            <w:tcW w:w="2136" w:type="dxa"/>
            <w:tcBorders>
              <w:top w:val="nil"/>
              <w:left w:val="nil"/>
              <w:bottom w:val="nil"/>
              <w:right w:val="nil"/>
            </w:tcBorders>
          </w:tcPr>
          <w:p w14:paraId="6978583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C98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(0.14)</w:t>
            </w:r>
          </w:p>
        </w:tc>
        <w:tc>
          <w:tcPr>
            <w:tcW w:w="1656" w:type="dxa"/>
            <w:tcBorders>
              <w:top w:val="nil"/>
              <w:left w:val="nil"/>
              <w:bottom w:val="nil"/>
              <w:right w:val="nil"/>
            </w:tcBorders>
          </w:tcPr>
          <w:p w14:paraId="51E00A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(1.84)</w:t>
            </w:r>
          </w:p>
        </w:tc>
        <w:tc>
          <w:tcPr>
            <w:tcW w:w="1656" w:type="dxa"/>
            <w:tcBorders>
              <w:top w:val="nil"/>
              <w:left w:val="nil"/>
              <w:bottom w:val="nil"/>
              <w:right w:val="nil"/>
            </w:tcBorders>
          </w:tcPr>
          <w:p w14:paraId="1AF9286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(-0.92)</w:t>
            </w:r>
          </w:p>
        </w:tc>
        <w:tc>
          <w:tcPr>
            <w:tcW w:w="1656" w:type="dxa"/>
            <w:tcBorders>
              <w:top w:val="nil"/>
              <w:left w:val="nil"/>
              <w:bottom w:val="nil"/>
              <w:right w:val="nil"/>
            </w:tcBorders>
          </w:tcPr>
          <w:p w14:paraId="638F18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(-1.30)</w:t>
            </w:r>
          </w:p>
        </w:tc>
      </w:tr>
      <w:tr w:rsidR="008E7D4B" w:rsidRPr="0082225C" w14:paraId="6D81E016" w14:textId="77777777" w:rsidTr="00015B88">
        <w:tc>
          <w:tcPr>
            <w:tcW w:w="2136" w:type="dxa"/>
            <w:tcBorders>
              <w:top w:val="nil"/>
              <w:left w:val="nil"/>
              <w:bottom w:val="nil"/>
              <w:right w:val="nil"/>
            </w:tcBorders>
          </w:tcPr>
          <w:p w14:paraId="2206CAF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A63E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B79DB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B708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95B5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B7F5DE8" w14:textId="77777777" w:rsidTr="00015B88">
        <w:tc>
          <w:tcPr>
            <w:tcW w:w="2136" w:type="dxa"/>
            <w:tcBorders>
              <w:top w:val="nil"/>
              <w:left w:val="nil"/>
              <w:bottom w:val="nil"/>
              <w:right w:val="nil"/>
            </w:tcBorders>
          </w:tcPr>
          <w:p w14:paraId="2A7E90C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5484BB3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0.0292</w:t>
            </w:r>
          </w:p>
        </w:tc>
        <w:tc>
          <w:tcPr>
            <w:tcW w:w="1656" w:type="dxa"/>
            <w:tcBorders>
              <w:top w:val="nil"/>
              <w:left w:val="nil"/>
              <w:bottom w:val="nil"/>
              <w:right w:val="nil"/>
            </w:tcBorders>
          </w:tcPr>
          <w:p w14:paraId="031026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-0.316</w:t>
            </w:r>
          </w:p>
        </w:tc>
        <w:tc>
          <w:tcPr>
            <w:tcW w:w="1656" w:type="dxa"/>
            <w:tcBorders>
              <w:top w:val="nil"/>
              <w:left w:val="nil"/>
              <w:bottom w:val="nil"/>
              <w:right w:val="nil"/>
            </w:tcBorders>
          </w:tcPr>
          <w:p w14:paraId="1D8F684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0.291</w:t>
            </w:r>
          </w:p>
        </w:tc>
        <w:tc>
          <w:tcPr>
            <w:tcW w:w="1656" w:type="dxa"/>
            <w:tcBorders>
              <w:top w:val="nil"/>
              <w:left w:val="nil"/>
              <w:bottom w:val="nil"/>
              <w:right w:val="nil"/>
            </w:tcBorders>
          </w:tcPr>
          <w:p w14:paraId="219F68A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-0.0882</w:t>
            </w:r>
          </w:p>
        </w:tc>
      </w:tr>
      <w:tr w:rsidR="008E7D4B" w:rsidRPr="0082225C" w14:paraId="260FFE09" w14:textId="77777777" w:rsidTr="00015B88">
        <w:tc>
          <w:tcPr>
            <w:tcW w:w="2136" w:type="dxa"/>
            <w:tcBorders>
              <w:top w:val="nil"/>
              <w:left w:val="nil"/>
              <w:bottom w:val="nil"/>
              <w:right w:val="nil"/>
            </w:tcBorders>
          </w:tcPr>
          <w:p w14:paraId="60427BC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943E5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w:t>
            </w:r>
          </w:p>
        </w:tc>
        <w:tc>
          <w:tcPr>
            <w:tcW w:w="1656" w:type="dxa"/>
            <w:tcBorders>
              <w:top w:val="nil"/>
              <w:left w:val="nil"/>
              <w:bottom w:val="nil"/>
              <w:right w:val="nil"/>
            </w:tcBorders>
          </w:tcPr>
          <w:p w14:paraId="5F2770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(-1.45)</w:t>
            </w:r>
          </w:p>
        </w:tc>
        <w:tc>
          <w:tcPr>
            <w:tcW w:w="1656" w:type="dxa"/>
            <w:tcBorders>
              <w:top w:val="nil"/>
              <w:left w:val="nil"/>
              <w:bottom w:val="nil"/>
              <w:right w:val="nil"/>
            </w:tcBorders>
          </w:tcPr>
          <w:p w14:paraId="0723593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(1.50)</w:t>
            </w:r>
          </w:p>
        </w:tc>
        <w:tc>
          <w:tcPr>
            <w:tcW w:w="1656" w:type="dxa"/>
            <w:tcBorders>
              <w:top w:val="nil"/>
              <w:left w:val="nil"/>
              <w:bottom w:val="nil"/>
              <w:right w:val="nil"/>
            </w:tcBorders>
          </w:tcPr>
          <w:p w14:paraId="722239C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(-1.46)</w:t>
            </w:r>
          </w:p>
        </w:tc>
      </w:tr>
      <w:tr w:rsidR="008E7D4B" w:rsidRPr="0082225C" w14:paraId="7D0B2AE8" w14:textId="77777777" w:rsidTr="00015B88">
        <w:tc>
          <w:tcPr>
            <w:tcW w:w="2136" w:type="dxa"/>
            <w:tcBorders>
              <w:top w:val="nil"/>
              <w:left w:val="nil"/>
              <w:bottom w:val="nil"/>
              <w:right w:val="nil"/>
            </w:tcBorders>
          </w:tcPr>
          <w:p w14:paraId="4E91584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4F17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123C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25405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21F6F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931F272" w14:textId="77777777" w:rsidTr="00015B88">
        <w:tc>
          <w:tcPr>
            <w:tcW w:w="2136" w:type="dxa"/>
            <w:tcBorders>
              <w:top w:val="nil"/>
              <w:left w:val="nil"/>
              <w:bottom w:val="nil"/>
              <w:right w:val="nil"/>
            </w:tcBorders>
          </w:tcPr>
          <w:p w14:paraId="3079EF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50DF5CD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-0.152</w:t>
            </w:r>
          </w:p>
        </w:tc>
        <w:tc>
          <w:tcPr>
            <w:tcW w:w="1656" w:type="dxa"/>
            <w:tcBorders>
              <w:top w:val="nil"/>
              <w:left w:val="nil"/>
              <w:bottom w:val="nil"/>
              <w:right w:val="nil"/>
            </w:tcBorders>
          </w:tcPr>
          <w:p w14:paraId="23F91F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-0.209</w:t>
            </w:r>
          </w:p>
        </w:tc>
        <w:tc>
          <w:tcPr>
            <w:tcW w:w="1656" w:type="dxa"/>
            <w:tcBorders>
              <w:top w:val="nil"/>
              <w:left w:val="nil"/>
              <w:bottom w:val="nil"/>
              <w:right w:val="nil"/>
            </w:tcBorders>
          </w:tcPr>
          <w:p w14:paraId="274441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-0.260</w:t>
            </w:r>
          </w:p>
        </w:tc>
        <w:tc>
          <w:tcPr>
            <w:tcW w:w="1656" w:type="dxa"/>
            <w:tcBorders>
              <w:top w:val="nil"/>
              <w:left w:val="nil"/>
              <w:bottom w:val="nil"/>
              <w:right w:val="nil"/>
            </w:tcBorders>
          </w:tcPr>
          <w:p w14:paraId="0084295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0.0591</w:t>
            </w:r>
          </w:p>
        </w:tc>
      </w:tr>
      <w:tr w:rsidR="008E7D4B" w:rsidRPr="0082225C" w14:paraId="74C6A398" w14:textId="77777777" w:rsidTr="00015B88">
        <w:tc>
          <w:tcPr>
            <w:tcW w:w="2136" w:type="dxa"/>
            <w:tcBorders>
              <w:top w:val="nil"/>
              <w:left w:val="nil"/>
              <w:bottom w:val="nil"/>
              <w:right w:val="nil"/>
            </w:tcBorders>
          </w:tcPr>
          <w:p w14:paraId="3C2F00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30CC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55133EF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(-1.15)</w:t>
            </w:r>
          </w:p>
        </w:tc>
        <w:tc>
          <w:tcPr>
            <w:tcW w:w="1656" w:type="dxa"/>
            <w:tcBorders>
              <w:top w:val="nil"/>
              <w:left w:val="nil"/>
              <w:bottom w:val="nil"/>
              <w:right w:val="nil"/>
            </w:tcBorders>
          </w:tcPr>
          <w:p w14:paraId="5E62654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(-1.54)</w:t>
            </w:r>
          </w:p>
        </w:tc>
        <w:tc>
          <w:tcPr>
            <w:tcW w:w="1656" w:type="dxa"/>
            <w:tcBorders>
              <w:top w:val="nil"/>
              <w:left w:val="nil"/>
              <w:bottom w:val="nil"/>
              <w:right w:val="nil"/>
            </w:tcBorders>
          </w:tcPr>
          <w:p w14:paraId="7FD3A0A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(0.98)</w:t>
            </w:r>
          </w:p>
        </w:tc>
      </w:tr>
      <w:tr w:rsidR="008E7D4B" w:rsidRPr="0082225C" w14:paraId="41BA0FB1" w14:textId="77777777" w:rsidTr="00015B88">
        <w:tc>
          <w:tcPr>
            <w:tcW w:w="2136" w:type="dxa"/>
            <w:tcBorders>
              <w:top w:val="nil"/>
              <w:left w:val="nil"/>
              <w:bottom w:val="nil"/>
              <w:right w:val="nil"/>
            </w:tcBorders>
          </w:tcPr>
          <w:p w14:paraId="037EED5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3E47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409C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BF8F5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BF8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EC6C9A1" w14:textId="77777777" w:rsidTr="00015B88">
        <w:tc>
          <w:tcPr>
            <w:tcW w:w="2136" w:type="dxa"/>
            <w:tcBorders>
              <w:top w:val="nil"/>
              <w:left w:val="nil"/>
              <w:bottom w:val="nil"/>
              <w:right w:val="nil"/>
            </w:tcBorders>
          </w:tcPr>
          <w:p w14:paraId="19F8C07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6FD1DF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-0.0124</w:t>
            </w:r>
          </w:p>
        </w:tc>
        <w:tc>
          <w:tcPr>
            <w:tcW w:w="1656" w:type="dxa"/>
            <w:tcBorders>
              <w:top w:val="nil"/>
              <w:left w:val="nil"/>
              <w:bottom w:val="nil"/>
              <w:right w:val="nil"/>
            </w:tcBorders>
          </w:tcPr>
          <w:p w14:paraId="6772E95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0.116</w:t>
            </w:r>
          </w:p>
        </w:tc>
        <w:tc>
          <w:tcPr>
            <w:tcW w:w="1656" w:type="dxa"/>
            <w:tcBorders>
              <w:top w:val="nil"/>
              <w:left w:val="nil"/>
              <w:bottom w:val="nil"/>
              <w:right w:val="nil"/>
            </w:tcBorders>
          </w:tcPr>
          <w:p w14:paraId="3E6F78D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0.0481</w:t>
            </w:r>
          </w:p>
        </w:tc>
        <w:tc>
          <w:tcPr>
            <w:tcW w:w="1656" w:type="dxa"/>
            <w:tcBorders>
              <w:top w:val="nil"/>
              <w:left w:val="nil"/>
              <w:bottom w:val="nil"/>
              <w:right w:val="nil"/>
            </w:tcBorders>
          </w:tcPr>
          <w:p w14:paraId="557AB0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-0.0133</w:t>
            </w:r>
          </w:p>
        </w:tc>
      </w:tr>
      <w:tr w:rsidR="008E7D4B" w:rsidRPr="0082225C" w14:paraId="7E706B8D" w14:textId="77777777" w:rsidTr="00015B88">
        <w:tc>
          <w:tcPr>
            <w:tcW w:w="2136" w:type="dxa"/>
            <w:tcBorders>
              <w:top w:val="nil"/>
              <w:left w:val="nil"/>
              <w:bottom w:val="nil"/>
              <w:right w:val="nil"/>
            </w:tcBorders>
          </w:tcPr>
          <w:p w14:paraId="0B32004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4269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w:t>
            </w:r>
          </w:p>
        </w:tc>
        <w:tc>
          <w:tcPr>
            <w:tcW w:w="1656" w:type="dxa"/>
            <w:tcBorders>
              <w:top w:val="nil"/>
              <w:left w:val="nil"/>
              <w:bottom w:val="nil"/>
              <w:right w:val="nil"/>
            </w:tcBorders>
          </w:tcPr>
          <w:p w14:paraId="46D66A6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(0.99)</w:t>
            </w:r>
          </w:p>
        </w:tc>
        <w:tc>
          <w:tcPr>
            <w:tcW w:w="1656" w:type="dxa"/>
            <w:tcBorders>
              <w:top w:val="nil"/>
              <w:left w:val="nil"/>
              <w:bottom w:val="nil"/>
              <w:right w:val="nil"/>
            </w:tcBorders>
          </w:tcPr>
          <w:p w14:paraId="2ABCEAE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(0.57)</w:t>
            </w:r>
          </w:p>
        </w:tc>
        <w:tc>
          <w:tcPr>
            <w:tcW w:w="1656" w:type="dxa"/>
            <w:tcBorders>
              <w:top w:val="nil"/>
              <w:left w:val="nil"/>
              <w:bottom w:val="nil"/>
              <w:right w:val="nil"/>
            </w:tcBorders>
          </w:tcPr>
          <w:p w14:paraId="2C8B7E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w:t>
            </w:r>
          </w:p>
        </w:tc>
      </w:tr>
      <w:tr w:rsidR="008E7D4B" w:rsidRPr="0082225C" w14:paraId="789CC65A" w14:textId="77777777" w:rsidTr="00015B88">
        <w:tc>
          <w:tcPr>
            <w:tcW w:w="2136" w:type="dxa"/>
            <w:tcBorders>
              <w:top w:val="nil"/>
              <w:left w:val="nil"/>
              <w:bottom w:val="nil"/>
              <w:right w:val="nil"/>
            </w:tcBorders>
          </w:tcPr>
          <w:p w14:paraId="39DAF97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A0D37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CA35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7416A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95E5C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617C059" w14:textId="77777777" w:rsidTr="00015B88">
        <w:tc>
          <w:tcPr>
            <w:tcW w:w="2136" w:type="dxa"/>
            <w:tcBorders>
              <w:top w:val="nil"/>
              <w:left w:val="nil"/>
              <w:bottom w:val="nil"/>
              <w:right w:val="nil"/>
            </w:tcBorders>
          </w:tcPr>
          <w:p w14:paraId="31725A5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0B0087F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0.144</w:t>
            </w:r>
          </w:p>
        </w:tc>
        <w:tc>
          <w:tcPr>
            <w:tcW w:w="1656" w:type="dxa"/>
            <w:tcBorders>
              <w:top w:val="nil"/>
              <w:left w:val="nil"/>
              <w:bottom w:val="nil"/>
              <w:right w:val="nil"/>
            </w:tcBorders>
          </w:tcPr>
          <w:p w14:paraId="2E6C9F5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0.134</w:t>
            </w:r>
          </w:p>
        </w:tc>
        <w:tc>
          <w:tcPr>
            <w:tcW w:w="1656" w:type="dxa"/>
            <w:tcBorders>
              <w:top w:val="nil"/>
              <w:left w:val="nil"/>
              <w:bottom w:val="nil"/>
              <w:right w:val="nil"/>
            </w:tcBorders>
          </w:tcPr>
          <w:p w14:paraId="182A99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0.0467</w:t>
            </w:r>
          </w:p>
        </w:tc>
        <w:tc>
          <w:tcPr>
            <w:tcW w:w="1656" w:type="dxa"/>
            <w:tcBorders>
              <w:top w:val="nil"/>
              <w:left w:val="nil"/>
              <w:bottom w:val="nil"/>
              <w:right w:val="nil"/>
            </w:tcBorders>
          </w:tcPr>
          <w:p w14:paraId="353ED2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0.00638</w:t>
            </w:r>
          </w:p>
        </w:tc>
      </w:tr>
      <w:tr w:rsidR="008E7D4B" w:rsidRPr="0082225C" w14:paraId="175137A4" w14:textId="77777777" w:rsidTr="00015B88">
        <w:tc>
          <w:tcPr>
            <w:tcW w:w="2136" w:type="dxa"/>
            <w:tcBorders>
              <w:top w:val="nil"/>
              <w:left w:val="nil"/>
              <w:bottom w:val="nil"/>
              <w:right w:val="nil"/>
            </w:tcBorders>
          </w:tcPr>
          <w:p w14:paraId="183AFC6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1249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(1.41)</w:t>
            </w:r>
          </w:p>
        </w:tc>
        <w:tc>
          <w:tcPr>
            <w:tcW w:w="1656" w:type="dxa"/>
            <w:tcBorders>
              <w:top w:val="nil"/>
              <w:left w:val="nil"/>
              <w:bottom w:val="nil"/>
              <w:right w:val="nil"/>
            </w:tcBorders>
          </w:tcPr>
          <w:p w14:paraId="231507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(1.12)</w:t>
            </w:r>
          </w:p>
        </w:tc>
        <w:tc>
          <w:tcPr>
            <w:tcW w:w="1656" w:type="dxa"/>
            <w:tcBorders>
              <w:top w:val="nil"/>
              <w:left w:val="nil"/>
              <w:bottom w:val="nil"/>
              <w:right w:val="nil"/>
            </w:tcBorders>
          </w:tcPr>
          <w:p w14:paraId="78D15D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(0.58)</w:t>
            </w:r>
          </w:p>
        </w:tc>
        <w:tc>
          <w:tcPr>
            <w:tcW w:w="1656" w:type="dxa"/>
            <w:tcBorders>
              <w:top w:val="nil"/>
              <w:left w:val="nil"/>
              <w:bottom w:val="nil"/>
              <w:right w:val="nil"/>
            </w:tcBorders>
          </w:tcPr>
          <w:p w14:paraId="12FD37C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w:t>
            </w:r>
          </w:p>
        </w:tc>
      </w:tr>
      <w:tr w:rsidR="008E7D4B" w:rsidRPr="0082225C" w14:paraId="4EA514BC" w14:textId="77777777" w:rsidTr="00015B88">
        <w:tc>
          <w:tcPr>
            <w:tcW w:w="2136" w:type="dxa"/>
            <w:tcBorders>
              <w:top w:val="nil"/>
              <w:left w:val="nil"/>
              <w:bottom w:val="nil"/>
              <w:right w:val="nil"/>
            </w:tcBorders>
          </w:tcPr>
          <w:p w14:paraId="21D055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B63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CBE18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89A6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67C2B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9408E8C" w14:textId="77777777" w:rsidTr="00015B88">
        <w:tc>
          <w:tcPr>
            <w:tcW w:w="2136" w:type="dxa"/>
            <w:tcBorders>
              <w:top w:val="nil"/>
              <w:left w:val="nil"/>
              <w:bottom w:val="nil"/>
              <w:right w:val="nil"/>
            </w:tcBorders>
          </w:tcPr>
          <w:p w14:paraId="2E19439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1A43DDA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-0.0496</w:t>
            </w:r>
          </w:p>
        </w:tc>
        <w:tc>
          <w:tcPr>
            <w:tcW w:w="1656" w:type="dxa"/>
            <w:tcBorders>
              <w:top w:val="nil"/>
              <w:left w:val="nil"/>
              <w:bottom w:val="nil"/>
              <w:right w:val="nil"/>
            </w:tcBorders>
          </w:tcPr>
          <w:p w14:paraId="389A9C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-0.0490</w:t>
            </w:r>
          </w:p>
        </w:tc>
        <w:tc>
          <w:tcPr>
            <w:tcW w:w="1656" w:type="dxa"/>
            <w:tcBorders>
              <w:top w:val="nil"/>
              <w:left w:val="nil"/>
              <w:bottom w:val="nil"/>
              <w:right w:val="nil"/>
            </w:tcBorders>
          </w:tcPr>
          <w:p w14:paraId="1E80C4A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-0.153</w:t>
            </w:r>
          </w:p>
        </w:tc>
        <w:tc>
          <w:tcPr>
            <w:tcW w:w="1656" w:type="dxa"/>
            <w:tcBorders>
              <w:top w:val="nil"/>
              <w:left w:val="nil"/>
              <w:bottom w:val="nil"/>
              <w:right w:val="nil"/>
            </w:tcBorders>
          </w:tcPr>
          <w:p w14:paraId="4D04B92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-0.0469</w:t>
            </w:r>
          </w:p>
        </w:tc>
      </w:tr>
      <w:tr w:rsidR="008E7D4B" w:rsidRPr="0082225C" w14:paraId="640D70AD" w14:textId="77777777" w:rsidTr="00015B88">
        <w:tc>
          <w:tcPr>
            <w:tcW w:w="2136" w:type="dxa"/>
            <w:tcBorders>
              <w:top w:val="nil"/>
              <w:left w:val="nil"/>
              <w:bottom w:val="nil"/>
              <w:right w:val="nil"/>
            </w:tcBorders>
          </w:tcPr>
          <w:p w14:paraId="4CA9683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104AF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(-0.54)</w:t>
            </w:r>
          </w:p>
        </w:tc>
        <w:tc>
          <w:tcPr>
            <w:tcW w:w="1656" w:type="dxa"/>
            <w:tcBorders>
              <w:top w:val="nil"/>
              <w:left w:val="nil"/>
              <w:bottom w:val="nil"/>
              <w:right w:val="nil"/>
            </w:tcBorders>
          </w:tcPr>
          <w:p w14:paraId="7E18D40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198AD26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(-1.13)</w:t>
            </w:r>
          </w:p>
        </w:tc>
        <w:tc>
          <w:tcPr>
            <w:tcW w:w="1656" w:type="dxa"/>
            <w:tcBorders>
              <w:top w:val="nil"/>
              <w:left w:val="nil"/>
              <w:bottom w:val="nil"/>
              <w:right w:val="nil"/>
            </w:tcBorders>
          </w:tcPr>
          <w:p w14:paraId="7DB6ACB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(-0.82)</w:t>
            </w:r>
          </w:p>
        </w:tc>
      </w:tr>
      <w:tr w:rsidR="008E7D4B" w:rsidRPr="0082225C" w14:paraId="7C926FE4" w14:textId="77777777" w:rsidTr="00015B88">
        <w:tc>
          <w:tcPr>
            <w:tcW w:w="2136" w:type="dxa"/>
            <w:tcBorders>
              <w:top w:val="nil"/>
              <w:left w:val="nil"/>
              <w:bottom w:val="nil"/>
              <w:right w:val="nil"/>
            </w:tcBorders>
          </w:tcPr>
          <w:p w14:paraId="72A888A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8FF0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0CF2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1FD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F4C0B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FA8B741" w14:textId="77777777" w:rsidTr="00015B88">
        <w:tc>
          <w:tcPr>
            <w:tcW w:w="2136" w:type="dxa"/>
            <w:tcBorders>
              <w:top w:val="nil"/>
              <w:left w:val="nil"/>
              <w:bottom w:val="nil"/>
              <w:right w:val="nil"/>
            </w:tcBorders>
          </w:tcPr>
          <w:p w14:paraId="18DB733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35E0DD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0.0741</w:t>
            </w:r>
          </w:p>
        </w:tc>
        <w:tc>
          <w:tcPr>
            <w:tcW w:w="1656" w:type="dxa"/>
            <w:tcBorders>
              <w:top w:val="nil"/>
              <w:left w:val="nil"/>
              <w:bottom w:val="nil"/>
              <w:right w:val="nil"/>
            </w:tcBorders>
          </w:tcPr>
          <w:p w14:paraId="0E95B8C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0.0748</w:t>
            </w:r>
          </w:p>
        </w:tc>
        <w:tc>
          <w:tcPr>
            <w:tcW w:w="1656" w:type="dxa"/>
            <w:tcBorders>
              <w:top w:val="nil"/>
              <w:left w:val="nil"/>
              <w:bottom w:val="nil"/>
              <w:right w:val="nil"/>
            </w:tcBorders>
          </w:tcPr>
          <w:p w14:paraId="20DE3E7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-0.0451</w:t>
            </w:r>
          </w:p>
        </w:tc>
        <w:tc>
          <w:tcPr>
            <w:tcW w:w="1656" w:type="dxa"/>
            <w:tcBorders>
              <w:top w:val="nil"/>
              <w:left w:val="nil"/>
              <w:bottom w:val="nil"/>
              <w:right w:val="nil"/>
            </w:tcBorders>
          </w:tcPr>
          <w:p w14:paraId="090E964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0.0925</w:t>
            </w:r>
          </w:p>
        </w:tc>
      </w:tr>
      <w:tr w:rsidR="008E7D4B" w:rsidRPr="0082225C" w14:paraId="65CFBDD3" w14:textId="77777777" w:rsidTr="00015B88">
        <w:tc>
          <w:tcPr>
            <w:tcW w:w="2136" w:type="dxa"/>
            <w:tcBorders>
              <w:top w:val="nil"/>
              <w:left w:val="nil"/>
              <w:bottom w:val="nil"/>
              <w:right w:val="nil"/>
            </w:tcBorders>
          </w:tcPr>
          <w:p w14:paraId="568B03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19774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(0.65)</w:t>
            </w:r>
          </w:p>
        </w:tc>
        <w:tc>
          <w:tcPr>
            <w:tcW w:w="1656" w:type="dxa"/>
            <w:tcBorders>
              <w:top w:val="nil"/>
              <w:left w:val="nil"/>
              <w:bottom w:val="nil"/>
              <w:right w:val="nil"/>
            </w:tcBorders>
          </w:tcPr>
          <w:p w14:paraId="2202317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w:t>
            </w:r>
          </w:p>
        </w:tc>
        <w:tc>
          <w:tcPr>
            <w:tcW w:w="1656" w:type="dxa"/>
            <w:tcBorders>
              <w:top w:val="nil"/>
              <w:left w:val="nil"/>
              <w:bottom w:val="nil"/>
              <w:right w:val="nil"/>
            </w:tcBorders>
          </w:tcPr>
          <w:p w14:paraId="49317F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w:t>
            </w:r>
          </w:p>
        </w:tc>
        <w:tc>
          <w:tcPr>
            <w:tcW w:w="1656" w:type="dxa"/>
            <w:tcBorders>
              <w:top w:val="nil"/>
              <w:left w:val="nil"/>
              <w:bottom w:val="nil"/>
              <w:right w:val="nil"/>
            </w:tcBorders>
          </w:tcPr>
          <w:p w14:paraId="0B054FB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(1.88)</w:t>
            </w:r>
          </w:p>
        </w:tc>
      </w:tr>
      <w:tr w:rsidR="008E7D4B" w:rsidRPr="0082225C" w14:paraId="3C3F56D1" w14:textId="77777777" w:rsidTr="00015B88">
        <w:tc>
          <w:tcPr>
            <w:tcW w:w="2136" w:type="dxa"/>
            <w:tcBorders>
              <w:top w:val="nil"/>
              <w:left w:val="nil"/>
              <w:bottom w:val="nil"/>
              <w:right w:val="nil"/>
            </w:tcBorders>
          </w:tcPr>
          <w:p w14:paraId="6DB2372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A6B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A694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5BD8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D4E41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B194402" w14:textId="77777777" w:rsidTr="00015B88">
        <w:tc>
          <w:tcPr>
            <w:tcW w:w="2136" w:type="dxa"/>
            <w:tcBorders>
              <w:top w:val="nil"/>
              <w:left w:val="nil"/>
              <w:bottom w:val="nil"/>
              <w:right w:val="nil"/>
            </w:tcBorders>
          </w:tcPr>
          <w:p w14:paraId="64F2718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43FB5F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-0.0166</w:t>
            </w:r>
          </w:p>
        </w:tc>
        <w:tc>
          <w:tcPr>
            <w:tcW w:w="1656" w:type="dxa"/>
            <w:tcBorders>
              <w:top w:val="nil"/>
              <w:left w:val="nil"/>
              <w:bottom w:val="nil"/>
              <w:right w:val="nil"/>
            </w:tcBorders>
          </w:tcPr>
          <w:p w14:paraId="1D88C8B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-0.0453</w:t>
            </w:r>
          </w:p>
        </w:tc>
        <w:tc>
          <w:tcPr>
            <w:tcW w:w="1656" w:type="dxa"/>
            <w:tcBorders>
              <w:top w:val="nil"/>
              <w:left w:val="nil"/>
              <w:bottom w:val="nil"/>
              <w:right w:val="nil"/>
            </w:tcBorders>
          </w:tcPr>
          <w:p w14:paraId="2387FDF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0.102</w:t>
            </w:r>
          </w:p>
        </w:tc>
        <w:tc>
          <w:tcPr>
            <w:tcW w:w="1656" w:type="dxa"/>
            <w:tcBorders>
              <w:top w:val="nil"/>
              <w:left w:val="nil"/>
              <w:bottom w:val="nil"/>
              <w:right w:val="nil"/>
            </w:tcBorders>
          </w:tcPr>
          <w:p w14:paraId="3326305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-0.0439</w:t>
            </w:r>
          </w:p>
        </w:tc>
      </w:tr>
      <w:tr w:rsidR="008E7D4B" w:rsidRPr="0082225C" w14:paraId="4FEC7EC3" w14:textId="77777777" w:rsidTr="00015B88">
        <w:tc>
          <w:tcPr>
            <w:tcW w:w="2136" w:type="dxa"/>
            <w:tcBorders>
              <w:top w:val="nil"/>
              <w:left w:val="nil"/>
              <w:bottom w:val="nil"/>
              <w:right w:val="nil"/>
            </w:tcBorders>
          </w:tcPr>
          <w:p w14:paraId="7352E8B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705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w:t>
            </w:r>
          </w:p>
        </w:tc>
        <w:tc>
          <w:tcPr>
            <w:tcW w:w="1656" w:type="dxa"/>
            <w:tcBorders>
              <w:top w:val="nil"/>
              <w:left w:val="nil"/>
              <w:bottom w:val="nil"/>
              <w:right w:val="nil"/>
            </w:tcBorders>
          </w:tcPr>
          <w:p w14:paraId="5E6A632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(-0.21)</w:t>
            </w:r>
          </w:p>
        </w:tc>
        <w:tc>
          <w:tcPr>
            <w:tcW w:w="1656" w:type="dxa"/>
            <w:tcBorders>
              <w:top w:val="nil"/>
              <w:left w:val="nil"/>
              <w:bottom w:val="nil"/>
              <w:right w:val="nil"/>
            </w:tcBorders>
          </w:tcPr>
          <w:p w14:paraId="3269DEA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(0.93)</w:t>
            </w:r>
          </w:p>
        </w:tc>
        <w:tc>
          <w:tcPr>
            <w:tcW w:w="1656" w:type="dxa"/>
            <w:tcBorders>
              <w:top w:val="nil"/>
              <w:left w:val="nil"/>
              <w:bottom w:val="nil"/>
              <w:right w:val="nil"/>
            </w:tcBorders>
          </w:tcPr>
          <w:p w14:paraId="228E80B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(-0.58)</w:t>
            </w:r>
          </w:p>
        </w:tc>
      </w:tr>
      <w:tr w:rsidR="008E7D4B" w:rsidRPr="0082225C" w14:paraId="154632C0" w14:textId="77777777" w:rsidTr="00015B88">
        <w:tc>
          <w:tcPr>
            <w:tcW w:w="2136" w:type="dxa"/>
            <w:tcBorders>
              <w:top w:val="nil"/>
              <w:left w:val="nil"/>
              <w:bottom w:val="nil"/>
              <w:right w:val="nil"/>
            </w:tcBorders>
          </w:tcPr>
          <w:p w14:paraId="3EC7E4F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7C7A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3F98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A9C84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742F4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31AB06C" w14:textId="77777777" w:rsidTr="00015B88">
        <w:tc>
          <w:tcPr>
            <w:tcW w:w="2136" w:type="dxa"/>
            <w:tcBorders>
              <w:top w:val="nil"/>
              <w:left w:val="nil"/>
              <w:bottom w:val="nil"/>
              <w:right w:val="nil"/>
            </w:tcBorders>
          </w:tcPr>
          <w:p w14:paraId="4115AA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2225C">
              <w:rPr>
                <w:rFonts w:ascii="Times New Roman" w:hAnsi="Times New Roman" w:cs="Times New Roman"/>
                <w:sz w:val="16"/>
                <w:szCs w:val="16"/>
              </w:rPr>
              <w:t>L.Polity</w:t>
            </w:r>
            <w:proofErr w:type="spellEnd"/>
            <w:r w:rsidRPr="0082225C">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773D6D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0.101</w:t>
            </w:r>
          </w:p>
        </w:tc>
        <w:tc>
          <w:tcPr>
            <w:tcW w:w="1656" w:type="dxa"/>
            <w:tcBorders>
              <w:top w:val="nil"/>
              <w:left w:val="nil"/>
              <w:bottom w:val="nil"/>
              <w:right w:val="nil"/>
            </w:tcBorders>
          </w:tcPr>
          <w:p w14:paraId="0A8E10B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0.245</w:t>
            </w:r>
          </w:p>
        </w:tc>
        <w:tc>
          <w:tcPr>
            <w:tcW w:w="1656" w:type="dxa"/>
            <w:tcBorders>
              <w:top w:val="nil"/>
              <w:left w:val="nil"/>
              <w:bottom w:val="nil"/>
              <w:right w:val="nil"/>
            </w:tcBorders>
          </w:tcPr>
          <w:p w14:paraId="07236F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0.121</w:t>
            </w:r>
          </w:p>
        </w:tc>
        <w:tc>
          <w:tcPr>
            <w:tcW w:w="1656" w:type="dxa"/>
            <w:tcBorders>
              <w:top w:val="nil"/>
              <w:left w:val="nil"/>
              <w:bottom w:val="nil"/>
              <w:right w:val="nil"/>
            </w:tcBorders>
          </w:tcPr>
          <w:p w14:paraId="7580391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-0.0101</w:t>
            </w:r>
          </w:p>
        </w:tc>
      </w:tr>
      <w:tr w:rsidR="008E7D4B" w:rsidRPr="0082225C" w14:paraId="3073A246" w14:textId="77777777" w:rsidTr="00015B88">
        <w:tc>
          <w:tcPr>
            <w:tcW w:w="2136" w:type="dxa"/>
            <w:tcBorders>
              <w:top w:val="nil"/>
              <w:left w:val="nil"/>
              <w:bottom w:val="nil"/>
              <w:right w:val="nil"/>
            </w:tcBorders>
          </w:tcPr>
          <w:p w14:paraId="41EEF85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B960D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(0.76)</w:t>
            </w:r>
          </w:p>
        </w:tc>
        <w:tc>
          <w:tcPr>
            <w:tcW w:w="1656" w:type="dxa"/>
            <w:tcBorders>
              <w:top w:val="nil"/>
              <w:left w:val="nil"/>
              <w:bottom w:val="nil"/>
              <w:right w:val="nil"/>
            </w:tcBorders>
          </w:tcPr>
          <w:p w14:paraId="6DC600E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(1.11)</w:t>
            </w:r>
          </w:p>
        </w:tc>
        <w:tc>
          <w:tcPr>
            <w:tcW w:w="1656" w:type="dxa"/>
            <w:tcBorders>
              <w:top w:val="nil"/>
              <w:left w:val="nil"/>
              <w:bottom w:val="nil"/>
              <w:right w:val="nil"/>
            </w:tcBorders>
          </w:tcPr>
          <w:p w14:paraId="601CCE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(0.90)</w:t>
            </w:r>
          </w:p>
        </w:tc>
        <w:tc>
          <w:tcPr>
            <w:tcW w:w="1656" w:type="dxa"/>
            <w:tcBorders>
              <w:top w:val="nil"/>
              <w:left w:val="nil"/>
              <w:bottom w:val="nil"/>
              <w:right w:val="nil"/>
            </w:tcBorders>
          </w:tcPr>
          <w:p w14:paraId="4C3BE2A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w:t>
            </w:r>
          </w:p>
        </w:tc>
      </w:tr>
      <w:tr w:rsidR="008E7D4B" w:rsidRPr="0082225C" w14:paraId="0A9DB8C6" w14:textId="77777777" w:rsidTr="00015B88">
        <w:tc>
          <w:tcPr>
            <w:tcW w:w="2136" w:type="dxa"/>
            <w:tcBorders>
              <w:top w:val="nil"/>
              <w:left w:val="nil"/>
              <w:bottom w:val="nil"/>
              <w:right w:val="nil"/>
            </w:tcBorders>
          </w:tcPr>
          <w:p w14:paraId="5F251D5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3582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B9262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F8C40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8482E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12FC2ED" w14:textId="77777777" w:rsidTr="00015B88">
        <w:tc>
          <w:tcPr>
            <w:tcW w:w="2136" w:type="dxa"/>
            <w:tcBorders>
              <w:top w:val="nil"/>
              <w:left w:val="nil"/>
              <w:bottom w:val="nil"/>
              <w:right w:val="nil"/>
            </w:tcBorders>
          </w:tcPr>
          <w:p w14:paraId="5FC63EE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L2.Polity Democracy Score (v2)</w:t>
            </w:r>
          </w:p>
        </w:tc>
        <w:tc>
          <w:tcPr>
            <w:tcW w:w="1656" w:type="dxa"/>
            <w:tcBorders>
              <w:top w:val="nil"/>
              <w:left w:val="nil"/>
              <w:bottom w:val="nil"/>
              <w:right w:val="nil"/>
            </w:tcBorders>
          </w:tcPr>
          <w:p w14:paraId="5367D58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-0.245</w:t>
            </w:r>
          </w:p>
        </w:tc>
        <w:tc>
          <w:tcPr>
            <w:tcW w:w="1656" w:type="dxa"/>
            <w:tcBorders>
              <w:top w:val="nil"/>
              <w:left w:val="nil"/>
              <w:bottom w:val="nil"/>
              <w:right w:val="nil"/>
            </w:tcBorders>
          </w:tcPr>
          <w:p w14:paraId="5177329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-0.320</w:t>
            </w:r>
          </w:p>
        </w:tc>
        <w:tc>
          <w:tcPr>
            <w:tcW w:w="1656" w:type="dxa"/>
            <w:tcBorders>
              <w:top w:val="nil"/>
              <w:left w:val="nil"/>
              <w:bottom w:val="nil"/>
              <w:right w:val="nil"/>
            </w:tcBorders>
          </w:tcPr>
          <w:p w14:paraId="64DCE4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-0.131</w:t>
            </w:r>
          </w:p>
        </w:tc>
        <w:tc>
          <w:tcPr>
            <w:tcW w:w="1656" w:type="dxa"/>
            <w:tcBorders>
              <w:top w:val="nil"/>
              <w:left w:val="nil"/>
              <w:bottom w:val="nil"/>
              <w:right w:val="nil"/>
            </w:tcBorders>
          </w:tcPr>
          <w:p w14:paraId="094683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0.189</w:t>
            </w:r>
            <w:r w:rsidRPr="0082225C">
              <w:rPr>
                <w:rFonts w:ascii="Times New Roman" w:hAnsi="Times New Roman" w:cs="Times New Roman"/>
                <w:sz w:val="16"/>
                <w:szCs w:val="16"/>
                <w:vertAlign w:val="superscript"/>
              </w:rPr>
              <w:t>*</w:t>
            </w:r>
          </w:p>
        </w:tc>
      </w:tr>
      <w:tr w:rsidR="008E7D4B" w:rsidRPr="0082225C" w14:paraId="6D44A87A" w14:textId="77777777" w:rsidTr="00015B88">
        <w:tc>
          <w:tcPr>
            <w:tcW w:w="2136" w:type="dxa"/>
            <w:tcBorders>
              <w:top w:val="nil"/>
              <w:left w:val="nil"/>
              <w:bottom w:val="nil"/>
              <w:right w:val="nil"/>
            </w:tcBorders>
          </w:tcPr>
          <w:p w14:paraId="505600D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6B5D5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(-1.34)</w:t>
            </w:r>
          </w:p>
        </w:tc>
        <w:tc>
          <w:tcPr>
            <w:tcW w:w="1656" w:type="dxa"/>
            <w:tcBorders>
              <w:top w:val="nil"/>
              <w:left w:val="nil"/>
              <w:bottom w:val="nil"/>
              <w:right w:val="nil"/>
            </w:tcBorders>
          </w:tcPr>
          <w:p w14:paraId="47E8007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(-1.28)</w:t>
            </w:r>
          </w:p>
        </w:tc>
        <w:tc>
          <w:tcPr>
            <w:tcW w:w="1656" w:type="dxa"/>
            <w:tcBorders>
              <w:top w:val="nil"/>
              <w:left w:val="nil"/>
              <w:bottom w:val="nil"/>
              <w:right w:val="nil"/>
            </w:tcBorders>
          </w:tcPr>
          <w:p w14:paraId="2A676BE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5CA2D14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(2.06)</w:t>
            </w:r>
          </w:p>
        </w:tc>
      </w:tr>
      <w:tr w:rsidR="008E7D4B" w:rsidRPr="0082225C" w14:paraId="1D5A717A" w14:textId="77777777" w:rsidTr="00015B88">
        <w:tc>
          <w:tcPr>
            <w:tcW w:w="2136" w:type="dxa"/>
            <w:tcBorders>
              <w:top w:val="nil"/>
              <w:left w:val="nil"/>
              <w:bottom w:val="nil"/>
              <w:right w:val="nil"/>
            </w:tcBorders>
          </w:tcPr>
          <w:p w14:paraId="7E0035E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2184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BDC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9261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7B7F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43F518F" w14:textId="77777777" w:rsidTr="00015B88">
        <w:tc>
          <w:tcPr>
            <w:tcW w:w="2136" w:type="dxa"/>
            <w:tcBorders>
              <w:top w:val="nil"/>
              <w:left w:val="nil"/>
              <w:bottom w:val="nil"/>
              <w:right w:val="nil"/>
            </w:tcBorders>
          </w:tcPr>
          <w:p w14:paraId="31C025D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L3.Polity Democracy Score (v2)</w:t>
            </w:r>
          </w:p>
        </w:tc>
        <w:tc>
          <w:tcPr>
            <w:tcW w:w="1656" w:type="dxa"/>
            <w:tcBorders>
              <w:top w:val="nil"/>
              <w:left w:val="nil"/>
              <w:bottom w:val="nil"/>
              <w:right w:val="nil"/>
            </w:tcBorders>
          </w:tcPr>
          <w:p w14:paraId="3379999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0.102</w:t>
            </w:r>
          </w:p>
        </w:tc>
        <w:tc>
          <w:tcPr>
            <w:tcW w:w="1656" w:type="dxa"/>
            <w:tcBorders>
              <w:top w:val="nil"/>
              <w:left w:val="nil"/>
              <w:bottom w:val="nil"/>
              <w:right w:val="nil"/>
            </w:tcBorders>
          </w:tcPr>
          <w:p w14:paraId="5B068E9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-0.310</w:t>
            </w:r>
          </w:p>
        </w:tc>
        <w:tc>
          <w:tcPr>
            <w:tcW w:w="1656" w:type="dxa"/>
            <w:tcBorders>
              <w:top w:val="nil"/>
              <w:left w:val="nil"/>
              <w:bottom w:val="nil"/>
              <w:right w:val="nil"/>
            </w:tcBorders>
          </w:tcPr>
          <w:p w14:paraId="259A564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-0.162</w:t>
            </w:r>
          </w:p>
        </w:tc>
        <w:tc>
          <w:tcPr>
            <w:tcW w:w="1656" w:type="dxa"/>
            <w:tcBorders>
              <w:top w:val="nil"/>
              <w:left w:val="nil"/>
              <w:bottom w:val="nil"/>
              <w:right w:val="nil"/>
            </w:tcBorders>
          </w:tcPr>
          <w:p w14:paraId="2CEBFC6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-0.0850</w:t>
            </w:r>
          </w:p>
        </w:tc>
      </w:tr>
      <w:tr w:rsidR="008E7D4B" w:rsidRPr="0082225C" w14:paraId="1CA2732D" w14:textId="77777777" w:rsidTr="00015B88">
        <w:tc>
          <w:tcPr>
            <w:tcW w:w="2136" w:type="dxa"/>
            <w:tcBorders>
              <w:top w:val="nil"/>
              <w:left w:val="nil"/>
              <w:bottom w:val="nil"/>
              <w:right w:val="nil"/>
            </w:tcBorders>
          </w:tcPr>
          <w:p w14:paraId="3C28E01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9F0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(0.44)</w:t>
            </w:r>
          </w:p>
        </w:tc>
        <w:tc>
          <w:tcPr>
            <w:tcW w:w="1656" w:type="dxa"/>
            <w:tcBorders>
              <w:top w:val="nil"/>
              <w:left w:val="nil"/>
              <w:bottom w:val="nil"/>
              <w:right w:val="nil"/>
            </w:tcBorders>
          </w:tcPr>
          <w:p w14:paraId="6EF796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(-0.98)</w:t>
            </w:r>
          </w:p>
        </w:tc>
        <w:tc>
          <w:tcPr>
            <w:tcW w:w="1656" w:type="dxa"/>
            <w:tcBorders>
              <w:top w:val="nil"/>
              <w:left w:val="nil"/>
              <w:bottom w:val="nil"/>
              <w:right w:val="nil"/>
            </w:tcBorders>
          </w:tcPr>
          <w:p w14:paraId="2B4812A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(-0.85)</w:t>
            </w:r>
          </w:p>
        </w:tc>
        <w:tc>
          <w:tcPr>
            <w:tcW w:w="1656" w:type="dxa"/>
            <w:tcBorders>
              <w:top w:val="nil"/>
              <w:left w:val="nil"/>
              <w:bottom w:val="nil"/>
              <w:right w:val="nil"/>
            </w:tcBorders>
          </w:tcPr>
          <w:p w14:paraId="06FFC12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r>
      <w:tr w:rsidR="008E7D4B" w:rsidRPr="0082225C" w14:paraId="7A7471DA" w14:textId="77777777" w:rsidTr="00015B88">
        <w:tc>
          <w:tcPr>
            <w:tcW w:w="2136" w:type="dxa"/>
            <w:tcBorders>
              <w:top w:val="nil"/>
              <w:left w:val="nil"/>
              <w:bottom w:val="nil"/>
              <w:right w:val="nil"/>
            </w:tcBorders>
          </w:tcPr>
          <w:p w14:paraId="1F29560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D6D5E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D842E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8B5EC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C0B1D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0FCBBF4" w14:textId="77777777" w:rsidTr="00015B88">
        <w:tc>
          <w:tcPr>
            <w:tcW w:w="2136" w:type="dxa"/>
            <w:tcBorders>
              <w:top w:val="nil"/>
              <w:left w:val="nil"/>
              <w:bottom w:val="nil"/>
              <w:right w:val="nil"/>
            </w:tcBorders>
          </w:tcPr>
          <w:p w14:paraId="6040C11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L4.Polity Democracy Score (v2)</w:t>
            </w:r>
          </w:p>
        </w:tc>
        <w:tc>
          <w:tcPr>
            <w:tcW w:w="1656" w:type="dxa"/>
            <w:tcBorders>
              <w:top w:val="nil"/>
              <w:left w:val="nil"/>
              <w:bottom w:val="nil"/>
              <w:right w:val="nil"/>
            </w:tcBorders>
          </w:tcPr>
          <w:p w14:paraId="2F3C63C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0.123</w:t>
            </w:r>
          </w:p>
        </w:tc>
        <w:tc>
          <w:tcPr>
            <w:tcW w:w="1656" w:type="dxa"/>
            <w:tcBorders>
              <w:top w:val="nil"/>
              <w:left w:val="nil"/>
              <w:bottom w:val="nil"/>
              <w:right w:val="nil"/>
            </w:tcBorders>
          </w:tcPr>
          <w:p w14:paraId="3ACD7E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0.559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786D470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0.315</w:t>
            </w:r>
          </w:p>
        </w:tc>
        <w:tc>
          <w:tcPr>
            <w:tcW w:w="1656" w:type="dxa"/>
            <w:tcBorders>
              <w:top w:val="nil"/>
              <w:left w:val="nil"/>
              <w:bottom w:val="nil"/>
              <w:right w:val="nil"/>
            </w:tcBorders>
          </w:tcPr>
          <w:p w14:paraId="1349CAF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0.0496</w:t>
            </w:r>
          </w:p>
        </w:tc>
      </w:tr>
      <w:tr w:rsidR="008E7D4B" w:rsidRPr="0082225C" w14:paraId="4183DDE7" w14:textId="77777777" w:rsidTr="00015B88">
        <w:tc>
          <w:tcPr>
            <w:tcW w:w="2136" w:type="dxa"/>
            <w:tcBorders>
              <w:top w:val="nil"/>
              <w:left w:val="nil"/>
              <w:bottom w:val="nil"/>
              <w:right w:val="nil"/>
            </w:tcBorders>
          </w:tcPr>
          <w:p w14:paraId="4AC33F0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55E30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(0.81)</w:t>
            </w:r>
          </w:p>
        </w:tc>
        <w:tc>
          <w:tcPr>
            <w:tcW w:w="1656" w:type="dxa"/>
            <w:tcBorders>
              <w:top w:val="nil"/>
              <w:left w:val="nil"/>
              <w:bottom w:val="nil"/>
              <w:right w:val="nil"/>
            </w:tcBorders>
          </w:tcPr>
          <w:p w14:paraId="5CF29A0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(2.48)</w:t>
            </w:r>
          </w:p>
        </w:tc>
        <w:tc>
          <w:tcPr>
            <w:tcW w:w="1656" w:type="dxa"/>
            <w:tcBorders>
              <w:top w:val="nil"/>
              <w:left w:val="nil"/>
              <w:bottom w:val="nil"/>
              <w:right w:val="nil"/>
            </w:tcBorders>
          </w:tcPr>
          <w:p w14:paraId="620C7B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(1.64)</w:t>
            </w:r>
          </w:p>
        </w:tc>
        <w:tc>
          <w:tcPr>
            <w:tcW w:w="1656" w:type="dxa"/>
            <w:tcBorders>
              <w:top w:val="nil"/>
              <w:left w:val="nil"/>
              <w:bottom w:val="nil"/>
              <w:right w:val="nil"/>
            </w:tcBorders>
          </w:tcPr>
          <w:p w14:paraId="13E7DFD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(0.75)</w:t>
            </w:r>
          </w:p>
        </w:tc>
      </w:tr>
      <w:tr w:rsidR="008E7D4B" w:rsidRPr="0082225C" w14:paraId="47102256" w14:textId="77777777" w:rsidTr="00015B88">
        <w:tc>
          <w:tcPr>
            <w:tcW w:w="2136" w:type="dxa"/>
            <w:tcBorders>
              <w:top w:val="nil"/>
              <w:left w:val="nil"/>
              <w:bottom w:val="nil"/>
              <w:right w:val="nil"/>
            </w:tcBorders>
          </w:tcPr>
          <w:p w14:paraId="7AE4BEB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7607A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FF4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18F9C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336E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C2E6E4D" w14:textId="77777777" w:rsidTr="00015B88">
        <w:tc>
          <w:tcPr>
            <w:tcW w:w="2136" w:type="dxa"/>
            <w:tcBorders>
              <w:top w:val="nil"/>
              <w:left w:val="nil"/>
              <w:bottom w:val="nil"/>
              <w:right w:val="nil"/>
            </w:tcBorders>
          </w:tcPr>
          <w:p w14:paraId="51020E6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L5.Polity Democracy Score (v2)</w:t>
            </w:r>
          </w:p>
        </w:tc>
        <w:tc>
          <w:tcPr>
            <w:tcW w:w="1656" w:type="dxa"/>
            <w:tcBorders>
              <w:top w:val="nil"/>
              <w:left w:val="nil"/>
              <w:bottom w:val="nil"/>
              <w:right w:val="nil"/>
            </w:tcBorders>
          </w:tcPr>
          <w:p w14:paraId="56EEE14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-0.0315</w:t>
            </w:r>
          </w:p>
        </w:tc>
        <w:tc>
          <w:tcPr>
            <w:tcW w:w="1656" w:type="dxa"/>
            <w:tcBorders>
              <w:top w:val="nil"/>
              <w:left w:val="nil"/>
              <w:bottom w:val="nil"/>
              <w:right w:val="nil"/>
            </w:tcBorders>
          </w:tcPr>
          <w:p w14:paraId="2546320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-0.123</w:t>
            </w:r>
          </w:p>
        </w:tc>
        <w:tc>
          <w:tcPr>
            <w:tcW w:w="1656" w:type="dxa"/>
            <w:tcBorders>
              <w:top w:val="nil"/>
              <w:left w:val="nil"/>
              <w:bottom w:val="nil"/>
              <w:right w:val="nil"/>
            </w:tcBorders>
          </w:tcPr>
          <w:p w14:paraId="10FABF7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-0.120</w:t>
            </w:r>
          </w:p>
        </w:tc>
        <w:tc>
          <w:tcPr>
            <w:tcW w:w="1656" w:type="dxa"/>
            <w:tcBorders>
              <w:top w:val="nil"/>
              <w:left w:val="nil"/>
              <w:bottom w:val="nil"/>
              <w:right w:val="nil"/>
            </w:tcBorders>
          </w:tcPr>
          <w:p w14:paraId="7E9103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-0.0471</w:t>
            </w:r>
          </w:p>
        </w:tc>
      </w:tr>
      <w:tr w:rsidR="008E7D4B" w:rsidRPr="0082225C" w14:paraId="220E1566" w14:textId="77777777" w:rsidTr="00015B88">
        <w:tc>
          <w:tcPr>
            <w:tcW w:w="2136" w:type="dxa"/>
            <w:tcBorders>
              <w:top w:val="nil"/>
              <w:left w:val="nil"/>
              <w:bottom w:val="nil"/>
              <w:right w:val="nil"/>
            </w:tcBorders>
          </w:tcPr>
          <w:p w14:paraId="3C4A478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A6F1C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w:t>
            </w:r>
          </w:p>
        </w:tc>
        <w:tc>
          <w:tcPr>
            <w:tcW w:w="1656" w:type="dxa"/>
            <w:tcBorders>
              <w:top w:val="nil"/>
              <w:left w:val="nil"/>
              <w:bottom w:val="nil"/>
              <w:right w:val="nil"/>
            </w:tcBorders>
          </w:tcPr>
          <w:p w14:paraId="0796B3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(-0.69)</w:t>
            </w:r>
          </w:p>
        </w:tc>
        <w:tc>
          <w:tcPr>
            <w:tcW w:w="1656" w:type="dxa"/>
            <w:tcBorders>
              <w:top w:val="nil"/>
              <w:left w:val="nil"/>
              <w:bottom w:val="nil"/>
              <w:right w:val="nil"/>
            </w:tcBorders>
          </w:tcPr>
          <w:p w14:paraId="3B7F0B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(-0.71)</w:t>
            </w:r>
          </w:p>
        </w:tc>
        <w:tc>
          <w:tcPr>
            <w:tcW w:w="1656" w:type="dxa"/>
            <w:tcBorders>
              <w:top w:val="nil"/>
              <w:left w:val="nil"/>
              <w:bottom w:val="nil"/>
              <w:right w:val="nil"/>
            </w:tcBorders>
          </w:tcPr>
          <w:p w14:paraId="13DD0B7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(-0.89)</w:t>
            </w:r>
          </w:p>
        </w:tc>
      </w:tr>
      <w:tr w:rsidR="008E7D4B" w:rsidRPr="0082225C" w14:paraId="52FF26E4" w14:textId="77777777" w:rsidTr="00015B88">
        <w:tc>
          <w:tcPr>
            <w:tcW w:w="2136" w:type="dxa"/>
            <w:tcBorders>
              <w:top w:val="nil"/>
              <w:left w:val="nil"/>
              <w:bottom w:val="nil"/>
              <w:right w:val="nil"/>
            </w:tcBorders>
          </w:tcPr>
          <w:p w14:paraId="1157A7E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FEA3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59B9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30CB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49B8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85A6B96" w14:textId="77777777" w:rsidTr="00015B88">
        <w:tc>
          <w:tcPr>
            <w:tcW w:w="2136" w:type="dxa"/>
            <w:tcBorders>
              <w:top w:val="nil"/>
              <w:left w:val="nil"/>
              <w:bottom w:val="nil"/>
              <w:right w:val="nil"/>
            </w:tcBorders>
          </w:tcPr>
          <w:p w14:paraId="2183D00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L6.Polity Democracy Score (v2)</w:t>
            </w:r>
          </w:p>
        </w:tc>
        <w:tc>
          <w:tcPr>
            <w:tcW w:w="1656" w:type="dxa"/>
            <w:tcBorders>
              <w:top w:val="nil"/>
              <w:left w:val="nil"/>
              <w:bottom w:val="nil"/>
              <w:right w:val="nil"/>
            </w:tcBorders>
          </w:tcPr>
          <w:p w14:paraId="58D1205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0.00317</w:t>
            </w:r>
          </w:p>
        </w:tc>
        <w:tc>
          <w:tcPr>
            <w:tcW w:w="1656" w:type="dxa"/>
            <w:tcBorders>
              <w:top w:val="nil"/>
              <w:left w:val="nil"/>
              <w:bottom w:val="nil"/>
              <w:right w:val="nil"/>
            </w:tcBorders>
          </w:tcPr>
          <w:p w14:paraId="69D1B9F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0.162</w:t>
            </w:r>
          </w:p>
        </w:tc>
        <w:tc>
          <w:tcPr>
            <w:tcW w:w="1656" w:type="dxa"/>
            <w:tcBorders>
              <w:top w:val="nil"/>
              <w:left w:val="nil"/>
              <w:bottom w:val="nil"/>
              <w:right w:val="nil"/>
            </w:tcBorders>
          </w:tcPr>
          <w:p w14:paraId="2DD7F9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0.0697</w:t>
            </w:r>
          </w:p>
        </w:tc>
        <w:tc>
          <w:tcPr>
            <w:tcW w:w="1656" w:type="dxa"/>
            <w:tcBorders>
              <w:top w:val="nil"/>
              <w:left w:val="nil"/>
              <w:bottom w:val="nil"/>
              <w:right w:val="nil"/>
            </w:tcBorders>
          </w:tcPr>
          <w:p w14:paraId="5198A76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0.0601</w:t>
            </w:r>
          </w:p>
        </w:tc>
      </w:tr>
      <w:tr w:rsidR="008E7D4B" w:rsidRPr="0082225C" w14:paraId="50E7B92A" w14:textId="77777777" w:rsidTr="00015B88">
        <w:tc>
          <w:tcPr>
            <w:tcW w:w="2136" w:type="dxa"/>
            <w:tcBorders>
              <w:top w:val="nil"/>
              <w:left w:val="nil"/>
              <w:bottom w:val="nil"/>
              <w:right w:val="nil"/>
            </w:tcBorders>
          </w:tcPr>
          <w:p w14:paraId="6FDE458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1E96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w:t>
            </w:r>
          </w:p>
        </w:tc>
        <w:tc>
          <w:tcPr>
            <w:tcW w:w="1656" w:type="dxa"/>
            <w:tcBorders>
              <w:top w:val="nil"/>
              <w:left w:val="nil"/>
              <w:bottom w:val="nil"/>
              <w:right w:val="nil"/>
            </w:tcBorders>
          </w:tcPr>
          <w:p w14:paraId="59721F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(0.95)</w:t>
            </w:r>
          </w:p>
        </w:tc>
        <w:tc>
          <w:tcPr>
            <w:tcW w:w="1656" w:type="dxa"/>
            <w:tcBorders>
              <w:top w:val="nil"/>
              <w:left w:val="nil"/>
              <w:bottom w:val="nil"/>
              <w:right w:val="nil"/>
            </w:tcBorders>
          </w:tcPr>
          <w:p w14:paraId="0A20A56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c>
          <w:tcPr>
            <w:tcW w:w="1656" w:type="dxa"/>
            <w:tcBorders>
              <w:top w:val="nil"/>
              <w:left w:val="nil"/>
              <w:bottom w:val="nil"/>
              <w:right w:val="nil"/>
            </w:tcBorders>
          </w:tcPr>
          <w:p w14:paraId="217642A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(0.77)</w:t>
            </w:r>
          </w:p>
        </w:tc>
      </w:tr>
      <w:tr w:rsidR="008E7D4B" w:rsidRPr="0082225C" w14:paraId="1E791136" w14:textId="77777777" w:rsidTr="00015B88">
        <w:tc>
          <w:tcPr>
            <w:tcW w:w="2136" w:type="dxa"/>
            <w:tcBorders>
              <w:top w:val="nil"/>
              <w:left w:val="nil"/>
              <w:bottom w:val="nil"/>
              <w:right w:val="nil"/>
            </w:tcBorders>
          </w:tcPr>
          <w:p w14:paraId="64B7587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9059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8A5E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1A1A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269F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E431666" w14:textId="77777777" w:rsidTr="00015B88">
        <w:tc>
          <w:tcPr>
            <w:tcW w:w="2136" w:type="dxa"/>
            <w:tcBorders>
              <w:top w:val="nil"/>
              <w:left w:val="nil"/>
              <w:bottom w:val="nil"/>
              <w:right w:val="nil"/>
            </w:tcBorders>
          </w:tcPr>
          <w:p w14:paraId="259619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L7.Polity Democracy Score (v2)</w:t>
            </w:r>
          </w:p>
        </w:tc>
        <w:tc>
          <w:tcPr>
            <w:tcW w:w="1656" w:type="dxa"/>
            <w:tcBorders>
              <w:top w:val="nil"/>
              <w:left w:val="nil"/>
              <w:bottom w:val="nil"/>
              <w:right w:val="nil"/>
            </w:tcBorders>
          </w:tcPr>
          <w:p w14:paraId="0A60689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0.0172</w:t>
            </w:r>
          </w:p>
        </w:tc>
        <w:tc>
          <w:tcPr>
            <w:tcW w:w="1656" w:type="dxa"/>
            <w:tcBorders>
              <w:top w:val="nil"/>
              <w:left w:val="nil"/>
              <w:bottom w:val="nil"/>
              <w:right w:val="nil"/>
            </w:tcBorders>
          </w:tcPr>
          <w:p w14:paraId="2F98F4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-0.328</w:t>
            </w:r>
          </w:p>
        </w:tc>
        <w:tc>
          <w:tcPr>
            <w:tcW w:w="1656" w:type="dxa"/>
            <w:tcBorders>
              <w:top w:val="nil"/>
              <w:left w:val="nil"/>
              <w:bottom w:val="nil"/>
              <w:right w:val="nil"/>
            </w:tcBorders>
          </w:tcPr>
          <w:p w14:paraId="19F5DE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0.0295</w:t>
            </w:r>
          </w:p>
        </w:tc>
        <w:tc>
          <w:tcPr>
            <w:tcW w:w="1656" w:type="dxa"/>
            <w:tcBorders>
              <w:top w:val="nil"/>
              <w:left w:val="nil"/>
              <w:bottom w:val="nil"/>
              <w:right w:val="nil"/>
            </w:tcBorders>
          </w:tcPr>
          <w:p w14:paraId="086D903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-0.00454</w:t>
            </w:r>
          </w:p>
        </w:tc>
      </w:tr>
      <w:tr w:rsidR="008E7D4B" w:rsidRPr="0082225C" w14:paraId="67A0B3A3" w14:textId="77777777" w:rsidTr="00015B88">
        <w:tc>
          <w:tcPr>
            <w:tcW w:w="2136" w:type="dxa"/>
            <w:tcBorders>
              <w:top w:val="nil"/>
              <w:left w:val="nil"/>
              <w:bottom w:val="nil"/>
              <w:right w:val="nil"/>
            </w:tcBorders>
          </w:tcPr>
          <w:p w14:paraId="1EBF47A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BE00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w:t>
            </w:r>
          </w:p>
        </w:tc>
        <w:tc>
          <w:tcPr>
            <w:tcW w:w="1656" w:type="dxa"/>
            <w:tcBorders>
              <w:top w:val="nil"/>
              <w:left w:val="nil"/>
              <w:bottom w:val="nil"/>
              <w:right w:val="nil"/>
            </w:tcBorders>
          </w:tcPr>
          <w:p w14:paraId="4D3D4B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(-1.70)</w:t>
            </w:r>
          </w:p>
        </w:tc>
        <w:tc>
          <w:tcPr>
            <w:tcW w:w="1656" w:type="dxa"/>
            <w:tcBorders>
              <w:top w:val="nil"/>
              <w:left w:val="nil"/>
              <w:bottom w:val="nil"/>
              <w:right w:val="nil"/>
            </w:tcBorders>
          </w:tcPr>
          <w:p w14:paraId="4378C0E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(0.19)</w:t>
            </w:r>
          </w:p>
        </w:tc>
        <w:tc>
          <w:tcPr>
            <w:tcW w:w="1656" w:type="dxa"/>
            <w:tcBorders>
              <w:top w:val="nil"/>
              <w:left w:val="nil"/>
              <w:bottom w:val="nil"/>
              <w:right w:val="nil"/>
            </w:tcBorders>
          </w:tcPr>
          <w:p w14:paraId="0A8D3E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r>
      <w:tr w:rsidR="008E7D4B" w:rsidRPr="0082225C" w14:paraId="572DBC7A" w14:textId="77777777" w:rsidTr="00015B88">
        <w:tc>
          <w:tcPr>
            <w:tcW w:w="2136" w:type="dxa"/>
            <w:tcBorders>
              <w:top w:val="nil"/>
              <w:left w:val="nil"/>
              <w:bottom w:val="nil"/>
              <w:right w:val="nil"/>
            </w:tcBorders>
          </w:tcPr>
          <w:p w14:paraId="1B185E7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ECC47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8C1E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744E4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EBE7F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E2F95DA" w14:textId="77777777" w:rsidTr="00015B88">
        <w:tc>
          <w:tcPr>
            <w:tcW w:w="2136" w:type="dxa"/>
            <w:tcBorders>
              <w:top w:val="nil"/>
              <w:left w:val="nil"/>
              <w:bottom w:val="nil"/>
              <w:right w:val="nil"/>
            </w:tcBorders>
          </w:tcPr>
          <w:p w14:paraId="10A469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L8.Polity Democracy Score (v2)</w:t>
            </w:r>
          </w:p>
        </w:tc>
        <w:tc>
          <w:tcPr>
            <w:tcW w:w="1656" w:type="dxa"/>
            <w:tcBorders>
              <w:top w:val="nil"/>
              <w:left w:val="nil"/>
              <w:bottom w:val="nil"/>
              <w:right w:val="nil"/>
            </w:tcBorders>
          </w:tcPr>
          <w:p w14:paraId="0E6DD4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0.0686</w:t>
            </w:r>
          </w:p>
        </w:tc>
        <w:tc>
          <w:tcPr>
            <w:tcW w:w="1656" w:type="dxa"/>
            <w:tcBorders>
              <w:top w:val="nil"/>
              <w:left w:val="nil"/>
              <w:bottom w:val="nil"/>
              <w:right w:val="nil"/>
            </w:tcBorders>
          </w:tcPr>
          <w:p w14:paraId="268640F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-0.134</w:t>
            </w:r>
          </w:p>
        </w:tc>
        <w:tc>
          <w:tcPr>
            <w:tcW w:w="1656" w:type="dxa"/>
            <w:tcBorders>
              <w:top w:val="nil"/>
              <w:left w:val="nil"/>
              <w:bottom w:val="nil"/>
              <w:right w:val="nil"/>
            </w:tcBorders>
          </w:tcPr>
          <w:p w14:paraId="0776AD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-0.226</w:t>
            </w:r>
          </w:p>
        </w:tc>
        <w:tc>
          <w:tcPr>
            <w:tcW w:w="1656" w:type="dxa"/>
            <w:tcBorders>
              <w:top w:val="nil"/>
              <w:left w:val="nil"/>
              <w:bottom w:val="nil"/>
              <w:right w:val="nil"/>
            </w:tcBorders>
          </w:tcPr>
          <w:p w14:paraId="6EEFBC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0.0180</w:t>
            </w:r>
          </w:p>
        </w:tc>
      </w:tr>
      <w:tr w:rsidR="008E7D4B" w:rsidRPr="0082225C" w14:paraId="75FC8DFF" w14:textId="77777777" w:rsidTr="00015B88">
        <w:tc>
          <w:tcPr>
            <w:tcW w:w="2136" w:type="dxa"/>
            <w:tcBorders>
              <w:top w:val="nil"/>
              <w:left w:val="nil"/>
              <w:bottom w:val="nil"/>
              <w:right w:val="nil"/>
            </w:tcBorders>
          </w:tcPr>
          <w:p w14:paraId="0294D09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32F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(0.38)</w:t>
            </w:r>
          </w:p>
        </w:tc>
        <w:tc>
          <w:tcPr>
            <w:tcW w:w="1656" w:type="dxa"/>
            <w:tcBorders>
              <w:top w:val="nil"/>
              <w:left w:val="nil"/>
              <w:bottom w:val="nil"/>
              <w:right w:val="nil"/>
            </w:tcBorders>
          </w:tcPr>
          <w:p w14:paraId="551460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(-0.54)</w:t>
            </w:r>
          </w:p>
        </w:tc>
        <w:tc>
          <w:tcPr>
            <w:tcW w:w="1656" w:type="dxa"/>
            <w:tcBorders>
              <w:top w:val="nil"/>
              <w:left w:val="nil"/>
              <w:bottom w:val="nil"/>
              <w:right w:val="nil"/>
            </w:tcBorders>
          </w:tcPr>
          <w:p w14:paraId="09CEF5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(-1.42)</w:t>
            </w:r>
          </w:p>
        </w:tc>
        <w:tc>
          <w:tcPr>
            <w:tcW w:w="1656" w:type="dxa"/>
            <w:tcBorders>
              <w:top w:val="nil"/>
              <w:left w:val="nil"/>
              <w:bottom w:val="nil"/>
              <w:right w:val="nil"/>
            </w:tcBorders>
          </w:tcPr>
          <w:p w14:paraId="63BA1D2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w:t>
            </w:r>
          </w:p>
        </w:tc>
      </w:tr>
      <w:tr w:rsidR="008E7D4B" w:rsidRPr="0082225C" w14:paraId="194D6E60" w14:textId="77777777" w:rsidTr="00015B88">
        <w:tc>
          <w:tcPr>
            <w:tcW w:w="2136" w:type="dxa"/>
            <w:tcBorders>
              <w:top w:val="nil"/>
              <w:left w:val="nil"/>
              <w:bottom w:val="nil"/>
              <w:right w:val="nil"/>
            </w:tcBorders>
          </w:tcPr>
          <w:p w14:paraId="74E058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D45F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26E6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A20C1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650F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28D2503" w14:textId="77777777" w:rsidTr="00015B88">
        <w:tc>
          <w:tcPr>
            <w:tcW w:w="2136" w:type="dxa"/>
            <w:tcBorders>
              <w:top w:val="nil"/>
              <w:left w:val="nil"/>
              <w:bottom w:val="nil"/>
              <w:right w:val="nil"/>
            </w:tcBorders>
          </w:tcPr>
          <w:p w14:paraId="4A900D6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L9.Polity Democracy Score (v2)</w:t>
            </w:r>
          </w:p>
        </w:tc>
        <w:tc>
          <w:tcPr>
            <w:tcW w:w="1656" w:type="dxa"/>
            <w:tcBorders>
              <w:top w:val="nil"/>
              <w:left w:val="nil"/>
              <w:bottom w:val="nil"/>
              <w:right w:val="nil"/>
            </w:tcBorders>
          </w:tcPr>
          <w:p w14:paraId="135EE88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-0.116</w:t>
            </w:r>
          </w:p>
        </w:tc>
        <w:tc>
          <w:tcPr>
            <w:tcW w:w="1656" w:type="dxa"/>
            <w:tcBorders>
              <w:top w:val="nil"/>
              <w:left w:val="nil"/>
              <w:bottom w:val="nil"/>
              <w:right w:val="nil"/>
            </w:tcBorders>
          </w:tcPr>
          <w:p w14:paraId="3B0C7C0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0.499</w:t>
            </w:r>
          </w:p>
        </w:tc>
        <w:tc>
          <w:tcPr>
            <w:tcW w:w="1656" w:type="dxa"/>
            <w:tcBorders>
              <w:top w:val="nil"/>
              <w:left w:val="nil"/>
              <w:bottom w:val="nil"/>
              <w:right w:val="nil"/>
            </w:tcBorders>
          </w:tcPr>
          <w:p w14:paraId="68FE2C3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0.119</w:t>
            </w:r>
          </w:p>
        </w:tc>
        <w:tc>
          <w:tcPr>
            <w:tcW w:w="1656" w:type="dxa"/>
            <w:tcBorders>
              <w:top w:val="nil"/>
              <w:left w:val="nil"/>
              <w:bottom w:val="nil"/>
              <w:right w:val="nil"/>
            </w:tcBorders>
          </w:tcPr>
          <w:p w14:paraId="79F2615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-0.0774</w:t>
            </w:r>
          </w:p>
        </w:tc>
      </w:tr>
      <w:tr w:rsidR="008E7D4B" w:rsidRPr="0082225C" w14:paraId="7D239CCC" w14:textId="77777777" w:rsidTr="00015B88">
        <w:tc>
          <w:tcPr>
            <w:tcW w:w="2136" w:type="dxa"/>
            <w:tcBorders>
              <w:top w:val="nil"/>
              <w:left w:val="nil"/>
              <w:bottom w:val="nil"/>
              <w:right w:val="nil"/>
            </w:tcBorders>
          </w:tcPr>
          <w:p w14:paraId="5BD1DF3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6C6BB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(-0.69)</w:t>
            </w:r>
          </w:p>
        </w:tc>
        <w:tc>
          <w:tcPr>
            <w:tcW w:w="1656" w:type="dxa"/>
            <w:tcBorders>
              <w:top w:val="nil"/>
              <w:left w:val="nil"/>
              <w:bottom w:val="nil"/>
              <w:right w:val="nil"/>
            </w:tcBorders>
          </w:tcPr>
          <w:p w14:paraId="636D0A3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(1.94)</w:t>
            </w:r>
          </w:p>
        </w:tc>
        <w:tc>
          <w:tcPr>
            <w:tcW w:w="1656" w:type="dxa"/>
            <w:tcBorders>
              <w:top w:val="nil"/>
              <w:left w:val="nil"/>
              <w:bottom w:val="nil"/>
              <w:right w:val="nil"/>
            </w:tcBorders>
          </w:tcPr>
          <w:p w14:paraId="692CFB4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(0.68)</w:t>
            </w:r>
          </w:p>
        </w:tc>
        <w:tc>
          <w:tcPr>
            <w:tcW w:w="1656" w:type="dxa"/>
            <w:tcBorders>
              <w:top w:val="nil"/>
              <w:left w:val="nil"/>
              <w:bottom w:val="nil"/>
              <w:right w:val="nil"/>
            </w:tcBorders>
          </w:tcPr>
          <w:p w14:paraId="7DB0A7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(-1.51)</w:t>
            </w:r>
          </w:p>
        </w:tc>
      </w:tr>
      <w:tr w:rsidR="008E7D4B" w:rsidRPr="0082225C" w14:paraId="453676CC" w14:textId="77777777" w:rsidTr="00015B88">
        <w:tc>
          <w:tcPr>
            <w:tcW w:w="2136" w:type="dxa"/>
            <w:tcBorders>
              <w:top w:val="nil"/>
              <w:left w:val="nil"/>
              <w:bottom w:val="nil"/>
              <w:right w:val="nil"/>
            </w:tcBorders>
          </w:tcPr>
          <w:p w14:paraId="5A43393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F6DD9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A048F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1D0F4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DF792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4E68480" w14:textId="77777777" w:rsidTr="00015B88">
        <w:tc>
          <w:tcPr>
            <w:tcW w:w="2136" w:type="dxa"/>
            <w:tcBorders>
              <w:top w:val="nil"/>
              <w:left w:val="nil"/>
              <w:bottom w:val="nil"/>
              <w:right w:val="nil"/>
            </w:tcBorders>
          </w:tcPr>
          <w:p w14:paraId="557856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L10.Polity Democracy Score (v2)</w:t>
            </w:r>
          </w:p>
        </w:tc>
        <w:tc>
          <w:tcPr>
            <w:tcW w:w="1656" w:type="dxa"/>
            <w:tcBorders>
              <w:top w:val="nil"/>
              <w:left w:val="nil"/>
              <w:bottom w:val="nil"/>
              <w:right w:val="nil"/>
            </w:tcBorders>
          </w:tcPr>
          <w:p w14:paraId="0499CB5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-0.0698</w:t>
            </w:r>
          </w:p>
        </w:tc>
        <w:tc>
          <w:tcPr>
            <w:tcW w:w="1656" w:type="dxa"/>
            <w:tcBorders>
              <w:top w:val="nil"/>
              <w:left w:val="nil"/>
              <w:bottom w:val="nil"/>
              <w:right w:val="nil"/>
            </w:tcBorders>
          </w:tcPr>
          <w:p w14:paraId="1B1B176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-0.180</w:t>
            </w:r>
          </w:p>
        </w:tc>
        <w:tc>
          <w:tcPr>
            <w:tcW w:w="1656" w:type="dxa"/>
            <w:tcBorders>
              <w:top w:val="nil"/>
              <w:left w:val="nil"/>
              <w:bottom w:val="nil"/>
              <w:right w:val="nil"/>
            </w:tcBorders>
          </w:tcPr>
          <w:p w14:paraId="795DD73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-0.0764</w:t>
            </w:r>
          </w:p>
        </w:tc>
        <w:tc>
          <w:tcPr>
            <w:tcW w:w="1656" w:type="dxa"/>
            <w:tcBorders>
              <w:top w:val="nil"/>
              <w:left w:val="nil"/>
              <w:bottom w:val="nil"/>
              <w:right w:val="nil"/>
            </w:tcBorders>
          </w:tcPr>
          <w:p w14:paraId="2015F1B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-0.0417</w:t>
            </w:r>
          </w:p>
        </w:tc>
      </w:tr>
      <w:tr w:rsidR="008E7D4B" w:rsidRPr="0082225C" w14:paraId="0A64A8C5" w14:textId="77777777" w:rsidTr="00015B88">
        <w:tc>
          <w:tcPr>
            <w:tcW w:w="2136" w:type="dxa"/>
            <w:tcBorders>
              <w:top w:val="nil"/>
              <w:left w:val="nil"/>
              <w:bottom w:val="nil"/>
              <w:right w:val="nil"/>
            </w:tcBorders>
          </w:tcPr>
          <w:p w14:paraId="1A75CA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6DD4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3AC3D6E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(-1.65)</w:t>
            </w:r>
          </w:p>
        </w:tc>
        <w:tc>
          <w:tcPr>
            <w:tcW w:w="1656" w:type="dxa"/>
            <w:tcBorders>
              <w:top w:val="nil"/>
              <w:left w:val="nil"/>
              <w:bottom w:val="nil"/>
              <w:right w:val="nil"/>
            </w:tcBorders>
          </w:tcPr>
          <w:p w14:paraId="0617CA7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(-0.85)</w:t>
            </w:r>
          </w:p>
        </w:tc>
        <w:tc>
          <w:tcPr>
            <w:tcW w:w="1656" w:type="dxa"/>
            <w:tcBorders>
              <w:top w:val="nil"/>
              <w:left w:val="nil"/>
              <w:bottom w:val="nil"/>
              <w:right w:val="nil"/>
            </w:tcBorders>
          </w:tcPr>
          <w:p w14:paraId="59BEDE5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w:t>
            </w:r>
          </w:p>
        </w:tc>
      </w:tr>
      <w:tr w:rsidR="008E7D4B" w:rsidRPr="0082225C" w14:paraId="176CD4F2" w14:textId="77777777" w:rsidTr="00015B88">
        <w:tc>
          <w:tcPr>
            <w:tcW w:w="2136" w:type="dxa"/>
            <w:tcBorders>
              <w:top w:val="nil"/>
              <w:left w:val="nil"/>
              <w:bottom w:val="nil"/>
              <w:right w:val="nil"/>
            </w:tcBorders>
          </w:tcPr>
          <w:p w14:paraId="52AB360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4487A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15EF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950B0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D42A6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C69E94D" w14:textId="77777777" w:rsidTr="00015B88">
        <w:tc>
          <w:tcPr>
            <w:tcW w:w="2136" w:type="dxa"/>
            <w:tcBorders>
              <w:top w:val="nil"/>
              <w:left w:val="nil"/>
              <w:bottom w:val="nil"/>
              <w:right w:val="nil"/>
            </w:tcBorders>
          </w:tcPr>
          <w:p w14:paraId="4531FB9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2225C">
              <w:rPr>
                <w:rFonts w:ascii="Times New Roman" w:hAnsi="Times New Roman" w:cs="Times New Roman"/>
                <w:sz w:val="16"/>
                <w:szCs w:val="16"/>
              </w:rPr>
              <w:t>L.De</w:t>
            </w:r>
            <w:proofErr w:type="spellEnd"/>
            <w:r w:rsidRPr="0082225C">
              <w:rPr>
                <w:rFonts w:ascii="Times New Roman" w:hAnsi="Times New Roman" w:cs="Times New Roman"/>
                <w:sz w:val="16"/>
                <w:szCs w:val="16"/>
              </w:rPr>
              <w:t xml:space="preserve"> Jure CBI * Polity Democracy</w:t>
            </w:r>
          </w:p>
        </w:tc>
        <w:tc>
          <w:tcPr>
            <w:tcW w:w="1656" w:type="dxa"/>
            <w:tcBorders>
              <w:top w:val="nil"/>
              <w:left w:val="nil"/>
              <w:bottom w:val="nil"/>
              <w:right w:val="nil"/>
            </w:tcBorders>
          </w:tcPr>
          <w:p w14:paraId="298E9C9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-0.515</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5F1B000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-0.829</w:t>
            </w:r>
          </w:p>
        </w:tc>
        <w:tc>
          <w:tcPr>
            <w:tcW w:w="1656" w:type="dxa"/>
            <w:tcBorders>
              <w:top w:val="nil"/>
              <w:left w:val="nil"/>
              <w:bottom w:val="nil"/>
              <w:right w:val="nil"/>
            </w:tcBorders>
          </w:tcPr>
          <w:p w14:paraId="29DE352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0.0255</w:t>
            </w:r>
          </w:p>
        </w:tc>
        <w:tc>
          <w:tcPr>
            <w:tcW w:w="1656" w:type="dxa"/>
            <w:tcBorders>
              <w:top w:val="nil"/>
              <w:left w:val="nil"/>
              <w:bottom w:val="nil"/>
              <w:right w:val="nil"/>
            </w:tcBorders>
          </w:tcPr>
          <w:p w14:paraId="4CAA4D7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0.0924</w:t>
            </w:r>
          </w:p>
        </w:tc>
      </w:tr>
      <w:tr w:rsidR="008E7D4B" w:rsidRPr="0082225C" w14:paraId="4FC708C1" w14:textId="77777777" w:rsidTr="00015B88">
        <w:tc>
          <w:tcPr>
            <w:tcW w:w="2136" w:type="dxa"/>
            <w:tcBorders>
              <w:top w:val="nil"/>
              <w:left w:val="nil"/>
              <w:bottom w:val="nil"/>
              <w:right w:val="nil"/>
            </w:tcBorders>
          </w:tcPr>
          <w:p w14:paraId="462815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CCAF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(-1.99)</w:t>
            </w:r>
          </w:p>
        </w:tc>
        <w:tc>
          <w:tcPr>
            <w:tcW w:w="1656" w:type="dxa"/>
            <w:tcBorders>
              <w:top w:val="nil"/>
              <w:left w:val="nil"/>
              <w:bottom w:val="nil"/>
              <w:right w:val="nil"/>
            </w:tcBorders>
          </w:tcPr>
          <w:p w14:paraId="6970EF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(-1.50)</w:t>
            </w:r>
          </w:p>
        </w:tc>
        <w:tc>
          <w:tcPr>
            <w:tcW w:w="1656" w:type="dxa"/>
            <w:tcBorders>
              <w:top w:val="nil"/>
              <w:left w:val="nil"/>
              <w:bottom w:val="nil"/>
              <w:right w:val="nil"/>
            </w:tcBorders>
          </w:tcPr>
          <w:p w14:paraId="2CA8D9E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64BD5D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(0.47)</w:t>
            </w:r>
          </w:p>
        </w:tc>
      </w:tr>
      <w:tr w:rsidR="008E7D4B" w:rsidRPr="0082225C" w14:paraId="6A437807" w14:textId="77777777" w:rsidTr="00015B88">
        <w:tc>
          <w:tcPr>
            <w:tcW w:w="2136" w:type="dxa"/>
            <w:tcBorders>
              <w:top w:val="nil"/>
              <w:left w:val="nil"/>
              <w:bottom w:val="nil"/>
              <w:right w:val="nil"/>
            </w:tcBorders>
          </w:tcPr>
          <w:p w14:paraId="21A7BEA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4A3E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B831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F01E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D21A2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CD0AC46" w14:textId="77777777" w:rsidTr="00015B88">
        <w:tc>
          <w:tcPr>
            <w:tcW w:w="2136" w:type="dxa"/>
            <w:tcBorders>
              <w:top w:val="nil"/>
              <w:left w:val="nil"/>
              <w:bottom w:val="nil"/>
              <w:right w:val="nil"/>
            </w:tcBorders>
          </w:tcPr>
          <w:p w14:paraId="3960A79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L2.De Jure CBI * Polity Democracy</w:t>
            </w:r>
          </w:p>
        </w:tc>
        <w:tc>
          <w:tcPr>
            <w:tcW w:w="1656" w:type="dxa"/>
            <w:tcBorders>
              <w:top w:val="nil"/>
              <w:left w:val="nil"/>
              <w:bottom w:val="nil"/>
              <w:right w:val="nil"/>
            </w:tcBorders>
          </w:tcPr>
          <w:p w14:paraId="4C0A402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0.414</w:t>
            </w:r>
          </w:p>
        </w:tc>
        <w:tc>
          <w:tcPr>
            <w:tcW w:w="1656" w:type="dxa"/>
            <w:tcBorders>
              <w:top w:val="nil"/>
              <w:left w:val="nil"/>
              <w:bottom w:val="nil"/>
              <w:right w:val="nil"/>
            </w:tcBorders>
          </w:tcPr>
          <w:p w14:paraId="404BA1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0.351</w:t>
            </w:r>
          </w:p>
        </w:tc>
        <w:tc>
          <w:tcPr>
            <w:tcW w:w="1656" w:type="dxa"/>
            <w:tcBorders>
              <w:top w:val="nil"/>
              <w:left w:val="nil"/>
              <w:bottom w:val="nil"/>
              <w:right w:val="nil"/>
            </w:tcBorders>
          </w:tcPr>
          <w:p w14:paraId="308693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0.215</w:t>
            </w:r>
          </w:p>
        </w:tc>
        <w:tc>
          <w:tcPr>
            <w:tcW w:w="1656" w:type="dxa"/>
            <w:tcBorders>
              <w:top w:val="nil"/>
              <w:left w:val="nil"/>
              <w:bottom w:val="nil"/>
              <w:right w:val="nil"/>
            </w:tcBorders>
          </w:tcPr>
          <w:p w14:paraId="35C39FA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-0.337</w:t>
            </w:r>
            <w:r w:rsidRPr="0082225C">
              <w:rPr>
                <w:rFonts w:ascii="Times New Roman" w:hAnsi="Times New Roman" w:cs="Times New Roman"/>
                <w:sz w:val="16"/>
                <w:szCs w:val="16"/>
                <w:vertAlign w:val="superscript"/>
              </w:rPr>
              <w:t>*</w:t>
            </w:r>
          </w:p>
        </w:tc>
      </w:tr>
      <w:tr w:rsidR="008E7D4B" w:rsidRPr="0082225C" w14:paraId="4A58DBE7" w14:textId="77777777" w:rsidTr="00015B88">
        <w:tc>
          <w:tcPr>
            <w:tcW w:w="2136" w:type="dxa"/>
            <w:tcBorders>
              <w:top w:val="nil"/>
              <w:left w:val="nil"/>
              <w:bottom w:val="nil"/>
              <w:right w:val="nil"/>
            </w:tcBorders>
          </w:tcPr>
          <w:p w14:paraId="5C6DD4C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84D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(0.98)</w:t>
            </w:r>
          </w:p>
        </w:tc>
        <w:tc>
          <w:tcPr>
            <w:tcW w:w="1656" w:type="dxa"/>
            <w:tcBorders>
              <w:top w:val="nil"/>
              <w:left w:val="nil"/>
              <w:bottom w:val="nil"/>
              <w:right w:val="nil"/>
            </w:tcBorders>
          </w:tcPr>
          <w:p w14:paraId="1404A4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(0.92)</w:t>
            </w:r>
          </w:p>
        </w:tc>
        <w:tc>
          <w:tcPr>
            <w:tcW w:w="1656" w:type="dxa"/>
            <w:tcBorders>
              <w:top w:val="nil"/>
              <w:left w:val="nil"/>
              <w:bottom w:val="nil"/>
              <w:right w:val="nil"/>
            </w:tcBorders>
          </w:tcPr>
          <w:p w14:paraId="1135881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(0.59)</w:t>
            </w:r>
          </w:p>
        </w:tc>
        <w:tc>
          <w:tcPr>
            <w:tcW w:w="1656" w:type="dxa"/>
            <w:tcBorders>
              <w:top w:val="nil"/>
              <w:left w:val="nil"/>
              <w:bottom w:val="nil"/>
              <w:right w:val="nil"/>
            </w:tcBorders>
          </w:tcPr>
          <w:p w14:paraId="4DB2404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(-2.11)</w:t>
            </w:r>
          </w:p>
        </w:tc>
      </w:tr>
      <w:tr w:rsidR="008E7D4B" w:rsidRPr="0082225C" w14:paraId="627A6B77" w14:textId="77777777" w:rsidTr="00015B88">
        <w:tc>
          <w:tcPr>
            <w:tcW w:w="2136" w:type="dxa"/>
            <w:tcBorders>
              <w:top w:val="nil"/>
              <w:left w:val="nil"/>
              <w:bottom w:val="nil"/>
              <w:right w:val="nil"/>
            </w:tcBorders>
          </w:tcPr>
          <w:p w14:paraId="4DF90D4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7F26E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0411A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72F0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44122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DBD75FE" w14:textId="77777777" w:rsidTr="00015B88">
        <w:tc>
          <w:tcPr>
            <w:tcW w:w="2136" w:type="dxa"/>
            <w:tcBorders>
              <w:top w:val="nil"/>
              <w:left w:val="nil"/>
              <w:bottom w:val="nil"/>
              <w:right w:val="nil"/>
            </w:tcBorders>
          </w:tcPr>
          <w:p w14:paraId="0D799EA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 xml:space="preserve">L3.De Jure CBI * Polity </w:t>
            </w:r>
            <w:r w:rsidRPr="0082225C">
              <w:rPr>
                <w:rFonts w:ascii="Times New Roman" w:hAnsi="Times New Roman" w:cs="Times New Roman"/>
                <w:sz w:val="16"/>
                <w:szCs w:val="16"/>
              </w:rPr>
              <w:lastRenderedPageBreak/>
              <w:t>Democracy</w:t>
            </w:r>
          </w:p>
        </w:tc>
        <w:tc>
          <w:tcPr>
            <w:tcW w:w="1656" w:type="dxa"/>
            <w:tcBorders>
              <w:top w:val="nil"/>
              <w:left w:val="nil"/>
              <w:bottom w:val="nil"/>
              <w:right w:val="nil"/>
            </w:tcBorders>
          </w:tcPr>
          <w:p w14:paraId="0DC75DA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lastRenderedPageBreak/>
              <w:t>-0.258</w:t>
            </w:r>
          </w:p>
        </w:tc>
        <w:tc>
          <w:tcPr>
            <w:tcW w:w="1656" w:type="dxa"/>
            <w:tcBorders>
              <w:top w:val="nil"/>
              <w:left w:val="nil"/>
              <w:bottom w:val="nil"/>
              <w:right w:val="nil"/>
            </w:tcBorders>
          </w:tcPr>
          <w:p w14:paraId="345FCC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0.815</w:t>
            </w:r>
          </w:p>
        </w:tc>
        <w:tc>
          <w:tcPr>
            <w:tcW w:w="1656" w:type="dxa"/>
            <w:tcBorders>
              <w:top w:val="nil"/>
              <w:left w:val="nil"/>
              <w:bottom w:val="nil"/>
              <w:right w:val="nil"/>
            </w:tcBorders>
          </w:tcPr>
          <w:p w14:paraId="5A424E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0.187</w:t>
            </w:r>
          </w:p>
        </w:tc>
        <w:tc>
          <w:tcPr>
            <w:tcW w:w="1656" w:type="dxa"/>
            <w:tcBorders>
              <w:top w:val="nil"/>
              <w:left w:val="nil"/>
              <w:bottom w:val="nil"/>
              <w:right w:val="nil"/>
            </w:tcBorders>
          </w:tcPr>
          <w:p w14:paraId="3CD475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0.128</w:t>
            </w:r>
          </w:p>
        </w:tc>
      </w:tr>
      <w:tr w:rsidR="008E7D4B" w:rsidRPr="0082225C" w14:paraId="7E810511" w14:textId="77777777" w:rsidTr="00015B88">
        <w:tc>
          <w:tcPr>
            <w:tcW w:w="2136" w:type="dxa"/>
            <w:tcBorders>
              <w:top w:val="nil"/>
              <w:left w:val="nil"/>
              <w:bottom w:val="nil"/>
              <w:right w:val="nil"/>
            </w:tcBorders>
          </w:tcPr>
          <w:p w14:paraId="28646A2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48AAE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w:t>
            </w:r>
          </w:p>
        </w:tc>
        <w:tc>
          <w:tcPr>
            <w:tcW w:w="1656" w:type="dxa"/>
            <w:tcBorders>
              <w:top w:val="nil"/>
              <w:left w:val="nil"/>
              <w:bottom w:val="nil"/>
              <w:right w:val="nil"/>
            </w:tcBorders>
          </w:tcPr>
          <w:p w14:paraId="11D0AF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(1.71)</w:t>
            </w:r>
          </w:p>
        </w:tc>
        <w:tc>
          <w:tcPr>
            <w:tcW w:w="1656" w:type="dxa"/>
            <w:tcBorders>
              <w:top w:val="nil"/>
              <w:left w:val="nil"/>
              <w:bottom w:val="nil"/>
              <w:right w:val="nil"/>
            </w:tcBorders>
          </w:tcPr>
          <w:p w14:paraId="0DD8E88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(0.60)</w:t>
            </w:r>
          </w:p>
        </w:tc>
        <w:tc>
          <w:tcPr>
            <w:tcW w:w="1656" w:type="dxa"/>
            <w:tcBorders>
              <w:top w:val="nil"/>
              <w:left w:val="nil"/>
              <w:bottom w:val="nil"/>
              <w:right w:val="nil"/>
            </w:tcBorders>
          </w:tcPr>
          <w:p w14:paraId="555D7C9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(0.83)</w:t>
            </w:r>
          </w:p>
        </w:tc>
      </w:tr>
      <w:tr w:rsidR="008E7D4B" w:rsidRPr="0082225C" w14:paraId="5429446B" w14:textId="77777777" w:rsidTr="00015B88">
        <w:tc>
          <w:tcPr>
            <w:tcW w:w="2136" w:type="dxa"/>
            <w:tcBorders>
              <w:top w:val="nil"/>
              <w:left w:val="nil"/>
              <w:bottom w:val="nil"/>
              <w:right w:val="nil"/>
            </w:tcBorders>
          </w:tcPr>
          <w:p w14:paraId="36AC4C1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EF21C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FEE4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9577A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C3BA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30334F4" w14:textId="77777777" w:rsidTr="00015B88">
        <w:tc>
          <w:tcPr>
            <w:tcW w:w="2136" w:type="dxa"/>
            <w:tcBorders>
              <w:top w:val="nil"/>
              <w:left w:val="nil"/>
              <w:bottom w:val="nil"/>
              <w:right w:val="nil"/>
            </w:tcBorders>
          </w:tcPr>
          <w:p w14:paraId="4E32930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L4.De Jure CBI * Polity Democracy</w:t>
            </w:r>
          </w:p>
        </w:tc>
        <w:tc>
          <w:tcPr>
            <w:tcW w:w="1656" w:type="dxa"/>
            <w:tcBorders>
              <w:top w:val="nil"/>
              <w:left w:val="nil"/>
              <w:bottom w:val="nil"/>
              <w:right w:val="nil"/>
            </w:tcBorders>
          </w:tcPr>
          <w:p w14:paraId="053FBC2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-0.202</w:t>
            </w:r>
          </w:p>
        </w:tc>
        <w:tc>
          <w:tcPr>
            <w:tcW w:w="1656" w:type="dxa"/>
            <w:tcBorders>
              <w:top w:val="nil"/>
              <w:left w:val="nil"/>
              <w:bottom w:val="nil"/>
              <w:right w:val="nil"/>
            </w:tcBorders>
          </w:tcPr>
          <w:p w14:paraId="7920FB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-1.122</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014F033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-0.618</w:t>
            </w:r>
          </w:p>
        </w:tc>
        <w:tc>
          <w:tcPr>
            <w:tcW w:w="1656" w:type="dxa"/>
            <w:tcBorders>
              <w:top w:val="nil"/>
              <w:left w:val="nil"/>
              <w:bottom w:val="nil"/>
              <w:right w:val="nil"/>
            </w:tcBorders>
          </w:tcPr>
          <w:p w14:paraId="4F3B5A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0.0508</w:t>
            </w:r>
          </w:p>
        </w:tc>
      </w:tr>
      <w:tr w:rsidR="008E7D4B" w:rsidRPr="0082225C" w14:paraId="7CE27696" w14:textId="77777777" w:rsidTr="00015B88">
        <w:tc>
          <w:tcPr>
            <w:tcW w:w="2136" w:type="dxa"/>
            <w:tcBorders>
              <w:top w:val="nil"/>
              <w:left w:val="nil"/>
              <w:bottom w:val="nil"/>
              <w:right w:val="nil"/>
            </w:tcBorders>
          </w:tcPr>
          <w:p w14:paraId="1D134DC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9CB7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(-0.56)</w:t>
            </w:r>
          </w:p>
        </w:tc>
        <w:tc>
          <w:tcPr>
            <w:tcW w:w="1656" w:type="dxa"/>
            <w:tcBorders>
              <w:top w:val="nil"/>
              <w:left w:val="nil"/>
              <w:bottom w:val="nil"/>
              <w:right w:val="nil"/>
            </w:tcBorders>
          </w:tcPr>
          <w:p w14:paraId="7F3941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(-2.18)</w:t>
            </w:r>
          </w:p>
        </w:tc>
        <w:tc>
          <w:tcPr>
            <w:tcW w:w="1656" w:type="dxa"/>
            <w:tcBorders>
              <w:top w:val="nil"/>
              <w:left w:val="nil"/>
              <w:bottom w:val="nil"/>
              <w:right w:val="nil"/>
            </w:tcBorders>
          </w:tcPr>
          <w:p w14:paraId="52900A2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(-1.84)</w:t>
            </w:r>
          </w:p>
        </w:tc>
        <w:tc>
          <w:tcPr>
            <w:tcW w:w="1656" w:type="dxa"/>
            <w:tcBorders>
              <w:top w:val="nil"/>
              <w:left w:val="nil"/>
              <w:bottom w:val="nil"/>
              <w:right w:val="nil"/>
            </w:tcBorders>
          </w:tcPr>
          <w:p w14:paraId="7AE34B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(0.29)</w:t>
            </w:r>
          </w:p>
        </w:tc>
      </w:tr>
      <w:tr w:rsidR="008E7D4B" w:rsidRPr="0082225C" w14:paraId="22DC02C0" w14:textId="77777777" w:rsidTr="00015B88">
        <w:tc>
          <w:tcPr>
            <w:tcW w:w="2136" w:type="dxa"/>
            <w:tcBorders>
              <w:top w:val="nil"/>
              <w:left w:val="nil"/>
              <w:bottom w:val="nil"/>
              <w:right w:val="nil"/>
            </w:tcBorders>
          </w:tcPr>
          <w:p w14:paraId="16EC4AE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28E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65E9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38CBA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9F15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4D87B5A" w14:textId="77777777" w:rsidTr="00015B88">
        <w:tc>
          <w:tcPr>
            <w:tcW w:w="2136" w:type="dxa"/>
            <w:tcBorders>
              <w:top w:val="nil"/>
              <w:left w:val="nil"/>
              <w:bottom w:val="nil"/>
              <w:right w:val="nil"/>
            </w:tcBorders>
          </w:tcPr>
          <w:p w14:paraId="6D62546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L5.De Jure CBI * Polity Democracy</w:t>
            </w:r>
          </w:p>
        </w:tc>
        <w:tc>
          <w:tcPr>
            <w:tcW w:w="1656" w:type="dxa"/>
            <w:tcBorders>
              <w:top w:val="nil"/>
              <w:left w:val="nil"/>
              <w:bottom w:val="nil"/>
              <w:right w:val="nil"/>
            </w:tcBorders>
          </w:tcPr>
          <w:p w14:paraId="704D707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-0.170</w:t>
            </w:r>
          </w:p>
        </w:tc>
        <w:tc>
          <w:tcPr>
            <w:tcW w:w="1656" w:type="dxa"/>
            <w:tcBorders>
              <w:top w:val="nil"/>
              <w:left w:val="nil"/>
              <w:bottom w:val="nil"/>
              <w:right w:val="nil"/>
            </w:tcBorders>
          </w:tcPr>
          <w:p w14:paraId="65DFD50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0.0674</w:t>
            </w:r>
          </w:p>
        </w:tc>
        <w:tc>
          <w:tcPr>
            <w:tcW w:w="1656" w:type="dxa"/>
            <w:tcBorders>
              <w:top w:val="nil"/>
              <w:left w:val="nil"/>
              <w:bottom w:val="nil"/>
              <w:right w:val="nil"/>
            </w:tcBorders>
          </w:tcPr>
          <w:p w14:paraId="56FD358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-0.00702</w:t>
            </w:r>
          </w:p>
        </w:tc>
        <w:tc>
          <w:tcPr>
            <w:tcW w:w="1656" w:type="dxa"/>
            <w:tcBorders>
              <w:top w:val="nil"/>
              <w:left w:val="nil"/>
              <w:bottom w:val="nil"/>
              <w:right w:val="nil"/>
            </w:tcBorders>
          </w:tcPr>
          <w:p w14:paraId="4AFA71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0.130</w:t>
            </w:r>
          </w:p>
        </w:tc>
      </w:tr>
      <w:tr w:rsidR="008E7D4B" w:rsidRPr="0082225C" w14:paraId="61D92E70" w14:textId="77777777" w:rsidTr="00015B88">
        <w:tc>
          <w:tcPr>
            <w:tcW w:w="2136" w:type="dxa"/>
            <w:tcBorders>
              <w:top w:val="nil"/>
              <w:left w:val="nil"/>
              <w:bottom w:val="nil"/>
              <w:right w:val="nil"/>
            </w:tcBorders>
          </w:tcPr>
          <w:p w14:paraId="0000D4E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49E6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(-0.54)</w:t>
            </w:r>
          </w:p>
        </w:tc>
        <w:tc>
          <w:tcPr>
            <w:tcW w:w="1656" w:type="dxa"/>
            <w:tcBorders>
              <w:top w:val="nil"/>
              <w:left w:val="nil"/>
              <w:bottom w:val="nil"/>
              <w:right w:val="nil"/>
            </w:tcBorders>
          </w:tcPr>
          <w:p w14:paraId="556C976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(0.17)</w:t>
            </w:r>
          </w:p>
        </w:tc>
        <w:tc>
          <w:tcPr>
            <w:tcW w:w="1656" w:type="dxa"/>
            <w:tcBorders>
              <w:top w:val="nil"/>
              <w:left w:val="nil"/>
              <w:bottom w:val="nil"/>
              <w:right w:val="nil"/>
            </w:tcBorders>
          </w:tcPr>
          <w:p w14:paraId="41F9197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w:t>
            </w:r>
          </w:p>
        </w:tc>
        <w:tc>
          <w:tcPr>
            <w:tcW w:w="1656" w:type="dxa"/>
            <w:tcBorders>
              <w:top w:val="nil"/>
              <w:left w:val="nil"/>
              <w:bottom w:val="nil"/>
              <w:right w:val="nil"/>
            </w:tcBorders>
          </w:tcPr>
          <w:p w14:paraId="0C52DC4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(1.09)</w:t>
            </w:r>
          </w:p>
        </w:tc>
      </w:tr>
      <w:tr w:rsidR="008E7D4B" w:rsidRPr="0082225C" w14:paraId="0702FF0C" w14:textId="77777777" w:rsidTr="00015B88">
        <w:tc>
          <w:tcPr>
            <w:tcW w:w="2136" w:type="dxa"/>
            <w:tcBorders>
              <w:top w:val="nil"/>
              <w:left w:val="nil"/>
              <w:bottom w:val="nil"/>
              <w:right w:val="nil"/>
            </w:tcBorders>
          </w:tcPr>
          <w:p w14:paraId="63D763B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18517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F95B9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3B1C7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BF3FE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877C849" w14:textId="77777777" w:rsidTr="00015B88">
        <w:tc>
          <w:tcPr>
            <w:tcW w:w="2136" w:type="dxa"/>
            <w:tcBorders>
              <w:top w:val="nil"/>
              <w:left w:val="nil"/>
              <w:bottom w:val="nil"/>
              <w:right w:val="nil"/>
            </w:tcBorders>
          </w:tcPr>
          <w:p w14:paraId="18FF347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L6.De Jure CBI * Polity Democracy</w:t>
            </w:r>
          </w:p>
        </w:tc>
        <w:tc>
          <w:tcPr>
            <w:tcW w:w="1656" w:type="dxa"/>
            <w:tcBorders>
              <w:top w:val="nil"/>
              <w:left w:val="nil"/>
              <w:bottom w:val="nil"/>
              <w:right w:val="nil"/>
            </w:tcBorders>
          </w:tcPr>
          <w:p w14:paraId="118BBF0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0.283</w:t>
            </w:r>
          </w:p>
        </w:tc>
        <w:tc>
          <w:tcPr>
            <w:tcW w:w="1656" w:type="dxa"/>
            <w:tcBorders>
              <w:top w:val="nil"/>
              <w:left w:val="nil"/>
              <w:bottom w:val="nil"/>
              <w:right w:val="nil"/>
            </w:tcBorders>
          </w:tcPr>
          <w:p w14:paraId="392C193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0.117</w:t>
            </w:r>
          </w:p>
        </w:tc>
        <w:tc>
          <w:tcPr>
            <w:tcW w:w="1656" w:type="dxa"/>
            <w:tcBorders>
              <w:top w:val="nil"/>
              <w:left w:val="nil"/>
              <w:bottom w:val="nil"/>
              <w:right w:val="nil"/>
            </w:tcBorders>
          </w:tcPr>
          <w:p w14:paraId="6BCFB9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0.161</w:t>
            </w:r>
          </w:p>
        </w:tc>
        <w:tc>
          <w:tcPr>
            <w:tcW w:w="1656" w:type="dxa"/>
            <w:tcBorders>
              <w:top w:val="nil"/>
              <w:left w:val="nil"/>
              <w:bottom w:val="nil"/>
              <w:right w:val="nil"/>
            </w:tcBorders>
          </w:tcPr>
          <w:p w14:paraId="1B098D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-0.289</w:t>
            </w:r>
          </w:p>
        </w:tc>
      </w:tr>
      <w:tr w:rsidR="008E7D4B" w:rsidRPr="0082225C" w14:paraId="4C1D4426" w14:textId="77777777" w:rsidTr="00015B88">
        <w:tc>
          <w:tcPr>
            <w:tcW w:w="2136" w:type="dxa"/>
            <w:tcBorders>
              <w:top w:val="nil"/>
              <w:left w:val="nil"/>
              <w:bottom w:val="nil"/>
              <w:right w:val="nil"/>
            </w:tcBorders>
          </w:tcPr>
          <w:p w14:paraId="064B733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8EA3A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(0.79)</w:t>
            </w:r>
          </w:p>
        </w:tc>
        <w:tc>
          <w:tcPr>
            <w:tcW w:w="1656" w:type="dxa"/>
            <w:tcBorders>
              <w:top w:val="nil"/>
              <w:left w:val="nil"/>
              <w:bottom w:val="nil"/>
              <w:right w:val="nil"/>
            </w:tcBorders>
          </w:tcPr>
          <w:p w14:paraId="5629CF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w:t>
            </w:r>
          </w:p>
        </w:tc>
        <w:tc>
          <w:tcPr>
            <w:tcW w:w="1656" w:type="dxa"/>
            <w:tcBorders>
              <w:top w:val="nil"/>
              <w:left w:val="nil"/>
              <w:bottom w:val="nil"/>
              <w:right w:val="nil"/>
            </w:tcBorders>
          </w:tcPr>
          <w:p w14:paraId="1D19C9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(0.52)</w:t>
            </w:r>
          </w:p>
        </w:tc>
        <w:tc>
          <w:tcPr>
            <w:tcW w:w="1656" w:type="dxa"/>
            <w:tcBorders>
              <w:top w:val="nil"/>
              <w:left w:val="nil"/>
              <w:bottom w:val="nil"/>
              <w:right w:val="nil"/>
            </w:tcBorders>
          </w:tcPr>
          <w:p w14:paraId="0158F0D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(-1.92)</w:t>
            </w:r>
          </w:p>
        </w:tc>
      </w:tr>
      <w:tr w:rsidR="008E7D4B" w:rsidRPr="0082225C" w14:paraId="6A5D2455" w14:textId="77777777" w:rsidTr="00015B88">
        <w:tc>
          <w:tcPr>
            <w:tcW w:w="2136" w:type="dxa"/>
            <w:tcBorders>
              <w:top w:val="nil"/>
              <w:left w:val="nil"/>
              <w:bottom w:val="nil"/>
              <w:right w:val="nil"/>
            </w:tcBorders>
          </w:tcPr>
          <w:p w14:paraId="19CC34E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76C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ACFC4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6DE1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9348C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184549D" w14:textId="77777777" w:rsidTr="00015B88">
        <w:tc>
          <w:tcPr>
            <w:tcW w:w="2136" w:type="dxa"/>
            <w:tcBorders>
              <w:top w:val="nil"/>
              <w:left w:val="nil"/>
              <w:bottom w:val="nil"/>
              <w:right w:val="nil"/>
            </w:tcBorders>
          </w:tcPr>
          <w:p w14:paraId="1247C9B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L7.De Jure CBI * Polity Democracy</w:t>
            </w:r>
          </w:p>
        </w:tc>
        <w:tc>
          <w:tcPr>
            <w:tcW w:w="1656" w:type="dxa"/>
            <w:tcBorders>
              <w:top w:val="nil"/>
              <w:left w:val="nil"/>
              <w:bottom w:val="nil"/>
              <w:right w:val="nil"/>
            </w:tcBorders>
          </w:tcPr>
          <w:p w14:paraId="671330F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-0.160</w:t>
            </w:r>
          </w:p>
        </w:tc>
        <w:tc>
          <w:tcPr>
            <w:tcW w:w="1656" w:type="dxa"/>
            <w:tcBorders>
              <w:top w:val="nil"/>
              <w:left w:val="nil"/>
              <w:bottom w:val="nil"/>
              <w:right w:val="nil"/>
            </w:tcBorders>
          </w:tcPr>
          <w:p w14:paraId="664AAE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0.110</w:t>
            </w:r>
          </w:p>
        </w:tc>
        <w:tc>
          <w:tcPr>
            <w:tcW w:w="1656" w:type="dxa"/>
            <w:tcBorders>
              <w:top w:val="nil"/>
              <w:left w:val="nil"/>
              <w:bottom w:val="nil"/>
              <w:right w:val="nil"/>
            </w:tcBorders>
          </w:tcPr>
          <w:p w14:paraId="5A05052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-0.216</w:t>
            </w:r>
          </w:p>
        </w:tc>
        <w:tc>
          <w:tcPr>
            <w:tcW w:w="1656" w:type="dxa"/>
            <w:tcBorders>
              <w:top w:val="nil"/>
              <w:left w:val="nil"/>
              <w:bottom w:val="nil"/>
              <w:right w:val="nil"/>
            </w:tcBorders>
          </w:tcPr>
          <w:p w14:paraId="0DA301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0.123</w:t>
            </w:r>
          </w:p>
        </w:tc>
      </w:tr>
      <w:tr w:rsidR="008E7D4B" w:rsidRPr="0082225C" w14:paraId="2D17A95F" w14:textId="77777777" w:rsidTr="00015B88">
        <w:tc>
          <w:tcPr>
            <w:tcW w:w="2136" w:type="dxa"/>
            <w:tcBorders>
              <w:top w:val="nil"/>
              <w:left w:val="nil"/>
              <w:bottom w:val="nil"/>
              <w:right w:val="nil"/>
            </w:tcBorders>
          </w:tcPr>
          <w:p w14:paraId="0CAEF42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99CA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w:t>
            </w:r>
          </w:p>
        </w:tc>
        <w:tc>
          <w:tcPr>
            <w:tcW w:w="1656" w:type="dxa"/>
            <w:tcBorders>
              <w:top w:val="nil"/>
              <w:left w:val="nil"/>
              <w:bottom w:val="nil"/>
              <w:right w:val="nil"/>
            </w:tcBorders>
          </w:tcPr>
          <w:p w14:paraId="6D5C027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w:t>
            </w:r>
          </w:p>
        </w:tc>
        <w:tc>
          <w:tcPr>
            <w:tcW w:w="1656" w:type="dxa"/>
            <w:tcBorders>
              <w:top w:val="nil"/>
              <w:left w:val="nil"/>
              <w:bottom w:val="nil"/>
              <w:right w:val="nil"/>
            </w:tcBorders>
          </w:tcPr>
          <w:p w14:paraId="7DD69D5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2D5EE8D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(0.87)</w:t>
            </w:r>
          </w:p>
        </w:tc>
      </w:tr>
      <w:tr w:rsidR="008E7D4B" w:rsidRPr="0082225C" w14:paraId="3267CEB3" w14:textId="77777777" w:rsidTr="00015B88">
        <w:tc>
          <w:tcPr>
            <w:tcW w:w="2136" w:type="dxa"/>
            <w:tcBorders>
              <w:top w:val="nil"/>
              <w:left w:val="nil"/>
              <w:bottom w:val="nil"/>
              <w:right w:val="nil"/>
            </w:tcBorders>
          </w:tcPr>
          <w:p w14:paraId="7FC961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AE49F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59245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3BE5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3A44A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A3FA82D" w14:textId="77777777" w:rsidTr="00015B88">
        <w:tc>
          <w:tcPr>
            <w:tcW w:w="2136" w:type="dxa"/>
            <w:tcBorders>
              <w:top w:val="nil"/>
              <w:left w:val="nil"/>
              <w:bottom w:val="nil"/>
              <w:right w:val="nil"/>
            </w:tcBorders>
          </w:tcPr>
          <w:p w14:paraId="537166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L8.De Jure CBI * Polity Democracy</w:t>
            </w:r>
          </w:p>
        </w:tc>
        <w:tc>
          <w:tcPr>
            <w:tcW w:w="1656" w:type="dxa"/>
            <w:tcBorders>
              <w:top w:val="nil"/>
              <w:left w:val="nil"/>
              <w:bottom w:val="nil"/>
              <w:right w:val="nil"/>
            </w:tcBorders>
          </w:tcPr>
          <w:p w14:paraId="406F219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0.0252</w:t>
            </w:r>
          </w:p>
        </w:tc>
        <w:tc>
          <w:tcPr>
            <w:tcW w:w="1656" w:type="dxa"/>
            <w:tcBorders>
              <w:top w:val="nil"/>
              <w:left w:val="nil"/>
              <w:bottom w:val="nil"/>
              <w:right w:val="nil"/>
            </w:tcBorders>
          </w:tcPr>
          <w:p w14:paraId="02689AD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0.424</w:t>
            </w:r>
          </w:p>
        </w:tc>
        <w:tc>
          <w:tcPr>
            <w:tcW w:w="1656" w:type="dxa"/>
            <w:tcBorders>
              <w:top w:val="nil"/>
              <w:left w:val="nil"/>
              <w:bottom w:val="nil"/>
              <w:right w:val="nil"/>
            </w:tcBorders>
          </w:tcPr>
          <w:p w14:paraId="0208DCB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0.227</w:t>
            </w:r>
          </w:p>
        </w:tc>
        <w:tc>
          <w:tcPr>
            <w:tcW w:w="1656" w:type="dxa"/>
            <w:tcBorders>
              <w:top w:val="nil"/>
              <w:left w:val="nil"/>
              <w:bottom w:val="nil"/>
              <w:right w:val="nil"/>
            </w:tcBorders>
          </w:tcPr>
          <w:p w14:paraId="2906F05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-0.0916</w:t>
            </w:r>
          </w:p>
        </w:tc>
      </w:tr>
      <w:tr w:rsidR="008E7D4B" w:rsidRPr="0082225C" w14:paraId="14A4086D" w14:textId="77777777" w:rsidTr="00015B88">
        <w:tc>
          <w:tcPr>
            <w:tcW w:w="2136" w:type="dxa"/>
            <w:tcBorders>
              <w:top w:val="nil"/>
              <w:left w:val="nil"/>
              <w:bottom w:val="nil"/>
              <w:right w:val="nil"/>
            </w:tcBorders>
          </w:tcPr>
          <w:p w14:paraId="47237F5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DA1B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w:t>
            </w:r>
          </w:p>
        </w:tc>
        <w:tc>
          <w:tcPr>
            <w:tcW w:w="1656" w:type="dxa"/>
            <w:tcBorders>
              <w:top w:val="nil"/>
              <w:left w:val="nil"/>
              <w:bottom w:val="nil"/>
              <w:right w:val="nil"/>
            </w:tcBorders>
          </w:tcPr>
          <w:p w14:paraId="4567967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(0.84)</w:t>
            </w:r>
          </w:p>
        </w:tc>
        <w:tc>
          <w:tcPr>
            <w:tcW w:w="1656" w:type="dxa"/>
            <w:tcBorders>
              <w:top w:val="nil"/>
              <w:left w:val="nil"/>
              <w:bottom w:val="nil"/>
              <w:right w:val="nil"/>
            </w:tcBorders>
          </w:tcPr>
          <w:p w14:paraId="3203A3B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(0.97)</w:t>
            </w:r>
          </w:p>
        </w:tc>
        <w:tc>
          <w:tcPr>
            <w:tcW w:w="1656" w:type="dxa"/>
            <w:tcBorders>
              <w:top w:val="nil"/>
              <w:left w:val="nil"/>
              <w:bottom w:val="nil"/>
              <w:right w:val="nil"/>
            </w:tcBorders>
          </w:tcPr>
          <w:p w14:paraId="50ACEA4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(-0.44)</w:t>
            </w:r>
          </w:p>
        </w:tc>
      </w:tr>
      <w:tr w:rsidR="008E7D4B" w:rsidRPr="0082225C" w14:paraId="576389CE" w14:textId="77777777" w:rsidTr="00015B88">
        <w:tc>
          <w:tcPr>
            <w:tcW w:w="2136" w:type="dxa"/>
            <w:tcBorders>
              <w:top w:val="nil"/>
              <w:left w:val="nil"/>
              <w:bottom w:val="nil"/>
              <w:right w:val="nil"/>
            </w:tcBorders>
          </w:tcPr>
          <w:p w14:paraId="73E3E94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79450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9D7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5F39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80199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53F3435" w14:textId="77777777" w:rsidTr="00015B88">
        <w:tc>
          <w:tcPr>
            <w:tcW w:w="2136" w:type="dxa"/>
            <w:tcBorders>
              <w:top w:val="nil"/>
              <w:left w:val="nil"/>
              <w:bottom w:val="nil"/>
              <w:right w:val="nil"/>
            </w:tcBorders>
          </w:tcPr>
          <w:p w14:paraId="20AA81A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L9.De Jure CBI * Polity Democracy</w:t>
            </w:r>
          </w:p>
        </w:tc>
        <w:tc>
          <w:tcPr>
            <w:tcW w:w="1656" w:type="dxa"/>
            <w:tcBorders>
              <w:top w:val="nil"/>
              <w:left w:val="nil"/>
              <w:bottom w:val="nil"/>
              <w:right w:val="nil"/>
            </w:tcBorders>
          </w:tcPr>
          <w:p w14:paraId="483C80A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-0.00138</w:t>
            </w:r>
          </w:p>
        </w:tc>
        <w:tc>
          <w:tcPr>
            <w:tcW w:w="1656" w:type="dxa"/>
            <w:tcBorders>
              <w:top w:val="nil"/>
              <w:left w:val="nil"/>
              <w:bottom w:val="nil"/>
              <w:right w:val="nil"/>
            </w:tcBorders>
          </w:tcPr>
          <w:p w14:paraId="5420DEE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-0.860</w:t>
            </w:r>
          </w:p>
        </w:tc>
        <w:tc>
          <w:tcPr>
            <w:tcW w:w="1656" w:type="dxa"/>
            <w:tcBorders>
              <w:top w:val="nil"/>
              <w:left w:val="nil"/>
              <w:bottom w:val="nil"/>
              <w:right w:val="nil"/>
            </w:tcBorders>
          </w:tcPr>
          <w:p w14:paraId="0C1472B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0.00938</w:t>
            </w:r>
          </w:p>
        </w:tc>
        <w:tc>
          <w:tcPr>
            <w:tcW w:w="1656" w:type="dxa"/>
            <w:tcBorders>
              <w:top w:val="nil"/>
              <w:left w:val="nil"/>
              <w:bottom w:val="nil"/>
              <w:right w:val="nil"/>
            </w:tcBorders>
          </w:tcPr>
          <w:p w14:paraId="07821A7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0.301</w:t>
            </w:r>
            <w:r w:rsidRPr="0082225C">
              <w:rPr>
                <w:rFonts w:ascii="Times New Roman" w:hAnsi="Times New Roman" w:cs="Times New Roman"/>
                <w:sz w:val="16"/>
                <w:szCs w:val="16"/>
                <w:vertAlign w:val="superscript"/>
              </w:rPr>
              <w:t>*</w:t>
            </w:r>
          </w:p>
        </w:tc>
      </w:tr>
      <w:tr w:rsidR="008E7D4B" w:rsidRPr="0082225C" w14:paraId="41C1313F" w14:textId="77777777" w:rsidTr="00015B88">
        <w:tc>
          <w:tcPr>
            <w:tcW w:w="2136" w:type="dxa"/>
            <w:tcBorders>
              <w:top w:val="nil"/>
              <w:left w:val="nil"/>
              <w:bottom w:val="nil"/>
              <w:right w:val="nil"/>
            </w:tcBorders>
          </w:tcPr>
          <w:p w14:paraId="04C2A6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3AC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w:t>
            </w:r>
          </w:p>
        </w:tc>
        <w:tc>
          <w:tcPr>
            <w:tcW w:w="1656" w:type="dxa"/>
            <w:tcBorders>
              <w:top w:val="nil"/>
              <w:left w:val="nil"/>
              <w:bottom w:val="nil"/>
              <w:right w:val="nil"/>
            </w:tcBorders>
          </w:tcPr>
          <w:p w14:paraId="02AE598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(-1.89)</w:t>
            </w:r>
          </w:p>
        </w:tc>
        <w:tc>
          <w:tcPr>
            <w:tcW w:w="1656" w:type="dxa"/>
            <w:tcBorders>
              <w:top w:val="nil"/>
              <w:left w:val="nil"/>
              <w:bottom w:val="nil"/>
              <w:right w:val="nil"/>
            </w:tcBorders>
          </w:tcPr>
          <w:p w14:paraId="75ACBF5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w:t>
            </w:r>
          </w:p>
        </w:tc>
        <w:tc>
          <w:tcPr>
            <w:tcW w:w="1656" w:type="dxa"/>
            <w:tcBorders>
              <w:top w:val="nil"/>
              <w:left w:val="nil"/>
              <w:bottom w:val="nil"/>
              <w:right w:val="nil"/>
            </w:tcBorders>
          </w:tcPr>
          <w:p w14:paraId="7F357B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(2.31)</w:t>
            </w:r>
          </w:p>
        </w:tc>
      </w:tr>
      <w:tr w:rsidR="008E7D4B" w:rsidRPr="0082225C" w14:paraId="3275722E" w14:textId="77777777" w:rsidTr="00015B88">
        <w:tc>
          <w:tcPr>
            <w:tcW w:w="2136" w:type="dxa"/>
            <w:tcBorders>
              <w:top w:val="nil"/>
              <w:left w:val="nil"/>
              <w:bottom w:val="nil"/>
              <w:right w:val="nil"/>
            </w:tcBorders>
          </w:tcPr>
          <w:p w14:paraId="2B8B27C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8130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3104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70DA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228C8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867E921" w14:textId="77777777" w:rsidTr="00015B88">
        <w:tc>
          <w:tcPr>
            <w:tcW w:w="2136" w:type="dxa"/>
            <w:tcBorders>
              <w:top w:val="nil"/>
              <w:left w:val="nil"/>
              <w:bottom w:val="nil"/>
              <w:right w:val="nil"/>
            </w:tcBorders>
          </w:tcPr>
          <w:p w14:paraId="5EAA1A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L10.De Jure CBI * Polity Democracy</w:t>
            </w:r>
          </w:p>
        </w:tc>
        <w:tc>
          <w:tcPr>
            <w:tcW w:w="1656" w:type="dxa"/>
            <w:tcBorders>
              <w:top w:val="nil"/>
              <w:left w:val="nil"/>
              <w:bottom w:val="nil"/>
              <w:right w:val="nil"/>
            </w:tcBorders>
          </w:tcPr>
          <w:p w14:paraId="3EC613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0.282</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4FDBB92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0.349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3B5A483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0.0450</w:t>
            </w:r>
          </w:p>
        </w:tc>
        <w:tc>
          <w:tcPr>
            <w:tcW w:w="1656" w:type="dxa"/>
            <w:tcBorders>
              <w:top w:val="nil"/>
              <w:left w:val="nil"/>
              <w:bottom w:val="nil"/>
              <w:right w:val="nil"/>
            </w:tcBorders>
          </w:tcPr>
          <w:p w14:paraId="1191FB7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0.188</w:t>
            </w:r>
          </w:p>
        </w:tc>
      </w:tr>
      <w:tr w:rsidR="008E7D4B" w:rsidRPr="0082225C" w14:paraId="59DF9F15" w14:textId="77777777" w:rsidTr="00015B88">
        <w:tc>
          <w:tcPr>
            <w:tcW w:w="2136" w:type="dxa"/>
            <w:tcBorders>
              <w:top w:val="nil"/>
              <w:left w:val="nil"/>
              <w:bottom w:val="nil"/>
              <w:right w:val="nil"/>
            </w:tcBorders>
          </w:tcPr>
          <w:p w14:paraId="356770F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606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(2.14)</w:t>
            </w:r>
          </w:p>
        </w:tc>
        <w:tc>
          <w:tcPr>
            <w:tcW w:w="1656" w:type="dxa"/>
            <w:tcBorders>
              <w:top w:val="nil"/>
              <w:left w:val="nil"/>
              <w:bottom w:val="nil"/>
              <w:right w:val="nil"/>
            </w:tcBorders>
          </w:tcPr>
          <w:p w14:paraId="51117B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(1.98)</w:t>
            </w:r>
          </w:p>
        </w:tc>
        <w:tc>
          <w:tcPr>
            <w:tcW w:w="1656" w:type="dxa"/>
            <w:tcBorders>
              <w:top w:val="nil"/>
              <w:left w:val="nil"/>
              <w:bottom w:val="nil"/>
              <w:right w:val="nil"/>
            </w:tcBorders>
          </w:tcPr>
          <w:p w14:paraId="26ACB0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49EE66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(1.18)</w:t>
            </w:r>
          </w:p>
        </w:tc>
      </w:tr>
      <w:tr w:rsidR="008E7D4B" w:rsidRPr="0082225C" w14:paraId="197C6109" w14:textId="77777777" w:rsidTr="00015B88">
        <w:tc>
          <w:tcPr>
            <w:tcW w:w="2136" w:type="dxa"/>
            <w:tcBorders>
              <w:top w:val="nil"/>
              <w:left w:val="nil"/>
              <w:bottom w:val="nil"/>
              <w:right w:val="nil"/>
            </w:tcBorders>
          </w:tcPr>
          <w:p w14:paraId="72E6CD4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5D34A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965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77A4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FD53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AE5AD68" w14:textId="77777777" w:rsidTr="00015B88">
        <w:tc>
          <w:tcPr>
            <w:tcW w:w="2136" w:type="dxa"/>
            <w:tcBorders>
              <w:top w:val="nil"/>
              <w:left w:val="nil"/>
              <w:bottom w:val="nil"/>
              <w:right w:val="nil"/>
            </w:tcBorders>
          </w:tcPr>
          <w:p w14:paraId="53A34A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2225C">
              <w:rPr>
                <w:rFonts w:ascii="Times New Roman" w:hAnsi="Times New Roman" w:cs="Times New Roman"/>
                <w:sz w:val="16"/>
                <w:szCs w:val="16"/>
              </w:rPr>
              <w:t>L.More</w:t>
            </w:r>
            <w:proofErr w:type="spellEnd"/>
            <w:r w:rsidRPr="0082225C">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3A7EF3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0.00567</w:t>
            </w:r>
          </w:p>
        </w:tc>
        <w:tc>
          <w:tcPr>
            <w:tcW w:w="1656" w:type="dxa"/>
            <w:tcBorders>
              <w:top w:val="nil"/>
              <w:left w:val="nil"/>
              <w:bottom w:val="nil"/>
              <w:right w:val="nil"/>
            </w:tcBorders>
          </w:tcPr>
          <w:p w14:paraId="3363151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-0.0174</w:t>
            </w:r>
          </w:p>
        </w:tc>
        <w:tc>
          <w:tcPr>
            <w:tcW w:w="1656" w:type="dxa"/>
            <w:tcBorders>
              <w:top w:val="nil"/>
              <w:left w:val="nil"/>
              <w:bottom w:val="nil"/>
              <w:right w:val="nil"/>
            </w:tcBorders>
          </w:tcPr>
          <w:p w14:paraId="7B2CE79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-0.00853</w:t>
            </w:r>
          </w:p>
        </w:tc>
        <w:tc>
          <w:tcPr>
            <w:tcW w:w="1656" w:type="dxa"/>
            <w:tcBorders>
              <w:top w:val="nil"/>
              <w:left w:val="nil"/>
              <w:bottom w:val="nil"/>
              <w:right w:val="nil"/>
            </w:tcBorders>
          </w:tcPr>
          <w:p w14:paraId="04BCD28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0.00526</w:t>
            </w:r>
          </w:p>
        </w:tc>
      </w:tr>
      <w:tr w:rsidR="008E7D4B" w:rsidRPr="0082225C" w14:paraId="29AD8E30" w14:textId="77777777" w:rsidTr="00015B88">
        <w:tc>
          <w:tcPr>
            <w:tcW w:w="2136" w:type="dxa"/>
            <w:tcBorders>
              <w:top w:val="nil"/>
              <w:left w:val="nil"/>
              <w:bottom w:val="nil"/>
              <w:right w:val="nil"/>
            </w:tcBorders>
          </w:tcPr>
          <w:p w14:paraId="383A4E3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D863B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w:t>
            </w:r>
          </w:p>
        </w:tc>
        <w:tc>
          <w:tcPr>
            <w:tcW w:w="1656" w:type="dxa"/>
            <w:tcBorders>
              <w:top w:val="nil"/>
              <w:left w:val="nil"/>
              <w:bottom w:val="nil"/>
              <w:right w:val="nil"/>
            </w:tcBorders>
          </w:tcPr>
          <w:p w14:paraId="1B76FA8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(-1.34)</w:t>
            </w:r>
          </w:p>
        </w:tc>
        <w:tc>
          <w:tcPr>
            <w:tcW w:w="1656" w:type="dxa"/>
            <w:tcBorders>
              <w:top w:val="nil"/>
              <w:left w:val="nil"/>
              <w:bottom w:val="nil"/>
              <w:right w:val="nil"/>
            </w:tcBorders>
          </w:tcPr>
          <w:p w14:paraId="3E755DE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(-0.83)</w:t>
            </w:r>
          </w:p>
        </w:tc>
        <w:tc>
          <w:tcPr>
            <w:tcW w:w="1656" w:type="dxa"/>
            <w:tcBorders>
              <w:top w:val="nil"/>
              <w:left w:val="nil"/>
              <w:bottom w:val="nil"/>
              <w:right w:val="nil"/>
            </w:tcBorders>
          </w:tcPr>
          <w:p w14:paraId="37A0AA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w:t>
            </w:r>
          </w:p>
        </w:tc>
      </w:tr>
      <w:tr w:rsidR="008E7D4B" w:rsidRPr="0082225C" w14:paraId="1AA9BE90" w14:textId="77777777" w:rsidTr="00015B88">
        <w:tc>
          <w:tcPr>
            <w:tcW w:w="2136" w:type="dxa"/>
            <w:tcBorders>
              <w:top w:val="nil"/>
              <w:left w:val="nil"/>
              <w:bottom w:val="nil"/>
              <w:right w:val="nil"/>
            </w:tcBorders>
          </w:tcPr>
          <w:p w14:paraId="02349B5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8DCA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6EB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C30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F8CD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B5FB37B" w14:textId="77777777" w:rsidTr="00015B88">
        <w:tc>
          <w:tcPr>
            <w:tcW w:w="2136" w:type="dxa"/>
            <w:tcBorders>
              <w:top w:val="nil"/>
              <w:left w:val="nil"/>
              <w:bottom w:val="nil"/>
              <w:right w:val="nil"/>
            </w:tcBorders>
          </w:tcPr>
          <w:p w14:paraId="7D005A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L2.More Fixed Rate * Polity Democracy</w:t>
            </w:r>
          </w:p>
        </w:tc>
        <w:tc>
          <w:tcPr>
            <w:tcW w:w="1656" w:type="dxa"/>
            <w:tcBorders>
              <w:top w:val="nil"/>
              <w:left w:val="nil"/>
              <w:bottom w:val="nil"/>
              <w:right w:val="nil"/>
            </w:tcBorders>
          </w:tcPr>
          <w:p w14:paraId="11923A9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0.00587</w:t>
            </w:r>
          </w:p>
        </w:tc>
        <w:tc>
          <w:tcPr>
            <w:tcW w:w="1656" w:type="dxa"/>
            <w:tcBorders>
              <w:top w:val="nil"/>
              <w:left w:val="nil"/>
              <w:bottom w:val="nil"/>
              <w:right w:val="nil"/>
            </w:tcBorders>
          </w:tcPr>
          <w:p w14:paraId="31DE6C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0.0208</w:t>
            </w:r>
          </w:p>
        </w:tc>
        <w:tc>
          <w:tcPr>
            <w:tcW w:w="1656" w:type="dxa"/>
            <w:tcBorders>
              <w:top w:val="nil"/>
              <w:left w:val="nil"/>
              <w:bottom w:val="nil"/>
              <w:right w:val="nil"/>
            </w:tcBorders>
          </w:tcPr>
          <w:p w14:paraId="3CEE92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-0.00279</w:t>
            </w:r>
          </w:p>
        </w:tc>
        <w:tc>
          <w:tcPr>
            <w:tcW w:w="1656" w:type="dxa"/>
            <w:tcBorders>
              <w:top w:val="nil"/>
              <w:left w:val="nil"/>
              <w:bottom w:val="nil"/>
              <w:right w:val="nil"/>
            </w:tcBorders>
          </w:tcPr>
          <w:p w14:paraId="276BBD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-0.00417</w:t>
            </w:r>
          </w:p>
        </w:tc>
      </w:tr>
      <w:tr w:rsidR="008E7D4B" w:rsidRPr="0082225C" w14:paraId="62308194" w14:textId="77777777" w:rsidTr="00015B88">
        <w:tc>
          <w:tcPr>
            <w:tcW w:w="2136" w:type="dxa"/>
            <w:tcBorders>
              <w:top w:val="nil"/>
              <w:left w:val="nil"/>
              <w:bottom w:val="nil"/>
              <w:right w:val="nil"/>
            </w:tcBorders>
          </w:tcPr>
          <w:p w14:paraId="51755A9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22064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(0.48)</w:t>
            </w:r>
          </w:p>
        </w:tc>
        <w:tc>
          <w:tcPr>
            <w:tcW w:w="1656" w:type="dxa"/>
            <w:tcBorders>
              <w:top w:val="nil"/>
              <w:left w:val="nil"/>
              <w:bottom w:val="nil"/>
              <w:right w:val="nil"/>
            </w:tcBorders>
          </w:tcPr>
          <w:p w14:paraId="1A5802C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(1.37)</w:t>
            </w:r>
          </w:p>
        </w:tc>
        <w:tc>
          <w:tcPr>
            <w:tcW w:w="1656" w:type="dxa"/>
            <w:tcBorders>
              <w:top w:val="nil"/>
              <w:left w:val="nil"/>
              <w:bottom w:val="nil"/>
              <w:right w:val="nil"/>
            </w:tcBorders>
          </w:tcPr>
          <w:p w14:paraId="3D6F41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7021F7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(-0.64)</w:t>
            </w:r>
          </w:p>
        </w:tc>
      </w:tr>
      <w:tr w:rsidR="008E7D4B" w:rsidRPr="0082225C" w14:paraId="7AD422FD" w14:textId="77777777" w:rsidTr="00015B88">
        <w:tc>
          <w:tcPr>
            <w:tcW w:w="2136" w:type="dxa"/>
            <w:tcBorders>
              <w:top w:val="nil"/>
              <w:left w:val="nil"/>
              <w:bottom w:val="nil"/>
              <w:right w:val="nil"/>
            </w:tcBorders>
          </w:tcPr>
          <w:p w14:paraId="79E8062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1A60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BC8B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A0E53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607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A164124" w14:textId="77777777" w:rsidTr="00015B88">
        <w:tc>
          <w:tcPr>
            <w:tcW w:w="2136" w:type="dxa"/>
            <w:tcBorders>
              <w:top w:val="nil"/>
              <w:left w:val="nil"/>
              <w:bottom w:val="nil"/>
              <w:right w:val="nil"/>
            </w:tcBorders>
          </w:tcPr>
          <w:p w14:paraId="374F3F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L3.More Fixed Rate * Polity Democracy</w:t>
            </w:r>
          </w:p>
        </w:tc>
        <w:tc>
          <w:tcPr>
            <w:tcW w:w="1656" w:type="dxa"/>
            <w:tcBorders>
              <w:top w:val="nil"/>
              <w:left w:val="nil"/>
              <w:bottom w:val="nil"/>
              <w:right w:val="nil"/>
            </w:tcBorders>
          </w:tcPr>
          <w:p w14:paraId="763CE6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-0.000605</w:t>
            </w:r>
          </w:p>
        </w:tc>
        <w:tc>
          <w:tcPr>
            <w:tcW w:w="1656" w:type="dxa"/>
            <w:tcBorders>
              <w:top w:val="nil"/>
              <w:left w:val="nil"/>
              <w:bottom w:val="nil"/>
              <w:right w:val="nil"/>
            </w:tcBorders>
          </w:tcPr>
          <w:p w14:paraId="1965D78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-0.0268</w:t>
            </w:r>
          </w:p>
        </w:tc>
        <w:tc>
          <w:tcPr>
            <w:tcW w:w="1656" w:type="dxa"/>
            <w:tcBorders>
              <w:top w:val="nil"/>
              <w:left w:val="nil"/>
              <w:bottom w:val="nil"/>
              <w:right w:val="nil"/>
            </w:tcBorders>
          </w:tcPr>
          <w:p w14:paraId="730995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0.00993</w:t>
            </w:r>
          </w:p>
        </w:tc>
        <w:tc>
          <w:tcPr>
            <w:tcW w:w="1656" w:type="dxa"/>
            <w:tcBorders>
              <w:top w:val="nil"/>
              <w:left w:val="nil"/>
              <w:bottom w:val="nil"/>
              <w:right w:val="nil"/>
            </w:tcBorders>
          </w:tcPr>
          <w:p w14:paraId="51AECDB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0.000452</w:t>
            </w:r>
          </w:p>
        </w:tc>
      </w:tr>
      <w:tr w:rsidR="008E7D4B" w:rsidRPr="0082225C" w14:paraId="2B094F95" w14:textId="77777777" w:rsidTr="00015B88">
        <w:tc>
          <w:tcPr>
            <w:tcW w:w="2136" w:type="dxa"/>
            <w:tcBorders>
              <w:top w:val="nil"/>
              <w:left w:val="nil"/>
              <w:bottom w:val="nil"/>
              <w:right w:val="nil"/>
            </w:tcBorders>
          </w:tcPr>
          <w:p w14:paraId="02CDD84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DBE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w:t>
            </w:r>
          </w:p>
        </w:tc>
        <w:tc>
          <w:tcPr>
            <w:tcW w:w="1656" w:type="dxa"/>
            <w:tcBorders>
              <w:top w:val="nil"/>
              <w:left w:val="nil"/>
              <w:bottom w:val="nil"/>
              <w:right w:val="nil"/>
            </w:tcBorders>
          </w:tcPr>
          <w:p w14:paraId="14AD72C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(-1.69)</w:t>
            </w:r>
          </w:p>
        </w:tc>
        <w:tc>
          <w:tcPr>
            <w:tcW w:w="1656" w:type="dxa"/>
            <w:tcBorders>
              <w:top w:val="nil"/>
              <w:left w:val="nil"/>
              <w:bottom w:val="nil"/>
              <w:right w:val="nil"/>
            </w:tcBorders>
          </w:tcPr>
          <w:p w14:paraId="5D17DC4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(1.01)</w:t>
            </w:r>
          </w:p>
        </w:tc>
        <w:tc>
          <w:tcPr>
            <w:tcW w:w="1656" w:type="dxa"/>
            <w:tcBorders>
              <w:top w:val="nil"/>
              <w:left w:val="nil"/>
              <w:bottom w:val="nil"/>
              <w:right w:val="nil"/>
            </w:tcBorders>
          </w:tcPr>
          <w:p w14:paraId="7769A5C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w:t>
            </w:r>
          </w:p>
        </w:tc>
      </w:tr>
      <w:tr w:rsidR="008E7D4B" w:rsidRPr="0082225C" w14:paraId="4D3420B4" w14:textId="77777777" w:rsidTr="00015B88">
        <w:tc>
          <w:tcPr>
            <w:tcW w:w="2136" w:type="dxa"/>
            <w:tcBorders>
              <w:top w:val="nil"/>
              <w:left w:val="nil"/>
              <w:bottom w:val="nil"/>
              <w:right w:val="nil"/>
            </w:tcBorders>
          </w:tcPr>
          <w:p w14:paraId="1F3ED8E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2E9B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D9B6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5F8A8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52E55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FF776BE" w14:textId="77777777" w:rsidTr="00015B88">
        <w:tc>
          <w:tcPr>
            <w:tcW w:w="2136" w:type="dxa"/>
            <w:tcBorders>
              <w:top w:val="nil"/>
              <w:left w:val="nil"/>
              <w:bottom w:val="nil"/>
              <w:right w:val="nil"/>
            </w:tcBorders>
          </w:tcPr>
          <w:p w14:paraId="63D76FE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L4.More Fixed Rate * Polity Democracy</w:t>
            </w:r>
          </w:p>
        </w:tc>
        <w:tc>
          <w:tcPr>
            <w:tcW w:w="1656" w:type="dxa"/>
            <w:tcBorders>
              <w:top w:val="nil"/>
              <w:left w:val="nil"/>
              <w:bottom w:val="nil"/>
              <w:right w:val="nil"/>
            </w:tcBorders>
          </w:tcPr>
          <w:p w14:paraId="5AEDF5C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0.00283</w:t>
            </w:r>
          </w:p>
        </w:tc>
        <w:tc>
          <w:tcPr>
            <w:tcW w:w="1656" w:type="dxa"/>
            <w:tcBorders>
              <w:top w:val="nil"/>
              <w:left w:val="nil"/>
              <w:bottom w:val="nil"/>
              <w:right w:val="nil"/>
            </w:tcBorders>
          </w:tcPr>
          <w:p w14:paraId="75FB620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0.0221</w:t>
            </w:r>
          </w:p>
        </w:tc>
        <w:tc>
          <w:tcPr>
            <w:tcW w:w="1656" w:type="dxa"/>
            <w:tcBorders>
              <w:top w:val="nil"/>
              <w:left w:val="nil"/>
              <w:bottom w:val="nil"/>
              <w:right w:val="nil"/>
            </w:tcBorders>
          </w:tcPr>
          <w:p w14:paraId="47EBCA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-0.0192</w:t>
            </w:r>
          </w:p>
        </w:tc>
        <w:tc>
          <w:tcPr>
            <w:tcW w:w="1656" w:type="dxa"/>
            <w:tcBorders>
              <w:top w:val="nil"/>
              <w:left w:val="nil"/>
              <w:bottom w:val="nil"/>
              <w:right w:val="nil"/>
            </w:tcBorders>
          </w:tcPr>
          <w:p w14:paraId="3BD11A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0.00402</w:t>
            </w:r>
          </w:p>
        </w:tc>
      </w:tr>
      <w:tr w:rsidR="008E7D4B" w:rsidRPr="0082225C" w14:paraId="1EE931EC" w14:textId="77777777" w:rsidTr="00015B88">
        <w:tc>
          <w:tcPr>
            <w:tcW w:w="2136" w:type="dxa"/>
            <w:tcBorders>
              <w:top w:val="nil"/>
              <w:left w:val="nil"/>
              <w:bottom w:val="nil"/>
              <w:right w:val="nil"/>
            </w:tcBorders>
          </w:tcPr>
          <w:p w14:paraId="339332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FA1D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(0.30)</w:t>
            </w:r>
          </w:p>
        </w:tc>
        <w:tc>
          <w:tcPr>
            <w:tcW w:w="1656" w:type="dxa"/>
            <w:tcBorders>
              <w:top w:val="nil"/>
              <w:left w:val="nil"/>
              <w:bottom w:val="nil"/>
              <w:right w:val="nil"/>
            </w:tcBorders>
          </w:tcPr>
          <w:p w14:paraId="064F85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(1.73)</w:t>
            </w:r>
          </w:p>
        </w:tc>
        <w:tc>
          <w:tcPr>
            <w:tcW w:w="1656" w:type="dxa"/>
            <w:tcBorders>
              <w:top w:val="nil"/>
              <w:left w:val="nil"/>
              <w:bottom w:val="nil"/>
              <w:right w:val="nil"/>
            </w:tcBorders>
          </w:tcPr>
          <w:p w14:paraId="33BE7B9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(-1.55)</w:t>
            </w:r>
          </w:p>
        </w:tc>
        <w:tc>
          <w:tcPr>
            <w:tcW w:w="1656" w:type="dxa"/>
            <w:tcBorders>
              <w:top w:val="nil"/>
              <w:left w:val="nil"/>
              <w:bottom w:val="nil"/>
              <w:right w:val="nil"/>
            </w:tcBorders>
          </w:tcPr>
          <w:p w14:paraId="2D9742C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(1.10)</w:t>
            </w:r>
          </w:p>
        </w:tc>
      </w:tr>
      <w:tr w:rsidR="008E7D4B" w:rsidRPr="0082225C" w14:paraId="432A5269" w14:textId="77777777" w:rsidTr="00015B88">
        <w:tc>
          <w:tcPr>
            <w:tcW w:w="2136" w:type="dxa"/>
            <w:tcBorders>
              <w:top w:val="nil"/>
              <w:left w:val="nil"/>
              <w:bottom w:val="nil"/>
              <w:right w:val="nil"/>
            </w:tcBorders>
          </w:tcPr>
          <w:p w14:paraId="732CE09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B18B2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41FE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988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5325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4875643" w14:textId="77777777" w:rsidTr="00015B88">
        <w:tc>
          <w:tcPr>
            <w:tcW w:w="2136" w:type="dxa"/>
            <w:tcBorders>
              <w:top w:val="nil"/>
              <w:left w:val="nil"/>
              <w:bottom w:val="nil"/>
              <w:right w:val="nil"/>
            </w:tcBorders>
          </w:tcPr>
          <w:p w14:paraId="49A84F3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L5.More Fixed Rate * Polity Democracy</w:t>
            </w:r>
          </w:p>
        </w:tc>
        <w:tc>
          <w:tcPr>
            <w:tcW w:w="1656" w:type="dxa"/>
            <w:tcBorders>
              <w:top w:val="nil"/>
              <w:left w:val="nil"/>
              <w:bottom w:val="nil"/>
              <w:right w:val="nil"/>
            </w:tcBorders>
          </w:tcPr>
          <w:p w14:paraId="58F335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0.00433</w:t>
            </w:r>
          </w:p>
        </w:tc>
        <w:tc>
          <w:tcPr>
            <w:tcW w:w="1656" w:type="dxa"/>
            <w:tcBorders>
              <w:top w:val="nil"/>
              <w:left w:val="nil"/>
              <w:bottom w:val="nil"/>
              <w:right w:val="nil"/>
            </w:tcBorders>
          </w:tcPr>
          <w:p w14:paraId="054C4E3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0.00946</w:t>
            </w:r>
          </w:p>
        </w:tc>
        <w:tc>
          <w:tcPr>
            <w:tcW w:w="1656" w:type="dxa"/>
            <w:tcBorders>
              <w:top w:val="nil"/>
              <w:left w:val="nil"/>
              <w:bottom w:val="nil"/>
              <w:right w:val="nil"/>
            </w:tcBorders>
          </w:tcPr>
          <w:p w14:paraId="5B61CE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0.0202</w:t>
            </w:r>
          </w:p>
        </w:tc>
        <w:tc>
          <w:tcPr>
            <w:tcW w:w="1656" w:type="dxa"/>
            <w:tcBorders>
              <w:top w:val="nil"/>
              <w:left w:val="nil"/>
              <w:bottom w:val="nil"/>
              <w:right w:val="nil"/>
            </w:tcBorders>
          </w:tcPr>
          <w:p w14:paraId="522C9CC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-0.00106</w:t>
            </w:r>
          </w:p>
        </w:tc>
      </w:tr>
      <w:tr w:rsidR="008E7D4B" w:rsidRPr="0082225C" w14:paraId="01497FC9" w14:textId="77777777" w:rsidTr="00015B88">
        <w:tc>
          <w:tcPr>
            <w:tcW w:w="2136" w:type="dxa"/>
            <w:tcBorders>
              <w:top w:val="nil"/>
              <w:left w:val="nil"/>
              <w:bottom w:val="nil"/>
              <w:right w:val="nil"/>
            </w:tcBorders>
          </w:tcPr>
          <w:p w14:paraId="2705054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A7824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c>
          <w:tcPr>
            <w:tcW w:w="1656" w:type="dxa"/>
            <w:tcBorders>
              <w:top w:val="nil"/>
              <w:left w:val="nil"/>
              <w:bottom w:val="nil"/>
              <w:right w:val="nil"/>
            </w:tcBorders>
          </w:tcPr>
          <w:p w14:paraId="633EAF3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(0.82)</w:t>
            </w:r>
          </w:p>
        </w:tc>
        <w:tc>
          <w:tcPr>
            <w:tcW w:w="1656" w:type="dxa"/>
            <w:tcBorders>
              <w:top w:val="nil"/>
              <w:left w:val="nil"/>
              <w:bottom w:val="nil"/>
              <w:right w:val="nil"/>
            </w:tcBorders>
          </w:tcPr>
          <w:p w14:paraId="76D3E8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(1.90)</w:t>
            </w:r>
          </w:p>
        </w:tc>
        <w:tc>
          <w:tcPr>
            <w:tcW w:w="1656" w:type="dxa"/>
            <w:tcBorders>
              <w:top w:val="nil"/>
              <w:left w:val="nil"/>
              <w:bottom w:val="nil"/>
              <w:right w:val="nil"/>
            </w:tcBorders>
          </w:tcPr>
          <w:p w14:paraId="3A80FBD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(-0.30)</w:t>
            </w:r>
          </w:p>
        </w:tc>
      </w:tr>
      <w:tr w:rsidR="008E7D4B" w:rsidRPr="0082225C" w14:paraId="3ECF811E" w14:textId="77777777" w:rsidTr="00015B88">
        <w:tc>
          <w:tcPr>
            <w:tcW w:w="2136" w:type="dxa"/>
            <w:tcBorders>
              <w:top w:val="nil"/>
              <w:left w:val="nil"/>
              <w:bottom w:val="nil"/>
              <w:right w:val="nil"/>
            </w:tcBorders>
          </w:tcPr>
          <w:p w14:paraId="7BB7E2F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BDAC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3F1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5968F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1C254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18D6407" w14:textId="77777777" w:rsidTr="00015B88">
        <w:tc>
          <w:tcPr>
            <w:tcW w:w="2136" w:type="dxa"/>
            <w:tcBorders>
              <w:top w:val="nil"/>
              <w:left w:val="nil"/>
              <w:bottom w:val="nil"/>
              <w:right w:val="nil"/>
            </w:tcBorders>
          </w:tcPr>
          <w:p w14:paraId="399931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L6.More Fixed Rate * Polity Democracy</w:t>
            </w:r>
          </w:p>
        </w:tc>
        <w:tc>
          <w:tcPr>
            <w:tcW w:w="1656" w:type="dxa"/>
            <w:tcBorders>
              <w:top w:val="nil"/>
              <w:left w:val="nil"/>
              <w:bottom w:val="nil"/>
              <w:right w:val="nil"/>
            </w:tcBorders>
          </w:tcPr>
          <w:p w14:paraId="45142C5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0.00338</w:t>
            </w:r>
          </w:p>
        </w:tc>
        <w:tc>
          <w:tcPr>
            <w:tcW w:w="1656" w:type="dxa"/>
            <w:tcBorders>
              <w:top w:val="nil"/>
              <w:left w:val="nil"/>
              <w:bottom w:val="nil"/>
              <w:right w:val="nil"/>
            </w:tcBorders>
          </w:tcPr>
          <w:p w14:paraId="31F4F12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-0.00916</w:t>
            </w:r>
          </w:p>
        </w:tc>
        <w:tc>
          <w:tcPr>
            <w:tcW w:w="1656" w:type="dxa"/>
            <w:tcBorders>
              <w:top w:val="nil"/>
              <w:left w:val="nil"/>
              <w:bottom w:val="nil"/>
              <w:right w:val="nil"/>
            </w:tcBorders>
          </w:tcPr>
          <w:p w14:paraId="1CD5055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-0.00625</w:t>
            </w:r>
          </w:p>
        </w:tc>
        <w:tc>
          <w:tcPr>
            <w:tcW w:w="1656" w:type="dxa"/>
            <w:tcBorders>
              <w:top w:val="nil"/>
              <w:left w:val="nil"/>
              <w:bottom w:val="nil"/>
              <w:right w:val="nil"/>
            </w:tcBorders>
          </w:tcPr>
          <w:p w14:paraId="333ACB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0.00238</w:t>
            </w:r>
          </w:p>
        </w:tc>
      </w:tr>
      <w:tr w:rsidR="008E7D4B" w:rsidRPr="0082225C" w14:paraId="398EFEE8" w14:textId="77777777" w:rsidTr="00015B88">
        <w:tc>
          <w:tcPr>
            <w:tcW w:w="2136" w:type="dxa"/>
            <w:tcBorders>
              <w:top w:val="nil"/>
              <w:left w:val="nil"/>
              <w:bottom w:val="nil"/>
              <w:right w:val="nil"/>
            </w:tcBorders>
          </w:tcPr>
          <w:p w14:paraId="58434F5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86F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w:t>
            </w:r>
          </w:p>
        </w:tc>
        <w:tc>
          <w:tcPr>
            <w:tcW w:w="1656" w:type="dxa"/>
            <w:tcBorders>
              <w:top w:val="nil"/>
              <w:left w:val="nil"/>
              <w:bottom w:val="nil"/>
              <w:right w:val="nil"/>
            </w:tcBorders>
          </w:tcPr>
          <w:p w14:paraId="5ADC6F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559E122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(-1.04)</w:t>
            </w:r>
          </w:p>
        </w:tc>
        <w:tc>
          <w:tcPr>
            <w:tcW w:w="1656" w:type="dxa"/>
            <w:tcBorders>
              <w:top w:val="nil"/>
              <w:left w:val="nil"/>
              <w:bottom w:val="nil"/>
              <w:right w:val="nil"/>
            </w:tcBorders>
          </w:tcPr>
          <w:p w14:paraId="2C2C463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(0.64)</w:t>
            </w:r>
          </w:p>
        </w:tc>
      </w:tr>
      <w:tr w:rsidR="008E7D4B" w:rsidRPr="0082225C" w14:paraId="688FB35B" w14:textId="77777777" w:rsidTr="00015B88">
        <w:tc>
          <w:tcPr>
            <w:tcW w:w="2136" w:type="dxa"/>
            <w:tcBorders>
              <w:top w:val="nil"/>
              <w:left w:val="nil"/>
              <w:bottom w:val="nil"/>
              <w:right w:val="nil"/>
            </w:tcBorders>
          </w:tcPr>
          <w:p w14:paraId="3DD5C9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B218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52305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691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6693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1DC5D4E" w14:textId="77777777" w:rsidTr="00015B88">
        <w:tc>
          <w:tcPr>
            <w:tcW w:w="2136" w:type="dxa"/>
            <w:tcBorders>
              <w:top w:val="nil"/>
              <w:left w:val="nil"/>
              <w:bottom w:val="nil"/>
              <w:right w:val="nil"/>
            </w:tcBorders>
          </w:tcPr>
          <w:p w14:paraId="6BE0895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L7.More Fixed Rate * Polity Democracy</w:t>
            </w:r>
          </w:p>
        </w:tc>
        <w:tc>
          <w:tcPr>
            <w:tcW w:w="1656" w:type="dxa"/>
            <w:tcBorders>
              <w:top w:val="nil"/>
              <w:left w:val="nil"/>
              <w:bottom w:val="nil"/>
              <w:right w:val="nil"/>
            </w:tcBorders>
          </w:tcPr>
          <w:p w14:paraId="2002B6C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-0.00421</w:t>
            </w:r>
          </w:p>
        </w:tc>
        <w:tc>
          <w:tcPr>
            <w:tcW w:w="1656" w:type="dxa"/>
            <w:tcBorders>
              <w:top w:val="nil"/>
              <w:left w:val="nil"/>
              <w:bottom w:val="nil"/>
              <w:right w:val="nil"/>
            </w:tcBorders>
          </w:tcPr>
          <w:p w14:paraId="232B1C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0.000402</w:t>
            </w:r>
          </w:p>
        </w:tc>
        <w:tc>
          <w:tcPr>
            <w:tcW w:w="1656" w:type="dxa"/>
            <w:tcBorders>
              <w:top w:val="nil"/>
              <w:left w:val="nil"/>
              <w:bottom w:val="nil"/>
              <w:right w:val="nil"/>
            </w:tcBorders>
          </w:tcPr>
          <w:p w14:paraId="47F33DC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0.00263</w:t>
            </w:r>
          </w:p>
        </w:tc>
        <w:tc>
          <w:tcPr>
            <w:tcW w:w="1656" w:type="dxa"/>
            <w:tcBorders>
              <w:top w:val="nil"/>
              <w:left w:val="nil"/>
              <w:bottom w:val="nil"/>
              <w:right w:val="nil"/>
            </w:tcBorders>
          </w:tcPr>
          <w:p w14:paraId="59955B4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-0.00160</w:t>
            </w:r>
          </w:p>
        </w:tc>
      </w:tr>
      <w:tr w:rsidR="008E7D4B" w:rsidRPr="0082225C" w14:paraId="1FB63C1F" w14:textId="77777777" w:rsidTr="00015B88">
        <w:tc>
          <w:tcPr>
            <w:tcW w:w="2136" w:type="dxa"/>
            <w:tcBorders>
              <w:top w:val="nil"/>
              <w:left w:val="nil"/>
              <w:bottom w:val="nil"/>
              <w:right w:val="nil"/>
            </w:tcBorders>
          </w:tcPr>
          <w:p w14:paraId="0DF46C5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D8B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w:t>
            </w:r>
          </w:p>
        </w:tc>
        <w:tc>
          <w:tcPr>
            <w:tcW w:w="1656" w:type="dxa"/>
            <w:tcBorders>
              <w:top w:val="nil"/>
              <w:left w:val="nil"/>
              <w:bottom w:val="nil"/>
              <w:right w:val="nil"/>
            </w:tcBorders>
          </w:tcPr>
          <w:p w14:paraId="58100F7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w:t>
            </w:r>
          </w:p>
        </w:tc>
        <w:tc>
          <w:tcPr>
            <w:tcW w:w="1656" w:type="dxa"/>
            <w:tcBorders>
              <w:top w:val="nil"/>
              <w:left w:val="nil"/>
              <w:bottom w:val="nil"/>
              <w:right w:val="nil"/>
            </w:tcBorders>
          </w:tcPr>
          <w:p w14:paraId="7B2E47A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(0.41)</w:t>
            </w:r>
          </w:p>
        </w:tc>
        <w:tc>
          <w:tcPr>
            <w:tcW w:w="1656" w:type="dxa"/>
            <w:tcBorders>
              <w:top w:val="nil"/>
              <w:left w:val="nil"/>
              <w:bottom w:val="nil"/>
              <w:right w:val="nil"/>
            </w:tcBorders>
          </w:tcPr>
          <w:p w14:paraId="3980DD4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(-0.39)</w:t>
            </w:r>
          </w:p>
        </w:tc>
      </w:tr>
      <w:tr w:rsidR="008E7D4B" w:rsidRPr="0082225C" w14:paraId="1F3CE021" w14:textId="77777777" w:rsidTr="00015B88">
        <w:tc>
          <w:tcPr>
            <w:tcW w:w="2136" w:type="dxa"/>
            <w:tcBorders>
              <w:top w:val="nil"/>
              <w:left w:val="nil"/>
              <w:bottom w:val="nil"/>
              <w:right w:val="nil"/>
            </w:tcBorders>
          </w:tcPr>
          <w:p w14:paraId="2D2D3BB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9B0A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D9EAB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DC98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F99E5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09E4AFF" w14:textId="77777777" w:rsidTr="00015B88">
        <w:tc>
          <w:tcPr>
            <w:tcW w:w="2136" w:type="dxa"/>
            <w:tcBorders>
              <w:top w:val="nil"/>
              <w:left w:val="nil"/>
              <w:bottom w:val="nil"/>
              <w:right w:val="nil"/>
            </w:tcBorders>
          </w:tcPr>
          <w:p w14:paraId="7D6F08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L8.More Fixed Rate * Polity Democracy</w:t>
            </w:r>
          </w:p>
        </w:tc>
        <w:tc>
          <w:tcPr>
            <w:tcW w:w="1656" w:type="dxa"/>
            <w:tcBorders>
              <w:top w:val="nil"/>
              <w:left w:val="nil"/>
              <w:bottom w:val="nil"/>
              <w:right w:val="nil"/>
            </w:tcBorders>
          </w:tcPr>
          <w:p w14:paraId="279333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-0.00232</w:t>
            </w:r>
          </w:p>
        </w:tc>
        <w:tc>
          <w:tcPr>
            <w:tcW w:w="1656" w:type="dxa"/>
            <w:tcBorders>
              <w:top w:val="nil"/>
              <w:left w:val="nil"/>
              <w:bottom w:val="nil"/>
              <w:right w:val="nil"/>
            </w:tcBorders>
          </w:tcPr>
          <w:p w14:paraId="552BC29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-0.00211</w:t>
            </w:r>
          </w:p>
        </w:tc>
        <w:tc>
          <w:tcPr>
            <w:tcW w:w="1656" w:type="dxa"/>
            <w:tcBorders>
              <w:top w:val="nil"/>
              <w:left w:val="nil"/>
              <w:bottom w:val="nil"/>
              <w:right w:val="nil"/>
            </w:tcBorders>
          </w:tcPr>
          <w:p w14:paraId="0AD4F5D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0.00394</w:t>
            </w:r>
          </w:p>
        </w:tc>
        <w:tc>
          <w:tcPr>
            <w:tcW w:w="1656" w:type="dxa"/>
            <w:tcBorders>
              <w:top w:val="nil"/>
              <w:left w:val="nil"/>
              <w:bottom w:val="nil"/>
              <w:right w:val="nil"/>
            </w:tcBorders>
          </w:tcPr>
          <w:p w14:paraId="26E7406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0.00383</w:t>
            </w:r>
          </w:p>
        </w:tc>
      </w:tr>
      <w:tr w:rsidR="008E7D4B" w:rsidRPr="0082225C" w14:paraId="79C24F69" w14:textId="77777777" w:rsidTr="00015B88">
        <w:tc>
          <w:tcPr>
            <w:tcW w:w="2136" w:type="dxa"/>
            <w:tcBorders>
              <w:top w:val="nil"/>
              <w:left w:val="nil"/>
              <w:bottom w:val="nil"/>
              <w:right w:val="nil"/>
            </w:tcBorders>
          </w:tcPr>
          <w:p w14:paraId="23AFC61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5050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092F216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(-0.26)</w:t>
            </w:r>
          </w:p>
        </w:tc>
        <w:tc>
          <w:tcPr>
            <w:tcW w:w="1656" w:type="dxa"/>
            <w:tcBorders>
              <w:top w:val="nil"/>
              <w:left w:val="nil"/>
              <w:bottom w:val="nil"/>
              <w:right w:val="nil"/>
            </w:tcBorders>
          </w:tcPr>
          <w:p w14:paraId="7020CF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(0.40)</w:t>
            </w:r>
          </w:p>
        </w:tc>
        <w:tc>
          <w:tcPr>
            <w:tcW w:w="1656" w:type="dxa"/>
            <w:tcBorders>
              <w:top w:val="nil"/>
              <w:left w:val="nil"/>
              <w:bottom w:val="nil"/>
              <w:right w:val="nil"/>
            </w:tcBorders>
          </w:tcPr>
          <w:p w14:paraId="35D64FD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w:t>
            </w:r>
          </w:p>
        </w:tc>
      </w:tr>
      <w:tr w:rsidR="008E7D4B" w:rsidRPr="0082225C" w14:paraId="348AB00E" w14:textId="77777777" w:rsidTr="00015B88">
        <w:tc>
          <w:tcPr>
            <w:tcW w:w="2136" w:type="dxa"/>
            <w:tcBorders>
              <w:top w:val="nil"/>
              <w:left w:val="nil"/>
              <w:bottom w:val="nil"/>
              <w:right w:val="nil"/>
            </w:tcBorders>
          </w:tcPr>
          <w:p w14:paraId="2E6D5A9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393EF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31DAC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A2FBF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89C8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2246B58" w14:textId="77777777" w:rsidTr="00015B88">
        <w:tc>
          <w:tcPr>
            <w:tcW w:w="2136" w:type="dxa"/>
            <w:tcBorders>
              <w:top w:val="nil"/>
              <w:left w:val="nil"/>
              <w:bottom w:val="nil"/>
              <w:right w:val="nil"/>
            </w:tcBorders>
          </w:tcPr>
          <w:p w14:paraId="4790D2F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L9.More Fixed Rate * Polity Democracy</w:t>
            </w:r>
          </w:p>
        </w:tc>
        <w:tc>
          <w:tcPr>
            <w:tcW w:w="1656" w:type="dxa"/>
            <w:tcBorders>
              <w:top w:val="nil"/>
              <w:left w:val="nil"/>
              <w:bottom w:val="nil"/>
              <w:right w:val="nil"/>
            </w:tcBorders>
          </w:tcPr>
          <w:p w14:paraId="19FA2B5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-0.00267</w:t>
            </w:r>
          </w:p>
        </w:tc>
        <w:tc>
          <w:tcPr>
            <w:tcW w:w="1656" w:type="dxa"/>
            <w:tcBorders>
              <w:top w:val="nil"/>
              <w:left w:val="nil"/>
              <w:bottom w:val="nil"/>
              <w:right w:val="nil"/>
            </w:tcBorders>
          </w:tcPr>
          <w:p w14:paraId="2D5C973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-0.00593</w:t>
            </w:r>
          </w:p>
        </w:tc>
        <w:tc>
          <w:tcPr>
            <w:tcW w:w="1656" w:type="dxa"/>
            <w:tcBorders>
              <w:top w:val="nil"/>
              <w:left w:val="nil"/>
              <w:bottom w:val="nil"/>
              <w:right w:val="nil"/>
            </w:tcBorders>
          </w:tcPr>
          <w:p w14:paraId="5423170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0.00173</w:t>
            </w:r>
          </w:p>
        </w:tc>
        <w:tc>
          <w:tcPr>
            <w:tcW w:w="1656" w:type="dxa"/>
            <w:tcBorders>
              <w:top w:val="nil"/>
              <w:left w:val="nil"/>
              <w:bottom w:val="nil"/>
              <w:right w:val="nil"/>
            </w:tcBorders>
          </w:tcPr>
          <w:p w14:paraId="6137BB9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-0.00346</w:t>
            </w:r>
          </w:p>
        </w:tc>
      </w:tr>
      <w:tr w:rsidR="008E7D4B" w:rsidRPr="0082225C" w14:paraId="7C849504" w14:textId="77777777" w:rsidTr="00015B88">
        <w:tc>
          <w:tcPr>
            <w:tcW w:w="2136" w:type="dxa"/>
            <w:tcBorders>
              <w:top w:val="nil"/>
              <w:left w:val="nil"/>
              <w:bottom w:val="nil"/>
              <w:right w:val="nil"/>
            </w:tcBorders>
          </w:tcPr>
          <w:p w14:paraId="3A36E07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F0D3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(-0.38)</w:t>
            </w:r>
          </w:p>
        </w:tc>
        <w:tc>
          <w:tcPr>
            <w:tcW w:w="1656" w:type="dxa"/>
            <w:tcBorders>
              <w:top w:val="nil"/>
              <w:left w:val="nil"/>
              <w:bottom w:val="nil"/>
              <w:right w:val="nil"/>
            </w:tcBorders>
          </w:tcPr>
          <w:p w14:paraId="01BB408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(-0.43)</w:t>
            </w:r>
          </w:p>
        </w:tc>
        <w:tc>
          <w:tcPr>
            <w:tcW w:w="1656" w:type="dxa"/>
            <w:tcBorders>
              <w:top w:val="nil"/>
              <w:left w:val="nil"/>
              <w:bottom w:val="nil"/>
              <w:right w:val="nil"/>
            </w:tcBorders>
          </w:tcPr>
          <w:p w14:paraId="07A7B9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(0.17)</w:t>
            </w:r>
          </w:p>
        </w:tc>
        <w:tc>
          <w:tcPr>
            <w:tcW w:w="1656" w:type="dxa"/>
            <w:tcBorders>
              <w:top w:val="nil"/>
              <w:left w:val="nil"/>
              <w:bottom w:val="nil"/>
              <w:right w:val="nil"/>
            </w:tcBorders>
          </w:tcPr>
          <w:p w14:paraId="487646B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(-1.23)</w:t>
            </w:r>
          </w:p>
        </w:tc>
      </w:tr>
      <w:tr w:rsidR="008E7D4B" w:rsidRPr="0082225C" w14:paraId="79FB39E0" w14:textId="77777777" w:rsidTr="00015B88">
        <w:tc>
          <w:tcPr>
            <w:tcW w:w="2136" w:type="dxa"/>
            <w:tcBorders>
              <w:top w:val="nil"/>
              <w:left w:val="nil"/>
              <w:bottom w:val="nil"/>
              <w:right w:val="nil"/>
            </w:tcBorders>
          </w:tcPr>
          <w:p w14:paraId="0555BF9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A4483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744F6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18382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2F206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A9FA47F" w14:textId="77777777" w:rsidTr="00015B88">
        <w:tc>
          <w:tcPr>
            <w:tcW w:w="2136" w:type="dxa"/>
            <w:tcBorders>
              <w:top w:val="nil"/>
              <w:left w:val="nil"/>
              <w:bottom w:val="nil"/>
              <w:right w:val="nil"/>
            </w:tcBorders>
          </w:tcPr>
          <w:p w14:paraId="35E84F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2C3E7E3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-0.000113</w:t>
            </w:r>
          </w:p>
        </w:tc>
        <w:tc>
          <w:tcPr>
            <w:tcW w:w="1656" w:type="dxa"/>
            <w:tcBorders>
              <w:top w:val="nil"/>
              <w:left w:val="nil"/>
              <w:bottom w:val="nil"/>
              <w:right w:val="nil"/>
            </w:tcBorders>
          </w:tcPr>
          <w:p w14:paraId="747C33C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0.00518</w:t>
            </w:r>
          </w:p>
        </w:tc>
        <w:tc>
          <w:tcPr>
            <w:tcW w:w="1656" w:type="dxa"/>
            <w:tcBorders>
              <w:top w:val="nil"/>
              <w:left w:val="nil"/>
              <w:bottom w:val="nil"/>
              <w:right w:val="nil"/>
            </w:tcBorders>
          </w:tcPr>
          <w:p w14:paraId="5BDC586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-0.00484</w:t>
            </w:r>
          </w:p>
        </w:tc>
        <w:tc>
          <w:tcPr>
            <w:tcW w:w="1656" w:type="dxa"/>
            <w:tcBorders>
              <w:top w:val="nil"/>
              <w:left w:val="nil"/>
              <w:bottom w:val="nil"/>
              <w:right w:val="nil"/>
            </w:tcBorders>
          </w:tcPr>
          <w:p w14:paraId="2F3836E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0.00323</w:t>
            </w:r>
          </w:p>
        </w:tc>
      </w:tr>
      <w:tr w:rsidR="008E7D4B" w:rsidRPr="0082225C" w14:paraId="58D64EE9" w14:textId="77777777" w:rsidTr="00015B88">
        <w:tc>
          <w:tcPr>
            <w:tcW w:w="2136" w:type="dxa"/>
            <w:tcBorders>
              <w:top w:val="nil"/>
              <w:left w:val="nil"/>
              <w:bottom w:val="nil"/>
              <w:right w:val="nil"/>
            </w:tcBorders>
          </w:tcPr>
          <w:p w14:paraId="79766EC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84D5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w:t>
            </w:r>
          </w:p>
        </w:tc>
        <w:tc>
          <w:tcPr>
            <w:tcW w:w="1656" w:type="dxa"/>
            <w:tcBorders>
              <w:top w:val="nil"/>
              <w:left w:val="nil"/>
              <w:bottom w:val="nil"/>
              <w:right w:val="nil"/>
            </w:tcBorders>
          </w:tcPr>
          <w:p w14:paraId="360F0AC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(0.44)</w:t>
            </w:r>
          </w:p>
        </w:tc>
        <w:tc>
          <w:tcPr>
            <w:tcW w:w="1656" w:type="dxa"/>
            <w:tcBorders>
              <w:top w:val="nil"/>
              <w:left w:val="nil"/>
              <w:bottom w:val="nil"/>
              <w:right w:val="nil"/>
            </w:tcBorders>
          </w:tcPr>
          <w:p w14:paraId="7A1E85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7FFE462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(0.67)</w:t>
            </w:r>
          </w:p>
        </w:tc>
      </w:tr>
      <w:tr w:rsidR="008E7D4B" w:rsidRPr="0082225C" w14:paraId="4CEBEC09" w14:textId="77777777" w:rsidTr="00015B88">
        <w:tc>
          <w:tcPr>
            <w:tcW w:w="2136" w:type="dxa"/>
            <w:tcBorders>
              <w:top w:val="nil"/>
              <w:left w:val="nil"/>
              <w:bottom w:val="nil"/>
              <w:right w:val="nil"/>
            </w:tcBorders>
          </w:tcPr>
          <w:p w14:paraId="309E2D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4F7D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E5F4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E0338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581A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6B249EF" w14:textId="77777777" w:rsidTr="00015B88">
        <w:tc>
          <w:tcPr>
            <w:tcW w:w="2136" w:type="dxa"/>
            <w:tcBorders>
              <w:top w:val="nil"/>
              <w:left w:val="nil"/>
              <w:bottom w:val="nil"/>
              <w:right w:val="nil"/>
            </w:tcBorders>
          </w:tcPr>
          <w:p w14:paraId="11CB059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34A2300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D1A0D0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B73C3F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3322B4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-6.781</w:t>
            </w:r>
            <w:r w:rsidRPr="0082225C">
              <w:rPr>
                <w:rFonts w:ascii="Times New Roman" w:hAnsi="Times New Roman" w:cs="Times New Roman"/>
                <w:sz w:val="16"/>
                <w:szCs w:val="16"/>
                <w:vertAlign w:val="superscript"/>
              </w:rPr>
              <w:t>**</w:t>
            </w:r>
          </w:p>
        </w:tc>
      </w:tr>
      <w:tr w:rsidR="008E7D4B" w:rsidRPr="0082225C" w14:paraId="2AD2A19B" w14:textId="77777777" w:rsidTr="00015B88">
        <w:tc>
          <w:tcPr>
            <w:tcW w:w="2136" w:type="dxa"/>
            <w:tcBorders>
              <w:top w:val="nil"/>
              <w:left w:val="nil"/>
              <w:bottom w:val="nil"/>
              <w:right w:val="nil"/>
            </w:tcBorders>
          </w:tcPr>
          <w:p w14:paraId="10CB303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47D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D50609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F962B5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F0982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(-3.20)</w:t>
            </w:r>
          </w:p>
        </w:tc>
      </w:tr>
      <w:tr w:rsidR="008E7D4B" w:rsidRPr="0082225C" w14:paraId="1B1F815C" w14:textId="77777777" w:rsidTr="00015B88">
        <w:tc>
          <w:tcPr>
            <w:tcW w:w="2136" w:type="dxa"/>
            <w:tcBorders>
              <w:top w:val="single" w:sz="4" w:space="0" w:color="auto"/>
              <w:left w:val="nil"/>
              <w:bottom w:val="nil"/>
              <w:right w:val="nil"/>
            </w:tcBorders>
          </w:tcPr>
          <w:p w14:paraId="6D8E7AF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E1056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3DD22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576C5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872E7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73D472E8" w14:textId="77777777" w:rsidTr="00015B88">
        <w:tc>
          <w:tcPr>
            <w:tcW w:w="2136" w:type="dxa"/>
            <w:tcBorders>
              <w:top w:val="nil"/>
              <w:left w:val="nil"/>
              <w:bottom w:val="nil"/>
              <w:right w:val="nil"/>
            </w:tcBorders>
          </w:tcPr>
          <w:p w14:paraId="22B275D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335FCD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1.023</w:t>
            </w:r>
          </w:p>
        </w:tc>
        <w:tc>
          <w:tcPr>
            <w:tcW w:w="1656" w:type="dxa"/>
            <w:tcBorders>
              <w:top w:val="nil"/>
              <w:left w:val="nil"/>
              <w:bottom w:val="nil"/>
              <w:right w:val="nil"/>
            </w:tcBorders>
          </w:tcPr>
          <w:p w14:paraId="7D6E39A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3.735</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08A788B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1.426</w:t>
            </w:r>
          </w:p>
        </w:tc>
        <w:tc>
          <w:tcPr>
            <w:tcW w:w="1656" w:type="dxa"/>
            <w:tcBorders>
              <w:top w:val="nil"/>
              <w:left w:val="nil"/>
              <w:bottom w:val="nil"/>
              <w:right w:val="nil"/>
            </w:tcBorders>
          </w:tcPr>
          <w:p w14:paraId="1E350A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60C0C339" w14:textId="77777777" w:rsidTr="00015B88">
        <w:tc>
          <w:tcPr>
            <w:tcW w:w="2136" w:type="dxa"/>
            <w:tcBorders>
              <w:top w:val="nil"/>
              <w:left w:val="nil"/>
              <w:bottom w:val="nil"/>
              <w:right w:val="nil"/>
            </w:tcBorders>
          </w:tcPr>
          <w:p w14:paraId="384913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72CB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c>
          <w:tcPr>
            <w:tcW w:w="1656" w:type="dxa"/>
            <w:tcBorders>
              <w:top w:val="nil"/>
              <w:left w:val="nil"/>
              <w:bottom w:val="nil"/>
              <w:right w:val="nil"/>
            </w:tcBorders>
          </w:tcPr>
          <w:p w14:paraId="5D03E7E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(2.43)</w:t>
            </w:r>
          </w:p>
        </w:tc>
        <w:tc>
          <w:tcPr>
            <w:tcW w:w="1656" w:type="dxa"/>
            <w:tcBorders>
              <w:top w:val="nil"/>
              <w:left w:val="nil"/>
              <w:bottom w:val="nil"/>
              <w:right w:val="nil"/>
            </w:tcBorders>
          </w:tcPr>
          <w:p w14:paraId="79E464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(1.18)</w:t>
            </w:r>
          </w:p>
        </w:tc>
        <w:tc>
          <w:tcPr>
            <w:tcW w:w="1656" w:type="dxa"/>
            <w:tcBorders>
              <w:top w:val="nil"/>
              <w:left w:val="nil"/>
              <w:bottom w:val="nil"/>
              <w:right w:val="nil"/>
            </w:tcBorders>
          </w:tcPr>
          <w:p w14:paraId="49E13BD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53FAB8CB" w14:textId="77777777" w:rsidTr="00015B88">
        <w:tc>
          <w:tcPr>
            <w:tcW w:w="2136" w:type="dxa"/>
            <w:tcBorders>
              <w:top w:val="single" w:sz="4" w:space="0" w:color="auto"/>
              <w:left w:val="nil"/>
              <w:bottom w:val="nil"/>
              <w:right w:val="nil"/>
            </w:tcBorders>
          </w:tcPr>
          <w:p w14:paraId="5E0E5D0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681421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75E8E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9DCFF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E404DF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1874CF68" w14:textId="77777777" w:rsidTr="00015B88">
        <w:tc>
          <w:tcPr>
            <w:tcW w:w="2136" w:type="dxa"/>
            <w:tcBorders>
              <w:top w:val="nil"/>
              <w:left w:val="nil"/>
              <w:bottom w:val="nil"/>
              <w:right w:val="nil"/>
            </w:tcBorders>
          </w:tcPr>
          <w:p w14:paraId="54901DF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37DA348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1.485</w:t>
            </w:r>
          </w:p>
        </w:tc>
        <w:tc>
          <w:tcPr>
            <w:tcW w:w="1656" w:type="dxa"/>
            <w:tcBorders>
              <w:top w:val="nil"/>
              <w:left w:val="nil"/>
              <w:bottom w:val="nil"/>
              <w:right w:val="nil"/>
            </w:tcBorders>
          </w:tcPr>
          <w:p w14:paraId="491D97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4.401</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0F3A90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2.876</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54C8050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0F47B29F" w14:textId="77777777" w:rsidTr="00015B88">
        <w:tc>
          <w:tcPr>
            <w:tcW w:w="2136" w:type="dxa"/>
            <w:tcBorders>
              <w:top w:val="nil"/>
              <w:left w:val="nil"/>
              <w:bottom w:val="nil"/>
              <w:right w:val="nil"/>
            </w:tcBorders>
          </w:tcPr>
          <w:p w14:paraId="54458CA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245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(1.54)</w:t>
            </w:r>
          </w:p>
        </w:tc>
        <w:tc>
          <w:tcPr>
            <w:tcW w:w="1656" w:type="dxa"/>
            <w:tcBorders>
              <w:top w:val="nil"/>
              <w:left w:val="nil"/>
              <w:bottom w:val="nil"/>
              <w:right w:val="nil"/>
            </w:tcBorders>
          </w:tcPr>
          <w:p w14:paraId="229A6CC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(2.84)</w:t>
            </w:r>
          </w:p>
        </w:tc>
        <w:tc>
          <w:tcPr>
            <w:tcW w:w="1656" w:type="dxa"/>
            <w:tcBorders>
              <w:top w:val="nil"/>
              <w:left w:val="nil"/>
              <w:bottom w:val="nil"/>
              <w:right w:val="nil"/>
            </w:tcBorders>
          </w:tcPr>
          <w:p w14:paraId="194AD54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(2.36)</w:t>
            </w:r>
          </w:p>
        </w:tc>
        <w:tc>
          <w:tcPr>
            <w:tcW w:w="1656" w:type="dxa"/>
            <w:tcBorders>
              <w:top w:val="nil"/>
              <w:left w:val="nil"/>
              <w:bottom w:val="nil"/>
              <w:right w:val="nil"/>
            </w:tcBorders>
          </w:tcPr>
          <w:p w14:paraId="66E58C6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2169DF60" w14:textId="77777777" w:rsidTr="00015B88">
        <w:tc>
          <w:tcPr>
            <w:tcW w:w="2136" w:type="dxa"/>
            <w:tcBorders>
              <w:top w:val="single" w:sz="4" w:space="0" w:color="auto"/>
              <w:left w:val="nil"/>
              <w:bottom w:val="nil"/>
              <w:right w:val="nil"/>
            </w:tcBorders>
          </w:tcPr>
          <w:p w14:paraId="4C9C2C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1E64AAF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7002FA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D311D0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0330C4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19D13562" w14:textId="77777777" w:rsidTr="00015B88">
        <w:tc>
          <w:tcPr>
            <w:tcW w:w="2136" w:type="dxa"/>
            <w:tcBorders>
              <w:top w:val="nil"/>
              <w:left w:val="nil"/>
              <w:bottom w:val="nil"/>
              <w:right w:val="nil"/>
            </w:tcBorders>
          </w:tcPr>
          <w:p w14:paraId="75AB1D7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40967C4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0.683</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6829A69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3.585</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20E925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0.539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2B4BE65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168B9049" w14:textId="77777777" w:rsidTr="00015B88">
        <w:tc>
          <w:tcPr>
            <w:tcW w:w="2136" w:type="dxa"/>
            <w:tcBorders>
              <w:top w:val="nil"/>
              <w:left w:val="nil"/>
              <w:bottom w:val="nil"/>
              <w:right w:val="nil"/>
            </w:tcBorders>
          </w:tcPr>
          <w:p w14:paraId="09F9C1E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0717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(2.58)</w:t>
            </w:r>
          </w:p>
        </w:tc>
        <w:tc>
          <w:tcPr>
            <w:tcW w:w="1656" w:type="dxa"/>
            <w:tcBorders>
              <w:top w:val="nil"/>
              <w:left w:val="nil"/>
              <w:bottom w:val="nil"/>
              <w:right w:val="nil"/>
            </w:tcBorders>
          </w:tcPr>
          <w:p w14:paraId="395DC5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(3.39)</w:t>
            </w:r>
          </w:p>
        </w:tc>
        <w:tc>
          <w:tcPr>
            <w:tcW w:w="1656" w:type="dxa"/>
            <w:tcBorders>
              <w:top w:val="nil"/>
              <w:left w:val="nil"/>
              <w:bottom w:val="nil"/>
              <w:right w:val="nil"/>
            </w:tcBorders>
          </w:tcPr>
          <w:p w14:paraId="5D5DC0B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(2.56)</w:t>
            </w:r>
          </w:p>
        </w:tc>
        <w:tc>
          <w:tcPr>
            <w:tcW w:w="1656" w:type="dxa"/>
            <w:tcBorders>
              <w:top w:val="nil"/>
              <w:left w:val="nil"/>
              <w:bottom w:val="nil"/>
              <w:right w:val="nil"/>
            </w:tcBorders>
          </w:tcPr>
          <w:p w14:paraId="70B623E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0A4CAEF4" w14:textId="77777777" w:rsidTr="00015B88">
        <w:tc>
          <w:tcPr>
            <w:tcW w:w="2136" w:type="dxa"/>
            <w:tcBorders>
              <w:top w:val="single" w:sz="4" w:space="0" w:color="auto"/>
              <w:left w:val="nil"/>
              <w:bottom w:val="nil"/>
              <w:right w:val="nil"/>
            </w:tcBorders>
          </w:tcPr>
          <w:p w14:paraId="032B0BA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w:t>
            </w:r>
          </w:p>
        </w:tc>
        <w:tc>
          <w:tcPr>
            <w:tcW w:w="1656" w:type="dxa"/>
            <w:tcBorders>
              <w:top w:val="single" w:sz="4" w:space="0" w:color="auto"/>
              <w:left w:val="nil"/>
              <w:bottom w:val="nil"/>
              <w:right w:val="nil"/>
            </w:tcBorders>
          </w:tcPr>
          <w:p w14:paraId="256BA67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DDD188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6034EA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7ED6BC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0FC10866" w14:textId="77777777" w:rsidTr="00015B88">
        <w:tc>
          <w:tcPr>
            <w:tcW w:w="2136" w:type="dxa"/>
            <w:tcBorders>
              <w:top w:val="nil"/>
              <w:left w:val="nil"/>
              <w:bottom w:val="nil"/>
              <w:right w:val="nil"/>
            </w:tcBorders>
          </w:tcPr>
          <w:p w14:paraId="3AE06B3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lnsig2u</w:t>
            </w:r>
          </w:p>
        </w:tc>
        <w:tc>
          <w:tcPr>
            <w:tcW w:w="1656" w:type="dxa"/>
            <w:tcBorders>
              <w:top w:val="nil"/>
              <w:left w:val="nil"/>
              <w:bottom w:val="nil"/>
              <w:right w:val="nil"/>
            </w:tcBorders>
          </w:tcPr>
          <w:p w14:paraId="4E7D9C4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3E244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A5EB5D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E72A8C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2.409</w:t>
            </w:r>
            <w:r w:rsidRPr="0082225C">
              <w:rPr>
                <w:rFonts w:ascii="Times New Roman" w:hAnsi="Times New Roman" w:cs="Times New Roman"/>
                <w:sz w:val="16"/>
                <w:szCs w:val="16"/>
                <w:vertAlign w:val="superscript"/>
              </w:rPr>
              <w:t>***</w:t>
            </w:r>
          </w:p>
        </w:tc>
      </w:tr>
      <w:tr w:rsidR="008E7D4B" w:rsidRPr="0082225C" w14:paraId="0D430AA1" w14:textId="77777777" w:rsidTr="00015B88">
        <w:tc>
          <w:tcPr>
            <w:tcW w:w="2136" w:type="dxa"/>
            <w:tcBorders>
              <w:top w:val="nil"/>
              <w:left w:val="nil"/>
              <w:bottom w:val="single" w:sz="4" w:space="0" w:color="auto"/>
              <w:right w:val="nil"/>
            </w:tcBorders>
          </w:tcPr>
          <w:p w14:paraId="7B6BF68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7DCE8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0BEA9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D7BE2B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4B6360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(6.24)</w:t>
            </w:r>
          </w:p>
        </w:tc>
      </w:tr>
      <w:tr w:rsidR="008E7D4B" w:rsidRPr="0082225C" w14:paraId="7BF960B5" w14:textId="77777777" w:rsidTr="00015B88">
        <w:tc>
          <w:tcPr>
            <w:tcW w:w="2136" w:type="dxa"/>
            <w:tcBorders>
              <w:top w:val="nil"/>
              <w:left w:val="nil"/>
              <w:bottom w:val="single" w:sz="4" w:space="0" w:color="auto"/>
              <w:right w:val="nil"/>
            </w:tcBorders>
          </w:tcPr>
          <w:p w14:paraId="5FFB679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AC16F3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79D51BC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7F985A7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749</w:t>
            </w:r>
          </w:p>
        </w:tc>
        <w:tc>
          <w:tcPr>
            <w:tcW w:w="1656" w:type="dxa"/>
            <w:tcBorders>
              <w:top w:val="nil"/>
              <w:left w:val="nil"/>
              <w:bottom w:val="single" w:sz="4" w:space="0" w:color="auto"/>
              <w:right w:val="nil"/>
            </w:tcBorders>
          </w:tcPr>
          <w:p w14:paraId="12D477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2534</w:t>
            </w:r>
          </w:p>
        </w:tc>
      </w:tr>
    </w:tbl>
    <w:p w14:paraId="28FFFF95" w14:textId="77777777" w:rsidR="008E7D4B" w:rsidRPr="0082225C" w:rsidRDefault="008E7D4B" w:rsidP="008E7D4B">
      <w:pPr>
        <w:widowControl w:val="0"/>
        <w:autoSpaceDE w:val="0"/>
        <w:autoSpaceDN w:val="0"/>
        <w:adjustRightInd w:val="0"/>
        <w:spacing w:after="0" w:line="240" w:lineRule="auto"/>
        <w:rPr>
          <w:rFonts w:ascii="Times New Roman" w:hAnsi="Times New Roman" w:cs="Times New Roman"/>
          <w:sz w:val="12"/>
          <w:szCs w:val="12"/>
        </w:rPr>
      </w:pPr>
      <w:r w:rsidRPr="0082225C">
        <w:rPr>
          <w:rFonts w:ascii="Times New Roman" w:hAnsi="Times New Roman" w:cs="Times New Roman"/>
          <w:i/>
          <w:iCs/>
          <w:sz w:val="12"/>
          <w:szCs w:val="12"/>
        </w:rPr>
        <w:t>t</w:t>
      </w:r>
      <w:r w:rsidRPr="0082225C">
        <w:rPr>
          <w:rFonts w:ascii="Times New Roman" w:hAnsi="Times New Roman" w:cs="Times New Roman"/>
          <w:sz w:val="12"/>
          <w:szCs w:val="12"/>
        </w:rPr>
        <w:t xml:space="preserve"> statistics in parentheses</w:t>
      </w:r>
    </w:p>
    <w:p w14:paraId="7FFCCC78" w14:textId="77777777" w:rsidR="008E7D4B" w:rsidRPr="0082225C" w:rsidRDefault="008E7D4B" w:rsidP="008E7D4B">
      <w:pPr>
        <w:widowControl w:val="0"/>
        <w:autoSpaceDE w:val="0"/>
        <w:autoSpaceDN w:val="0"/>
        <w:adjustRightInd w:val="0"/>
        <w:spacing w:after="0" w:line="240" w:lineRule="auto"/>
        <w:rPr>
          <w:rFonts w:ascii="Times New Roman" w:hAnsi="Times New Roman" w:cs="Times New Roman"/>
          <w:sz w:val="12"/>
          <w:szCs w:val="12"/>
        </w:rPr>
      </w:pPr>
      <w:r w:rsidRPr="0082225C">
        <w:rPr>
          <w:rFonts w:ascii="Times New Roman" w:hAnsi="Times New Roman" w:cs="Times New Roman"/>
          <w:sz w:val="12"/>
          <w:szCs w:val="12"/>
          <w:vertAlign w:val="superscript"/>
        </w:rPr>
        <w:t>*</w:t>
      </w:r>
      <w:r w:rsidRPr="0082225C">
        <w:rPr>
          <w:rFonts w:ascii="Times New Roman" w:hAnsi="Times New Roman" w:cs="Times New Roman"/>
          <w:sz w:val="12"/>
          <w:szCs w:val="12"/>
        </w:rPr>
        <w:t xml:space="preserve"> </w:t>
      </w:r>
      <w:r w:rsidRPr="0082225C">
        <w:rPr>
          <w:rFonts w:ascii="Times New Roman" w:hAnsi="Times New Roman" w:cs="Times New Roman"/>
          <w:i/>
          <w:iCs/>
          <w:sz w:val="12"/>
          <w:szCs w:val="12"/>
        </w:rPr>
        <w:t>p</w:t>
      </w:r>
      <w:r w:rsidRPr="0082225C">
        <w:rPr>
          <w:rFonts w:ascii="Times New Roman" w:hAnsi="Times New Roman" w:cs="Times New Roman"/>
          <w:sz w:val="12"/>
          <w:szCs w:val="12"/>
        </w:rPr>
        <w:t xml:space="preserve"> &lt; 0.05, </w:t>
      </w:r>
      <w:r w:rsidRPr="0082225C">
        <w:rPr>
          <w:rFonts w:ascii="Times New Roman" w:hAnsi="Times New Roman" w:cs="Times New Roman"/>
          <w:sz w:val="12"/>
          <w:szCs w:val="12"/>
          <w:vertAlign w:val="superscript"/>
        </w:rPr>
        <w:t>**</w:t>
      </w:r>
      <w:r w:rsidRPr="0082225C">
        <w:rPr>
          <w:rFonts w:ascii="Times New Roman" w:hAnsi="Times New Roman" w:cs="Times New Roman"/>
          <w:sz w:val="12"/>
          <w:szCs w:val="12"/>
        </w:rPr>
        <w:t xml:space="preserve"> </w:t>
      </w:r>
      <w:r w:rsidRPr="0082225C">
        <w:rPr>
          <w:rFonts w:ascii="Times New Roman" w:hAnsi="Times New Roman" w:cs="Times New Roman"/>
          <w:i/>
          <w:iCs/>
          <w:sz w:val="12"/>
          <w:szCs w:val="12"/>
        </w:rPr>
        <w:t>p</w:t>
      </w:r>
      <w:r w:rsidRPr="0082225C">
        <w:rPr>
          <w:rFonts w:ascii="Times New Roman" w:hAnsi="Times New Roman" w:cs="Times New Roman"/>
          <w:sz w:val="12"/>
          <w:szCs w:val="12"/>
        </w:rPr>
        <w:t xml:space="preserve"> &lt; 0.01, </w:t>
      </w:r>
      <w:r w:rsidRPr="0082225C">
        <w:rPr>
          <w:rFonts w:ascii="Times New Roman" w:hAnsi="Times New Roman" w:cs="Times New Roman"/>
          <w:sz w:val="12"/>
          <w:szCs w:val="12"/>
          <w:vertAlign w:val="superscript"/>
        </w:rPr>
        <w:t>***</w:t>
      </w:r>
      <w:r w:rsidRPr="0082225C">
        <w:rPr>
          <w:rFonts w:ascii="Times New Roman" w:hAnsi="Times New Roman" w:cs="Times New Roman"/>
          <w:sz w:val="12"/>
          <w:szCs w:val="12"/>
        </w:rPr>
        <w:t xml:space="preserve"> </w:t>
      </w:r>
      <w:r w:rsidRPr="0082225C">
        <w:rPr>
          <w:rFonts w:ascii="Times New Roman" w:hAnsi="Times New Roman" w:cs="Times New Roman"/>
          <w:i/>
          <w:iCs/>
          <w:sz w:val="12"/>
          <w:szCs w:val="12"/>
        </w:rPr>
        <w:t>p</w:t>
      </w:r>
      <w:r w:rsidRPr="0082225C">
        <w:rPr>
          <w:rFonts w:ascii="Times New Roman" w:hAnsi="Times New Roman" w:cs="Times New Roman"/>
          <w:sz w:val="12"/>
          <w:szCs w:val="12"/>
        </w:rPr>
        <w:t xml:space="preserve"> &lt; 0.001</w:t>
      </w:r>
    </w:p>
    <w:p w14:paraId="02912A1E" w14:textId="6FEA0404" w:rsidR="00320DC7" w:rsidRDefault="00320DC7" w:rsidP="00DB7775"/>
    <w:tbl>
      <w:tblPr>
        <w:tblW w:w="0" w:type="auto"/>
        <w:tblLayout w:type="fixed"/>
        <w:tblLook w:val="0000" w:firstRow="0" w:lastRow="0" w:firstColumn="0" w:lastColumn="0" w:noHBand="0" w:noVBand="0"/>
      </w:tblPr>
      <w:tblGrid>
        <w:gridCol w:w="2136"/>
        <w:gridCol w:w="1656"/>
        <w:gridCol w:w="1656"/>
        <w:gridCol w:w="1656"/>
        <w:gridCol w:w="1656"/>
      </w:tblGrid>
      <w:tr w:rsidR="008D10A7" w:rsidRPr="005B536A" w14:paraId="411C7B7C" w14:textId="77777777" w:rsidTr="00015B88">
        <w:tc>
          <w:tcPr>
            <w:tcW w:w="2136" w:type="dxa"/>
            <w:tcBorders>
              <w:top w:val="single" w:sz="4" w:space="0" w:color="auto"/>
              <w:left w:val="nil"/>
              <w:bottom w:val="nil"/>
              <w:right w:val="nil"/>
            </w:tcBorders>
          </w:tcPr>
          <w:p w14:paraId="0F27237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B87BFC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w:t>
            </w:r>
          </w:p>
        </w:tc>
        <w:tc>
          <w:tcPr>
            <w:tcW w:w="1656" w:type="dxa"/>
            <w:tcBorders>
              <w:top w:val="single" w:sz="4" w:space="0" w:color="auto"/>
              <w:left w:val="nil"/>
              <w:bottom w:val="nil"/>
              <w:right w:val="nil"/>
            </w:tcBorders>
          </w:tcPr>
          <w:p w14:paraId="51D6112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w:t>
            </w:r>
          </w:p>
        </w:tc>
        <w:tc>
          <w:tcPr>
            <w:tcW w:w="1656" w:type="dxa"/>
            <w:tcBorders>
              <w:top w:val="single" w:sz="4" w:space="0" w:color="auto"/>
              <w:left w:val="nil"/>
              <w:bottom w:val="nil"/>
              <w:right w:val="nil"/>
            </w:tcBorders>
          </w:tcPr>
          <w:p w14:paraId="1C5E1FB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w:t>
            </w:r>
          </w:p>
        </w:tc>
        <w:tc>
          <w:tcPr>
            <w:tcW w:w="1656" w:type="dxa"/>
            <w:tcBorders>
              <w:top w:val="single" w:sz="4" w:space="0" w:color="auto"/>
              <w:left w:val="nil"/>
              <w:bottom w:val="nil"/>
              <w:right w:val="nil"/>
            </w:tcBorders>
          </w:tcPr>
          <w:p w14:paraId="61F2F7E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(4)</w:t>
            </w:r>
          </w:p>
        </w:tc>
      </w:tr>
      <w:tr w:rsidR="008D10A7" w:rsidRPr="005B536A" w14:paraId="3ABCF398" w14:textId="77777777" w:rsidTr="00015B88">
        <w:tc>
          <w:tcPr>
            <w:tcW w:w="2136" w:type="dxa"/>
            <w:tcBorders>
              <w:top w:val="nil"/>
              <w:left w:val="nil"/>
              <w:bottom w:val="nil"/>
              <w:right w:val="nil"/>
            </w:tcBorders>
          </w:tcPr>
          <w:p w14:paraId="7CBA0A7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30E0A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Head of Govt. Turnover</w:t>
            </w:r>
          </w:p>
        </w:tc>
        <w:tc>
          <w:tcPr>
            <w:tcW w:w="1656" w:type="dxa"/>
            <w:tcBorders>
              <w:top w:val="nil"/>
              <w:left w:val="nil"/>
              <w:bottom w:val="nil"/>
              <w:right w:val="nil"/>
            </w:tcBorders>
          </w:tcPr>
          <w:p w14:paraId="5626797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Head of State Turnover</w:t>
            </w:r>
          </w:p>
        </w:tc>
        <w:tc>
          <w:tcPr>
            <w:tcW w:w="1656" w:type="dxa"/>
            <w:tcBorders>
              <w:top w:val="nil"/>
              <w:left w:val="nil"/>
              <w:bottom w:val="nil"/>
              <w:right w:val="nil"/>
            </w:tcBorders>
          </w:tcPr>
          <w:p w14:paraId="1D0FE46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Lower House Turnover</w:t>
            </w:r>
          </w:p>
        </w:tc>
        <w:tc>
          <w:tcPr>
            <w:tcW w:w="1656" w:type="dxa"/>
            <w:tcBorders>
              <w:top w:val="nil"/>
              <w:left w:val="nil"/>
              <w:bottom w:val="nil"/>
              <w:right w:val="nil"/>
            </w:tcBorders>
          </w:tcPr>
          <w:p w14:paraId="05B98F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Instability Event Indicator</w:t>
            </w:r>
          </w:p>
        </w:tc>
      </w:tr>
      <w:tr w:rsidR="008D10A7" w:rsidRPr="005B536A" w14:paraId="24DB35DF" w14:textId="77777777" w:rsidTr="00015B88">
        <w:tc>
          <w:tcPr>
            <w:tcW w:w="2136" w:type="dxa"/>
            <w:tcBorders>
              <w:top w:val="single" w:sz="4" w:space="0" w:color="auto"/>
              <w:left w:val="nil"/>
              <w:bottom w:val="nil"/>
              <w:right w:val="nil"/>
            </w:tcBorders>
          </w:tcPr>
          <w:p w14:paraId="7DD9D2C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2877FD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525AD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74420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F16B2E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5409ED5D" w14:textId="77777777" w:rsidTr="00015B88">
        <w:tc>
          <w:tcPr>
            <w:tcW w:w="2136" w:type="dxa"/>
            <w:tcBorders>
              <w:top w:val="nil"/>
              <w:left w:val="nil"/>
              <w:bottom w:val="nil"/>
              <w:right w:val="nil"/>
            </w:tcBorders>
          </w:tcPr>
          <w:p w14:paraId="08AE649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55587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-0.353</w:t>
            </w:r>
          </w:p>
        </w:tc>
        <w:tc>
          <w:tcPr>
            <w:tcW w:w="1656" w:type="dxa"/>
            <w:tcBorders>
              <w:top w:val="nil"/>
              <w:left w:val="nil"/>
              <w:bottom w:val="nil"/>
              <w:right w:val="nil"/>
            </w:tcBorders>
          </w:tcPr>
          <w:p w14:paraId="5D33EF9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-0.100</w:t>
            </w:r>
          </w:p>
        </w:tc>
        <w:tc>
          <w:tcPr>
            <w:tcW w:w="1656" w:type="dxa"/>
            <w:tcBorders>
              <w:top w:val="nil"/>
              <w:left w:val="nil"/>
              <w:bottom w:val="nil"/>
              <w:right w:val="nil"/>
            </w:tcBorders>
          </w:tcPr>
          <w:p w14:paraId="2C7B0ED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0.324</w:t>
            </w:r>
          </w:p>
        </w:tc>
        <w:tc>
          <w:tcPr>
            <w:tcW w:w="1656" w:type="dxa"/>
            <w:tcBorders>
              <w:top w:val="nil"/>
              <w:left w:val="nil"/>
              <w:bottom w:val="nil"/>
              <w:right w:val="nil"/>
            </w:tcBorders>
          </w:tcPr>
          <w:p w14:paraId="07F4C3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-0.834</w:t>
            </w:r>
            <w:r w:rsidRPr="005B536A">
              <w:rPr>
                <w:rFonts w:ascii="Times New Roman" w:hAnsi="Times New Roman" w:cs="Times New Roman"/>
                <w:sz w:val="16"/>
                <w:szCs w:val="16"/>
                <w:vertAlign w:val="superscript"/>
              </w:rPr>
              <w:t>**</w:t>
            </w:r>
          </w:p>
        </w:tc>
      </w:tr>
      <w:tr w:rsidR="008D10A7" w:rsidRPr="005B536A" w14:paraId="2991B0FE" w14:textId="77777777" w:rsidTr="00015B88">
        <w:tc>
          <w:tcPr>
            <w:tcW w:w="2136" w:type="dxa"/>
            <w:tcBorders>
              <w:top w:val="nil"/>
              <w:left w:val="nil"/>
              <w:bottom w:val="nil"/>
              <w:right w:val="nil"/>
            </w:tcBorders>
          </w:tcPr>
          <w:p w14:paraId="1BE3F5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F846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(-0.60)</w:t>
            </w:r>
          </w:p>
        </w:tc>
        <w:tc>
          <w:tcPr>
            <w:tcW w:w="1656" w:type="dxa"/>
            <w:tcBorders>
              <w:top w:val="nil"/>
              <w:left w:val="nil"/>
              <w:bottom w:val="nil"/>
              <w:right w:val="nil"/>
            </w:tcBorders>
          </w:tcPr>
          <w:p w14:paraId="526854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07767D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(0.30)</w:t>
            </w:r>
          </w:p>
        </w:tc>
        <w:tc>
          <w:tcPr>
            <w:tcW w:w="1656" w:type="dxa"/>
            <w:tcBorders>
              <w:top w:val="nil"/>
              <w:left w:val="nil"/>
              <w:bottom w:val="nil"/>
              <w:right w:val="nil"/>
            </w:tcBorders>
          </w:tcPr>
          <w:p w14:paraId="67A7C08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(-2.63)</w:t>
            </w:r>
          </w:p>
        </w:tc>
      </w:tr>
      <w:tr w:rsidR="008D10A7" w:rsidRPr="005B536A" w14:paraId="1D9EE855" w14:textId="77777777" w:rsidTr="00015B88">
        <w:tc>
          <w:tcPr>
            <w:tcW w:w="2136" w:type="dxa"/>
            <w:tcBorders>
              <w:top w:val="nil"/>
              <w:left w:val="nil"/>
              <w:bottom w:val="nil"/>
              <w:right w:val="nil"/>
            </w:tcBorders>
          </w:tcPr>
          <w:p w14:paraId="553FD1B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D6AB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2E2E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70F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8D20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67E1D16" w14:textId="77777777" w:rsidTr="00015B88">
        <w:tc>
          <w:tcPr>
            <w:tcW w:w="2136" w:type="dxa"/>
            <w:tcBorders>
              <w:top w:val="nil"/>
              <w:left w:val="nil"/>
              <w:bottom w:val="nil"/>
              <w:right w:val="nil"/>
            </w:tcBorders>
          </w:tcPr>
          <w:p w14:paraId="7443D3C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9205D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9ABDF4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-0.404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1A297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-0.186</w:t>
            </w:r>
          </w:p>
        </w:tc>
        <w:tc>
          <w:tcPr>
            <w:tcW w:w="1656" w:type="dxa"/>
            <w:tcBorders>
              <w:top w:val="nil"/>
              <w:left w:val="nil"/>
              <w:bottom w:val="nil"/>
              <w:right w:val="nil"/>
            </w:tcBorders>
          </w:tcPr>
          <w:p w14:paraId="059E570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0.143</w:t>
            </w:r>
          </w:p>
        </w:tc>
      </w:tr>
      <w:tr w:rsidR="008D10A7" w:rsidRPr="005B536A" w14:paraId="498E0BC7" w14:textId="77777777" w:rsidTr="00015B88">
        <w:tc>
          <w:tcPr>
            <w:tcW w:w="2136" w:type="dxa"/>
            <w:tcBorders>
              <w:top w:val="nil"/>
              <w:left w:val="nil"/>
              <w:bottom w:val="nil"/>
              <w:right w:val="nil"/>
            </w:tcBorders>
          </w:tcPr>
          <w:p w14:paraId="4F2E918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92059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(-1.97)</w:t>
            </w:r>
          </w:p>
        </w:tc>
        <w:tc>
          <w:tcPr>
            <w:tcW w:w="1656" w:type="dxa"/>
            <w:tcBorders>
              <w:top w:val="nil"/>
              <w:left w:val="nil"/>
              <w:bottom w:val="nil"/>
              <w:right w:val="nil"/>
            </w:tcBorders>
          </w:tcPr>
          <w:p w14:paraId="24EE57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(-2.43)</w:t>
            </w:r>
          </w:p>
        </w:tc>
        <w:tc>
          <w:tcPr>
            <w:tcW w:w="1656" w:type="dxa"/>
            <w:tcBorders>
              <w:top w:val="nil"/>
              <w:left w:val="nil"/>
              <w:bottom w:val="nil"/>
              <w:right w:val="nil"/>
            </w:tcBorders>
          </w:tcPr>
          <w:p w14:paraId="66AD8E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(-1.41)</w:t>
            </w:r>
          </w:p>
        </w:tc>
        <w:tc>
          <w:tcPr>
            <w:tcW w:w="1656" w:type="dxa"/>
            <w:tcBorders>
              <w:top w:val="nil"/>
              <w:left w:val="nil"/>
              <w:bottom w:val="nil"/>
              <w:right w:val="nil"/>
            </w:tcBorders>
          </w:tcPr>
          <w:p w14:paraId="2B3FCC5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(1.80)</w:t>
            </w:r>
          </w:p>
        </w:tc>
      </w:tr>
      <w:tr w:rsidR="008D10A7" w:rsidRPr="005B536A" w14:paraId="14FA83F5" w14:textId="77777777" w:rsidTr="00015B88">
        <w:tc>
          <w:tcPr>
            <w:tcW w:w="2136" w:type="dxa"/>
            <w:tcBorders>
              <w:top w:val="nil"/>
              <w:left w:val="nil"/>
              <w:bottom w:val="nil"/>
              <w:right w:val="nil"/>
            </w:tcBorders>
          </w:tcPr>
          <w:p w14:paraId="6966AEA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4722F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14756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9DCC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C83DD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EFD99DC" w14:textId="77777777" w:rsidTr="00015B88">
        <w:tc>
          <w:tcPr>
            <w:tcW w:w="2136" w:type="dxa"/>
            <w:tcBorders>
              <w:top w:val="nil"/>
              <w:left w:val="nil"/>
              <w:bottom w:val="nil"/>
              <w:right w:val="nil"/>
            </w:tcBorders>
          </w:tcPr>
          <w:p w14:paraId="69A50FB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Polity Democracy Score (v2)</w:t>
            </w:r>
          </w:p>
        </w:tc>
        <w:tc>
          <w:tcPr>
            <w:tcW w:w="1656" w:type="dxa"/>
            <w:tcBorders>
              <w:top w:val="nil"/>
              <w:left w:val="nil"/>
              <w:bottom w:val="nil"/>
              <w:right w:val="nil"/>
            </w:tcBorders>
          </w:tcPr>
          <w:p w14:paraId="7C58C4C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4821CA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0.220</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E92E19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0.142</w:t>
            </w:r>
          </w:p>
        </w:tc>
        <w:tc>
          <w:tcPr>
            <w:tcW w:w="1656" w:type="dxa"/>
            <w:tcBorders>
              <w:top w:val="nil"/>
              <w:left w:val="nil"/>
              <w:bottom w:val="nil"/>
              <w:right w:val="nil"/>
            </w:tcBorders>
          </w:tcPr>
          <w:p w14:paraId="23E5B92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-0.123</w:t>
            </w:r>
            <w:r w:rsidRPr="005B536A">
              <w:rPr>
                <w:rFonts w:ascii="Times New Roman" w:hAnsi="Times New Roman" w:cs="Times New Roman"/>
                <w:sz w:val="16"/>
                <w:szCs w:val="16"/>
                <w:vertAlign w:val="superscript"/>
              </w:rPr>
              <w:t>*</w:t>
            </w:r>
          </w:p>
        </w:tc>
      </w:tr>
      <w:tr w:rsidR="008D10A7" w:rsidRPr="005B536A" w14:paraId="0CBCE822" w14:textId="77777777" w:rsidTr="00015B88">
        <w:tc>
          <w:tcPr>
            <w:tcW w:w="2136" w:type="dxa"/>
            <w:tcBorders>
              <w:top w:val="nil"/>
              <w:left w:val="nil"/>
              <w:bottom w:val="nil"/>
              <w:right w:val="nil"/>
            </w:tcBorders>
          </w:tcPr>
          <w:p w14:paraId="220474B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FDC07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(3.29)</w:t>
            </w:r>
          </w:p>
        </w:tc>
        <w:tc>
          <w:tcPr>
            <w:tcW w:w="1656" w:type="dxa"/>
            <w:tcBorders>
              <w:top w:val="nil"/>
              <w:left w:val="nil"/>
              <w:bottom w:val="nil"/>
              <w:right w:val="nil"/>
            </w:tcBorders>
          </w:tcPr>
          <w:p w14:paraId="64CD22A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(2.18)</w:t>
            </w:r>
          </w:p>
        </w:tc>
        <w:tc>
          <w:tcPr>
            <w:tcW w:w="1656" w:type="dxa"/>
            <w:tcBorders>
              <w:top w:val="nil"/>
              <w:left w:val="nil"/>
              <w:bottom w:val="nil"/>
              <w:right w:val="nil"/>
            </w:tcBorders>
          </w:tcPr>
          <w:p w14:paraId="2CB6DB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(1.65)</w:t>
            </w:r>
          </w:p>
        </w:tc>
        <w:tc>
          <w:tcPr>
            <w:tcW w:w="1656" w:type="dxa"/>
            <w:tcBorders>
              <w:top w:val="nil"/>
              <w:left w:val="nil"/>
              <w:bottom w:val="nil"/>
              <w:right w:val="nil"/>
            </w:tcBorders>
          </w:tcPr>
          <w:p w14:paraId="7E01238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(-2.20)</w:t>
            </w:r>
          </w:p>
        </w:tc>
      </w:tr>
      <w:tr w:rsidR="008D10A7" w:rsidRPr="005B536A" w14:paraId="15E38B8D" w14:textId="77777777" w:rsidTr="00015B88">
        <w:tc>
          <w:tcPr>
            <w:tcW w:w="2136" w:type="dxa"/>
            <w:tcBorders>
              <w:top w:val="nil"/>
              <w:left w:val="nil"/>
              <w:bottom w:val="nil"/>
              <w:right w:val="nil"/>
            </w:tcBorders>
          </w:tcPr>
          <w:p w14:paraId="46221E0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E66C1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DE3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BDA5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1334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FC06024" w14:textId="77777777" w:rsidTr="00015B88">
        <w:tc>
          <w:tcPr>
            <w:tcW w:w="2136" w:type="dxa"/>
            <w:tcBorders>
              <w:top w:val="nil"/>
              <w:left w:val="nil"/>
              <w:bottom w:val="nil"/>
              <w:right w:val="nil"/>
            </w:tcBorders>
          </w:tcPr>
          <w:p w14:paraId="556D4CF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De Facto CBI * Polity Democracy</w:t>
            </w:r>
          </w:p>
        </w:tc>
        <w:tc>
          <w:tcPr>
            <w:tcW w:w="1656" w:type="dxa"/>
            <w:tcBorders>
              <w:top w:val="nil"/>
              <w:left w:val="nil"/>
              <w:bottom w:val="nil"/>
              <w:right w:val="nil"/>
            </w:tcBorders>
          </w:tcPr>
          <w:p w14:paraId="5D2E17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0.000663</w:t>
            </w:r>
          </w:p>
        </w:tc>
        <w:tc>
          <w:tcPr>
            <w:tcW w:w="1656" w:type="dxa"/>
            <w:tcBorders>
              <w:top w:val="nil"/>
              <w:left w:val="nil"/>
              <w:bottom w:val="nil"/>
              <w:right w:val="nil"/>
            </w:tcBorders>
          </w:tcPr>
          <w:p w14:paraId="4C42314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-0.00426</w:t>
            </w:r>
          </w:p>
        </w:tc>
        <w:tc>
          <w:tcPr>
            <w:tcW w:w="1656" w:type="dxa"/>
            <w:tcBorders>
              <w:top w:val="nil"/>
              <w:left w:val="nil"/>
              <w:bottom w:val="nil"/>
              <w:right w:val="nil"/>
            </w:tcBorders>
          </w:tcPr>
          <w:p w14:paraId="226883D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-0.0527</w:t>
            </w:r>
          </w:p>
        </w:tc>
        <w:tc>
          <w:tcPr>
            <w:tcW w:w="1656" w:type="dxa"/>
            <w:tcBorders>
              <w:top w:val="nil"/>
              <w:left w:val="nil"/>
              <w:bottom w:val="nil"/>
              <w:right w:val="nil"/>
            </w:tcBorders>
          </w:tcPr>
          <w:p w14:paraId="1E96F1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0.0596</w:t>
            </w:r>
            <w:r w:rsidRPr="005B536A">
              <w:rPr>
                <w:rFonts w:ascii="Times New Roman" w:hAnsi="Times New Roman" w:cs="Times New Roman"/>
                <w:sz w:val="16"/>
                <w:szCs w:val="16"/>
                <w:vertAlign w:val="superscript"/>
              </w:rPr>
              <w:t>**</w:t>
            </w:r>
          </w:p>
        </w:tc>
      </w:tr>
      <w:tr w:rsidR="008D10A7" w:rsidRPr="005B536A" w14:paraId="7ED3EEBD" w14:textId="77777777" w:rsidTr="00015B88">
        <w:tc>
          <w:tcPr>
            <w:tcW w:w="2136" w:type="dxa"/>
            <w:tcBorders>
              <w:top w:val="nil"/>
              <w:left w:val="nil"/>
              <w:bottom w:val="nil"/>
              <w:right w:val="nil"/>
            </w:tcBorders>
          </w:tcPr>
          <w:p w14:paraId="323516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B97D0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w:t>
            </w:r>
          </w:p>
        </w:tc>
        <w:tc>
          <w:tcPr>
            <w:tcW w:w="1656" w:type="dxa"/>
            <w:tcBorders>
              <w:top w:val="nil"/>
              <w:left w:val="nil"/>
              <w:bottom w:val="nil"/>
              <w:right w:val="nil"/>
            </w:tcBorders>
          </w:tcPr>
          <w:p w14:paraId="1BFDA63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w:t>
            </w:r>
          </w:p>
        </w:tc>
        <w:tc>
          <w:tcPr>
            <w:tcW w:w="1656" w:type="dxa"/>
            <w:tcBorders>
              <w:top w:val="nil"/>
              <w:left w:val="nil"/>
              <w:bottom w:val="nil"/>
              <w:right w:val="nil"/>
            </w:tcBorders>
          </w:tcPr>
          <w:p w14:paraId="6CDD98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(-0.83)</w:t>
            </w:r>
          </w:p>
        </w:tc>
        <w:tc>
          <w:tcPr>
            <w:tcW w:w="1656" w:type="dxa"/>
            <w:tcBorders>
              <w:top w:val="nil"/>
              <w:left w:val="nil"/>
              <w:bottom w:val="nil"/>
              <w:right w:val="nil"/>
            </w:tcBorders>
          </w:tcPr>
          <w:p w14:paraId="0C283DB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(2.66)</w:t>
            </w:r>
          </w:p>
        </w:tc>
      </w:tr>
      <w:tr w:rsidR="008D10A7" w:rsidRPr="005B536A" w14:paraId="5CC82CF1" w14:textId="77777777" w:rsidTr="00015B88">
        <w:tc>
          <w:tcPr>
            <w:tcW w:w="2136" w:type="dxa"/>
            <w:tcBorders>
              <w:top w:val="nil"/>
              <w:left w:val="nil"/>
              <w:bottom w:val="nil"/>
              <w:right w:val="nil"/>
            </w:tcBorders>
          </w:tcPr>
          <w:p w14:paraId="237ACC6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FB20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5D9BF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365D3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360D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BB9151F" w14:textId="77777777" w:rsidTr="00015B88">
        <w:tc>
          <w:tcPr>
            <w:tcW w:w="2136" w:type="dxa"/>
            <w:tcBorders>
              <w:top w:val="nil"/>
              <w:left w:val="nil"/>
              <w:bottom w:val="nil"/>
              <w:right w:val="nil"/>
            </w:tcBorders>
          </w:tcPr>
          <w:p w14:paraId="067102F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388BFA1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0.00901</w:t>
            </w:r>
          </w:p>
        </w:tc>
        <w:tc>
          <w:tcPr>
            <w:tcW w:w="1656" w:type="dxa"/>
            <w:tcBorders>
              <w:top w:val="nil"/>
              <w:left w:val="nil"/>
              <w:bottom w:val="nil"/>
              <w:right w:val="nil"/>
            </w:tcBorders>
          </w:tcPr>
          <w:p w14:paraId="6D0683A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0.0219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2DF546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0.0153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5A73C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-0.00355</w:t>
            </w:r>
          </w:p>
        </w:tc>
      </w:tr>
      <w:tr w:rsidR="008D10A7" w:rsidRPr="005B536A" w14:paraId="4ED7162A" w14:textId="77777777" w:rsidTr="00015B88">
        <w:tc>
          <w:tcPr>
            <w:tcW w:w="2136" w:type="dxa"/>
            <w:tcBorders>
              <w:top w:val="nil"/>
              <w:left w:val="nil"/>
              <w:bottom w:val="nil"/>
              <w:right w:val="nil"/>
            </w:tcBorders>
          </w:tcPr>
          <w:p w14:paraId="366C2D2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0C80B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(1.31)</w:t>
            </w:r>
          </w:p>
        </w:tc>
        <w:tc>
          <w:tcPr>
            <w:tcW w:w="1656" w:type="dxa"/>
            <w:tcBorders>
              <w:top w:val="nil"/>
              <w:left w:val="nil"/>
              <w:bottom w:val="nil"/>
              <w:right w:val="nil"/>
            </w:tcBorders>
          </w:tcPr>
          <w:p w14:paraId="4DB1CC2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(2.02)</w:t>
            </w:r>
          </w:p>
        </w:tc>
        <w:tc>
          <w:tcPr>
            <w:tcW w:w="1656" w:type="dxa"/>
            <w:tcBorders>
              <w:top w:val="nil"/>
              <w:left w:val="nil"/>
              <w:bottom w:val="nil"/>
              <w:right w:val="nil"/>
            </w:tcBorders>
          </w:tcPr>
          <w:p w14:paraId="38F1194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(1.99)</w:t>
            </w:r>
          </w:p>
        </w:tc>
        <w:tc>
          <w:tcPr>
            <w:tcW w:w="1656" w:type="dxa"/>
            <w:tcBorders>
              <w:top w:val="nil"/>
              <w:left w:val="nil"/>
              <w:bottom w:val="nil"/>
              <w:right w:val="nil"/>
            </w:tcBorders>
          </w:tcPr>
          <w:p w14:paraId="1463AC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r>
      <w:tr w:rsidR="008D10A7" w:rsidRPr="005B536A" w14:paraId="155BE353" w14:textId="77777777" w:rsidTr="00015B88">
        <w:tc>
          <w:tcPr>
            <w:tcW w:w="2136" w:type="dxa"/>
            <w:tcBorders>
              <w:top w:val="nil"/>
              <w:left w:val="nil"/>
              <w:bottom w:val="nil"/>
              <w:right w:val="nil"/>
            </w:tcBorders>
          </w:tcPr>
          <w:p w14:paraId="2C7A28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31E5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EC28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951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76F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3541F57" w14:textId="77777777" w:rsidTr="00015B88">
        <w:tc>
          <w:tcPr>
            <w:tcW w:w="2136" w:type="dxa"/>
            <w:tcBorders>
              <w:top w:val="nil"/>
              <w:left w:val="nil"/>
              <w:bottom w:val="nil"/>
              <w:right w:val="nil"/>
            </w:tcBorders>
          </w:tcPr>
          <w:p w14:paraId="012C90F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25C214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1.169</w:t>
            </w:r>
          </w:p>
        </w:tc>
        <w:tc>
          <w:tcPr>
            <w:tcW w:w="1656" w:type="dxa"/>
            <w:tcBorders>
              <w:top w:val="nil"/>
              <w:left w:val="nil"/>
              <w:bottom w:val="nil"/>
              <w:right w:val="nil"/>
            </w:tcBorders>
          </w:tcPr>
          <w:p w14:paraId="21A6766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0.392</w:t>
            </w:r>
          </w:p>
        </w:tc>
        <w:tc>
          <w:tcPr>
            <w:tcW w:w="1656" w:type="dxa"/>
            <w:tcBorders>
              <w:top w:val="nil"/>
              <w:left w:val="nil"/>
              <w:bottom w:val="nil"/>
              <w:right w:val="nil"/>
            </w:tcBorders>
          </w:tcPr>
          <w:p w14:paraId="0A18AA1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-0.452</w:t>
            </w:r>
          </w:p>
        </w:tc>
        <w:tc>
          <w:tcPr>
            <w:tcW w:w="1656" w:type="dxa"/>
            <w:tcBorders>
              <w:top w:val="nil"/>
              <w:left w:val="nil"/>
              <w:bottom w:val="nil"/>
              <w:right w:val="nil"/>
            </w:tcBorders>
          </w:tcPr>
          <w:p w14:paraId="6F4208A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-0.525</w:t>
            </w:r>
          </w:p>
        </w:tc>
      </w:tr>
      <w:tr w:rsidR="008D10A7" w:rsidRPr="005B536A" w14:paraId="059C6DEA" w14:textId="77777777" w:rsidTr="00015B88">
        <w:tc>
          <w:tcPr>
            <w:tcW w:w="2136" w:type="dxa"/>
            <w:tcBorders>
              <w:top w:val="nil"/>
              <w:left w:val="nil"/>
              <w:bottom w:val="nil"/>
              <w:right w:val="nil"/>
            </w:tcBorders>
          </w:tcPr>
          <w:p w14:paraId="5D43354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FDB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(1.55)</w:t>
            </w:r>
          </w:p>
        </w:tc>
        <w:tc>
          <w:tcPr>
            <w:tcW w:w="1656" w:type="dxa"/>
            <w:tcBorders>
              <w:top w:val="nil"/>
              <w:left w:val="nil"/>
              <w:bottom w:val="nil"/>
              <w:right w:val="nil"/>
            </w:tcBorders>
          </w:tcPr>
          <w:p w14:paraId="5673CC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(0.40)</w:t>
            </w:r>
          </w:p>
        </w:tc>
        <w:tc>
          <w:tcPr>
            <w:tcW w:w="1656" w:type="dxa"/>
            <w:tcBorders>
              <w:top w:val="nil"/>
              <w:left w:val="nil"/>
              <w:bottom w:val="nil"/>
              <w:right w:val="nil"/>
            </w:tcBorders>
          </w:tcPr>
          <w:p w14:paraId="3382140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(-0.61)</w:t>
            </w:r>
          </w:p>
        </w:tc>
        <w:tc>
          <w:tcPr>
            <w:tcW w:w="1656" w:type="dxa"/>
            <w:tcBorders>
              <w:top w:val="nil"/>
              <w:left w:val="nil"/>
              <w:bottom w:val="nil"/>
              <w:right w:val="nil"/>
            </w:tcBorders>
          </w:tcPr>
          <w:p w14:paraId="204802B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(-1.70)</w:t>
            </w:r>
          </w:p>
        </w:tc>
      </w:tr>
      <w:tr w:rsidR="008D10A7" w:rsidRPr="005B536A" w14:paraId="56A20271" w14:textId="77777777" w:rsidTr="00015B88">
        <w:tc>
          <w:tcPr>
            <w:tcW w:w="2136" w:type="dxa"/>
            <w:tcBorders>
              <w:top w:val="nil"/>
              <w:left w:val="nil"/>
              <w:bottom w:val="nil"/>
              <w:right w:val="nil"/>
            </w:tcBorders>
          </w:tcPr>
          <w:p w14:paraId="5D31582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018E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9821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36B0A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22C9B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27D5C9E" w14:textId="77777777" w:rsidTr="00015B88">
        <w:tc>
          <w:tcPr>
            <w:tcW w:w="2136" w:type="dxa"/>
            <w:tcBorders>
              <w:top w:val="nil"/>
              <w:left w:val="nil"/>
              <w:bottom w:val="nil"/>
              <w:right w:val="nil"/>
            </w:tcBorders>
          </w:tcPr>
          <w:p w14:paraId="20449E6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037D27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-0.464</w:t>
            </w:r>
          </w:p>
        </w:tc>
        <w:tc>
          <w:tcPr>
            <w:tcW w:w="1656" w:type="dxa"/>
            <w:tcBorders>
              <w:top w:val="nil"/>
              <w:left w:val="nil"/>
              <w:bottom w:val="nil"/>
              <w:right w:val="nil"/>
            </w:tcBorders>
          </w:tcPr>
          <w:p w14:paraId="734F73C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0.570</w:t>
            </w:r>
          </w:p>
        </w:tc>
        <w:tc>
          <w:tcPr>
            <w:tcW w:w="1656" w:type="dxa"/>
            <w:tcBorders>
              <w:top w:val="nil"/>
              <w:left w:val="nil"/>
              <w:bottom w:val="nil"/>
              <w:right w:val="nil"/>
            </w:tcBorders>
          </w:tcPr>
          <w:p w14:paraId="4A18E47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-0.396</w:t>
            </w:r>
          </w:p>
        </w:tc>
        <w:tc>
          <w:tcPr>
            <w:tcW w:w="1656" w:type="dxa"/>
            <w:tcBorders>
              <w:top w:val="nil"/>
              <w:left w:val="nil"/>
              <w:bottom w:val="nil"/>
              <w:right w:val="nil"/>
            </w:tcBorders>
          </w:tcPr>
          <w:p w14:paraId="3801A7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-0.103</w:t>
            </w:r>
          </w:p>
        </w:tc>
      </w:tr>
      <w:tr w:rsidR="008D10A7" w:rsidRPr="005B536A" w14:paraId="3E256AAA" w14:textId="77777777" w:rsidTr="00015B88">
        <w:tc>
          <w:tcPr>
            <w:tcW w:w="2136" w:type="dxa"/>
            <w:tcBorders>
              <w:top w:val="nil"/>
              <w:left w:val="nil"/>
              <w:bottom w:val="nil"/>
              <w:right w:val="nil"/>
            </w:tcBorders>
          </w:tcPr>
          <w:p w14:paraId="0E56F31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B87D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c>
          <w:tcPr>
            <w:tcW w:w="1656" w:type="dxa"/>
            <w:tcBorders>
              <w:top w:val="nil"/>
              <w:left w:val="nil"/>
              <w:bottom w:val="nil"/>
              <w:right w:val="nil"/>
            </w:tcBorders>
          </w:tcPr>
          <w:p w14:paraId="18A3BCF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(0.73)</w:t>
            </w:r>
          </w:p>
        </w:tc>
        <w:tc>
          <w:tcPr>
            <w:tcW w:w="1656" w:type="dxa"/>
            <w:tcBorders>
              <w:top w:val="nil"/>
              <w:left w:val="nil"/>
              <w:bottom w:val="nil"/>
              <w:right w:val="nil"/>
            </w:tcBorders>
          </w:tcPr>
          <w:p w14:paraId="5C96036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(-0.71)</w:t>
            </w:r>
          </w:p>
        </w:tc>
        <w:tc>
          <w:tcPr>
            <w:tcW w:w="1656" w:type="dxa"/>
            <w:tcBorders>
              <w:top w:val="nil"/>
              <w:left w:val="nil"/>
              <w:bottom w:val="nil"/>
              <w:right w:val="nil"/>
            </w:tcBorders>
          </w:tcPr>
          <w:p w14:paraId="020CBFC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r>
      <w:tr w:rsidR="008D10A7" w:rsidRPr="005B536A" w14:paraId="3E76D5D1" w14:textId="77777777" w:rsidTr="00015B88">
        <w:tc>
          <w:tcPr>
            <w:tcW w:w="2136" w:type="dxa"/>
            <w:tcBorders>
              <w:top w:val="nil"/>
              <w:left w:val="nil"/>
              <w:bottom w:val="nil"/>
              <w:right w:val="nil"/>
            </w:tcBorders>
          </w:tcPr>
          <w:p w14:paraId="3C79D8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82B1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E2E27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17B4F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5721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6087737" w14:textId="77777777" w:rsidTr="00015B88">
        <w:tc>
          <w:tcPr>
            <w:tcW w:w="2136" w:type="dxa"/>
            <w:tcBorders>
              <w:top w:val="nil"/>
              <w:left w:val="nil"/>
              <w:bottom w:val="nil"/>
              <w:right w:val="nil"/>
            </w:tcBorders>
          </w:tcPr>
          <w:p w14:paraId="6FF5775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36EFF1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-0.172</w:t>
            </w:r>
          </w:p>
        </w:tc>
        <w:tc>
          <w:tcPr>
            <w:tcW w:w="1656" w:type="dxa"/>
            <w:tcBorders>
              <w:top w:val="nil"/>
              <w:left w:val="nil"/>
              <w:bottom w:val="nil"/>
              <w:right w:val="nil"/>
            </w:tcBorders>
          </w:tcPr>
          <w:p w14:paraId="2E1E7A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-0.694</w:t>
            </w:r>
          </w:p>
        </w:tc>
        <w:tc>
          <w:tcPr>
            <w:tcW w:w="1656" w:type="dxa"/>
            <w:tcBorders>
              <w:top w:val="nil"/>
              <w:left w:val="nil"/>
              <w:bottom w:val="nil"/>
              <w:right w:val="nil"/>
            </w:tcBorders>
          </w:tcPr>
          <w:p w14:paraId="623C816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0.851</w:t>
            </w:r>
          </w:p>
        </w:tc>
        <w:tc>
          <w:tcPr>
            <w:tcW w:w="1656" w:type="dxa"/>
            <w:tcBorders>
              <w:top w:val="nil"/>
              <w:left w:val="nil"/>
              <w:bottom w:val="nil"/>
              <w:right w:val="nil"/>
            </w:tcBorders>
          </w:tcPr>
          <w:p w14:paraId="463E7B2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-0.535</w:t>
            </w:r>
          </w:p>
        </w:tc>
      </w:tr>
      <w:tr w:rsidR="008D10A7" w:rsidRPr="005B536A" w14:paraId="4DFC7F16" w14:textId="77777777" w:rsidTr="00015B88">
        <w:tc>
          <w:tcPr>
            <w:tcW w:w="2136" w:type="dxa"/>
            <w:tcBorders>
              <w:top w:val="nil"/>
              <w:left w:val="nil"/>
              <w:bottom w:val="nil"/>
              <w:right w:val="nil"/>
            </w:tcBorders>
          </w:tcPr>
          <w:p w14:paraId="6DD25B3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0205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7A98F1A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(-0.88)</w:t>
            </w:r>
          </w:p>
        </w:tc>
        <w:tc>
          <w:tcPr>
            <w:tcW w:w="1656" w:type="dxa"/>
            <w:tcBorders>
              <w:top w:val="nil"/>
              <w:left w:val="nil"/>
              <w:bottom w:val="nil"/>
              <w:right w:val="nil"/>
            </w:tcBorders>
          </w:tcPr>
          <w:p w14:paraId="587BC02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(1.18)</w:t>
            </w:r>
          </w:p>
        </w:tc>
        <w:tc>
          <w:tcPr>
            <w:tcW w:w="1656" w:type="dxa"/>
            <w:tcBorders>
              <w:top w:val="nil"/>
              <w:left w:val="nil"/>
              <w:bottom w:val="nil"/>
              <w:right w:val="nil"/>
            </w:tcBorders>
          </w:tcPr>
          <w:p w14:paraId="1E87776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(-1.38)</w:t>
            </w:r>
          </w:p>
        </w:tc>
      </w:tr>
      <w:tr w:rsidR="008D10A7" w:rsidRPr="005B536A" w14:paraId="16A3C81C" w14:textId="77777777" w:rsidTr="00015B88">
        <w:tc>
          <w:tcPr>
            <w:tcW w:w="2136" w:type="dxa"/>
            <w:tcBorders>
              <w:top w:val="nil"/>
              <w:left w:val="nil"/>
              <w:bottom w:val="nil"/>
              <w:right w:val="nil"/>
            </w:tcBorders>
          </w:tcPr>
          <w:p w14:paraId="6AA4529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00943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43C2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98CA1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8ED5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BC66488" w14:textId="77777777" w:rsidTr="00015B88">
        <w:tc>
          <w:tcPr>
            <w:tcW w:w="2136" w:type="dxa"/>
            <w:tcBorders>
              <w:top w:val="nil"/>
              <w:left w:val="nil"/>
              <w:bottom w:val="nil"/>
              <w:right w:val="nil"/>
            </w:tcBorders>
          </w:tcPr>
          <w:p w14:paraId="2440A9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5FA01B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1.237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C564C4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2.063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5BA09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1.680</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D18CEE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-0.286</w:t>
            </w:r>
          </w:p>
        </w:tc>
      </w:tr>
      <w:tr w:rsidR="008D10A7" w:rsidRPr="005B536A" w14:paraId="150E1DE3" w14:textId="77777777" w:rsidTr="00015B88">
        <w:tc>
          <w:tcPr>
            <w:tcW w:w="2136" w:type="dxa"/>
            <w:tcBorders>
              <w:top w:val="nil"/>
              <w:left w:val="nil"/>
              <w:bottom w:val="nil"/>
              <w:right w:val="nil"/>
            </w:tcBorders>
          </w:tcPr>
          <w:p w14:paraId="050BB5D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4B931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(2.39)</w:t>
            </w:r>
          </w:p>
        </w:tc>
        <w:tc>
          <w:tcPr>
            <w:tcW w:w="1656" w:type="dxa"/>
            <w:tcBorders>
              <w:top w:val="nil"/>
              <w:left w:val="nil"/>
              <w:bottom w:val="nil"/>
              <w:right w:val="nil"/>
            </w:tcBorders>
          </w:tcPr>
          <w:p w14:paraId="47574D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(2.47)</w:t>
            </w:r>
          </w:p>
        </w:tc>
        <w:tc>
          <w:tcPr>
            <w:tcW w:w="1656" w:type="dxa"/>
            <w:tcBorders>
              <w:top w:val="nil"/>
              <w:left w:val="nil"/>
              <w:bottom w:val="nil"/>
              <w:right w:val="nil"/>
            </w:tcBorders>
          </w:tcPr>
          <w:p w14:paraId="7B4F6C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(2.64)</w:t>
            </w:r>
          </w:p>
        </w:tc>
        <w:tc>
          <w:tcPr>
            <w:tcW w:w="1656" w:type="dxa"/>
            <w:tcBorders>
              <w:top w:val="nil"/>
              <w:left w:val="nil"/>
              <w:bottom w:val="nil"/>
              <w:right w:val="nil"/>
            </w:tcBorders>
          </w:tcPr>
          <w:p w14:paraId="30F07D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(-0.85)</w:t>
            </w:r>
          </w:p>
        </w:tc>
      </w:tr>
      <w:tr w:rsidR="008D10A7" w:rsidRPr="005B536A" w14:paraId="3436C53C" w14:textId="77777777" w:rsidTr="00015B88">
        <w:tc>
          <w:tcPr>
            <w:tcW w:w="2136" w:type="dxa"/>
            <w:tcBorders>
              <w:top w:val="nil"/>
              <w:left w:val="nil"/>
              <w:bottom w:val="nil"/>
              <w:right w:val="nil"/>
            </w:tcBorders>
          </w:tcPr>
          <w:p w14:paraId="599D4AC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9BE4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15A6C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BD2D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596C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CCC854A" w14:textId="77777777" w:rsidTr="00015B88">
        <w:tc>
          <w:tcPr>
            <w:tcW w:w="2136" w:type="dxa"/>
            <w:tcBorders>
              <w:top w:val="nil"/>
              <w:left w:val="nil"/>
              <w:bottom w:val="nil"/>
              <w:right w:val="nil"/>
            </w:tcBorders>
          </w:tcPr>
          <w:p w14:paraId="3439605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1830F5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0.444</w:t>
            </w:r>
          </w:p>
        </w:tc>
        <w:tc>
          <w:tcPr>
            <w:tcW w:w="1656" w:type="dxa"/>
            <w:tcBorders>
              <w:top w:val="nil"/>
              <w:left w:val="nil"/>
              <w:bottom w:val="nil"/>
              <w:right w:val="nil"/>
            </w:tcBorders>
          </w:tcPr>
          <w:p w14:paraId="293D21F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-0.148</w:t>
            </w:r>
          </w:p>
        </w:tc>
        <w:tc>
          <w:tcPr>
            <w:tcW w:w="1656" w:type="dxa"/>
            <w:tcBorders>
              <w:top w:val="nil"/>
              <w:left w:val="nil"/>
              <w:bottom w:val="nil"/>
              <w:right w:val="nil"/>
            </w:tcBorders>
          </w:tcPr>
          <w:p w14:paraId="294DD8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1.503</w:t>
            </w:r>
          </w:p>
        </w:tc>
        <w:tc>
          <w:tcPr>
            <w:tcW w:w="1656" w:type="dxa"/>
            <w:tcBorders>
              <w:top w:val="nil"/>
              <w:left w:val="nil"/>
              <w:bottom w:val="nil"/>
              <w:right w:val="nil"/>
            </w:tcBorders>
          </w:tcPr>
          <w:p w14:paraId="2A6EEED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-0.000268</w:t>
            </w:r>
          </w:p>
        </w:tc>
      </w:tr>
      <w:tr w:rsidR="008D10A7" w:rsidRPr="005B536A" w14:paraId="3486886E" w14:textId="77777777" w:rsidTr="00015B88">
        <w:tc>
          <w:tcPr>
            <w:tcW w:w="2136" w:type="dxa"/>
            <w:tcBorders>
              <w:top w:val="nil"/>
              <w:left w:val="nil"/>
              <w:bottom w:val="nil"/>
              <w:right w:val="nil"/>
            </w:tcBorders>
          </w:tcPr>
          <w:p w14:paraId="4D225F0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4157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(0.67)</w:t>
            </w:r>
          </w:p>
        </w:tc>
        <w:tc>
          <w:tcPr>
            <w:tcW w:w="1656" w:type="dxa"/>
            <w:tcBorders>
              <w:top w:val="nil"/>
              <w:left w:val="nil"/>
              <w:bottom w:val="nil"/>
              <w:right w:val="nil"/>
            </w:tcBorders>
          </w:tcPr>
          <w:p w14:paraId="43D8371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(-0.19)</w:t>
            </w:r>
          </w:p>
        </w:tc>
        <w:tc>
          <w:tcPr>
            <w:tcW w:w="1656" w:type="dxa"/>
            <w:tcBorders>
              <w:top w:val="nil"/>
              <w:left w:val="nil"/>
              <w:bottom w:val="nil"/>
              <w:right w:val="nil"/>
            </w:tcBorders>
          </w:tcPr>
          <w:p w14:paraId="58C75F4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(1.95)</w:t>
            </w:r>
          </w:p>
        </w:tc>
        <w:tc>
          <w:tcPr>
            <w:tcW w:w="1656" w:type="dxa"/>
            <w:tcBorders>
              <w:top w:val="nil"/>
              <w:left w:val="nil"/>
              <w:bottom w:val="nil"/>
              <w:right w:val="nil"/>
            </w:tcBorders>
          </w:tcPr>
          <w:p w14:paraId="739EF76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w:t>
            </w:r>
          </w:p>
        </w:tc>
      </w:tr>
      <w:tr w:rsidR="008D10A7" w:rsidRPr="005B536A" w14:paraId="620B6622" w14:textId="77777777" w:rsidTr="00015B88">
        <w:tc>
          <w:tcPr>
            <w:tcW w:w="2136" w:type="dxa"/>
            <w:tcBorders>
              <w:top w:val="nil"/>
              <w:left w:val="nil"/>
              <w:bottom w:val="nil"/>
              <w:right w:val="nil"/>
            </w:tcBorders>
          </w:tcPr>
          <w:p w14:paraId="282CC59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A525B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A3F0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4CADB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B03C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833B509" w14:textId="77777777" w:rsidTr="00015B88">
        <w:tc>
          <w:tcPr>
            <w:tcW w:w="2136" w:type="dxa"/>
            <w:tcBorders>
              <w:top w:val="nil"/>
              <w:left w:val="nil"/>
              <w:bottom w:val="nil"/>
              <w:right w:val="nil"/>
            </w:tcBorders>
          </w:tcPr>
          <w:p w14:paraId="6A5A114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lastRenderedPageBreak/>
              <w:t>L6.(Lack of) Irregular CB Governor Turnover (higher = more de facto CBI)</w:t>
            </w:r>
          </w:p>
        </w:tc>
        <w:tc>
          <w:tcPr>
            <w:tcW w:w="1656" w:type="dxa"/>
            <w:tcBorders>
              <w:top w:val="nil"/>
              <w:left w:val="nil"/>
              <w:bottom w:val="nil"/>
              <w:right w:val="nil"/>
            </w:tcBorders>
          </w:tcPr>
          <w:p w14:paraId="1C558BF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-0.120</w:t>
            </w:r>
          </w:p>
        </w:tc>
        <w:tc>
          <w:tcPr>
            <w:tcW w:w="1656" w:type="dxa"/>
            <w:tcBorders>
              <w:top w:val="nil"/>
              <w:left w:val="nil"/>
              <w:bottom w:val="nil"/>
              <w:right w:val="nil"/>
            </w:tcBorders>
          </w:tcPr>
          <w:p w14:paraId="18E82F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-0.494</w:t>
            </w:r>
          </w:p>
        </w:tc>
        <w:tc>
          <w:tcPr>
            <w:tcW w:w="1656" w:type="dxa"/>
            <w:tcBorders>
              <w:top w:val="nil"/>
              <w:left w:val="nil"/>
              <w:bottom w:val="nil"/>
              <w:right w:val="nil"/>
            </w:tcBorders>
          </w:tcPr>
          <w:p w14:paraId="1E6FF2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-1.383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7C1FDD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0.00283</w:t>
            </w:r>
          </w:p>
        </w:tc>
      </w:tr>
      <w:tr w:rsidR="008D10A7" w:rsidRPr="005B536A" w14:paraId="53D2016A" w14:textId="77777777" w:rsidTr="00015B88">
        <w:tc>
          <w:tcPr>
            <w:tcW w:w="2136" w:type="dxa"/>
            <w:tcBorders>
              <w:top w:val="nil"/>
              <w:left w:val="nil"/>
              <w:bottom w:val="nil"/>
              <w:right w:val="nil"/>
            </w:tcBorders>
          </w:tcPr>
          <w:p w14:paraId="72B5003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D752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c>
          <w:tcPr>
            <w:tcW w:w="1656" w:type="dxa"/>
            <w:tcBorders>
              <w:top w:val="nil"/>
              <w:left w:val="nil"/>
              <w:bottom w:val="nil"/>
              <w:right w:val="nil"/>
            </w:tcBorders>
          </w:tcPr>
          <w:p w14:paraId="7396C5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(-0.83)</w:t>
            </w:r>
          </w:p>
        </w:tc>
        <w:tc>
          <w:tcPr>
            <w:tcW w:w="1656" w:type="dxa"/>
            <w:tcBorders>
              <w:top w:val="nil"/>
              <w:left w:val="nil"/>
              <w:bottom w:val="nil"/>
              <w:right w:val="nil"/>
            </w:tcBorders>
          </w:tcPr>
          <w:p w14:paraId="7A13EA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(-2.17)</w:t>
            </w:r>
          </w:p>
        </w:tc>
        <w:tc>
          <w:tcPr>
            <w:tcW w:w="1656" w:type="dxa"/>
            <w:tcBorders>
              <w:top w:val="nil"/>
              <w:left w:val="nil"/>
              <w:bottom w:val="nil"/>
              <w:right w:val="nil"/>
            </w:tcBorders>
          </w:tcPr>
          <w:p w14:paraId="6921E16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w:t>
            </w:r>
          </w:p>
        </w:tc>
      </w:tr>
      <w:tr w:rsidR="008D10A7" w:rsidRPr="005B536A" w14:paraId="20504A6F" w14:textId="77777777" w:rsidTr="00015B88">
        <w:tc>
          <w:tcPr>
            <w:tcW w:w="2136" w:type="dxa"/>
            <w:tcBorders>
              <w:top w:val="nil"/>
              <w:left w:val="nil"/>
              <w:bottom w:val="nil"/>
              <w:right w:val="nil"/>
            </w:tcBorders>
          </w:tcPr>
          <w:p w14:paraId="3A8D322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9B23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C612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C2F5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4F467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DEEAF24" w14:textId="77777777" w:rsidTr="00015B88">
        <w:tc>
          <w:tcPr>
            <w:tcW w:w="2136" w:type="dxa"/>
            <w:tcBorders>
              <w:top w:val="nil"/>
              <w:left w:val="nil"/>
              <w:bottom w:val="nil"/>
              <w:right w:val="nil"/>
            </w:tcBorders>
          </w:tcPr>
          <w:p w14:paraId="4344452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2D1D2E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-0.372</w:t>
            </w:r>
          </w:p>
        </w:tc>
        <w:tc>
          <w:tcPr>
            <w:tcW w:w="1656" w:type="dxa"/>
            <w:tcBorders>
              <w:top w:val="nil"/>
              <w:left w:val="nil"/>
              <w:bottom w:val="nil"/>
              <w:right w:val="nil"/>
            </w:tcBorders>
          </w:tcPr>
          <w:p w14:paraId="537F565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0.499</w:t>
            </w:r>
          </w:p>
        </w:tc>
        <w:tc>
          <w:tcPr>
            <w:tcW w:w="1656" w:type="dxa"/>
            <w:tcBorders>
              <w:top w:val="nil"/>
              <w:left w:val="nil"/>
              <w:bottom w:val="nil"/>
              <w:right w:val="nil"/>
            </w:tcBorders>
          </w:tcPr>
          <w:p w14:paraId="57213EB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-0.661</w:t>
            </w:r>
          </w:p>
        </w:tc>
        <w:tc>
          <w:tcPr>
            <w:tcW w:w="1656" w:type="dxa"/>
            <w:tcBorders>
              <w:top w:val="nil"/>
              <w:left w:val="nil"/>
              <w:bottom w:val="nil"/>
              <w:right w:val="nil"/>
            </w:tcBorders>
          </w:tcPr>
          <w:p w14:paraId="316F17B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0.339</w:t>
            </w:r>
          </w:p>
        </w:tc>
      </w:tr>
      <w:tr w:rsidR="008D10A7" w:rsidRPr="005B536A" w14:paraId="11975575" w14:textId="77777777" w:rsidTr="00015B88">
        <w:tc>
          <w:tcPr>
            <w:tcW w:w="2136" w:type="dxa"/>
            <w:tcBorders>
              <w:top w:val="nil"/>
              <w:left w:val="nil"/>
              <w:bottom w:val="nil"/>
              <w:right w:val="nil"/>
            </w:tcBorders>
          </w:tcPr>
          <w:p w14:paraId="18C1A6C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7408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(-0.67)</w:t>
            </w:r>
          </w:p>
        </w:tc>
        <w:tc>
          <w:tcPr>
            <w:tcW w:w="1656" w:type="dxa"/>
            <w:tcBorders>
              <w:top w:val="nil"/>
              <w:left w:val="nil"/>
              <w:bottom w:val="nil"/>
              <w:right w:val="nil"/>
            </w:tcBorders>
          </w:tcPr>
          <w:p w14:paraId="74E39C5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(0.66)</w:t>
            </w:r>
          </w:p>
        </w:tc>
        <w:tc>
          <w:tcPr>
            <w:tcW w:w="1656" w:type="dxa"/>
            <w:tcBorders>
              <w:top w:val="nil"/>
              <w:left w:val="nil"/>
              <w:bottom w:val="nil"/>
              <w:right w:val="nil"/>
            </w:tcBorders>
          </w:tcPr>
          <w:p w14:paraId="5AF278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(-1.12)</w:t>
            </w:r>
          </w:p>
        </w:tc>
        <w:tc>
          <w:tcPr>
            <w:tcW w:w="1656" w:type="dxa"/>
            <w:tcBorders>
              <w:top w:val="nil"/>
              <w:left w:val="nil"/>
              <w:bottom w:val="nil"/>
              <w:right w:val="nil"/>
            </w:tcBorders>
          </w:tcPr>
          <w:p w14:paraId="2301A80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(0.89)</w:t>
            </w:r>
          </w:p>
        </w:tc>
      </w:tr>
      <w:tr w:rsidR="008D10A7" w:rsidRPr="005B536A" w14:paraId="7DD2F4A4" w14:textId="77777777" w:rsidTr="00015B88">
        <w:tc>
          <w:tcPr>
            <w:tcW w:w="2136" w:type="dxa"/>
            <w:tcBorders>
              <w:top w:val="nil"/>
              <w:left w:val="nil"/>
              <w:bottom w:val="nil"/>
              <w:right w:val="nil"/>
            </w:tcBorders>
          </w:tcPr>
          <w:p w14:paraId="75B61F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8D6F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C05A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324A9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431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9BCD693" w14:textId="77777777" w:rsidTr="00015B88">
        <w:tc>
          <w:tcPr>
            <w:tcW w:w="2136" w:type="dxa"/>
            <w:tcBorders>
              <w:top w:val="nil"/>
              <w:left w:val="nil"/>
              <w:bottom w:val="nil"/>
              <w:right w:val="nil"/>
            </w:tcBorders>
          </w:tcPr>
          <w:p w14:paraId="210031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1F71908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0.0207</w:t>
            </w:r>
          </w:p>
        </w:tc>
        <w:tc>
          <w:tcPr>
            <w:tcW w:w="1656" w:type="dxa"/>
            <w:tcBorders>
              <w:top w:val="nil"/>
              <w:left w:val="nil"/>
              <w:bottom w:val="nil"/>
              <w:right w:val="nil"/>
            </w:tcBorders>
          </w:tcPr>
          <w:p w14:paraId="62C24E2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0.682</w:t>
            </w:r>
          </w:p>
        </w:tc>
        <w:tc>
          <w:tcPr>
            <w:tcW w:w="1656" w:type="dxa"/>
            <w:tcBorders>
              <w:top w:val="nil"/>
              <w:left w:val="nil"/>
              <w:bottom w:val="nil"/>
              <w:right w:val="nil"/>
            </w:tcBorders>
          </w:tcPr>
          <w:p w14:paraId="533E0AF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-0.466</w:t>
            </w:r>
          </w:p>
        </w:tc>
        <w:tc>
          <w:tcPr>
            <w:tcW w:w="1656" w:type="dxa"/>
            <w:tcBorders>
              <w:top w:val="nil"/>
              <w:left w:val="nil"/>
              <w:bottom w:val="nil"/>
              <w:right w:val="nil"/>
            </w:tcBorders>
          </w:tcPr>
          <w:p w14:paraId="0E37477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-0.109</w:t>
            </w:r>
          </w:p>
        </w:tc>
      </w:tr>
      <w:tr w:rsidR="008D10A7" w:rsidRPr="005B536A" w14:paraId="32FEC2FB" w14:textId="77777777" w:rsidTr="00015B88">
        <w:tc>
          <w:tcPr>
            <w:tcW w:w="2136" w:type="dxa"/>
            <w:tcBorders>
              <w:top w:val="nil"/>
              <w:left w:val="nil"/>
              <w:bottom w:val="nil"/>
              <w:right w:val="nil"/>
            </w:tcBorders>
          </w:tcPr>
          <w:p w14:paraId="5C80B06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FC219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w:t>
            </w:r>
          </w:p>
        </w:tc>
        <w:tc>
          <w:tcPr>
            <w:tcW w:w="1656" w:type="dxa"/>
            <w:tcBorders>
              <w:top w:val="nil"/>
              <w:left w:val="nil"/>
              <w:bottom w:val="nil"/>
              <w:right w:val="nil"/>
            </w:tcBorders>
          </w:tcPr>
          <w:p w14:paraId="16A1138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(1.10)</w:t>
            </w:r>
          </w:p>
        </w:tc>
        <w:tc>
          <w:tcPr>
            <w:tcW w:w="1656" w:type="dxa"/>
            <w:tcBorders>
              <w:top w:val="nil"/>
              <w:left w:val="nil"/>
              <w:bottom w:val="nil"/>
              <w:right w:val="nil"/>
            </w:tcBorders>
          </w:tcPr>
          <w:p w14:paraId="3C7686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(-1.00)</w:t>
            </w:r>
          </w:p>
        </w:tc>
        <w:tc>
          <w:tcPr>
            <w:tcW w:w="1656" w:type="dxa"/>
            <w:tcBorders>
              <w:top w:val="nil"/>
              <w:left w:val="nil"/>
              <w:bottom w:val="nil"/>
              <w:right w:val="nil"/>
            </w:tcBorders>
          </w:tcPr>
          <w:p w14:paraId="2A08E9D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r>
      <w:tr w:rsidR="008D10A7" w:rsidRPr="005B536A" w14:paraId="628ADF2B" w14:textId="77777777" w:rsidTr="00015B88">
        <w:tc>
          <w:tcPr>
            <w:tcW w:w="2136" w:type="dxa"/>
            <w:tcBorders>
              <w:top w:val="nil"/>
              <w:left w:val="nil"/>
              <w:bottom w:val="nil"/>
              <w:right w:val="nil"/>
            </w:tcBorders>
          </w:tcPr>
          <w:p w14:paraId="728AD8A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A70EE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2CA3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43AEB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17D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7210B94" w14:textId="77777777" w:rsidTr="00015B88">
        <w:tc>
          <w:tcPr>
            <w:tcW w:w="2136" w:type="dxa"/>
            <w:tcBorders>
              <w:top w:val="nil"/>
              <w:left w:val="nil"/>
              <w:bottom w:val="nil"/>
              <w:right w:val="nil"/>
            </w:tcBorders>
          </w:tcPr>
          <w:p w14:paraId="04A0570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163687C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-1.239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5046D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-0.569</w:t>
            </w:r>
          </w:p>
        </w:tc>
        <w:tc>
          <w:tcPr>
            <w:tcW w:w="1656" w:type="dxa"/>
            <w:tcBorders>
              <w:top w:val="nil"/>
              <w:left w:val="nil"/>
              <w:bottom w:val="nil"/>
              <w:right w:val="nil"/>
            </w:tcBorders>
          </w:tcPr>
          <w:p w14:paraId="55D8AB0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-1.111</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425BF1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0.0111</w:t>
            </w:r>
          </w:p>
        </w:tc>
      </w:tr>
      <w:tr w:rsidR="008D10A7" w:rsidRPr="005B536A" w14:paraId="7EE0E2FA" w14:textId="77777777" w:rsidTr="00015B88">
        <w:tc>
          <w:tcPr>
            <w:tcW w:w="2136" w:type="dxa"/>
            <w:tcBorders>
              <w:top w:val="nil"/>
              <w:left w:val="nil"/>
              <w:bottom w:val="nil"/>
              <w:right w:val="nil"/>
            </w:tcBorders>
          </w:tcPr>
          <w:p w14:paraId="79C6236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8085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(-2.31)</w:t>
            </w:r>
          </w:p>
        </w:tc>
        <w:tc>
          <w:tcPr>
            <w:tcW w:w="1656" w:type="dxa"/>
            <w:tcBorders>
              <w:top w:val="nil"/>
              <w:left w:val="nil"/>
              <w:bottom w:val="nil"/>
              <w:right w:val="nil"/>
            </w:tcBorders>
          </w:tcPr>
          <w:p w14:paraId="037401B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(-0.79)</w:t>
            </w:r>
          </w:p>
        </w:tc>
        <w:tc>
          <w:tcPr>
            <w:tcW w:w="1656" w:type="dxa"/>
            <w:tcBorders>
              <w:top w:val="nil"/>
              <w:left w:val="nil"/>
              <w:bottom w:val="nil"/>
              <w:right w:val="nil"/>
            </w:tcBorders>
          </w:tcPr>
          <w:p w14:paraId="1473823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(-2.26)</w:t>
            </w:r>
          </w:p>
        </w:tc>
        <w:tc>
          <w:tcPr>
            <w:tcW w:w="1656" w:type="dxa"/>
            <w:tcBorders>
              <w:top w:val="nil"/>
              <w:left w:val="nil"/>
              <w:bottom w:val="nil"/>
              <w:right w:val="nil"/>
            </w:tcBorders>
          </w:tcPr>
          <w:p w14:paraId="2E57F1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w:t>
            </w:r>
          </w:p>
        </w:tc>
      </w:tr>
      <w:tr w:rsidR="008D10A7" w:rsidRPr="005B536A" w14:paraId="5FA602E7" w14:textId="77777777" w:rsidTr="00015B88">
        <w:tc>
          <w:tcPr>
            <w:tcW w:w="2136" w:type="dxa"/>
            <w:tcBorders>
              <w:top w:val="nil"/>
              <w:left w:val="nil"/>
              <w:bottom w:val="nil"/>
              <w:right w:val="nil"/>
            </w:tcBorders>
          </w:tcPr>
          <w:p w14:paraId="147087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08757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FC67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D10A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34BF9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4C2E37A" w14:textId="77777777" w:rsidTr="00015B88">
        <w:tc>
          <w:tcPr>
            <w:tcW w:w="2136" w:type="dxa"/>
            <w:tcBorders>
              <w:top w:val="nil"/>
              <w:left w:val="nil"/>
              <w:bottom w:val="nil"/>
              <w:right w:val="nil"/>
            </w:tcBorders>
          </w:tcPr>
          <w:p w14:paraId="7ECA40F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302B425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0.368</w:t>
            </w:r>
          </w:p>
        </w:tc>
        <w:tc>
          <w:tcPr>
            <w:tcW w:w="1656" w:type="dxa"/>
            <w:tcBorders>
              <w:top w:val="nil"/>
              <w:left w:val="nil"/>
              <w:bottom w:val="nil"/>
              <w:right w:val="nil"/>
            </w:tcBorders>
          </w:tcPr>
          <w:p w14:paraId="069D9C5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-0.983</w:t>
            </w:r>
          </w:p>
        </w:tc>
        <w:tc>
          <w:tcPr>
            <w:tcW w:w="1656" w:type="dxa"/>
            <w:tcBorders>
              <w:top w:val="nil"/>
              <w:left w:val="nil"/>
              <w:bottom w:val="nil"/>
              <w:right w:val="nil"/>
            </w:tcBorders>
          </w:tcPr>
          <w:p w14:paraId="6784669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-0.278</w:t>
            </w:r>
          </w:p>
        </w:tc>
        <w:tc>
          <w:tcPr>
            <w:tcW w:w="1656" w:type="dxa"/>
            <w:tcBorders>
              <w:top w:val="nil"/>
              <w:left w:val="nil"/>
              <w:bottom w:val="nil"/>
              <w:right w:val="nil"/>
            </w:tcBorders>
          </w:tcPr>
          <w:p w14:paraId="5D5F86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0.225</w:t>
            </w:r>
          </w:p>
        </w:tc>
      </w:tr>
      <w:tr w:rsidR="008D10A7" w:rsidRPr="005B536A" w14:paraId="6F4750AF" w14:textId="77777777" w:rsidTr="00015B88">
        <w:tc>
          <w:tcPr>
            <w:tcW w:w="2136" w:type="dxa"/>
            <w:tcBorders>
              <w:top w:val="nil"/>
              <w:left w:val="nil"/>
              <w:bottom w:val="nil"/>
              <w:right w:val="nil"/>
            </w:tcBorders>
          </w:tcPr>
          <w:p w14:paraId="339D8EF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29D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(0.86)</w:t>
            </w:r>
          </w:p>
        </w:tc>
        <w:tc>
          <w:tcPr>
            <w:tcW w:w="1656" w:type="dxa"/>
            <w:tcBorders>
              <w:top w:val="nil"/>
              <w:left w:val="nil"/>
              <w:bottom w:val="nil"/>
              <w:right w:val="nil"/>
            </w:tcBorders>
          </w:tcPr>
          <w:p w14:paraId="33D3D1F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(-1.60)</w:t>
            </w:r>
          </w:p>
        </w:tc>
        <w:tc>
          <w:tcPr>
            <w:tcW w:w="1656" w:type="dxa"/>
            <w:tcBorders>
              <w:top w:val="nil"/>
              <w:left w:val="nil"/>
              <w:bottom w:val="nil"/>
              <w:right w:val="nil"/>
            </w:tcBorders>
          </w:tcPr>
          <w:p w14:paraId="6029A5D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(-0.52)</w:t>
            </w:r>
          </w:p>
        </w:tc>
        <w:tc>
          <w:tcPr>
            <w:tcW w:w="1656" w:type="dxa"/>
            <w:tcBorders>
              <w:top w:val="nil"/>
              <w:left w:val="nil"/>
              <w:bottom w:val="nil"/>
              <w:right w:val="nil"/>
            </w:tcBorders>
          </w:tcPr>
          <w:p w14:paraId="38CB6DF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(0.69)</w:t>
            </w:r>
          </w:p>
        </w:tc>
      </w:tr>
      <w:tr w:rsidR="008D10A7" w:rsidRPr="005B536A" w14:paraId="537B15A5" w14:textId="77777777" w:rsidTr="00015B88">
        <w:tc>
          <w:tcPr>
            <w:tcW w:w="2136" w:type="dxa"/>
            <w:tcBorders>
              <w:top w:val="nil"/>
              <w:left w:val="nil"/>
              <w:bottom w:val="nil"/>
              <w:right w:val="nil"/>
            </w:tcBorders>
          </w:tcPr>
          <w:p w14:paraId="1DEF383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D874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C7A9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73EE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060F0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224B70E" w14:textId="77777777" w:rsidTr="00015B88">
        <w:tc>
          <w:tcPr>
            <w:tcW w:w="2136" w:type="dxa"/>
            <w:tcBorders>
              <w:top w:val="nil"/>
              <w:left w:val="nil"/>
              <w:bottom w:val="nil"/>
              <w:right w:val="nil"/>
            </w:tcBorders>
          </w:tcPr>
          <w:p w14:paraId="33FA4B2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B536A">
              <w:rPr>
                <w:rFonts w:ascii="Times New Roman" w:hAnsi="Times New Roman" w:cs="Times New Roman"/>
                <w:sz w:val="16"/>
                <w:szCs w:val="16"/>
              </w:rPr>
              <w:t>L.Exchange</w:t>
            </w:r>
            <w:proofErr w:type="spellEnd"/>
            <w:r w:rsidRPr="005B536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42327A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0.173</w:t>
            </w:r>
          </w:p>
        </w:tc>
        <w:tc>
          <w:tcPr>
            <w:tcW w:w="1656" w:type="dxa"/>
            <w:tcBorders>
              <w:top w:val="nil"/>
              <w:left w:val="nil"/>
              <w:bottom w:val="nil"/>
              <w:right w:val="nil"/>
            </w:tcBorders>
          </w:tcPr>
          <w:p w14:paraId="73B553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0.533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0E46302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0.0758</w:t>
            </w:r>
          </w:p>
        </w:tc>
        <w:tc>
          <w:tcPr>
            <w:tcW w:w="1656" w:type="dxa"/>
            <w:tcBorders>
              <w:top w:val="nil"/>
              <w:left w:val="nil"/>
              <w:bottom w:val="nil"/>
              <w:right w:val="nil"/>
            </w:tcBorders>
          </w:tcPr>
          <w:p w14:paraId="35B1696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-0.0307</w:t>
            </w:r>
          </w:p>
        </w:tc>
      </w:tr>
      <w:tr w:rsidR="008D10A7" w:rsidRPr="005B536A" w14:paraId="1CCC0A6A" w14:textId="77777777" w:rsidTr="00015B88">
        <w:tc>
          <w:tcPr>
            <w:tcW w:w="2136" w:type="dxa"/>
            <w:tcBorders>
              <w:top w:val="nil"/>
              <w:left w:val="nil"/>
              <w:bottom w:val="nil"/>
              <w:right w:val="nil"/>
            </w:tcBorders>
          </w:tcPr>
          <w:p w14:paraId="058F87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5B821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(1.12)</w:t>
            </w:r>
          </w:p>
        </w:tc>
        <w:tc>
          <w:tcPr>
            <w:tcW w:w="1656" w:type="dxa"/>
            <w:tcBorders>
              <w:top w:val="nil"/>
              <w:left w:val="nil"/>
              <w:bottom w:val="nil"/>
              <w:right w:val="nil"/>
            </w:tcBorders>
          </w:tcPr>
          <w:p w14:paraId="479AD2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(2.45)</w:t>
            </w:r>
          </w:p>
        </w:tc>
        <w:tc>
          <w:tcPr>
            <w:tcW w:w="1656" w:type="dxa"/>
            <w:tcBorders>
              <w:top w:val="nil"/>
              <w:left w:val="nil"/>
              <w:bottom w:val="nil"/>
              <w:right w:val="nil"/>
            </w:tcBorders>
          </w:tcPr>
          <w:p w14:paraId="199D594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(0.54)</w:t>
            </w:r>
          </w:p>
        </w:tc>
        <w:tc>
          <w:tcPr>
            <w:tcW w:w="1656" w:type="dxa"/>
            <w:tcBorders>
              <w:top w:val="nil"/>
              <w:left w:val="nil"/>
              <w:bottom w:val="nil"/>
              <w:right w:val="nil"/>
            </w:tcBorders>
          </w:tcPr>
          <w:p w14:paraId="4476CE1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(-0.65)</w:t>
            </w:r>
          </w:p>
        </w:tc>
      </w:tr>
      <w:tr w:rsidR="008D10A7" w:rsidRPr="005B536A" w14:paraId="5F80122A" w14:textId="77777777" w:rsidTr="00015B88">
        <w:tc>
          <w:tcPr>
            <w:tcW w:w="2136" w:type="dxa"/>
            <w:tcBorders>
              <w:top w:val="nil"/>
              <w:left w:val="nil"/>
              <w:bottom w:val="nil"/>
              <w:right w:val="nil"/>
            </w:tcBorders>
          </w:tcPr>
          <w:p w14:paraId="5AB84CB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4CC6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2217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C9FBD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F306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672E740" w14:textId="77777777" w:rsidTr="00015B88">
        <w:tc>
          <w:tcPr>
            <w:tcW w:w="2136" w:type="dxa"/>
            <w:tcBorders>
              <w:top w:val="nil"/>
              <w:left w:val="nil"/>
              <w:bottom w:val="nil"/>
              <w:right w:val="nil"/>
            </w:tcBorders>
          </w:tcPr>
          <w:p w14:paraId="4F45CB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438B538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-0.0525</w:t>
            </w:r>
          </w:p>
        </w:tc>
        <w:tc>
          <w:tcPr>
            <w:tcW w:w="1656" w:type="dxa"/>
            <w:tcBorders>
              <w:top w:val="nil"/>
              <w:left w:val="nil"/>
              <w:bottom w:val="nil"/>
              <w:right w:val="nil"/>
            </w:tcBorders>
          </w:tcPr>
          <w:p w14:paraId="530FC5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-0.252</w:t>
            </w:r>
          </w:p>
        </w:tc>
        <w:tc>
          <w:tcPr>
            <w:tcW w:w="1656" w:type="dxa"/>
            <w:tcBorders>
              <w:top w:val="nil"/>
              <w:left w:val="nil"/>
              <w:bottom w:val="nil"/>
              <w:right w:val="nil"/>
            </w:tcBorders>
          </w:tcPr>
          <w:p w14:paraId="1F210A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0.188</w:t>
            </w:r>
          </w:p>
        </w:tc>
        <w:tc>
          <w:tcPr>
            <w:tcW w:w="1656" w:type="dxa"/>
            <w:tcBorders>
              <w:top w:val="nil"/>
              <w:left w:val="nil"/>
              <w:bottom w:val="nil"/>
              <w:right w:val="nil"/>
            </w:tcBorders>
          </w:tcPr>
          <w:p w14:paraId="51A51DB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0.0958</w:t>
            </w:r>
          </w:p>
        </w:tc>
      </w:tr>
      <w:tr w:rsidR="008D10A7" w:rsidRPr="005B536A" w14:paraId="49D40840" w14:textId="77777777" w:rsidTr="00015B88">
        <w:tc>
          <w:tcPr>
            <w:tcW w:w="2136" w:type="dxa"/>
            <w:tcBorders>
              <w:top w:val="nil"/>
              <w:left w:val="nil"/>
              <w:bottom w:val="nil"/>
              <w:right w:val="nil"/>
            </w:tcBorders>
          </w:tcPr>
          <w:p w14:paraId="411E6B4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735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(-0.26)</w:t>
            </w:r>
          </w:p>
        </w:tc>
        <w:tc>
          <w:tcPr>
            <w:tcW w:w="1656" w:type="dxa"/>
            <w:tcBorders>
              <w:top w:val="nil"/>
              <w:left w:val="nil"/>
              <w:bottom w:val="nil"/>
              <w:right w:val="nil"/>
            </w:tcBorders>
          </w:tcPr>
          <w:p w14:paraId="7AA6CDB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(-1.28)</w:t>
            </w:r>
          </w:p>
        </w:tc>
        <w:tc>
          <w:tcPr>
            <w:tcW w:w="1656" w:type="dxa"/>
            <w:tcBorders>
              <w:top w:val="nil"/>
              <w:left w:val="nil"/>
              <w:bottom w:val="nil"/>
              <w:right w:val="nil"/>
            </w:tcBorders>
          </w:tcPr>
          <w:p w14:paraId="6C2F993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(0.94)</w:t>
            </w:r>
          </w:p>
        </w:tc>
        <w:tc>
          <w:tcPr>
            <w:tcW w:w="1656" w:type="dxa"/>
            <w:tcBorders>
              <w:top w:val="nil"/>
              <w:left w:val="nil"/>
              <w:bottom w:val="nil"/>
              <w:right w:val="nil"/>
            </w:tcBorders>
          </w:tcPr>
          <w:p w14:paraId="7915867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(1.39)</w:t>
            </w:r>
          </w:p>
        </w:tc>
      </w:tr>
      <w:tr w:rsidR="008D10A7" w:rsidRPr="005B536A" w14:paraId="282D5311" w14:textId="77777777" w:rsidTr="00015B88">
        <w:tc>
          <w:tcPr>
            <w:tcW w:w="2136" w:type="dxa"/>
            <w:tcBorders>
              <w:top w:val="nil"/>
              <w:left w:val="nil"/>
              <w:bottom w:val="nil"/>
              <w:right w:val="nil"/>
            </w:tcBorders>
          </w:tcPr>
          <w:p w14:paraId="664D5FA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C8DA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2E15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7A82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C53F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8DBEC98" w14:textId="77777777" w:rsidTr="00015B88">
        <w:tc>
          <w:tcPr>
            <w:tcW w:w="2136" w:type="dxa"/>
            <w:tcBorders>
              <w:top w:val="nil"/>
              <w:left w:val="nil"/>
              <w:bottom w:val="nil"/>
              <w:right w:val="nil"/>
            </w:tcBorders>
          </w:tcPr>
          <w:p w14:paraId="6DD8791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24AA068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-0.0936</w:t>
            </w:r>
          </w:p>
        </w:tc>
        <w:tc>
          <w:tcPr>
            <w:tcW w:w="1656" w:type="dxa"/>
            <w:tcBorders>
              <w:top w:val="nil"/>
              <w:left w:val="nil"/>
              <w:bottom w:val="nil"/>
              <w:right w:val="nil"/>
            </w:tcBorders>
          </w:tcPr>
          <w:p w14:paraId="29C9321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-0.0750</w:t>
            </w:r>
          </w:p>
        </w:tc>
        <w:tc>
          <w:tcPr>
            <w:tcW w:w="1656" w:type="dxa"/>
            <w:tcBorders>
              <w:top w:val="nil"/>
              <w:left w:val="nil"/>
              <w:bottom w:val="nil"/>
              <w:right w:val="nil"/>
            </w:tcBorders>
          </w:tcPr>
          <w:p w14:paraId="2693C6B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-0.145</w:t>
            </w:r>
          </w:p>
        </w:tc>
        <w:tc>
          <w:tcPr>
            <w:tcW w:w="1656" w:type="dxa"/>
            <w:tcBorders>
              <w:top w:val="nil"/>
              <w:left w:val="nil"/>
              <w:bottom w:val="nil"/>
              <w:right w:val="nil"/>
            </w:tcBorders>
          </w:tcPr>
          <w:p w14:paraId="0E3C42D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-0.107</w:t>
            </w:r>
          </w:p>
        </w:tc>
      </w:tr>
      <w:tr w:rsidR="008D10A7" w:rsidRPr="005B536A" w14:paraId="0FFD428A" w14:textId="77777777" w:rsidTr="00015B88">
        <w:tc>
          <w:tcPr>
            <w:tcW w:w="2136" w:type="dxa"/>
            <w:tcBorders>
              <w:top w:val="nil"/>
              <w:left w:val="nil"/>
              <w:bottom w:val="nil"/>
              <w:right w:val="nil"/>
            </w:tcBorders>
          </w:tcPr>
          <w:p w14:paraId="6810648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EE4D3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(-0.47)</w:t>
            </w:r>
          </w:p>
        </w:tc>
        <w:tc>
          <w:tcPr>
            <w:tcW w:w="1656" w:type="dxa"/>
            <w:tcBorders>
              <w:top w:val="nil"/>
              <w:left w:val="nil"/>
              <w:bottom w:val="nil"/>
              <w:right w:val="nil"/>
            </w:tcBorders>
          </w:tcPr>
          <w:p w14:paraId="6C140DB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(-0.35)</w:t>
            </w:r>
          </w:p>
        </w:tc>
        <w:tc>
          <w:tcPr>
            <w:tcW w:w="1656" w:type="dxa"/>
            <w:tcBorders>
              <w:top w:val="nil"/>
              <w:left w:val="nil"/>
              <w:bottom w:val="nil"/>
              <w:right w:val="nil"/>
            </w:tcBorders>
          </w:tcPr>
          <w:p w14:paraId="585F19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(-0.63)</w:t>
            </w:r>
          </w:p>
        </w:tc>
        <w:tc>
          <w:tcPr>
            <w:tcW w:w="1656" w:type="dxa"/>
            <w:tcBorders>
              <w:top w:val="nil"/>
              <w:left w:val="nil"/>
              <w:bottom w:val="nil"/>
              <w:right w:val="nil"/>
            </w:tcBorders>
          </w:tcPr>
          <w:p w14:paraId="535571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(-1.74)</w:t>
            </w:r>
          </w:p>
        </w:tc>
      </w:tr>
      <w:tr w:rsidR="008D10A7" w:rsidRPr="005B536A" w14:paraId="6E5B33AD" w14:textId="77777777" w:rsidTr="00015B88">
        <w:tc>
          <w:tcPr>
            <w:tcW w:w="2136" w:type="dxa"/>
            <w:tcBorders>
              <w:top w:val="nil"/>
              <w:left w:val="nil"/>
              <w:bottom w:val="nil"/>
              <w:right w:val="nil"/>
            </w:tcBorders>
          </w:tcPr>
          <w:p w14:paraId="01EE5E2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EFCF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5AB6A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1DA38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17EF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68F745C" w14:textId="77777777" w:rsidTr="00015B88">
        <w:tc>
          <w:tcPr>
            <w:tcW w:w="2136" w:type="dxa"/>
            <w:tcBorders>
              <w:top w:val="nil"/>
              <w:left w:val="nil"/>
              <w:bottom w:val="nil"/>
              <w:right w:val="nil"/>
            </w:tcBorders>
          </w:tcPr>
          <w:p w14:paraId="3BDA6DF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5BA130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0.181</w:t>
            </w:r>
          </w:p>
        </w:tc>
        <w:tc>
          <w:tcPr>
            <w:tcW w:w="1656" w:type="dxa"/>
            <w:tcBorders>
              <w:top w:val="nil"/>
              <w:left w:val="nil"/>
              <w:bottom w:val="nil"/>
              <w:right w:val="nil"/>
            </w:tcBorders>
          </w:tcPr>
          <w:p w14:paraId="0E7882A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0.143</w:t>
            </w:r>
          </w:p>
        </w:tc>
        <w:tc>
          <w:tcPr>
            <w:tcW w:w="1656" w:type="dxa"/>
            <w:tcBorders>
              <w:top w:val="nil"/>
              <w:left w:val="nil"/>
              <w:bottom w:val="nil"/>
              <w:right w:val="nil"/>
            </w:tcBorders>
          </w:tcPr>
          <w:p w14:paraId="403A1B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0.481</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032C3D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-0.0264</w:t>
            </w:r>
          </w:p>
        </w:tc>
      </w:tr>
      <w:tr w:rsidR="008D10A7" w:rsidRPr="005B536A" w14:paraId="00BF778C" w14:textId="77777777" w:rsidTr="00015B88">
        <w:tc>
          <w:tcPr>
            <w:tcW w:w="2136" w:type="dxa"/>
            <w:tcBorders>
              <w:top w:val="nil"/>
              <w:left w:val="nil"/>
              <w:bottom w:val="nil"/>
              <w:right w:val="nil"/>
            </w:tcBorders>
          </w:tcPr>
          <w:p w14:paraId="486FA6D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5F7F0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(1.08)</w:t>
            </w:r>
          </w:p>
        </w:tc>
        <w:tc>
          <w:tcPr>
            <w:tcW w:w="1656" w:type="dxa"/>
            <w:tcBorders>
              <w:top w:val="nil"/>
              <w:left w:val="nil"/>
              <w:bottom w:val="nil"/>
              <w:right w:val="nil"/>
            </w:tcBorders>
          </w:tcPr>
          <w:p w14:paraId="30985CD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(0.64)</w:t>
            </w:r>
          </w:p>
        </w:tc>
        <w:tc>
          <w:tcPr>
            <w:tcW w:w="1656" w:type="dxa"/>
            <w:tcBorders>
              <w:top w:val="nil"/>
              <w:left w:val="nil"/>
              <w:bottom w:val="nil"/>
              <w:right w:val="nil"/>
            </w:tcBorders>
          </w:tcPr>
          <w:p w14:paraId="602DD01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(2.01)</w:t>
            </w:r>
          </w:p>
        </w:tc>
        <w:tc>
          <w:tcPr>
            <w:tcW w:w="1656" w:type="dxa"/>
            <w:tcBorders>
              <w:top w:val="nil"/>
              <w:left w:val="nil"/>
              <w:bottom w:val="nil"/>
              <w:right w:val="nil"/>
            </w:tcBorders>
          </w:tcPr>
          <w:p w14:paraId="5895AA9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(-0.48)</w:t>
            </w:r>
          </w:p>
        </w:tc>
      </w:tr>
      <w:tr w:rsidR="008D10A7" w:rsidRPr="005B536A" w14:paraId="6B6D4D6B" w14:textId="77777777" w:rsidTr="00015B88">
        <w:tc>
          <w:tcPr>
            <w:tcW w:w="2136" w:type="dxa"/>
            <w:tcBorders>
              <w:top w:val="nil"/>
              <w:left w:val="nil"/>
              <w:bottom w:val="nil"/>
              <w:right w:val="nil"/>
            </w:tcBorders>
          </w:tcPr>
          <w:p w14:paraId="4C59EAE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5B73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A1FA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165AC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A45C1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2186635" w14:textId="77777777" w:rsidTr="00015B88">
        <w:tc>
          <w:tcPr>
            <w:tcW w:w="2136" w:type="dxa"/>
            <w:tcBorders>
              <w:top w:val="nil"/>
              <w:left w:val="nil"/>
              <w:bottom w:val="nil"/>
              <w:right w:val="nil"/>
            </w:tcBorders>
          </w:tcPr>
          <w:p w14:paraId="5B40004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415767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-0.0835</w:t>
            </w:r>
          </w:p>
        </w:tc>
        <w:tc>
          <w:tcPr>
            <w:tcW w:w="1656" w:type="dxa"/>
            <w:tcBorders>
              <w:top w:val="nil"/>
              <w:left w:val="nil"/>
              <w:bottom w:val="nil"/>
              <w:right w:val="nil"/>
            </w:tcBorders>
          </w:tcPr>
          <w:p w14:paraId="5134274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-0.269</w:t>
            </w:r>
          </w:p>
        </w:tc>
        <w:tc>
          <w:tcPr>
            <w:tcW w:w="1656" w:type="dxa"/>
            <w:tcBorders>
              <w:top w:val="nil"/>
              <w:left w:val="nil"/>
              <w:bottom w:val="nil"/>
              <w:right w:val="nil"/>
            </w:tcBorders>
          </w:tcPr>
          <w:p w14:paraId="58D402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-0.380</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5883C48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0.0788</w:t>
            </w:r>
          </w:p>
        </w:tc>
      </w:tr>
      <w:tr w:rsidR="008D10A7" w:rsidRPr="005B536A" w14:paraId="6565127D" w14:textId="77777777" w:rsidTr="00015B88">
        <w:tc>
          <w:tcPr>
            <w:tcW w:w="2136" w:type="dxa"/>
            <w:tcBorders>
              <w:top w:val="nil"/>
              <w:left w:val="nil"/>
              <w:bottom w:val="nil"/>
              <w:right w:val="nil"/>
            </w:tcBorders>
          </w:tcPr>
          <w:p w14:paraId="0D15EB4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0BF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(-0.63)</w:t>
            </w:r>
          </w:p>
        </w:tc>
        <w:tc>
          <w:tcPr>
            <w:tcW w:w="1656" w:type="dxa"/>
            <w:tcBorders>
              <w:top w:val="nil"/>
              <w:left w:val="nil"/>
              <w:bottom w:val="nil"/>
              <w:right w:val="nil"/>
            </w:tcBorders>
          </w:tcPr>
          <w:p w14:paraId="5B013C2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(-1.25)</w:t>
            </w:r>
          </w:p>
        </w:tc>
        <w:tc>
          <w:tcPr>
            <w:tcW w:w="1656" w:type="dxa"/>
            <w:tcBorders>
              <w:top w:val="nil"/>
              <w:left w:val="nil"/>
              <w:bottom w:val="nil"/>
              <w:right w:val="nil"/>
            </w:tcBorders>
          </w:tcPr>
          <w:p w14:paraId="596D5A5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(-2.04)</w:t>
            </w:r>
          </w:p>
        </w:tc>
        <w:tc>
          <w:tcPr>
            <w:tcW w:w="1656" w:type="dxa"/>
            <w:tcBorders>
              <w:top w:val="nil"/>
              <w:left w:val="nil"/>
              <w:bottom w:val="nil"/>
              <w:right w:val="nil"/>
            </w:tcBorders>
          </w:tcPr>
          <w:p w14:paraId="532FA1F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(1.41)</w:t>
            </w:r>
          </w:p>
        </w:tc>
      </w:tr>
      <w:tr w:rsidR="008D10A7" w:rsidRPr="005B536A" w14:paraId="517BBC1E" w14:textId="77777777" w:rsidTr="00015B88">
        <w:tc>
          <w:tcPr>
            <w:tcW w:w="2136" w:type="dxa"/>
            <w:tcBorders>
              <w:top w:val="nil"/>
              <w:left w:val="nil"/>
              <w:bottom w:val="nil"/>
              <w:right w:val="nil"/>
            </w:tcBorders>
          </w:tcPr>
          <w:p w14:paraId="7183211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A88B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AAD7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5D8CC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EF041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0CB1502" w14:textId="77777777" w:rsidTr="00015B88">
        <w:tc>
          <w:tcPr>
            <w:tcW w:w="2136" w:type="dxa"/>
            <w:tcBorders>
              <w:top w:val="nil"/>
              <w:left w:val="nil"/>
              <w:bottom w:val="nil"/>
              <w:right w:val="nil"/>
            </w:tcBorders>
          </w:tcPr>
          <w:p w14:paraId="12ECB0B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1D44A3A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-0.0862</w:t>
            </w:r>
          </w:p>
        </w:tc>
        <w:tc>
          <w:tcPr>
            <w:tcW w:w="1656" w:type="dxa"/>
            <w:tcBorders>
              <w:top w:val="nil"/>
              <w:left w:val="nil"/>
              <w:bottom w:val="nil"/>
              <w:right w:val="nil"/>
            </w:tcBorders>
          </w:tcPr>
          <w:p w14:paraId="6D469C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0.204</w:t>
            </w:r>
          </w:p>
        </w:tc>
        <w:tc>
          <w:tcPr>
            <w:tcW w:w="1656" w:type="dxa"/>
            <w:tcBorders>
              <w:top w:val="nil"/>
              <w:left w:val="nil"/>
              <w:bottom w:val="nil"/>
              <w:right w:val="nil"/>
            </w:tcBorders>
          </w:tcPr>
          <w:p w14:paraId="48F93BB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0.0361</w:t>
            </w:r>
          </w:p>
        </w:tc>
        <w:tc>
          <w:tcPr>
            <w:tcW w:w="1656" w:type="dxa"/>
            <w:tcBorders>
              <w:top w:val="nil"/>
              <w:left w:val="nil"/>
              <w:bottom w:val="nil"/>
              <w:right w:val="nil"/>
            </w:tcBorders>
          </w:tcPr>
          <w:p w14:paraId="1C75730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-0.0456</w:t>
            </w:r>
          </w:p>
        </w:tc>
      </w:tr>
      <w:tr w:rsidR="008D10A7" w:rsidRPr="005B536A" w14:paraId="53C81652" w14:textId="77777777" w:rsidTr="00015B88">
        <w:tc>
          <w:tcPr>
            <w:tcW w:w="2136" w:type="dxa"/>
            <w:tcBorders>
              <w:top w:val="nil"/>
              <w:left w:val="nil"/>
              <w:bottom w:val="nil"/>
              <w:right w:val="nil"/>
            </w:tcBorders>
          </w:tcPr>
          <w:p w14:paraId="69F1C76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C179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(-0.79)</w:t>
            </w:r>
          </w:p>
        </w:tc>
        <w:tc>
          <w:tcPr>
            <w:tcW w:w="1656" w:type="dxa"/>
            <w:tcBorders>
              <w:top w:val="nil"/>
              <w:left w:val="nil"/>
              <w:bottom w:val="nil"/>
              <w:right w:val="nil"/>
            </w:tcBorders>
          </w:tcPr>
          <w:p w14:paraId="62A276F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(1.27)</w:t>
            </w:r>
          </w:p>
        </w:tc>
        <w:tc>
          <w:tcPr>
            <w:tcW w:w="1656" w:type="dxa"/>
            <w:tcBorders>
              <w:top w:val="nil"/>
              <w:left w:val="nil"/>
              <w:bottom w:val="nil"/>
              <w:right w:val="nil"/>
            </w:tcBorders>
          </w:tcPr>
          <w:p w14:paraId="0DB9C91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(0.41)</w:t>
            </w:r>
          </w:p>
        </w:tc>
        <w:tc>
          <w:tcPr>
            <w:tcW w:w="1656" w:type="dxa"/>
            <w:tcBorders>
              <w:top w:val="nil"/>
              <w:left w:val="nil"/>
              <w:bottom w:val="nil"/>
              <w:right w:val="nil"/>
            </w:tcBorders>
          </w:tcPr>
          <w:p w14:paraId="2B64C4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(-0.82)</w:t>
            </w:r>
          </w:p>
        </w:tc>
      </w:tr>
      <w:tr w:rsidR="008D10A7" w:rsidRPr="005B536A" w14:paraId="0C372179" w14:textId="77777777" w:rsidTr="00015B88">
        <w:tc>
          <w:tcPr>
            <w:tcW w:w="2136" w:type="dxa"/>
            <w:tcBorders>
              <w:top w:val="nil"/>
              <w:left w:val="nil"/>
              <w:bottom w:val="nil"/>
              <w:right w:val="nil"/>
            </w:tcBorders>
          </w:tcPr>
          <w:p w14:paraId="3E0D254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5CC8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9115E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305A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DC33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3CD0FF7" w14:textId="77777777" w:rsidTr="00015B88">
        <w:tc>
          <w:tcPr>
            <w:tcW w:w="2136" w:type="dxa"/>
            <w:tcBorders>
              <w:top w:val="nil"/>
              <w:left w:val="nil"/>
              <w:bottom w:val="nil"/>
              <w:right w:val="nil"/>
            </w:tcBorders>
          </w:tcPr>
          <w:p w14:paraId="3A0BE89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75E797B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0.114</w:t>
            </w:r>
          </w:p>
        </w:tc>
        <w:tc>
          <w:tcPr>
            <w:tcW w:w="1656" w:type="dxa"/>
            <w:tcBorders>
              <w:top w:val="nil"/>
              <w:left w:val="nil"/>
              <w:bottom w:val="nil"/>
              <w:right w:val="nil"/>
            </w:tcBorders>
          </w:tcPr>
          <w:p w14:paraId="50B428A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-0.0543</w:t>
            </w:r>
          </w:p>
        </w:tc>
        <w:tc>
          <w:tcPr>
            <w:tcW w:w="1656" w:type="dxa"/>
            <w:tcBorders>
              <w:top w:val="nil"/>
              <w:left w:val="nil"/>
              <w:bottom w:val="nil"/>
              <w:right w:val="nil"/>
            </w:tcBorders>
          </w:tcPr>
          <w:p w14:paraId="2A88CB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0.115</w:t>
            </w:r>
          </w:p>
        </w:tc>
        <w:tc>
          <w:tcPr>
            <w:tcW w:w="1656" w:type="dxa"/>
            <w:tcBorders>
              <w:top w:val="nil"/>
              <w:left w:val="nil"/>
              <w:bottom w:val="nil"/>
              <w:right w:val="nil"/>
            </w:tcBorders>
          </w:tcPr>
          <w:p w14:paraId="5D01A96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0.0641</w:t>
            </w:r>
          </w:p>
        </w:tc>
      </w:tr>
      <w:tr w:rsidR="008D10A7" w:rsidRPr="005B536A" w14:paraId="0A6555FA" w14:textId="77777777" w:rsidTr="00015B88">
        <w:tc>
          <w:tcPr>
            <w:tcW w:w="2136" w:type="dxa"/>
            <w:tcBorders>
              <w:top w:val="nil"/>
              <w:left w:val="nil"/>
              <w:bottom w:val="nil"/>
              <w:right w:val="nil"/>
            </w:tcBorders>
          </w:tcPr>
          <w:p w14:paraId="0CEA430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197A1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(0.93)</w:t>
            </w:r>
          </w:p>
        </w:tc>
        <w:tc>
          <w:tcPr>
            <w:tcW w:w="1656" w:type="dxa"/>
            <w:tcBorders>
              <w:top w:val="nil"/>
              <w:left w:val="nil"/>
              <w:bottom w:val="nil"/>
              <w:right w:val="nil"/>
            </w:tcBorders>
          </w:tcPr>
          <w:p w14:paraId="766EBB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(-0.36)</w:t>
            </w:r>
          </w:p>
        </w:tc>
        <w:tc>
          <w:tcPr>
            <w:tcW w:w="1656" w:type="dxa"/>
            <w:tcBorders>
              <w:top w:val="nil"/>
              <w:left w:val="nil"/>
              <w:bottom w:val="nil"/>
              <w:right w:val="nil"/>
            </w:tcBorders>
          </w:tcPr>
          <w:p w14:paraId="111429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(0.87)</w:t>
            </w:r>
          </w:p>
        </w:tc>
        <w:tc>
          <w:tcPr>
            <w:tcW w:w="1656" w:type="dxa"/>
            <w:tcBorders>
              <w:top w:val="nil"/>
              <w:left w:val="nil"/>
              <w:bottom w:val="nil"/>
              <w:right w:val="nil"/>
            </w:tcBorders>
          </w:tcPr>
          <w:p w14:paraId="4D928E2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(0.98)</w:t>
            </w:r>
          </w:p>
        </w:tc>
      </w:tr>
      <w:tr w:rsidR="008D10A7" w:rsidRPr="005B536A" w14:paraId="70361D06" w14:textId="77777777" w:rsidTr="00015B88">
        <w:tc>
          <w:tcPr>
            <w:tcW w:w="2136" w:type="dxa"/>
            <w:tcBorders>
              <w:top w:val="nil"/>
              <w:left w:val="nil"/>
              <w:bottom w:val="nil"/>
              <w:right w:val="nil"/>
            </w:tcBorders>
          </w:tcPr>
          <w:p w14:paraId="6CA014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CE48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6FE3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30CD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AFBEC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2425A32" w14:textId="77777777" w:rsidTr="00015B88">
        <w:tc>
          <w:tcPr>
            <w:tcW w:w="2136" w:type="dxa"/>
            <w:tcBorders>
              <w:top w:val="nil"/>
              <w:left w:val="nil"/>
              <w:bottom w:val="nil"/>
              <w:right w:val="nil"/>
            </w:tcBorders>
          </w:tcPr>
          <w:p w14:paraId="6704556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2C4C612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-0.134</w:t>
            </w:r>
          </w:p>
        </w:tc>
        <w:tc>
          <w:tcPr>
            <w:tcW w:w="1656" w:type="dxa"/>
            <w:tcBorders>
              <w:top w:val="nil"/>
              <w:left w:val="nil"/>
              <w:bottom w:val="nil"/>
              <w:right w:val="nil"/>
            </w:tcBorders>
          </w:tcPr>
          <w:p w14:paraId="0937D2C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0.0459</w:t>
            </w:r>
          </w:p>
        </w:tc>
        <w:tc>
          <w:tcPr>
            <w:tcW w:w="1656" w:type="dxa"/>
            <w:tcBorders>
              <w:top w:val="nil"/>
              <w:left w:val="nil"/>
              <w:bottom w:val="nil"/>
              <w:right w:val="nil"/>
            </w:tcBorders>
          </w:tcPr>
          <w:p w14:paraId="3D9D42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-0.227</w:t>
            </w:r>
          </w:p>
        </w:tc>
        <w:tc>
          <w:tcPr>
            <w:tcW w:w="1656" w:type="dxa"/>
            <w:tcBorders>
              <w:top w:val="nil"/>
              <w:left w:val="nil"/>
              <w:bottom w:val="nil"/>
              <w:right w:val="nil"/>
            </w:tcBorders>
          </w:tcPr>
          <w:p w14:paraId="54FFBEA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-0.00250</w:t>
            </w:r>
          </w:p>
        </w:tc>
      </w:tr>
      <w:tr w:rsidR="008D10A7" w:rsidRPr="005B536A" w14:paraId="1ECB185E" w14:textId="77777777" w:rsidTr="00015B88">
        <w:tc>
          <w:tcPr>
            <w:tcW w:w="2136" w:type="dxa"/>
            <w:tcBorders>
              <w:top w:val="nil"/>
              <w:left w:val="nil"/>
              <w:bottom w:val="nil"/>
              <w:right w:val="nil"/>
            </w:tcBorders>
          </w:tcPr>
          <w:p w14:paraId="768B133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D2A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(-1.13)</w:t>
            </w:r>
          </w:p>
        </w:tc>
        <w:tc>
          <w:tcPr>
            <w:tcW w:w="1656" w:type="dxa"/>
            <w:tcBorders>
              <w:top w:val="nil"/>
              <w:left w:val="nil"/>
              <w:bottom w:val="nil"/>
              <w:right w:val="nil"/>
            </w:tcBorders>
          </w:tcPr>
          <w:p w14:paraId="06FBC50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(0.24)</w:t>
            </w:r>
          </w:p>
        </w:tc>
        <w:tc>
          <w:tcPr>
            <w:tcW w:w="1656" w:type="dxa"/>
            <w:tcBorders>
              <w:top w:val="nil"/>
              <w:left w:val="nil"/>
              <w:bottom w:val="nil"/>
              <w:right w:val="nil"/>
            </w:tcBorders>
          </w:tcPr>
          <w:p w14:paraId="03C2723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(-1.53)</w:t>
            </w:r>
          </w:p>
        </w:tc>
        <w:tc>
          <w:tcPr>
            <w:tcW w:w="1656" w:type="dxa"/>
            <w:tcBorders>
              <w:top w:val="nil"/>
              <w:left w:val="nil"/>
              <w:bottom w:val="nil"/>
              <w:right w:val="nil"/>
            </w:tcBorders>
          </w:tcPr>
          <w:p w14:paraId="55A4653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w:t>
            </w:r>
          </w:p>
        </w:tc>
      </w:tr>
      <w:tr w:rsidR="008D10A7" w:rsidRPr="005B536A" w14:paraId="22F9A374" w14:textId="77777777" w:rsidTr="00015B88">
        <w:tc>
          <w:tcPr>
            <w:tcW w:w="2136" w:type="dxa"/>
            <w:tcBorders>
              <w:top w:val="nil"/>
              <w:left w:val="nil"/>
              <w:bottom w:val="nil"/>
              <w:right w:val="nil"/>
            </w:tcBorders>
          </w:tcPr>
          <w:p w14:paraId="7072828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06273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1C6A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2845F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114E6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96D3E58" w14:textId="77777777" w:rsidTr="00015B88">
        <w:tc>
          <w:tcPr>
            <w:tcW w:w="2136" w:type="dxa"/>
            <w:tcBorders>
              <w:top w:val="nil"/>
              <w:left w:val="nil"/>
              <w:bottom w:val="nil"/>
              <w:right w:val="nil"/>
            </w:tcBorders>
          </w:tcPr>
          <w:p w14:paraId="5E00716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520B7B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0.138</w:t>
            </w:r>
          </w:p>
        </w:tc>
        <w:tc>
          <w:tcPr>
            <w:tcW w:w="1656" w:type="dxa"/>
            <w:tcBorders>
              <w:top w:val="nil"/>
              <w:left w:val="nil"/>
              <w:bottom w:val="nil"/>
              <w:right w:val="nil"/>
            </w:tcBorders>
          </w:tcPr>
          <w:p w14:paraId="1D9073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-0.0754</w:t>
            </w:r>
          </w:p>
        </w:tc>
        <w:tc>
          <w:tcPr>
            <w:tcW w:w="1656" w:type="dxa"/>
            <w:tcBorders>
              <w:top w:val="nil"/>
              <w:left w:val="nil"/>
              <w:bottom w:val="nil"/>
              <w:right w:val="nil"/>
            </w:tcBorders>
          </w:tcPr>
          <w:p w14:paraId="49A1FE3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-0.0922</w:t>
            </w:r>
          </w:p>
        </w:tc>
        <w:tc>
          <w:tcPr>
            <w:tcW w:w="1656" w:type="dxa"/>
            <w:tcBorders>
              <w:top w:val="nil"/>
              <w:left w:val="nil"/>
              <w:bottom w:val="nil"/>
              <w:right w:val="nil"/>
            </w:tcBorders>
          </w:tcPr>
          <w:p w14:paraId="66A37F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0.113</w:t>
            </w:r>
            <w:r w:rsidRPr="005B536A">
              <w:rPr>
                <w:rFonts w:ascii="Times New Roman" w:hAnsi="Times New Roman" w:cs="Times New Roman"/>
                <w:sz w:val="16"/>
                <w:szCs w:val="16"/>
                <w:vertAlign w:val="superscript"/>
              </w:rPr>
              <w:t>*</w:t>
            </w:r>
          </w:p>
        </w:tc>
      </w:tr>
      <w:tr w:rsidR="008D10A7" w:rsidRPr="005B536A" w14:paraId="6D3D76F7" w14:textId="77777777" w:rsidTr="00015B88">
        <w:tc>
          <w:tcPr>
            <w:tcW w:w="2136" w:type="dxa"/>
            <w:tcBorders>
              <w:top w:val="nil"/>
              <w:left w:val="nil"/>
              <w:bottom w:val="nil"/>
              <w:right w:val="nil"/>
            </w:tcBorders>
          </w:tcPr>
          <w:p w14:paraId="5EFD6F8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ABE19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(1.10)</w:t>
            </w:r>
          </w:p>
        </w:tc>
        <w:tc>
          <w:tcPr>
            <w:tcW w:w="1656" w:type="dxa"/>
            <w:tcBorders>
              <w:top w:val="nil"/>
              <w:left w:val="nil"/>
              <w:bottom w:val="nil"/>
              <w:right w:val="nil"/>
            </w:tcBorders>
          </w:tcPr>
          <w:p w14:paraId="4BFB028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(-0.41)</w:t>
            </w:r>
          </w:p>
        </w:tc>
        <w:tc>
          <w:tcPr>
            <w:tcW w:w="1656" w:type="dxa"/>
            <w:tcBorders>
              <w:top w:val="nil"/>
              <w:left w:val="nil"/>
              <w:bottom w:val="nil"/>
              <w:right w:val="nil"/>
            </w:tcBorders>
          </w:tcPr>
          <w:p w14:paraId="779CBB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c>
          <w:tcPr>
            <w:tcW w:w="1656" w:type="dxa"/>
            <w:tcBorders>
              <w:top w:val="nil"/>
              <w:left w:val="nil"/>
              <w:bottom w:val="nil"/>
              <w:right w:val="nil"/>
            </w:tcBorders>
          </w:tcPr>
          <w:p w14:paraId="52C867A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(2.55)</w:t>
            </w:r>
          </w:p>
        </w:tc>
      </w:tr>
      <w:tr w:rsidR="008D10A7" w:rsidRPr="005B536A" w14:paraId="5EF81043" w14:textId="77777777" w:rsidTr="00015B88">
        <w:tc>
          <w:tcPr>
            <w:tcW w:w="2136" w:type="dxa"/>
            <w:tcBorders>
              <w:top w:val="nil"/>
              <w:left w:val="nil"/>
              <w:bottom w:val="nil"/>
              <w:right w:val="nil"/>
            </w:tcBorders>
          </w:tcPr>
          <w:p w14:paraId="6A09C0E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39B8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6EBA7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507A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328A7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CE7246B" w14:textId="77777777" w:rsidTr="00015B88">
        <w:tc>
          <w:tcPr>
            <w:tcW w:w="2136" w:type="dxa"/>
            <w:tcBorders>
              <w:top w:val="nil"/>
              <w:left w:val="nil"/>
              <w:bottom w:val="nil"/>
              <w:right w:val="nil"/>
            </w:tcBorders>
          </w:tcPr>
          <w:p w14:paraId="6D94CA4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lastRenderedPageBreak/>
              <w:t>L10.Exchange Rate Classification (RR inverted, higher = more fixed)</w:t>
            </w:r>
          </w:p>
        </w:tc>
        <w:tc>
          <w:tcPr>
            <w:tcW w:w="1656" w:type="dxa"/>
            <w:tcBorders>
              <w:top w:val="nil"/>
              <w:left w:val="nil"/>
              <w:bottom w:val="nil"/>
              <w:right w:val="nil"/>
            </w:tcBorders>
          </w:tcPr>
          <w:p w14:paraId="0021143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-0.0328</w:t>
            </w:r>
          </w:p>
        </w:tc>
        <w:tc>
          <w:tcPr>
            <w:tcW w:w="1656" w:type="dxa"/>
            <w:tcBorders>
              <w:top w:val="nil"/>
              <w:left w:val="nil"/>
              <w:bottom w:val="nil"/>
              <w:right w:val="nil"/>
            </w:tcBorders>
          </w:tcPr>
          <w:p w14:paraId="101200D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0.0462</w:t>
            </w:r>
          </w:p>
        </w:tc>
        <w:tc>
          <w:tcPr>
            <w:tcW w:w="1656" w:type="dxa"/>
            <w:tcBorders>
              <w:top w:val="nil"/>
              <w:left w:val="nil"/>
              <w:bottom w:val="nil"/>
              <w:right w:val="nil"/>
            </w:tcBorders>
          </w:tcPr>
          <w:p w14:paraId="1DB5FC3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0.0810</w:t>
            </w:r>
          </w:p>
        </w:tc>
        <w:tc>
          <w:tcPr>
            <w:tcW w:w="1656" w:type="dxa"/>
            <w:tcBorders>
              <w:top w:val="nil"/>
              <w:left w:val="nil"/>
              <w:bottom w:val="nil"/>
              <w:right w:val="nil"/>
            </w:tcBorders>
          </w:tcPr>
          <w:p w14:paraId="6998905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-0.0280</w:t>
            </w:r>
          </w:p>
        </w:tc>
      </w:tr>
      <w:tr w:rsidR="008D10A7" w:rsidRPr="005B536A" w14:paraId="4F057F0F" w14:textId="77777777" w:rsidTr="00015B88">
        <w:tc>
          <w:tcPr>
            <w:tcW w:w="2136" w:type="dxa"/>
            <w:tcBorders>
              <w:top w:val="nil"/>
              <w:left w:val="nil"/>
              <w:bottom w:val="nil"/>
              <w:right w:val="nil"/>
            </w:tcBorders>
          </w:tcPr>
          <w:p w14:paraId="6A6CCE2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2E5B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6C82D8E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(0.37)</w:t>
            </w:r>
          </w:p>
        </w:tc>
        <w:tc>
          <w:tcPr>
            <w:tcW w:w="1656" w:type="dxa"/>
            <w:tcBorders>
              <w:top w:val="nil"/>
              <w:left w:val="nil"/>
              <w:bottom w:val="nil"/>
              <w:right w:val="nil"/>
            </w:tcBorders>
          </w:tcPr>
          <w:p w14:paraId="72C8BF7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(0.84)</w:t>
            </w:r>
          </w:p>
        </w:tc>
        <w:tc>
          <w:tcPr>
            <w:tcW w:w="1656" w:type="dxa"/>
            <w:tcBorders>
              <w:top w:val="nil"/>
              <w:left w:val="nil"/>
              <w:bottom w:val="nil"/>
              <w:right w:val="nil"/>
            </w:tcBorders>
          </w:tcPr>
          <w:p w14:paraId="1A65D0B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(-0.44)</w:t>
            </w:r>
          </w:p>
        </w:tc>
      </w:tr>
      <w:tr w:rsidR="008D10A7" w:rsidRPr="005B536A" w14:paraId="3C92F217" w14:textId="77777777" w:rsidTr="00015B88">
        <w:tc>
          <w:tcPr>
            <w:tcW w:w="2136" w:type="dxa"/>
            <w:tcBorders>
              <w:top w:val="nil"/>
              <w:left w:val="nil"/>
              <w:bottom w:val="nil"/>
              <w:right w:val="nil"/>
            </w:tcBorders>
          </w:tcPr>
          <w:p w14:paraId="20E836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74DF0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D03D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8D8A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B283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5C61A25" w14:textId="77777777" w:rsidTr="00015B88">
        <w:tc>
          <w:tcPr>
            <w:tcW w:w="2136" w:type="dxa"/>
            <w:tcBorders>
              <w:top w:val="nil"/>
              <w:left w:val="nil"/>
              <w:bottom w:val="nil"/>
              <w:right w:val="nil"/>
            </w:tcBorders>
          </w:tcPr>
          <w:p w14:paraId="6C5E3F0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B536A">
              <w:rPr>
                <w:rFonts w:ascii="Times New Roman" w:hAnsi="Times New Roman" w:cs="Times New Roman"/>
                <w:sz w:val="16"/>
                <w:szCs w:val="16"/>
              </w:rPr>
              <w:t>L.Polity</w:t>
            </w:r>
            <w:proofErr w:type="spellEnd"/>
            <w:r w:rsidRPr="005B536A">
              <w:rPr>
                <w:rFonts w:ascii="Times New Roman" w:hAnsi="Times New Roman" w:cs="Times New Roman"/>
                <w:sz w:val="16"/>
                <w:szCs w:val="16"/>
              </w:rPr>
              <w:t xml:space="preserve"> Democracy Score (v2)</w:t>
            </w:r>
          </w:p>
        </w:tc>
        <w:tc>
          <w:tcPr>
            <w:tcW w:w="1656" w:type="dxa"/>
            <w:tcBorders>
              <w:top w:val="nil"/>
              <w:left w:val="nil"/>
              <w:bottom w:val="nil"/>
              <w:right w:val="nil"/>
            </w:tcBorders>
          </w:tcPr>
          <w:p w14:paraId="76A51E9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0.0280</w:t>
            </w:r>
          </w:p>
        </w:tc>
        <w:tc>
          <w:tcPr>
            <w:tcW w:w="1656" w:type="dxa"/>
            <w:tcBorders>
              <w:top w:val="nil"/>
              <w:left w:val="nil"/>
              <w:bottom w:val="nil"/>
              <w:right w:val="nil"/>
            </w:tcBorders>
          </w:tcPr>
          <w:p w14:paraId="3792D3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0.137</w:t>
            </w:r>
          </w:p>
        </w:tc>
        <w:tc>
          <w:tcPr>
            <w:tcW w:w="1656" w:type="dxa"/>
            <w:tcBorders>
              <w:top w:val="nil"/>
              <w:left w:val="nil"/>
              <w:bottom w:val="nil"/>
              <w:right w:val="nil"/>
            </w:tcBorders>
          </w:tcPr>
          <w:p w14:paraId="16BE529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0.0607</w:t>
            </w:r>
          </w:p>
        </w:tc>
        <w:tc>
          <w:tcPr>
            <w:tcW w:w="1656" w:type="dxa"/>
            <w:tcBorders>
              <w:top w:val="nil"/>
              <w:left w:val="nil"/>
              <w:bottom w:val="nil"/>
              <w:right w:val="nil"/>
            </w:tcBorders>
          </w:tcPr>
          <w:p w14:paraId="1E72D0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0.0191</w:t>
            </w:r>
          </w:p>
        </w:tc>
      </w:tr>
      <w:tr w:rsidR="008D10A7" w:rsidRPr="005B536A" w14:paraId="44FFFFAF" w14:textId="77777777" w:rsidTr="00015B88">
        <w:tc>
          <w:tcPr>
            <w:tcW w:w="2136" w:type="dxa"/>
            <w:tcBorders>
              <w:top w:val="nil"/>
              <w:left w:val="nil"/>
              <w:bottom w:val="nil"/>
              <w:right w:val="nil"/>
            </w:tcBorders>
          </w:tcPr>
          <w:p w14:paraId="0BE5D5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E99C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7B9F38E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(1.29)</w:t>
            </w:r>
          </w:p>
        </w:tc>
        <w:tc>
          <w:tcPr>
            <w:tcW w:w="1656" w:type="dxa"/>
            <w:tcBorders>
              <w:top w:val="nil"/>
              <w:left w:val="nil"/>
              <w:bottom w:val="nil"/>
              <w:right w:val="nil"/>
            </w:tcBorders>
          </w:tcPr>
          <w:p w14:paraId="26577B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(0.54)</w:t>
            </w:r>
          </w:p>
        </w:tc>
        <w:tc>
          <w:tcPr>
            <w:tcW w:w="1656" w:type="dxa"/>
            <w:tcBorders>
              <w:top w:val="nil"/>
              <w:left w:val="nil"/>
              <w:bottom w:val="nil"/>
              <w:right w:val="nil"/>
            </w:tcBorders>
          </w:tcPr>
          <w:p w14:paraId="0523AF1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w:t>
            </w:r>
          </w:p>
        </w:tc>
      </w:tr>
      <w:tr w:rsidR="008D10A7" w:rsidRPr="005B536A" w14:paraId="3C706762" w14:textId="77777777" w:rsidTr="00015B88">
        <w:tc>
          <w:tcPr>
            <w:tcW w:w="2136" w:type="dxa"/>
            <w:tcBorders>
              <w:top w:val="nil"/>
              <w:left w:val="nil"/>
              <w:bottom w:val="nil"/>
              <w:right w:val="nil"/>
            </w:tcBorders>
          </w:tcPr>
          <w:p w14:paraId="2C00B49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DD54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8C1AB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A16C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9B06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AA6CF22" w14:textId="77777777" w:rsidTr="00015B88">
        <w:tc>
          <w:tcPr>
            <w:tcW w:w="2136" w:type="dxa"/>
            <w:tcBorders>
              <w:top w:val="nil"/>
              <w:left w:val="nil"/>
              <w:bottom w:val="nil"/>
              <w:right w:val="nil"/>
            </w:tcBorders>
          </w:tcPr>
          <w:p w14:paraId="3F3AF4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L2.Polity Democracy Score (v2)</w:t>
            </w:r>
          </w:p>
        </w:tc>
        <w:tc>
          <w:tcPr>
            <w:tcW w:w="1656" w:type="dxa"/>
            <w:tcBorders>
              <w:top w:val="nil"/>
              <w:left w:val="nil"/>
              <w:bottom w:val="nil"/>
              <w:right w:val="nil"/>
            </w:tcBorders>
          </w:tcPr>
          <w:p w14:paraId="53D1A3F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-0.0619</w:t>
            </w:r>
          </w:p>
        </w:tc>
        <w:tc>
          <w:tcPr>
            <w:tcW w:w="1656" w:type="dxa"/>
            <w:tcBorders>
              <w:top w:val="nil"/>
              <w:left w:val="nil"/>
              <w:bottom w:val="nil"/>
              <w:right w:val="nil"/>
            </w:tcBorders>
          </w:tcPr>
          <w:p w14:paraId="2C8B61F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A392B0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0.148</w:t>
            </w:r>
          </w:p>
        </w:tc>
        <w:tc>
          <w:tcPr>
            <w:tcW w:w="1656" w:type="dxa"/>
            <w:tcBorders>
              <w:top w:val="nil"/>
              <w:left w:val="nil"/>
              <w:bottom w:val="nil"/>
              <w:right w:val="nil"/>
            </w:tcBorders>
          </w:tcPr>
          <w:p w14:paraId="7E34622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0.0218</w:t>
            </w:r>
          </w:p>
        </w:tc>
      </w:tr>
      <w:tr w:rsidR="008D10A7" w:rsidRPr="005B536A" w14:paraId="411BE5B9" w14:textId="77777777" w:rsidTr="00015B88">
        <w:tc>
          <w:tcPr>
            <w:tcW w:w="2136" w:type="dxa"/>
            <w:tcBorders>
              <w:top w:val="nil"/>
              <w:left w:val="nil"/>
              <w:bottom w:val="nil"/>
              <w:right w:val="nil"/>
            </w:tcBorders>
          </w:tcPr>
          <w:p w14:paraId="2C65182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5C70F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(-0.57)</w:t>
            </w:r>
          </w:p>
        </w:tc>
        <w:tc>
          <w:tcPr>
            <w:tcW w:w="1656" w:type="dxa"/>
            <w:tcBorders>
              <w:top w:val="nil"/>
              <w:left w:val="nil"/>
              <w:bottom w:val="nil"/>
              <w:right w:val="nil"/>
            </w:tcBorders>
          </w:tcPr>
          <w:p w14:paraId="1E66F46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(-2.25)</w:t>
            </w:r>
          </w:p>
        </w:tc>
        <w:tc>
          <w:tcPr>
            <w:tcW w:w="1656" w:type="dxa"/>
            <w:tcBorders>
              <w:top w:val="nil"/>
              <w:left w:val="nil"/>
              <w:bottom w:val="nil"/>
              <w:right w:val="nil"/>
            </w:tcBorders>
          </w:tcPr>
          <w:p w14:paraId="6EB9BA4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(1.10)</w:t>
            </w:r>
          </w:p>
        </w:tc>
        <w:tc>
          <w:tcPr>
            <w:tcW w:w="1656" w:type="dxa"/>
            <w:tcBorders>
              <w:top w:val="nil"/>
              <w:left w:val="nil"/>
              <w:bottom w:val="nil"/>
              <w:right w:val="nil"/>
            </w:tcBorders>
          </w:tcPr>
          <w:p w14:paraId="662C007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(0.43)</w:t>
            </w:r>
          </w:p>
        </w:tc>
      </w:tr>
      <w:tr w:rsidR="008D10A7" w:rsidRPr="005B536A" w14:paraId="5816D876" w14:textId="77777777" w:rsidTr="00015B88">
        <w:tc>
          <w:tcPr>
            <w:tcW w:w="2136" w:type="dxa"/>
            <w:tcBorders>
              <w:top w:val="nil"/>
              <w:left w:val="nil"/>
              <w:bottom w:val="nil"/>
              <w:right w:val="nil"/>
            </w:tcBorders>
          </w:tcPr>
          <w:p w14:paraId="6648BF0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D53AB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99FA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AD723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04D2C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4E9C49C" w14:textId="77777777" w:rsidTr="00015B88">
        <w:tc>
          <w:tcPr>
            <w:tcW w:w="2136" w:type="dxa"/>
            <w:tcBorders>
              <w:top w:val="nil"/>
              <w:left w:val="nil"/>
              <w:bottom w:val="nil"/>
              <w:right w:val="nil"/>
            </w:tcBorders>
          </w:tcPr>
          <w:p w14:paraId="7F7AFB3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L3.Polity Democracy Score (v2)</w:t>
            </w:r>
          </w:p>
        </w:tc>
        <w:tc>
          <w:tcPr>
            <w:tcW w:w="1656" w:type="dxa"/>
            <w:tcBorders>
              <w:top w:val="nil"/>
              <w:left w:val="nil"/>
              <w:bottom w:val="nil"/>
              <w:right w:val="nil"/>
            </w:tcBorders>
          </w:tcPr>
          <w:p w14:paraId="2C051AD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-0.0787</w:t>
            </w:r>
          </w:p>
        </w:tc>
        <w:tc>
          <w:tcPr>
            <w:tcW w:w="1656" w:type="dxa"/>
            <w:tcBorders>
              <w:top w:val="nil"/>
              <w:left w:val="nil"/>
              <w:bottom w:val="nil"/>
              <w:right w:val="nil"/>
            </w:tcBorders>
          </w:tcPr>
          <w:p w14:paraId="5AE48A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0.0820</w:t>
            </w:r>
          </w:p>
        </w:tc>
        <w:tc>
          <w:tcPr>
            <w:tcW w:w="1656" w:type="dxa"/>
            <w:tcBorders>
              <w:top w:val="nil"/>
              <w:left w:val="nil"/>
              <w:bottom w:val="nil"/>
              <w:right w:val="nil"/>
            </w:tcBorders>
          </w:tcPr>
          <w:p w14:paraId="0C90A83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-0.192</w:t>
            </w:r>
          </w:p>
        </w:tc>
        <w:tc>
          <w:tcPr>
            <w:tcW w:w="1656" w:type="dxa"/>
            <w:tcBorders>
              <w:top w:val="nil"/>
              <w:left w:val="nil"/>
              <w:bottom w:val="nil"/>
              <w:right w:val="nil"/>
            </w:tcBorders>
          </w:tcPr>
          <w:p w14:paraId="2491B5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-0.0454</w:t>
            </w:r>
          </w:p>
        </w:tc>
      </w:tr>
      <w:tr w:rsidR="008D10A7" w:rsidRPr="005B536A" w14:paraId="1011D2B8" w14:textId="77777777" w:rsidTr="00015B88">
        <w:tc>
          <w:tcPr>
            <w:tcW w:w="2136" w:type="dxa"/>
            <w:tcBorders>
              <w:top w:val="nil"/>
              <w:left w:val="nil"/>
              <w:bottom w:val="nil"/>
              <w:right w:val="nil"/>
            </w:tcBorders>
          </w:tcPr>
          <w:p w14:paraId="1728360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D0A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(-0.67)</w:t>
            </w:r>
          </w:p>
        </w:tc>
        <w:tc>
          <w:tcPr>
            <w:tcW w:w="1656" w:type="dxa"/>
            <w:tcBorders>
              <w:top w:val="nil"/>
              <w:left w:val="nil"/>
              <w:bottom w:val="nil"/>
              <w:right w:val="nil"/>
            </w:tcBorders>
          </w:tcPr>
          <w:p w14:paraId="1583272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(0.61)</w:t>
            </w:r>
          </w:p>
        </w:tc>
        <w:tc>
          <w:tcPr>
            <w:tcW w:w="1656" w:type="dxa"/>
            <w:tcBorders>
              <w:top w:val="nil"/>
              <w:left w:val="nil"/>
              <w:bottom w:val="nil"/>
              <w:right w:val="nil"/>
            </w:tcBorders>
          </w:tcPr>
          <w:p w14:paraId="638283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(-1.55)</w:t>
            </w:r>
          </w:p>
        </w:tc>
        <w:tc>
          <w:tcPr>
            <w:tcW w:w="1656" w:type="dxa"/>
            <w:tcBorders>
              <w:top w:val="nil"/>
              <w:left w:val="nil"/>
              <w:bottom w:val="nil"/>
              <w:right w:val="nil"/>
            </w:tcBorders>
          </w:tcPr>
          <w:p w14:paraId="20F5C84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(-1.01)</w:t>
            </w:r>
          </w:p>
        </w:tc>
      </w:tr>
      <w:tr w:rsidR="008D10A7" w:rsidRPr="005B536A" w14:paraId="6E7E19BB" w14:textId="77777777" w:rsidTr="00015B88">
        <w:tc>
          <w:tcPr>
            <w:tcW w:w="2136" w:type="dxa"/>
            <w:tcBorders>
              <w:top w:val="nil"/>
              <w:left w:val="nil"/>
              <w:bottom w:val="nil"/>
              <w:right w:val="nil"/>
            </w:tcBorders>
          </w:tcPr>
          <w:p w14:paraId="16CD9EC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51328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B3C2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0F945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A7DE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0ED07EF" w14:textId="77777777" w:rsidTr="00015B88">
        <w:tc>
          <w:tcPr>
            <w:tcW w:w="2136" w:type="dxa"/>
            <w:tcBorders>
              <w:top w:val="nil"/>
              <w:left w:val="nil"/>
              <w:bottom w:val="nil"/>
              <w:right w:val="nil"/>
            </w:tcBorders>
          </w:tcPr>
          <w:p w14:paraId="76AE07F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L4.Polity Democracy Score (v2)</w:t>
            </w:r>
          </w:p>
        </w:tc>
        <w:tc>
          <w:tcPr>
            <w:tcW w:w="1656" w:type="dxa"/>
            <w:tcBorders>
              <w:top w:val="nil"/>
              <w:left w:val="nil"/>
              <w:bottom w:val="nil"/>
              <w:right w:val="nil"/>
            </w:tcBorders>
          </w:tcPr>
          <w:p w14:paraId="0D74009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646AE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0.114</w:t>
            </w:r>
          </w:p>
        </w:tc>
        <w:tc>
          <w:tcPr>
            <w:tcW w:w="1656" w:type="dxa"/>
            <w:tcBorders>
              <w:top w:val="nil"/>
              <w:left w:val="nil"/>
              <w:bottom w:val="nil"/>
              <w:right w:val="nil"/>
            </w:tcBorders>
          </w:tcPr>
          <w:p w14:paraId="5099312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0.248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FFEE6E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0.0357</w:t>
            </w:r>
          </w:p>
        </w:tc>
      </w:tr>
      <w:tr w:rsidR="008D10A7" w:rsidRPr="005B536A" w14:paraId="75629D13" w14:textId="77777777" w:rsidTr="00015B88">
        <w:tc>
          <w:tcPr>
            <w:tcW w:w="2136" w:type="dxa"/>
            <w:tcBorders>
              <w:top w:val="nil"/>
              <w:left w:val="nil"/>
              <w:bottom w:val="nil"/>
              <w:right w:val="nil"/>
            </w:tcBorders>
          </w:tcPr>
          <w:p w14:paraId="7056116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64B0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(2.16)</w:t>
            </w:r>
          </w:p>
        </w:tc>
        <w:tc>
          <w:tcPr>
            <w:tcW w:w="1656" w:type="dxa"/>
            <w:tcBorders>
              <w:top w:val="nil"/>
              <w:left w:val="nil"/>
              <w:bottom w:val="nil"/>
              <w:right w:val="nil"/>
            </w:tcBorders>
          </w:tcPr>
          <w:p w14:paraId="0DD8FE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(0.84)</w:t>
            </w:r>
          </w:p>
        </w:tc>
        <w:tc>
          <w:tcPr>
            <w:tcW w:w="1656" w:type="dxa"/>
            <w:tcBorders>
              <w:top w:val="nil"/>
              <w:left w:val="nil"/>
              <w:bottom w:val="nil"/>
              <w:right w:val="nil"/>
            </w:tcBorders>
          </w:tcPr>
          <w:p w14:paraId="58A5358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(2.26)</w:t>
            </w:r>
          </w:p>
        </w:tc>
        <w:tc>
          <w:tcPr>
            <w:tcW w:w="1656" w:type="dxa"/>
            <w:tcBorders>
              <w:top w:val="nil"/>
              <w:left w:val="nil"/>
              <w:bottom w:val="nil"/>
              <w:right w:val="nil"/>
            </w:tcBorders>
          </w:tcPr>
          <w:p w14:paraId="550329A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r>
      <w:tr w:rsidR="008D10A7" w:rsidRPr="005B536A" w14:paraId="063A258F" w14:textId="77777777" w:rsidTr="00015B88">
        <w:tc>
          <w:tcPr>
            <w:tcW w:w="2136" w:type="dxa"/>
            <w:tcBorders>
              <w:top w:val="nil"/>
              <w:left w:val="nil"/>
              <w:bottom w:val="nil"/>
              <w:right w:val="nil"/>
            </w:tcBorders>
          </w:tcPr>
          <w:p w14:paraId="6330C9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BA1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2DDE5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B8A65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D1807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FB0D7A1" w14:textId="77777777" w:rsidTr="00015B88">
        <w:tc>
          <w:tcPr>
            <w:tcW w:w="2136" w:type="dxa"/>
            <w:tcBorders>
              <w:top w:val="nil"/>
              <w:left w:val="nil"/>
              <w:bottom w:val="nil"/>
              <w:right w:val="nil"/>
            </w:tcBorders>
          </w:tcPr>
          <w:p w14:paraId="7FBF87A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L5.Polity Democracy Score (v2)</w:t>
            </w:r>
          </w:p>
        </w:tc>
        <w:tc>
          <w:tcPr>
            <w:tcW w:w="1656" w:type="dxa"/>
            <w:tcBorders>
              <w:top w:val="nil"/>
              <w:left w:val="nil"/>
              <w:bottom w:val="nil"/>
              <w:right w:val="nil"/>
            </w:tcBorders>
          </w:tcPr>
          <w:p w14:paraId="71C343E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-0.0807</w:t>
            </w:r>
          </w:p>
        </w:tc>
        <w:tc>
          <w:tcPr>
            <w:tcW w:w="1656" w:type="dxa"/>
            <w:tcBorders>
              <w:top w:val="nil"/>
              <w:left w:val="nil"/>
              <w:bottom w:val="nil"/>
              <w:right w:val="nil"/>
            </w:tcBorders>
          </w:tcPr>
          <w:p w14:paraId="6B106D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-0.125</w:t>
            </w:r>
          </w:p>
        </w:tc>
        <w:tc>
          <w:tcPr>
            <w:tcW w:w="1656" w:type="dxa"/>
            <w:tcBorders>
              <w:top w:val="nil"/>
              <w:left w:val="nil"/>
              <w:bottom w:val="nil"/>
              <w:right w:val="nil"/>
            </w:tcBorders>
          </w:tcPr>
          <w:p w14:paraId="703FE2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5DDB43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0.0282</w:t>
            </w:r>
          </w:p>
        </w:tc>
      </w:tr>
      <w:tr w:rsidR="008D10A7" w:rsidRPr="005B536A" w14:paraId="4DD62C56" w14:textId="77777777" w:rsidTr="00015B88">
        <w:tc>
          <w:tcPr>
            <w:tcW w:w="2136" w:type="dxa"/>
            <w:tcBorders>
              <w:top w:val="nil"/>
              <w:left w:val="nil"/>
              <w:bottom w:val="nil"/>
              <w:right w:val="nil"/>
            </w:tcBorders>
          </w:tcPr>
          <w:p w14:paraId="7E4D175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85A5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(-1.13)</w:t>
            </w:r>
          </w:p>
        </w:tc>
        <w:tc>
          <w:tcPr>
            <w:tcW w:w="1656" w:type="dxa"/>
            <w:tcBorders>
              <w:top w:val="nil"/>
              <w:left w:val="nil"/>
              <w:bottom w:val="nil"/>
              <w:right w:val="nil"/>
            </w:tcBorders>
          </w:tcPr>
          <w:p w14:paraId="18327AF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(-0.92)</w:t>
            </w:r>
          </w:p>
        </w:tc>
        <w:tc>
          <w:tcPr>
            <w:tcW w:w="1656" w:type="dxa"/>
            <w:tcBorders>
              <w:top w:val="nil"/>
              <w:left w:val="nil"/>
              <w:bottom w:val="nil"/>
              <w:right w:val="nil"/>
            </w:tcBorders>
          </w:tcPr>
          <w:p w14:paraId="63A39BA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(-2.01)</w:t>
            </w:r>
          </w:p>
        </w:tc>
        <w:tc>
          <w:tcPr>
            <w:tcW w:w="1656" w:type="dxa"/>
            <w:tcBorders>
              <w:top w:val="nil"/>
              <w:left w:val="nil"/>
              <w:bottom w:val="nil"/>
              <w:right w:val="nil"/>
            </w:tcBorders>
          </w:tcPr>
          <w:p w14:paraId="1697850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(0.92)</w:t>
            </w:r>
          </w:p>
        </w:tc>
      </w:tr>
      <w:tr w:rsidR="008D10A7" w:rsidRPr="005B536A" w14:paraId="7BDDEA54" w14:textId="77777777" w:rsidTr="00015B88">
        <w:tc>
          <w:tcPr>
            <w:tcW w:w="2136" w:type="dxa"/>
            <w:tcBorders>
              <w:top w:val="nil"/>
              <w:left w:val="nil"/>
              <w:bottom w:val="nil"/>
              <w:right w:val="nil"/>
            </w:tcBorders>
          </w:tcPr>
          <w:p w14:paraId="2C6FC93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86307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F4D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5A9C9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36BC2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40A9141" w14:textId="77777777" w:rsidTr="00015B88">
        <w:tc>
          <w:tcPr>
            <w:tcW w:w="2136" w:type="dxa"/>
            <w:tcBorders>
              <w:top w:val="nil"/>
              <w:left w:val="nil"/>
              <w:bottom w:val="nil"/>
              <w:right w:val="nil"/>
            </w:tcBorders>
          </w:tcPr>
          <w:p w14:paraId="0B738C8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L6.Polity Democracy Score (v2)</w:t>
            </w:r>
          </w:p>
        </w:tc>
        <w:tc>
          <w:tcPr>
            <w:tcW w:w="1656" w:type="dxa"/>
            <w:tcBorders>
              <w:top w:val="nil"/>
              <w:left w:val="nil"/>
              <w:bottom w:val="nil"/>
              <w:right w:val="nil"/>
            </w:tcBorders>
          </w:tcPr>
          <w:p w14:paraId="6AE2119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0.0825</w:t>
            </w:r>
          </w:p>
        </w:tc>
        <w:tc>
          <w:tcPr>
            <w:tcW w:w="1656" w:type="dxa"/>
            <w:tcBorders>
              <w:top w:val="nil"/>
              <w:left w:val="nil"/>
              <w:bottom w:val="nil"/>
              <w:right w:val="nil"/>
            </w:tcBorders>
          </w:tcPr>
          <w:p w14:paraId="7DC9E12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0.296</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4CFE6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0.109</w:t>
            </w:r>
          </w:p>
        </w:tc>
        <w:tc>
          <w:tcPr>
            <w:tcW w:w="1656" w:type="dxa"/>
            <w:tcBorders>
              <w:top w:val="nil"/>
              <w:left w:val="nil"/>
              <w:bottom w:val="nil"/>
              <w:right w:val="nil"/>
            </w:tcBorders>
          </w:tcPr>
          <w:p w14:paraId="76C2A39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-0.0591</w:t>
            </w:r>
          </w:p>
        </w:tc>
      </w:tr>
      <w:tr w:rsidR="008D10A7" w:rsidRPr="005B536A" w14:paraId="6D6C858F" w14:textId="77777777" w:rsidTr="00015B88">
        <w:tc>
          <w:tcPr>
            <w:tcW w:w="2136" w:type="dxa"/>
            <w:tcBorders>
              <w:top w:val="nil"/>
              <w:left w:val="nil"/>
              <w:bottom w:val="nil"/>
              <w:right w:val="nil"/>
            </w:tcBorders>
          </w:tcPr>
          <w:p w14:paraId="447323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2520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(0.92)</w:t>
            </w:r>
          </w:p>
        </w:tc>
        <w:tc>
          <w:tcPr>
            <w:tcW w:w="1656" w:type="dxa"/>
            <w:tcBorders>
              <w:top w:val="nil"/>
              <w:left w:val="nil"/>
              <w:bottom w:val="nil"/>
              <w:right w:val="nil"/>
            </w:tcBorders>
          </w:tcPr>
          <w:p w14:paraId="7B64F0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(2.67)</w:t>
            </w:r>
          </w:p>
        </w:tc>
        <w:tc>
          <w:tcPr>
            <w:tcW w:w="1656" w:type="dxa"/>
            <w:tcBorders>
              <w:top w:val="nil"/>
              <w:left w:val="nil"/>
              <w:bottom w:val="nil"/>
              <w:right w:val="nil"/>
            </w:tcBorders>
          </w:tcPr>
          <w:p w14:paraId="6A5A58A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(1.37)</w:t>
            </w:r>
          </w:p>
        </w:tc>
        <w:tc>
          <w:tcPr>
            <w:tcW w:w="1656" w:type="dxa"/>
            <w:tcBorders>
              <w:top w:val="nil"/>
              <w:left w:val="nil"/>
              <w:bottom w:val="nil"/>
              <w:right w:val="nil"/>
            </w:tcBorders>
          </w:tcPr>
          <w:p w14:paraId="2707B3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(-1.48)</w:t>
            </w:r>
          </w:p>
        </w:tc>
      </w:tr>
      <w:tr w:rsidR="008D10A7" w:rsidRPr="005B536A" w14:paraId="7BB47829" w14:textId="77777777" w:rsidTr="00015B88">
        <w:tc>
          <w:tcPr>
            <w:tcW w:w="2136" w:type="dxa"/>
            <w:tcBorders>
              <w:top w:val="nil"/>
              <w:left w:val="nil"/>
              <w:bottom w:val="nil"/>
              <w:right w:val="nil"/>
            </w:tcBorders>
          </w:tcPr>
          <w:p w14:paraId="774CB39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9360D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F69A4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979E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639C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ED25DE9" w14:textId="77777777" w:rsidTr="00015B88">
        <w:tc>
          <w:tcPr>
            <w:tcW w:w="2136" w:type="dxa"/>
            <w:tcBorders>
              <w:top w:val="nil"/>
              <w:left w:val="nil"/>
              <w:bottom w:val="nil"/>
              <w:right w:val="nil"/>
            </w:tcBorders>
          </w:tcPr>
          <w:p w14:paraId="5572C57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L7.Polity Democracy Score (v2)</w:t>
            </w:r>
          </w:p>
        </w:tc>
        <w:tc>
          <w:tcPr>
            <w:tcW w:w="1656" w:type="dxa"/>
            <w:tcBorders>
              <w:top w:val="nil"/>
              <w:left w:val="nil"/>
              <w:bottom w:val="nil"/>
              <w:right w:val="nil"/>
            </w:tcBorders>
          </w:tcPr>
          <w:p w14:paraId="2F0F2B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-0.0821</w:t>
            </w:r>
          </w:p>
        </w:tc>
        <w:tc>
          <w:tcPr>
            <w:tcW w:w="1656" w:type="dxa"/>
            <w:tcBorders>
              <w:top w:val="nil"/>
              <w:left w:val="nil"/>
              <w:bottom w:val="nil"/>
              <w:right w:val="nil"/>
            </w:tcBorders>
          </w:tcPr>
          <w:p w14:paraId="73FEAE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-0.332</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0C6AF5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-0.00907</w:t>
            </w:r>
          </w:p>
        </w:tc>
        <w:tc>
          <w:tcPr>
            <w:tcW w:w="1656" w:type="dxa"/>
            <w:tcBorders>
              <w:top w:val="nil"/>
              <w:left w:val="nil"/>
              <w:bottom w:val="nil"/>
              <w:right w:val="nil"/>
            </w:tcBorders>
          </w:tcPr>
          <w:p w14:paraId="7E6048B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0.0744</w:t>
            </w:r>
          </w:p>
        </w:tc>
      </w:tr>
      <w:tr w:rsidR="008D10A7" w:rsidRPr="005B536A" w14:paraId="3C74ACD5" w14:textId="77777777" w:rsidTr="00015B88">
        <w:tc>
          <w:tcPr>
            <w:tcW w:w="2136" w:type="dxa"/>
            <w:tcBorders>
              <w:top w:val="nil"/>
              <w:left w:val="nil"/>
              <w:bottom w:val="nil"/>
              <w:right w:val="nil"/>
            </w:tcBorders>
          </w:tcPr>
          <w:p w14:paraId="77698DC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11F3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(-0.96)</w:t>
            </w:r>
          </w:p>
        </w:tc>
        <w:tc>
          <w:tcPr>
            <w:tcW w:w="1656" w:type="dxa"/>
            <w:tcBorders>
              <w:top w:val="nil"/>
              <w:left w:val="nil"/>
              <w:bottom w:val="nil"/>
              <w:right w:val="nil"/>
            </w:tcBorders>
          </w:tcPr>
          <w:p w14:paraId="39C6D6F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(-2.78)</w:t>
            </w:r>
          </w:p>
        </w:tc>
        <w:tc>
          <w:tcPr>
            <w:tcW w:w="1656" w:type="dxa"/>
            <w:tcBorders>
              <w:top w:val="nil"/>
              <w:left w:val="nil"/>
              <w:bottom w:val="nil"/>
              <w:right w:val="nil"/>
            </w:tcBorders>
          </w:tcPr>
          <w:p w14:paraId="1C30DF9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19FDE63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(1.68)</w:t>
            </w:r>
          </w:p>
        </w:tc>
      </w:tr>
      <w:tr w:rsidR="008D10A7" w:rsidRPr="005B536A" w14:paraId="01CA987F" w14:textId="77777777" w:rsidTr="00015B88">
        <w:tc>
          <w:tcPr>
            <w:tcW w:w="2136" w:type="dxa"/>
            <w:tcBorders>
              <w:top w:val="nil"/>
              <w:left w:val="nil"/>
              <w:bottom w:val="nil"/>
              <w:right w:val="nil"/>
            </w:tcBorders>
          </w:tcPr>
          <w:p w14:paraId="631748B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4D461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8676E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8C95F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2365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C68603D" w14:textId="77777777" w:rsidTr="00015B88">
        <w:tc>
          <w:tcPr>
            <w:tcW w:w="2136" w:type="dxa"/>
            <w:tcBorders>
              <w:top w:val="nil"/>
              <w:left w:val="nil"/>
              <w:bottom w:val="nil"/>
              <w:right w:val="nil"/>
            </w:tcBorders>
          </w:tcPr>
          <w:p w14:paraId="5448F64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L8.Polity Democracy Score (v2)</w:t>
            </w:r>
          </w:p>
        </w:tc>
        <w:tc>
          <w:tcPr>
            <w:tcW w:w="1656" w:type="dxa"/>
            <w:tcBorders>
              <w:top w:val="nil"/>
              <w:left w:val="nil"/>
              <w:bottom w:val="nil"/>
              <w:right w:val="nil"/>
            </w:tcBorders>
          </w:tcPr>
          <w:p w14:paraId="0E1E1B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0.140</w:t>
            </w:r>
          </w:p>
        </w:tc>
        <w:tc>
          <w:tcPr>
            <w:tcW w:w="1656" w:type="dxa"/>
            <w:tcBorders>
              <w:top w:val="nil"/>
              <w:left w:val="nil"/>
              <w:bottom w:val="nil"/>
              <w:right w:val="nil"/>
            </w:tcBorders>
          </w:tcPr>
          <w:p w14:paraId="3400B7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0.126</w:t>
            </w:r>
          </w:p>
        </w:tc>
        <w:tc>
          <w:tcPr>
            <w:tcW w:w="1656" w:type="dxa"/>
            <w:tcBorders>
              <w:top w:val="nil"/>
              <w:left w:val="nil"/>
              <w:bottom w:val="nil"/>
              <w:right w:val="nil"/>
            </w:tcBorders>
          </w:tcPr>
          <w:p w14:paraId="1A81654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-0.204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116A29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0.00341</w:t>
            </w:r>
          </w:p>
        </w:tc>
      </w:tr>
      <w:tr w:rsidR="008D10A7" w:rsidRPr="005B536A" w14:paraId="522FC852" w14:textId="77777777" w:rsidTr="00015B88">
        <w:tc>
          <w:tcPr>
            <w:tcW w:w="2136" w:type="dxa"/>
            <w:tcBorders>
              <w:top w:val="nil"/>
              <w:left w:val="nil"/>
              <w:bottom w:val="nil"/>
              <w:right w:val="nil"/>
            </w:tcBorders>
          </w:tcPr>
          <w:p w14:paraId="1B40AE7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309A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(1.58)</w:t>
            </w:r>
          </w:p>
        </w:tc>
        <w:tc>
          <w:tcPr>
            <w:tcW w:w="1656" w:type="dxa"/>
            <w:tcBorders>
              <w:top w:val="nil"/>
              <w:left w:val="nil"/>
              <w:bottom w:val="nil"/>
              <w:right w:val="nil"/>
            </w:tcBorders>
          </w:tcPr>
          <w:p w14:paraId="27469C3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(0.98)</w:t>
            </w:r>
          </w:p>
        </w:tc>
        <w:tc>
          <w:tcPr>
            <w:tcW w:w="1656" w:type="dxa"/>
            <w:tcBorders>
              <w:top w:val="nil"/>
              <w:left w:val="nil"/>
              <w:bottom w:val="nil"/>
              <w:right w:val="nil"/>
            </w:tcBorders>
          </w:tcPr>
          <w:p w14:paraId="5AE2F1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(-2.12)</w:t>
            </w:r>
          </w:p>
        </w:tc>
        <w:tc>
          <w:tcPr>
            <w:tcW w:w="1656" w:type="dxa"/>
            <w:tcBorders>
              <w:top w:val="nil"/>
              <w:left w:val="nil"/>
              <w:bottom w:val="nil"/>
              <w:right w:val="nil"/>
            </w:tcBorders>
          </w:tcPr>
          <w:p w14:paraId="4F462C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w:t>
            </w:r>
          </w:p>
        </w:tc>
      </w:tr>
      <w:tr w:rsidR="008D10A7" w:rsidRPr="005B536A" w14:paraId="11BB0635" w14:textId="77777777" w:rsidTr="00015B88">
        <w:tc>
          <w:tcPr>
            <w:tcW w:w="2136" w:type="dxa"/>
            <w:tcBorders>
              <w:top w:val="nil"/>
              <w:left w:val="nil"/>
              <w:bottom w:val="nil"/>
              <w:right w:val="nil"/>
            </w:tcBorders>
          </w:tcPr>
          <w:p w14:paraId="0E24D45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2222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5469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2554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DEAF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7CD6751" w14:textId="77777777" w:rsidTr="00015B88">
        <w:tc>
          <w:tcPr>
            <w:tcW w:w="2136" w:type="dxa"/>
            <w:tcBorders>
              <w:top w:val="nil"/>
              <w:left w:val="nil"/>
              <w:bottom w:val="nil"/>
              <w:right w:val="nil"/>
            </w:tcBorders>
          </w:tcPr>
          <w:p w14:paraId="4EE9CCE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L9.Polity Democracy Score (v2)</w:t>
            </w:r>
          </w:p>
        </w:tc>
        <w:tc>
          <w:tcPr>
            <w:tcW w:w="1656" w:type="dxa"/>
            <w:tcBorders>
              <w:top w:val="nil"/>
              <w:left w:val="nil"/>
              <w:bottom w:val="nil"/>
              <w:right w:val="nil"/>
            </w:tcBorders>
          </w:tcPr>
          <w:p w14:paraId="7A65EB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30FCD3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0.0133</w:t>
            </w:r>
          </w:p>
        </w:tc>
        <w:tc>
          <w:tcPr>
            <w:tcW w:w="1656" w:type="dxa"/>
            <w:tcBorders>
              <w:top w:val="nil"/>
              <w:left w:val="nil"/>
              <w:bottom w:val="nil"/>
              <w:right w:val="nil"/>
            </w:tcBorders>
          </w:tcPr>
          <w:p w14:paraId="0041018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0.0306</w:t>
            </w:r>
          </w:p>
        </w:tc>
        <w:tc>
          <w:tcPr>
            <w:tcW w:w="1656" w:type="dxa"/>
            <w:tcBorders>
              <w:top w:val="nil"/>
              <w:left w:val="nil"/>
              <w:bottom w:val="nil"/>
              <w:right w:val="nil"/>
            </w:tcBorders>
          </w:tcPr>
          <w:p w14:paraId="58E3D77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0.0201</w:t>
            </w:r>
          </w:p>
        </w:tc>
      </w:tr>
      <w:tr w:rsidR="008D10A7" w:rsidRPr="005B536A" w14:paraId="22DE1A40" w14:textId="77777777" w:rsidTr="00015B88">
        <w:tc>
          <w:tcPr>
            <w:tcW w:w="2136" w:type="dxa"/>
            <w:tcBorders>
              <w:top w:val="nil"/>
              <w:left w:val="nil"/>
              <w:bottom w:val="nil"/>
              <w:right w:val="nil"/>
            </w:tcBorders>
          </w:tcPr>
          <w:p w14:paraId="5E015F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A83A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(-1.97)</w:t>
            </w:r>
          </w:p>
        </w:tc>
        <w:tc>
          <w:tcPr>
            <w:tcW w:w="1656" w:type="dxa"/>
            <w:tcBorders>
              <w:top w:val="nil"/>
              <w:left w:val="nil"/>
              <w:bottom w:val="nil"/>
              <w:right w:val="nil"/>
            </w:tcBorders>
          </w:tcPr>
          <w:p w14:paraId="51D0BDB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500ADC2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4BAC0F9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(0.65)</w:t>
            </w:r>
          </w:p>
        </w:tc>
      </w:tr>
      <w:tr w:rsidR="008D10A7" w:rsidRPr="005B536A" w14:paraId="46E7231F" w14:textId="77777777" w:rsidTr="00015B88">
        <w:tc>
          <w:tcPr>
            <w:tcW w:w="2136" w:type="dxa"/>
            <w:tcBorders>
              <w:top w:val="nil"/>
              <w:left w:val="nil"/>
              <w:bottom w:val="nil"/>
              <w:right w:val="nil"/>
            </w:tcBorders>
          </w:tcPr>
          <w:p w14:paraId="3DA1C44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F4502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4D3D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0DFB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0347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4B0BCD3" w14:textId="77777777" w:rsidTr="00015B88">
        <w:tc>
          <w:tcPr>
            <w:tcW w:w="2136" w:type="dxa"/>
            <w:tcBorders>
              <w:top w:val="nil"/>
              <w:left w:val="nil"/>
              <w:bottom w:val="nil"/>
              <w:right w:val="nil"/>
            </w:tcBorders>
          </w:tcPr>
          <w:p w14:paraId="2C3B425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L10.Polity Democracy Score (v2)</w:t>
            </w:r>
          </w:p>
        </w:tc>
        <w:tc>
          <w:tcPr>
            <w:tcW w:w="1656" w:type="dxa"/>
            <w:tcBorders>
              <w:top w:val="nil"/>
              <w:left w:val="nil"/>
              <w:bottom w:val="nil"/>
              <w:right w:val="nil"/>
            </w:tcBorders>
          </w:tcPr>
          <w:p w14:paraId="786BE0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0.0833</w:t>
            </w:r>
          </w:p>
        </w:tc>
        <w:tc>
          <w:tcPr>
            <w:tcW w:w="1656" w:type="dxa"/>
            <w:tcBorders>
              <w:top w:val="nil"/>
              <w:left w:val="nil"/>
              <w:bottom w:val="nil"/>
              <w:right w:val="nil"/>
            </w:tcBorders>
          </w:tcPr>
          <w:p w14:paraId="5D7EA57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0.0155</w:t>
            </w:r>
          </w:p>
        </w:tc>
        <w:tc>
          <w:tcPr>
            <w:tcW w:w="1656" w:type="dxa"/>
            <w:tcBorders>
              <w:top w:val="nil"/>
              <w:left w:val="nil"/>
              <w:bottom w:val="nil"/>
              <w:right w:val="nil"/>
            </w:tcBorders>
          </w:tcPr>
          <w:p w14:paraId="5E9EAB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-0.0393</w:t>
            </w:r>
          </w:p>
        </w:tc>
        <w:tc>
          <w:tcPr>
            <w:tcW w:w="1656" w:type="dxa"/>
            <w:tcBorders>
              <w:top w:val="nil"/>
              <w:left w:val="nil"/>
              <w:bottom w:val="nil"/>
              <w:right w:val="nil"/>
            </w:tcBorders>
          </w:tcPr>
          <w:p w14:paraId="0819111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0.0560</w:t>
            </w:r>
          </w:p>
        </w:tc>
      </w:tr>
      <w:tr w:rsidR="008D10A7" w:rsidRPr="005B536A" w14:paraId="30D379D3" w14:textId="77777777" w:rsidTr="00015B88">
        <w:tc>
          <w:tcPr>
            <w:tcW w:w="2136" w:type="dxa"/>
            <w:tcBorders>
              <w:top w:val="nil"/>
              <w:left w:val="nil"/>
              <w:bottom w:val="nil"/>
              <w:right w:val="nil"/>
            </w:tcBorders>
          </w:tcPr>
          <w:p w14:paraId="4B48C9F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8BE0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(1.28)</w:t>
            </w:r>
          </w:p>
        </w:tc>
        <w:tc>
          <w:tcPr>
            <w:tcW w:w="1656" w:type="dxa"/>
            <w:tcBorders>
              <w:top w:val="nil"/>
              <w:left w:val="nil"/>
              <w:bottom w:val="nil"/>
              <w:right w:val="nil"/>
            </w:tcBorders>
          </w:tcPr>
          <w:p w14:paraId="2D1E0BD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(0.23)</w:t>
            </w:r>
          </w:p>
        </w:tc>
        <w:tc>
          <w:tcPr>
            <w:tcW w:w="1656" w:type="dxa"/>
            <w:tcBorders>
              <w:top w:val="nil"/>
              <w:left w:val="nil"/>
              <w:bottom w:val="nil"/>
              <w:right w:val="nil"/>
            </w:tcBorders>
          </w:tcPr>
          <w:p w14:paraId="74B860D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(-0.61)</w:t>
            </w:r>
          </w:p>
        </w:tc>
        <w:tc>
          <w:tcPr>
            <w:tcW w:w="1656" w:type="dxa"/>
            <w:tcBorders>
              <w:top w:val="nil"/>
              <w:left w:val="nil"/>
              <w:bottom w:val="nil"/>
              <w:right w:val="nil"/>
            </w:tcBorders>
          </w:tcPr>
          <w:p w14:paraId="6068D58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(0.97)</w:t>
            </w:r>
          </w:p>
        </w:tc>
      </w:tr>
      <w:tr w:rsidR="008D10A7" w:rsidRPr="005B536A" w14:paraId="0A1723BA" w14:textId="77777777" w:rsidTr="00015B88">
        <w:tc>
          <w:tcPr>
            <w:tcW w:w="2136" w:type="dxa"/>
            <w:tcBorders>
              <w:top w:val="nil"/>
              <w:left w:val="nil"/>
              <w:bottom w:val="nil"/>
              <w:right w:val="nil"/>
            </w:tcBorders>
          </w:tcPr>
          <w:p w14:paraId="3BF563D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037D2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42EE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864E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3DDF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431E6A3" w14:textId="77777777" w:rsidTr="00015B88">
        <w:tc>
          <w:tcPr>
            <w:tcW w:w="2136" w:type="dxa"/>
            <w:tcBorders>
              <w:top w:val="nil"/>
              <w:left w:val="nil"/>
              <w:bottom w:val="nil"/>
              <w:right w:val="nil"/>
            </w:tcBorders>
          </w:tcPr>
          <w:p w14:paraId="34C245A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B536A">
              <w:rPr>
                <w:rFonts w:ascii="Times New Roman" w:hAnsi="Times New Roman" w:cs="Times New Roman"/>
                <w:sz w:val="16"/>
                <w:szCs w:val="16"/>
              </w:rPr>
              <w:t>L.De</w:t>
            </w:r>
            <w:proofErr w:type="spellEnd"/>
            <w:r w:rsidRPr="005B536A">
              <w:rPr>
                <w:rFonts w:ascii="Times New Roman" w:hAnsi="Times New Roman" w:cs="Times New Roman"/>
                <w:sz w:val="16"/>
                <w:szCs w:val="16"/>
              </w:rPr>
              <w:t xml:space="preserve"> Facto CBI * Polity Democracy</w:t>
            </w:r>
          </w:p>
        </w:tc>
        <w:tc>
          <w:tcPr>
            <w:tcW w:w="1656" w:type="dxa"/>
            <w:tcBorders>
              <w:top w:val="nil"/>
              <w:left w:val="nil"/>
              <w:bottom w:val="nil"/>
              <w:right w:val="nil"/>
            </w:tcBorders>
          </w:tcPr>
          <w:p w14:paraId="1BF5E7A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-0.0763</w:t>
            </w:r>
          </w:p>
        </w:tc>
        <w:tc>
          <w:tcPr>
            <w:tcW w:w="1656" w:type="dxa"/>
            <w:tcBorders>
              <w:top w:val="nil"/>
              <w:left w:val="nil"/>
              <w:bottom w:val="nil"/>
              <w:right w:val="nil"/>
            </w:tcBorders>
          </w:tcPr>
          <w:p w14:paraId="43C524B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-0.00613</w:t>
            </w:r>
          </w:p>
        </w:tc>
        <w:tc>
          <w:tcPr>
            <w:tcW w:w="1656" w:type="dxa"/>
            <w:tcBorders>
              <w:top w:val="nil"/>
              <w:left w:val="nil"/>
              <w:bottom w:val="nil"/>
              <w:right w:val="nil"/>
            </w:tcBorders>
          </w:tcPr>
          <w:p w14:paraId="7D1F91D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0.0375</w:t>
            </w:r>
          </w:p>
        </w:tc>
        <w:tc>
          <w:tcPr>
            <w:tcW w:w="1656" w:type="dxa"/>
            <w:tcBorders>
              <w:top w:val="nil"/>
              <w:left w:val="nil"/>
              <w:bottom w:val="nil"/>
              <w:right w:val="nil"/>
            </w:tcBorders>
          </w:tcPr>
          <w:p w14:paraId="3F2BF3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0.0545</w:t>
            </w:r>
            <w:r w:rsidRPr="005B536A">
              <w:rPr>
                <w:rFonts w:ascii="Times New Roman" w:hAnsi="Times New Roman" w:cs="Times New Roman"/>
                <w:sz w:val="16"/>
                <w:szCs w:val="16"/>
                <w:vertAlign w:val="superscript"/>
              </w:rPr>
              <w:t>*</w:t>
            </w:r>
          </w:p>
        </w:tc>
      </w:tr>
      <w:tr w:rsidR="008D10A7" w:rsidRPr="005B536A" w14:paraId="43B52D84" w14:textId="77777777" w:rsidTr="00015B88">
        <w:tc>
          <w:tcPr>
            <w:tcW w:w="2136" w:type="dxa"/>
            <w:tcBorders>
              <w:top w:val="nil"/>
              <w:left w:val="nil"/>
              <w:bottom w:val="nil"/>
              <w:right w:val="nil"/>
            </w:tcBorders>
          </w:tcPr>
          <w:p w14:paraId="5969BA4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1D19E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(-1.60)</w:t>
            </w:r>
          </w:p>
        </w:tc>
        <w:tc>
          <w:tcPr>
            <w:tcW w:w="1656" w:type="dxa"/>
            <w:tcBorders>
              <w:top w:val="nil"/>
              <w:left w:val="nil"/>
              <w:bottom w:val="nil"/>
              <w:right w:val="nil"/>
            </w:tcBorders>
          </w:tcPr>
          <w:p w14:paraId="1F787FE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6CCF7C7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(0.87)</w:t>
            </w:r>
          </w:p>
        </w:tc>
        <w:tc>
          <w:tcPr>
            <w:tcW w:w="1656" w:type="dxa"/>
            <w:tcBorders>
              <w:top w:val="nil"/>
              <w:left w:val="nil"/>
              <w:bottom w:val="nil"/>
              <w:right w:val="nil"/>
            </w:tcBorders>
          </w:tcPr>
          <w:p w14:paraId="6EE78A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(2.38)</w:t>
            </w:r>
          </w:p>
        </w:tc>
      </w:tr>
      <w:tr w:rsidR="008D10A7" w:rsidRPr="005B536A" w14:paraId="1E95E554" w14:textId="77777777" w:rsidTr="00015B88">
        <w:tc>
          <w:tcPr>
            <w:tcW w:w="2136" w:type="dxa"/>
            <w:tcBorders>
              <w:top w:val="nil"/>
              <w:left w:val="nil"/>
              <w:bottom w:val="nil"/>
              <w:right w:val="nil"/>
            </w:tcBorders>
          </w:tcPr>
          <w:p w14:paraId="189FFF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1187A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8E26B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6F85B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6A35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D03A8F3" w14:textId="77777777" w:rsidTr="00015B88">
        <w:tc>
          <w:tcPr>
            <w:tcW w:w="2136" w:type="dxa"/>
            <w:tcBorders>
              <w:top w:val="nil"/>
              <w:left w:val="nil"/>
              <w:bottom w:val="nil"/>
              <w:right w:val="nil"/>
            </w:tcBorders>
          </w:tcPr>
          <w:p w14:paraId="778B7F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L2.De Facto CBI * Polity Democracy</w:t>
            </w:r>
          </w:p>
        </w:tc>
        <w:tc>
          <w:tcPr>
            <w:tcW w:w="1656" w:type="dxa"/>
            <w:tcBorders>
              <w:top w:val="nil"/>
              <w:left w:val="nil"/>
              <w:bottom w:val="nil"/>
              <w:right w:val="nil"/>
            </w:tcBorders>
          </w:tcPr>
          <w:p w14:paraId="3DA6AC3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0.00992</w:t>
            </w:r>
          </w:p>
        </w:tc>
        <w:tc>
          <w:tcPr>
            <w:tcW w:w="1656" w:type="dxa"/>
            <w:tcBorders>
              <w:top w:val="nil"/>
              <w:left w:val="nil"/>
              <w:bottom w:val="nil"/>
              <w:right w:val="nil"/>
            </w:tcBorders>
          </w:tcPr>
          <w:p w14:paraId="3E2875E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-0.0901</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13F9E7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0.00129</w:t>
            </w:r>
          </w:p>
        </w:tc>
        <w:tc>
          <w:tcPr>
            <w:tcW w:w="1656" w:type="dxa"/>
            <w:tcBorders>
              <w:top w:val="nil"/>
              <w:left w:val="nil"/>
              <w:bottom w:val="nil"/>
              <w:right w:val="nil"/>
            </w:tcBorders>
          </w:tcPr>
          <w:p w14:paraId="70AF37F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0.0229</w:t>
            </w:r>
          </w:p>
        </w:tc>
      </w:tr>
      <w:tr w:rsidR="008D10A7" w:rsidRPr="005B536A" w14:paraId="2D563C20" w14:textId="77777777" w:rsidTr="00015B88">
        <w:tc>
          <w:tcPr>
            <w:tcW w:w="2136" w:type="dxa"/>
            <w:tcBorders>
              <w:top w:val="nil"/>
              <w:left w:val="nil"/>
              <w:bottom w:val="nil"/>
              <w:right w:val="nil"/>
            </w:tcBorders>
          </w:tcPr>
          <w:p w14:paraId="6075230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EB37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(0.26)</w:t>
            </w:r>
          </w:p>
        </w:tc>
        <w:tc>
          <w:tcPr>
            <w:tcW w:w="1656" w:type="dxa"/>
            <w:tcBorders>
              <w:top w:val="nil"/>
              <w:left w:val="nil"/>
              <w:bottom w:val="nil"/>
              <w:right w:val="nil"/>
            </w:tcBorders>
          </w:tcPr>
          <w:p w14:paraId="7CC6CA5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(-2.00)</w:t>
            </w:r>
          </w:p>
        </w:tc>
        <w:tc>
          <w:tcPr>
            <w:tcW w:w="1656" w:type="dxa"/>
            <w:tcBorders>
              <w:top w:val="nil"/>
              <w:left w:val="nil"/>
              <w:bottom w:val="nil"/>
              <w:right w:val="nil"/>
            </w:tcBorders>
          </w:tcPr>
          <w:p w14:paraId="714D791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w:t>
            </w:r>
          </w:p>
        </w:tc>
        <w:tc>
          <w:tcPr>
            <w:tcW w:w="1656" w:type="dxa"/>
            <w:tcBorders>
              <w:top w:val="nil"/>
              <w:left w:val="nil"/>
              <w:bottom w:val="nil"/>
              <w:right w:val="nil"/>
            </w:tcBorders>
          </w:tcPr>
          <w:p w14:paraId="442A7EF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(0.91)</w:t>
            </w:r>
          </w:p>
        </w:tc>
      </w:tr>
      <w:tr w:rsidR="008D10A7" w:rsidRPr="005B536A" w14:paraId="61F8DBFA" w14:textId="77777777" w:rsidTr="00015B88">
        <w:tc>
          <w:tcPr>
            <w:tcW w:w="2136" w:type="dxa"/>
            <w:tcBorders>
              <w:top w:val="nil"/>
              <w:left w:val="nil"/>
              <w:bottom w:val="nil"/>
              <w:right w:val="nil"/>
            </w:tcBorders>
          </w:tcPr>
          <w:p w14:paraId="604D626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4ED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75A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F722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BB8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980C1EE" w14:textId="77777777" w:rsidTr="00015B88">
        <w:tc>
          <w:tcPr>
            <w:tcW w:w="2136" w:type="dxa"/>
            <w:tcBorders>
              <w:top w:val="nil"/>
              <w:left w:val="nil"/>
              <w:bottom w:val="nil"/>
              <w:right w:val="nil"/>
            </w:tcBorders>
          </w:tcPr>
          <w:p w14:paraId="231BED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L3.De Facto CBI * Polity Democracy</w:t>
            </w:r>
          </w:p>
        </w:tc>
        <w:tc>
          <w:tcPr>
            <w:tcW w:w="1656" w:type="dxa"/>
            <w:tcBorders>
              <w:top w:val="nil"/>
              <w:left w:val="nil"/>
              <w:bottom w:val="nil"/>
              <w:right w:val="nil"/>
            </w:tcBorders>
          </w:tcPr>
          <w:p w14:paraId="017F6F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-0.00497</w:t>
            </w:r>
          </w:p>
        </w:tc>
        <w:tc>
          <w:tcPr>
            <w:tcW w:w="1656" w:type="dxa"/>
            <w:tcBorders>
              <w:top w:val="nil"/>
              <w:left w:val="nil"/>
              <w:bottom w:val="nil"/>
              <w:right w:val="nil"/>
            </w:tcBorders>
          </w:tcPr>
          <w:p w14:paraId="10EA1AE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0.0338</w:t>
            </w:r>
          </w:p>
        </w:tc>
        <w:tc>
          <w:tcPr>
            <w:tcW w:w="1656" w:type="dxa"/>
            <w:tcBorders>
              <w:top w:val="nil"/>
              <w:left w:val="nil"/>
              <w:bottom w:val="nil"/>
              <w:right w:val="nil"/>
            </w:tcBorders>
          </w:tcPr>
          <w:p w14:paraId="0016D8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-0.0715</w:t>
            </w:r>
          </w:p>
        </w:tc>
        <w:tc>
          <w:tcPr>
            <w:tcW w:w="1656" w:type="dxa"/>
            <w:tcBorders>
              <w:top w:val="nil"/>
              <w:left w:val="nil"/>
              <w:bottom w:val="nil"/>
              <w:right w:val="nil"/>
            </w:tcBorders>
          </w:tcPr>
          <w:p w14:paraId="0771F2E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0.0328</w:t>
            </w:r>
          </w:p>
        </w:tc>
      </w:tr>
      <w:tr w:rsidR="008D10A7" w:rsidRPr="005B536A" w14:paraId="1D92F1FB" w14:textId="77777777" w:rsidTr="00015B88">
        <w:tc>
          <w:tcPr>
            <w:tcW w:w="2136" w:type="dxa"/>
            <w:tcBorders>
              <w:top w:val="nil"/>
              <w:left w:val="nil"/>
              <w:bottom w:val="nil"/>
              <w:right w:val="nil"/>
            </w:tcBorders>
          </w:tcPr>
          <w:p w14:paraId="1B9C98D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9F4F4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w:t>
            </w:r>
          </w:p>
        </w:tc>
        <w:tc>
          <w:tcPr>
            <w:tcW w:w="1656" w:type="dxa"/>
            <w:tcBorders>
              <w:top w:val="nil"/>
              <w:left w:val="nil"/>
              <w:bottom w:val="nil"/>
              <w:right w:val="nil"/>
            </w:tcBorders>
          </w:tcPr>
          <w:p w14:paraId="37B26B2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(0.70)</w:t>
            </w:r>
          </w:p>
        </w:tc>
        <w:tc>
          <w:tcPr>
            <w:tcW w:w="1656" w:type="dxa"/>
            <w:tcBorders>
              <w:top w:val="nil"/>
              <w:left w:val="nil"/>
              <w:bottom w:val="nil"/>
              <w:right w:val="nil"/>
            </w:tcBorders>
          </w:tcPr>
          <w:p w14:paraId="52C6A99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(-1.69)</w:t>
            </w:r>
          </w:p>
        </w:tc>
        <w:tc>
          <w:tcPr>
            <w:tcW w:w="1656" w:type="dxa"/>
            <w:tcBorders>
              <w:top w:val="nil"/>
              <w:left w:val="nil"/>
              <w:bottom w:val="nil"/>
              <w:right w:val="nil"/>
            </w:tcBorders>
          </w:tcPr>
          <w:p w14:paraId="2A65C71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(1.17)</w:t>
            </w:r>
          </w:p>
        </w:tc>
      </w:tr>
      <w:tr w:rsidR="008D10A7" w:rsidRPr="005B536A" w14:paraId="2B9AC171" w14:textId="77777777" w:rsidTr="00015B88">
        <w:tc>
          <w:tcPr>
            <w:tcW w:w="2136" w:type="dxa"/>
            <w:tcBorders>
              <w:top w:val="nil"/>
              <w:left w:val="nil"/>
              <w:bottom w:val="nil"/>
              <w:right w:val="nil"/>
            </w:tcBorders>
          </w:tcPr>
          <w:p w14:paraId="2959E8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61C3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15707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8D3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83D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CC65656" w14:textId="77777777" w:rsidTr="00015B88">
        <w:tc>
          <w:tcPr>
            <w:tcW w:w="2136" w:type="dxa"/>
            <w:tcBorders>
              <w:top w:val="nil"/>
              <w:left w:val="nil"/>
              <w:bottom w:val="nil"/>
              <w:right w:val="nil"/>
            </w:tcBorders>
          </w:tcPr>
          <w:p w14:paraId="6AFBE3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L4.De Facto CBI * Polity Democracy</w:t>
            </w:r>
          </w:p>
        </w:tc>
        <w:tc>
          <w:tcPr>
            <w:tcW w:w="1656" w:type="dxa"/>
            <w:tcBorders>
              <w:top w:val="nil"/>
              <w:left w:val="nil"/>
              <w:bottom w:val="nil"/>
              <w:right w:val="nil"/>
            </w:tcBorders>
          </w:tcPr>
          <w:p w14:paraId="5C4D71E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-0.0639</w:t>
            </w:r>
          </w:p>
        </w:tc>
        <w:tc>
          <w:tcPr>
            <w:tcW w:w="1656" w:type="dxa"/>
            <w:tcBorders>
              <w:top w:val="nil"/>
              <w:left w:val="nil"/>
              <w:bottom w:val="nil"/>
              <w:right w:val="nil"/>
            </w:tcBorders>
          </w:tcPr>
          <w:p w14:paraId="2217509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37C32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-0.0652</w:t>
            </w:r>
          </w:p>
        </w:tc>
        <w:tc>
          <w:tcPr>
            <w:tcW w:w="1656" w:type="dxa"/>
            <w:tcBorders>
              <w:top w:val="nil"/>
              <w:left w:val="nil"/>
              <w:bottom w:val="nil"/>
              <w:right w:val="nil"/>
            </w:tcBorders>
          </w:tcPr>
          <w:p w14:paraId="7E9D1F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0.0281</w:t>
            </w:r>
          </w:p>
        </w:tc>
      </w:tr>
      <w:tr w:rsidR="008D10A7" w:rsidRPr="005B536A" w14:paraId="0ECE26D2" w14:textId="77777777" w:rsidTr="00015B88">
        <w:tc>
          <w:tcPr>
            <w:tcW w:w="2136" w:type="dxa"/>
            <w:tcBorders>
              <w:top w:val="nil"/>
              <w:left w:val="nil"/>
              <w:bottom w:val="nil"/>
              <w:right w:val="nil"/>
            </w:tcBorders>
          </w:tcPr>
          <w:p w14:paraId="0FEB163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FB78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(-1.89)</w:t>
            </w:r>
          </w:p>
        </w:tc>
        <w:tc>
          <w:tcPr>
            <w:tcW w:w="1656" w:type="dxa"/>
            <w:tcBorders>
              <w:top w:val="nil"/>
              <w:left w:val="nil"/>
              <w:bottom w:val="nil"/>
              <w:right w:val="nil"/>
            </w:tcBorders>
          </w:tcPr>
          <w:p w14:paraId="7DF1CDA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(-2.68)</w:t>
            </w:r>
          </w:p>
        </w:tc>
        <w:tc>
          <w:tcPr>
            <w:tcW w:w="1656" w:type="dxa"/>
            <w:tcBorders>
              <w:top w:val="nil"/>
              <w:left w:val="nil"/>
              <w:bottom w:val="nil"/>
              <w:right w:val="nil"/>
            </w:tcBorders>
          </w:tcPr>
          <w:p w14:paraId="406B5E4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(-1.60)</w:t>
            </w:r>
          </w:p>
        </w:tc>
        <w:tc>
          <w:tcPr>
            <w:tcW w:w="1656" w:type="dxa"/>
            <w:tcBorders>
              <w:top w:val="nil"/>
              <w:left w:val="nil"/>
              <w:bottom w:val="nil"/>
              <w:right w:val="nil"/>
            </w:tcBorders>
          </w:tcPr>
          <w:p w14:paraId="720D99B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(1.12)</w:t>
            </w:r>
          </w:p>
        </w:tc>
      </w:tr>
      <w:tr w:rsidR="008D10A7" w:rsidRPr="005B536A" w14:paraId="545B64FA" w14:textId="77777777" w:rsidTr="00015B88">
        <w:tc>
          <w:tcPr>
            <w:tcW w:w="2136" w:type="dxa"/>
            <w:tcBorders>
              <w:top w:val="nil"/>
              <w:left w:val="nil"/>
              <w:bottom w:val="nil"/>
              <w:right w:val="nil"/>
            </w:tcBorders>
          </w:tcPr>
          <w:p w14:paraId="15B4022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C3976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93AF8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1532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F4D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1A2CC37" w14:textId="77777777" w:rsidTr="00015B88">
        <w:tc>
          <w:tcPr>
            <w:tcW w:w="2136" w:type="dxa"/>
            <w:tcBorders>
              <w:top w:val="nil"/>
              <w:left w:val="nil"/>
              <w:bottom w:val="nil"/>
              <w:right w:val="nil"/>
            </w:tcBorders>
          </w:tcPr>
          <w:p w14:paraId="513DBD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L5.De Facto CBI * Polity Democracy</w:t>
            </w:r>
          </w:p>
        </w:tc>
        <w:tc>
          <w:tcPr>
            <w:tcW w:w="1656" w:type="dxa"/>
            <w:tcBorders>
              <w:top w:val="nil"/>
              <w:left w:val="nil"/>
              <w:bottom w:val="nil"/>
              <w:right w:val="nil"/>
            </w:tcBorders>
          </w:tcPr>
          <w:p w14:paraId="48A2CDD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-0.0209</w:t>
            </w:r>
          </w:p>
        </w:tc>
        <w:tc>
          <w:tcPr>
            <w:tcW w:w="1656" w:type="dxa"/>
            <w:tcBorders>
              <w:top w:val="nil"/>
              <w:left w:val="nil"/>
              <w:bottom w:val="nil"/>
              <w:right w:val="nil"/>
            </w:tcBorders>
          </w:tcPr>
          <w:p w14:paraId="28C0C20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0.0141</w:t>
            </w:r>
          </w:p>
        </w:tc>
        <w:tc>
          <w:tcPr>
            <w:tcW w:w="1656" w:type="dxa"/>
            <w:tcBorders>
              <w:top w:val="nil"/>
              <w:left w:val="nil"/>
              <w:bottom w:val="nil"/>
              <w:right w:val="nil"/>
            </w:tcBorders>
          </w:tcPr>
          <w:p w14:paraId="05E11E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-0.0665</w:t>
            </w:r>
          </w:p>
        </w:tc>
        <w:tc>
          <w:tcPr>
            <w:tcW w:w="1656" w:type="dxa"/>
            <w:tcBorders>
              <w:top w:val="nil"/>
              <w:left w:val="nil"/>
              <w:bottom w:val="nil"/>
              <w:right w:val="nil"/>
            </w:tcBorders>
          </w:tcPr>
          <w:p w14:paraId="2860B8E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0.0116</w:t>
            </w:r>
          </w:p>
        </w:tc>
      </w:tr>
      <w:tr w:rsidR="008D10A7" w:rsidRPr="005B536A" w14:paraId="797FD339" w14:textId="77777777" w:rsidTr="00015B88">
        <w:tc>
          <w:tcPr>
            <w:tcW w:w="2136" w:type="dxa"/>
            <w:tcBorders>
              <w:top w:val="nil"/>
              <w:left w:val="nil"/>
              <w:bottom w:val="nil"/>
              <w:right w:val="nil"/>
            </w:tcBorders>
          </w:tcPr>
          <w:p w14:paraId="7D81205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C272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(-0.52)</w:t>
            </w:r>
          </w:p>
        </w:tc>
        <w:tc>
          <w:tcPr>
            <w:tcW w:w="1656" w:type="dxa"/>
            <w:tcBorders>
              <w:top w:val="nil"/>
              <w:left w:val="nil"/>
              <w:bottom w:val="nil"/>
              <w:right w:val="nil"/>
            </w:tcBorders>
          </w:tcPr>
          <w:p w14:paraId="07B2BB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w:t>
            </w:r>
          </w:p>
        </w:tc>
        <w:tc>
          <w:tcPr>
            <w:tcW w:w="1656" w:type="dxa"/>
            <w:tcBorders>
              <w:top w:val="nil"/>
              <w:left w:val="nil"/>
              <w:bottom w:val="nil"/>
              <w:right w:val="nil"/>
            </w:tcBorders>
          </w:tcPr>
          <w:p w14:paraId="6EC999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(-1.50)</w:t>
            </w:r>
          </w:p>
        </w:tc>
        <w:tc>
          <w:tcPr>
            <w:tcW w:w="1656" w:type="dxa"/>
            <w:tcBorders>
              <w:top w:val="nil"/>
              <w:left w:val="nil"/>
              <w:bottom w:val="nil"/>
              <w:right w:val="nil"/>
            </w:tcBorders>
          </w:tcPr>
          <w:p w14:paraId="471B32F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(0.40)</w:t>
            </w:r>
          </w:p>
        </w:tc>
      </w:tr>
      <w:tr w:rsidR="008D10A7" w:rsidRPr="005B536A" w14:paraId="4C8B8951" w14:textId="77777777" w:rsidTr="00015B88">
        <w:tc>
          <w:tcPr>
            <w:tcW w:w="2136" w:type="dxa"/>
            <w:tcBorders>
              <w:top w:val="nil"/>
              <w:left w:val="nil"/>
              <w:bottom w:val="nil"/>
              <w:right w:val="nil"/>
            </w:tcBorders>
          </w:tcPr>
          <w:p w14:paraId="37D71E3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AE8B5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3F89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3D7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7B8AE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98C7A96" w14:textId="77777777" w:rsidTr="00015B88">
        <w:tc>
          <w:tcPr>
            <w:tcW w:w="2136" w:type="dxa"/>
            <w:tcBorders>
              <w:top w:val="nil"/>
              <w:left w:val="nil"/>
              <w:bottom w:val="nil"/>
              <w:right w:val="nil"/>
            </w:tcBorders>
          </w:tcPr>
          <w:p w14:paraId="201FCF6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L6.De Facto CBI * Polity Democracy</w:t>
            </w:r>
          </w:p>
        </w:tc>
        <w:tc>
          <w:tcPr>
            <w:tcW w:w="1656" w:type="dxa"/>
            <w:tcBorders>
              <w:top w:val="nil"/>
              <w:left w:val="nil"/>
              <w:bottom w:val="nil"/>
              <w:right w:val="nil"/>
            </w:tcBorders>
          </w:tcPr>
          <w:p w14:paraId="7F6385B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-0.00621</w:t>
            </w:r>
          </w:p>
        </w:tc>
        <w:tc>
          <w:tcPr>
            <w:tcW w:w="1656" w:type="dxa"/>
            <w:tcBorders>
              <w:top w:val="nil"/>
              <w:left w:val="nil"/>
              <w:bottom w:val="nil"/>
              <w:right w:val="nil"/>
            </w:tcBorders>
          </w:tcPr>
          <w:p w14:paraId="280EAB2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0.00201</w:t>
            </w:r>
          </w:p>
        </w:tc>
        <w:tc>
          <w:tcPr>
            <w:tcW w:w="1656" w:type="dxa"/>
            <w:tcBorders>
              <w:top w:val="nil"/>
              <w:left w:val="nil"/>
              <w:bottom w:val="nil"/>
              <w:right w:val="nil"/>
            </w:tcBorders>
          </w:tcPr>
          <w:p w14:paraId="55C7FA6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0.0780</w:t>
            </w:r>
          </w:p>
        </w:tc>
        <w:tc>
          <w:tcPr>
            <w:tcW w:w="1656" w:type="dxa"/>
            <w:tcBorders>
              <w:top w:val="nil"/>
              <w:left w:val="nil"/>
              <w:bottom w:val="nil"/>
              <w:right w:val="nil"/>
            </w:tcBorders>
          </w:tcPr>
          <w:p w14:paraId="73DE7DC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0.00875</w:t>
            </w:r>
          </w:p>
        </w:tc>
      </w:tr>
      <w:tr w:rsidR="008D10A7" w:rsidRPr="005B536A" w14:paraId="727D4CAE" w14:textId="77777777" w:rsidTr="00015B88">
        <w:tc>
          <w:tcPr>
            <w:tcW w:w="2136" w:type="dxa"/>
            <w:tcBorders>
              <w:top w:val="nil"/>
              <w:left w:val="nil"/>
              <w:bottom w:val="nil"/>
              <w:right w:val="nil"/>
            </w:tcBorders>
          </w:tcPr>
          <w:p w14:paraId="5D479BF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382E6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w:t>
            </w:r>
          </w:p>
        </w:tc>
        <w:tc>
          <w:tcPr>
            <w:tcW w:w="1656" w:type="dxa"/>
            <w:tcBorders>
              <w:top w:val="nil"/>
              <w:left w:val="nil"/>
              <w:bottom w:val="nil"/>
              <w:right w:val="nil"/>
            </w:tcBorders>
          </w:tcPr>
          <w:p w14:paraId="4958D1B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w:t>
            </w:r>
          </w:p>
        </w:tc>
        <w:tc>
          <w:tcPr>
            <w:tcW w:w="1656" w:type="dxa"/>
            <w:tcBorders>
              <w:top w:val="nil"/>
              <w:left w:val="nil"/>
              <w:bottom w:val="nil"/>
              <w:right w:val="nil"/>
            </w:tcBorders>
          </w:tcPr>
          <w:p w14:paraId="6F71A7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(1.88)</w:t>
            </w:r>
          </w:p>
        </w:tc>
        <w:tc>
          <w:tcPr>
            <w:tcW w:w="1656" w:type="dxa"/>
            <w:tcBorders>
              <w:top w:val="nil"/>
              <w:left w:val="nil"/>
              <w:bottom w:val="nil"/>
              <w:right w:val="nil"/>
            </w:tcBorders>
          </w:tcPr>
          <w:p w14:paraId="762B34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(0.36)</w:t>
            </w:r>
          </w:p>
        </w:tc>
      </w:tr>
      <w:tr w:rsidR="008D10A7" w:rsidRPr="005B536A" w14:paraId="11914128" w14:textId="77777777" w:rsidTr="00015B88">
        <w:tc>
          <w:tcPr>
            <w:tcW w:w="2136" w:type="dxa"/>
            <w:tcBorders>
              <w:top w:val="nil"/>
              <w:left w:val="nil"/>
              <w:bottom w:val="nil"/>
              <w:right w:val="nil"/>
            </w:tcBorders>
          </w:tcPr>
          <w:p w14:paraId="4BF3A12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B1F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0D1B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B5C0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6A26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E469766" w14:textId="77777777" w:rsidTr="00015B88">
        <w:tc>
          <w:tcPr>
            <w:tcW w:w="2136" w:type="dxa"/>
            <w:tcBorders>
              <w:top w:val="nil"/>
              <w:left w:val="nil"/>
              <w:bottom w:val="nil"/>
              <w:right w:val="nil"/>
            </w:tcBorders>
          </w:tcPr>
          <w:p w14:paraId="0C7D590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 xml:space="preserve">L7.De Facto CBI * Polity </w:t>
            </w:r>
            <w:r w:rsidRPr="005B536A">
              <w:rPr>
                <w:rFonts w:ascii="Times New Roman" w:hAnsi="Times New Roman" w:cs="Times New Roman"/>
                <w:sz w:val="16"/>
                <w:szCs w:val="16"/>
              </w:rPr>
              <w:lastRenderedPageBreak/>
              <w:t>Democracy</w:t>
            </w:r>
          </w:p>
        </w:tc>
        <w:tc>
          <w:tcPr>
            <w:tcW w:w="1656" w:type="dxa"/>
            <w:tcBorders>
              <w:top w:val="nil"/>
              <w:left w:val="nil"/>
              <w:bottom w:val="nil"/>
              <w:right w:val="nil"/>
            </w:tcBorders>
          </w:tcPr>
          <w:p w14:paraId="3FCE001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lastRenderedPageBreak/>
              <w:t>0.0117</w:t>
            </w:r>
          </w:p>
        </w:tc>
        <w:tc>
          <w:tcPr>
            <w:tcW w:w="1656" w:type="dxa"/>
            <w:tcBorders>
              <w:top w:val="nil"/>
              <w:left w:val="nil"/>
              <w:bottom w:val="nil"/>
              <w:right w:val="nil"/>
            </w:tcBorders>
          </w:tcPr>
          <w:p w14:paraId="5CE57CC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0.0134</w:t>
            </w:r>
          </w:p>
        </w:tc>
        <w:tc>
          <w:tcPr>
            <w:tcW w:w="1656" w:type="dxa"/>
            <w:tcBorders>
              <w:top w:val="nil"/>
              <w:left w:val="nil"/>
              <w:bottom w:val="nil"/>
              <w:right w:val="nil"/>
            </w:tcBorders>
          </w:tcPr>
          <w:p w14:paraId="6AF151C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0.0233</w:t>
            </w:r>
          </w:p>
        </w:tc>
        <w:tc>
          <w:tcPr>
            <w:tcW w:w="1656" w:type="dxa"/>
            <w:tcBorders>
              <w:top w:val="nil"/>
              <w:left w:val="nil"/>
              <w:bottom w:val="nil"/>
              <w:right w:val="nil"/>
            </w:tcBorders>
          </w:tcPr>
          <w:p w14:paraId="46DC58C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-0.00703</w:t>
            </w:r>
          </w:p>
        </w:tc>
      </w:tr>
      <w:tr w:rsidR="008D10A7" w:rsidRPr="005B536A" w14:paraId="17F9F52E" w14:textId="77777777" w:rsidTr="00015B88">
        <w:tc>
          <w:tcPr>
            <w:tcW w:w="2136" w:type="dxa"/>
            <w:tcBorders>
              <w:top w:val="nil"/>
              <w:left w:val="nil"/>
              <w:bottom w:val="nil"/>
              <w:right w:val="nil"/>
            </w:tcBorders>
          </w:tcPr>
          <w:p w14:paraId="452AD40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4342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7D21BD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(0.30)</w:t>
            </w:r>
          </w:p>
        </w:tc>
        <w:tc>
          <w:tcPr>
            <w:tcW w:w="1656" w:type="dxa"/>
            <w:tcBorders>
              <w:top w:val="nil"/>
              <w:left w:val="nil"/>
              <w:bottom w:val="nil"/>
              <w:right w:val="nil"/>
            </w:tcBorders>
          </w:tcPr>
          <w:p w14:paraId="127AF7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(0.62)</w:t>
            </w:r>
          </w:p>
        </w:tc>
        <w:tc>
          <w:tcPr>
            <w:tcW w:w="1656" w:type="dxa"/>
            <w:tcBorders>
              <w:top w:val="nil"/>
              <w:left w:val="nil"/>
              <w:bottom w:val="nil"/>
              <w:right w:val="nil"/>
            </w:tcBorders>
          </w:tcPr>
          <w:p w14:paraId="127E727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(-0.27)</w:t>
            </w:r>
          </w:p>
        </w:tc>
      </w:tr>
      <w:tr w:rsidR="008D10A7" w:rsidRPr="005B536A" w14:paraId="50BD316C" w14:textId="77777777" w:rsidTr="00015B88">
        <w:tc>
          <w:tcPr>
            <w:tcW w:w="2136" w:type="dxa"/>
            <w:tcBorders>
              <w:top w:val="nil"/>
              <w:left w:val="nil"/>
              <w:bottom w:val="nil"/>
              <w:right w:val="nil"/>
            </w:tcBorders>
          </w:tcPr>
          <w:p w14:paraId="6B3FB72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62646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B1B7F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BCA6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0064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3C22F25" w14:textId="77777777" w:rsidTr="00015B88">
        <w:tc>
          <w:tcPr>
            <w:tcW w:w="2136" w:type="dxa"/>
            <w:tcBorders>
              <w:top w:val="nil"/>
              <w:left w:val="nil"/>
              <w:bottom w:val="nil"/>
              <w:right w:val="nil"/>
            </w:tcBorders>
          </w:tcPr>
          <w:p w14:paraId="051DEA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L8.De Facto CBI * Polity Democracy</w:t>
            </w:r>
          </w:p>
        </w:tc>
        <w:tc>
          <w:tcPr>
            <w:tcW w:w="1656" w:type="dxa"/>
            <w:tcBorders>
              <w:top w:val="nil"/>
              <w:left w:val="nil"/>
              <w:bottom w:val="nil"/>
              <w:right w:val="nil"/>
            </w:tcBorders>
          </w:tcPr>
          <w:p w14:paraId="67B845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0.00533</w:t>
            </w:r>
          </w:p>
        </w:tc>
        <w:tc>
          <w:tcPr>
            <w:tcW w:w="1656" w:type="dxa"/>
            <w:tcBorders>
              <w:top w:val="nil"/>
              <w:left w:val="nil"/>
              <w:bottom w:val="nil"/>
              <w:right w:val="nil"/>
            </w:tcBorders>
          </w:tcPr>
          <w:p w14:paraId="234B2B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0.00224</w:t>
            </w:r>
          </w:p>
        </w:tc>
        <w:tc>
          <w:tcPr>
            <w:tcW w:w="1656" w:type="dxa"/>
            <w:tcBorders>
              <w:top w:val="nil"/>
              <w:left w:val="nil"/>
              <w:bottom w:val="nil"/>
              <w:right w:val="nil"/>
            </w:tcBorders>
          </w:tcPr>
          <w:p w14:paraId="15BF79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0.0260</w:t>
            </w:r>
          </w:p>
        </w:tc>
        <w:tc>
          <w:tcPr>
            <w:tcW w:w="1656" w:type="dxa"/>
            <w:tcBorders>
              <w:top w:val="nil"/>
              <w:left w:val="nil"/>
              <w:bottom w:val="nil"/>
              <w:right w:val="nil"/>
            </w:tcBorders>
          </w:tcPr>
          <w:p w14:paraId="6D968D9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0.00546</w:t>
            </w:r>
          </w:p>
        </w:tc>
      </w:tr>
      <w:tr w:rsidR="008D10A7" w:rsidRPr="005B536A" w14:paraId="3DB9E935" w14:textId="77777777" w:rsidTr="00015B88">
        <w:tc>
          <w:tcPr>
            <w:tcW w:w="2136" w:type="dxa"/>
            <w:tcBorders>
              <w:top w:val="nil"/>
              <w:left w:val="nil"/>
              <w:bottom w:val="nil"/>
              <w:right w:val="nil"/>
            </w:tcBorders>
          </w:tcPr>
          <w:p w14:paraId="0B978A4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A014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w:t>
            </w:r>
          </w:p>
        </w:tc>
        <w:tc>
          <w:tcPr>
            <w:tcW w:w="1656" w:type="dxa"/>
            <w:tcBorders>
              <w:top w:val="nil"/>
              <w:left w:val="nil"/>
              <w:bottom w:val="nil"/>
              <w:right w:val="nil"/>
            </w:tcBorders>
          </w:tcPr>
          <w:p w14:paraId="4B4A6B2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w:t>
            </w:r>
          </w:p>
        </w:tc>
        <w:tc>
          <w:tcPr>
            <w:tcW w:w="1656" w:type="dxa"/>
            <w:tcBorders>
              <w:top w:val="nil"/>
              <w:left w:val="nil"/>
              <w:bottom w:val="nil"/>
              <w:right w:val="nil"/>
            </w:tcBorders>
          </w:tcPr>
          <w:p w14:paraId="00FE05A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(1.03)</w:t>
            </w:r>
          </w:p>
        </w:tc>
        <w:tc>
          <w:tcPr>
            <w:tcW w:w="1656" w:type="dxa"/>
            <w:tcBorders>
              <w:top w:val="nil"/>
              <w:left w:val="nil"/>
              <w:bottom w:val="nil"/>
              <w:right w:val="nil"/>
            </w:tcBorders>
          </w:tcPr>
          <w:p w14:paraId="2C2C620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(0.24)</w:t>
            </w:r>
          </w:p>
        </w:tc>
      </w:tr>
      <w:tr w:rsidR="008D10A7" w:rsidRPr="005B536A" w14:paraId="4131D3BA" w14:textId="77777777" w:rsidTr="00015B88">
        <w:tc>
          <w:tcPr>
            <w:tcW w:w="2136" w:type="dxa"/>
            <w:tcBorders>
              <w:top w:val="nil"/>
              <w:left w:val="nil"/>
              <w:bottom w:val="nil"/>
              <w:right w:val="nil"/>
            </w:tcBorders>
          </w:tcPr>
          <w:p w14:paraId="203477D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E69D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2387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BCE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AB51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43D3BA9" w14:textId="77777777" w:rsidTr="00015B88">
        <w:tc>
          <w:tcPr>
            <w:tcW w:w="2136" w:type="dxa"/>
            <w:tcBorders>
              <w:top w:val="nil"/>
              <w:left w:val="nil"/>
              <w:bottom w:val="nil"/>
              <w:right w:val="nil"/>
            </w:tcBorders>
          </w:tcPr>
          <w:p w14:paraId="2F944C0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L9.De Facto CBI * Polity Democracy</w:t>
            </w:r>
          </w:p>
        </w:tc>
        <w:tc>
          <w:tcPr>
            <w:tcW w:w="1656" w:type="dxa"/>
            <w:tcBorders>
              <w:top w:val="nil"/>
              <w:left w:val="nil"/>
              <w:bottom w:val="nil"/>
              <w:right w:val="nil"/>
            </w:tcBorders>
          </w:tcPr>
          <w:p w14:paraId="673590F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0.0687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0D0842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-0.00699</w:t>
            </w:r>
          </w:p>
        </w:tc>
        <w:tc>
          <w:tcPr>
            <w:tcW w:w="1656" w:type="dxa"/>
            <w:tcBorders>
              <w:top w:val="nil"/>
              <w:left w:val="nil"/>
              <w:bottom w:val="nil"/>
              <w:right w:val="nil"/>
            </w:tcBorders>
          </w:tcPr>
          <w:p w14:paraId="10DAEE8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0.0466</w:t>
            </w:r>
          </w:p>
        </w:tc>
        <w:tc>
          <w:tcPr>
            <w:tcW w:w="1656" w:type="dxa"/>
            <w:tcBorders>
              <w:top w:val="nil"/>
              <w:left w:val="nil"/>
              <w:bottom w:val="nil"/>
              <w:right w:val="nil"/>
            </w:tcBorders>
          </w:tcPr>
          <w:p w14:paraId="39FC6F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0.00684</w:t>
            </w:r>
          </w:p>
        </w:tc>
      </w:tr>
      <w:tr w:rsidR="008D10A7" w:rsidRPr="005B536A" w14:paraId="50A5973B" w14:textId="77777777" w:rsidTr="00015B88">
        <w:tc>
          <w:tcPr>
            <w:tcW w:w="2136" w:type="dxa"/>
            <w:tcBorders>
              <w:top w:val="nil"/>
              <w:left w:val="nil"/>
              <w:bottom w:val="nil"/>
              <w:right w:val="nil"/>
            </w:tcBorders>
          </w:tcPr>
          <w:p w14:paraId="5C2698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4C1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(2.03)</w:t>
            </w:r>
          </w:p>
        </w:tc>
        <w:tc>
          <w:tcPr>
            <w:tcW w:w="1656" w:type="dxa"/>
            <w:tcBorders>
              <w:top w:val="nil"/>
              <w:left w:val="nil"/>
              <w:bottom w:val="nil"/>
              <w:right w:val="nil"/>
            </w:tcBorders>
          </w:tcPr>
          <w:p w14:paraId="6480D57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(-0.16)</w:t>
            </w:r>
          </w:p>
        </w:tc>
        <w:tc>
          <w:tcPr>
            <w:tcW w:w="1656" w:type="dxa"/>
            <w:tcBorders>
              <w:top w:val="nil"/>
              <w:left w:val="nil"/>
              <w:bottom w:val="nil"/>
              <w:right w:val="nil"/>
            </w:tcBorders>
          </w:tcPr>
          <w:p w14:paraId="3D897EA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(1.46)</w:t>
            </w:r>
          </w:p>
        </w:tc>
        <w:tc>
          <w:tcPr>
            <w:tcW w:w="1656" w:type="dxa"/>
            <w:tcBorders>
              <w:top w:val="nil"/>
              <w:left w:val="nil"/>
              <w:bottom w:val="nil"/>
              <w:right w:val="nil"/>
            </w:tcBorders>
          </w:tcPr>
          <w:p w14:paraId="5ECBEF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w:t>
            </w:r>
          </w:p>
        </w:tc>
      </w:tr>
      <w:tr w:rsidR="008D10A7" w:rsidRPr="005B536A" w14:paraId="31EE5A91" w14:textId="77777777" w:rsidTr="00015B88">
        <w:tc>
          <w:tcPr>
            <w:tcW w:w="2136" w:type="dxa"/>
            <w:tcBorders>
              <w:top w:val="nil"/>
              <w:left w:val="nil"/>
              <w:bottom w:val="nil"/>
              <w:right w:val="nil"/>
            </w:tcBorders>
          </w:tcPr>
          <w:p w14:paraId="7BA7826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1BC2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CC46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80DF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EBC4E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77B969E" w14:textId="77777777" w:rsidTr="00015B88">
        <w:tc>
          <w:tcPr>
            <w:tcW w:w="2136" w:type="dxa"/>
            <w:tcBorders>
              <w:top w:val="nil"/>
              <w:left w:val="nil"/>
              <w:bottom w:val="nil"/>
              <w:right w:val="nil"/>
            </w:tcBorders>
          </w:tcPr>
          <w:p w14:paraId="201535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L10.De Facto CBI * Polity Democracy</w:t>
            </w:r>
          </w:p>
        </w:tc>
        <w:tc>
          <w:tcPr>
            <w:tcW w:w="1656" w:type="dxa"/>
            <w:tcBorders>
              <w:top w:val="nil"/>
              <w:left w:val="nil"/>
              <w:bottom w:val="nil"/>
              <w:right w:val="nil"/>
            </w:tcBorders>
          </w:tcPr>
          <w:p w14:paraId="68AFA51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-0.0336</w:t>
            </w:r>
          </w:p>
        </w:tc>
        <w:tc>
          <w:tcPr>
            <w:tcW w:w="1656" w:type="dxa"/>
            <w:tcBorders>
              <w:top w:val="nil"/>
              <w:left w:val="nil"/>
              <w:bottom w:val="nil"/>
              <w:right w:val="nil"/>
            </w:tcBorders>
          </w:tcPr>
          <w:p w14:paraId="355E0F7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0.0136</w:t>
            </w:r>
          </w:p>
        </w:tc>
        <w:tc>
          <w:tcPr>
            <w:tcW w:w="1656" w:type="dxa"/>
            <w:tcBorders>
              <w:top w:val="nil"/>
              <w:left w:val="nil"/>
              <w:bottom w:val="nil"/>
              <w:right w:val="nil"/>
            </w:tcBorders>
          </w:tcPr>
          <w:p w14:paraId="74834DF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0.0000594</w:t>
            </w:r>
          </w:p>
        </w:tc>
        <w:tc>
          <w:tcPr>
            <w:tcW w:w="1656" w:type="dxa"/>
            <w:tcBorders>
              <w:top w:val="nil"/>
              <w:left w:val="nil"/>
              <w:bottom w:val="nil"/>
              <w:right w:val="nil"/>
            </w:tcBorders>
          </w:tcPr>
          <w:p w14:paraId="6C522C5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-0.00335</w:t>
            </w:r>
          </w:p>
        </w:tc>
      </w:tr>
      <w:tr w:rsidR="008D10A7" w:rsidRPr="005B536A" w14:paraId="104F2728" w14:textId="77777777" w:rsidTr="00015B88">
        <w:tc>
          <w:tcPr>
            <w:tcW w:w="2136" w:type="dxa"/>
            <w:tcBorders>
              <w:top w:val="nil"/>
              <w:left w:val="nil"/>
              <w:bottom w:val="nil"/>
              <w:right w:val="nil"/>
            </w:tcBorders>
          </w:tcPr>
          <w:p w14:paraId="4B4DE7D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4F98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(-1.13)</w:t>
            </w:r>
          </w:p>
        </w:tc>
        <w:tc>
          <w:tcPr>
            <w:tcW w:w="1656" w:type="dxa"/>
            <w:tcBorders>
              <w:top w:val="nil"/>
              <w:left w:val="nil"/>
              <w:bottom w:val="nil"/>
              <w:right w:val="nil"/>
            </w:tcBorders>
          </w:tcPr>
          <w:p w14:paraId="4DA58D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63372E4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w:t>
            </w:r>
          </w:p>
        </w:tc>
        <w:tc>
          <w:tcPr>
            <w:tcW w:w="1656" w:type="dxa"/>
            <w:tcBorders>
              <w:top w:val="nil"/>
              <w:left w:val="nil"/>
              <w:bottom w:val="nil"/>
              <w:right w:val="nil"/>
            </w:tcBorders>
          </w:tcPr>
          <w:p w14:paraId="56F857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w:t>
            </w:r>
          </w:p>
        </w:tc>
      </w:tr>
      <w:tr w:rsidR="008D10A7" w:rsidRPr="005B536A" w14:paraId="0AF4C7CD" w14:textId="77777777" w:rsidTr="00015B88">
        <w:tc>
          <w:tcPr>
            <w:tcW w:w="2136" w:type="dxa"/>
            <w:tcBorders>
              <w:top w:val="nil"/>
              <w:left w:val="nil"/>
              <w:bottom w:val="nil"/>
              <w:right w:val="nil"/>
            </w:tcBorders>
          </w:tcPr>
          <w:p w14:paraId="479DDEA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73A48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7CA7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21011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40D7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BE9E807" w14:textId="77777777" w:rsidTr="00015B88">
        <w:tc>
          <w:tcPr>
            <w:tcW w:w="2136" w:type="dxa"/>
            <w:tcBorders>
              <w:top w:val="nil"/>
              <w:left w:val="nil"/>
              <w:bottom w:val="nil"/>
              <w:right w:val="nil"/>
            </w:tcBorders>
          </w:tcPr>
          <w:p w14:paraId="6BA1C0D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B536A">
              <w:rPr>
                <w:rFonts w:ascii="Times New Roman" w:hAnsi="Times New Roman" w:cs="Times New Roman"/>
                <w:sz w:val="16"/>
                <w:szCs w:val="16"/>
              </w:rPr>
              <w:t>L.More</w:t>
            </w:r>
            <w:proofErr w:type="spellEnd"/>
            <w:r w:rsidRPr="005B536A">
              <w:rPr>
                <w:rFonts w:ascii="Times New Roman" w:hAnsi="Times New Roman" w:cs="Times New Roman"/>
                <w:sz w:val="16"/>
                <w:szCs w:val="16"/>
              </w:rPr>
              <w:t xml:space="preserve"> Fixed Rate * Polity Democracy</w:t>
            </w:r>
          </w:p>
        </w:tc>
        <w:tc>
          <w:tcPr>
            <w:tcW w:w="1656" w:type="dxa"/>
            <w:tcBorders>
              <w:top w:val="nil"/>
              <w:left w:val="nil"/>
              <w:bottom w:val="nil"/>
              <w:right w:val="nil"/>
            </w:tcBorders>
          </w:tcPr>
          <w:p w14:paraId="376FC8E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-0.00810</w:t>
            </w:r>
          </w:p>
        </w:tc>
        <w:tc>
          <w:tcPr>
            <w:tcW w:w="1656" w:type="dxa"/>
            <w:tcBorders>
              <w:top w:val="nil"/>
              <w:left w:val="nil"/>
              <w:bottom w:val="nil"/>
              <w:right w:val="nil"/>
            </w:tcBorders>
          </w:tcPr>
          <w:p w14:paraId="567A326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-0.0365</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28EBC0D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-0.00868</w:t>
            </w:r>
          </w:p>
        </w:tc>
        <w:tc>
          <w:tcPr>
            <w:tcW w:w="1656" w:type="dxa"/>
            <w:tcBorders>
              <w:top w:val="nil"/>
              <w:left w:val="nil"/>
              <w:bottom w:val="nil"/>
              <w:right w:val="nil"/>
            </w:tcBorders>
          </w:tcPr>
          <w:p w14:paraId="775250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0.00383</w:t>
            </w:r>
          </w:p>
        </w:tc>
      </w:tr>
      <w:tr w:rsidR="008D10A7" w:rsidRPr="005B536A" w14:paraId="23EBA44E" w14:textId="77777777" w:rsidTr="00015B88">
        <w:tc>
          <w:tcPr>
            <w:tcW w:w="2136" w:type="dxa"/>
            <w:tcBorders>
              <w:top w:val="nil"/>
              <w:left w:val="nil"/>
              <w:bottom w:val="nil"/>
              <w:right w:val="nil"/>
            </w:tcBorders>
          </w:tcPr>
          <w:p w14:paraId="4777191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ADC0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(-0.80)</w:t>
            </w:r>
          </w:p>
        </w:tc>
        <w:tc>
          <w:tcPr>
            <w:tcW w:w="1656" w:type="dxa"/>
            <w:tcBorders>
              <w:top w:val="nil"/>
              <w:left w:val="nil"/>
              <w:bottom w:val="nil"/>
              <w:right w:val="nil"/>
            </w:tcBorders>
          </w:tcPr>
          <w:p w14:paraId="1EA6D8E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(-2.52)</w:t>
            </w:r>
          </w:p>
        </w:tc>
        <w:tc>
          <w:tcPr>
            <w:tcW w:w="1656" w:type="dxa"/>
            <w:tcBorders>
              <w:top w:val="nil"/>
              <w:left w:val="nil"/>
              <w:bottom w:val="nil"/>
              <w:right w:val="nil"/>
            </w:tcBorders>
          </w:tcPr>
          <w:p w14:paraId="01DAB9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(-1.01)</w:t>
            </w:r>
          </w:p>
        </w:tc>
        <w:tc>
          <w:tcPr>
            <w:tcW w:w="1656" w:type="dxa"/>
            <w:tcBorders>
              <w:top w:val="nil"/>
              <w:left w:val="nil"/>
              <w:bottom w:val="nil"/>
              <w:right w:val="nil"/>
            </w:tcBorders>
          </w:tcPr>
          <w:p w14:paraId="3F1BADE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(1.18)</w:t>
            </w:r>
          </w:p>
        </w:tc>
      </w:tr>
      <w:tr w:rsidR="008D10A7" w:rsidRPr="005B536A" w14:paraId="5238B3B0" w14:textId="77777777" w:rsidTr="00015B88">
        <w:tc>
          <w:tcPr>
            <w:tcW w:w="2136" w:type="dxa"/>
            <w:tcBorders>
              <w:top w:val="nil"/>
              <w:left w:val="nil"/>
              <w:bottom w:val="nil"/>
              <w:right w:val="nil"/>
            </w:tcBorders>
          </w:tcPr>
          <w:p w14:paraId="220B1A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15DB9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95ADE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D81C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7DF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C834E36" w14:textId="77777777" w:rsidTr="00015B88">
        <w:tc>
          <w:tcPr>
            <w:tcW w:w="2136" w:type="dxa"/>
            <w:tcBorders>
              <w:top w:val="nil"/>
              <w:left w:val="nil"/>
              <w:bottom w:val="nil"/>
              <w:right w:val="nil"/>
            </w:tcBorders>
          </w:tcPr>
          <w:p w14:paraId="645243F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L2.More Fixed Rate * Polity Democracy</w:t>
            </w:r>
          </w:p>
        </w:tc>
        <w:tc>
          <w:tcPr>
            <w:tcW w:w="1656" w:type="dxa"/>
            <w:tcBorders>
              <w:top w:val="nil"/>
              <w:left w:val="nil"/>
              <w:bottom w:val="nil"/>
              <w:right w:val="nil"/>
            </w:tcBorders>
          </w:tcPr>
          <w:p w14:paraId="43077E6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0.00275</w:t>
            </w:r>
          </w:p>
        </w:tc>
        <w:tc>
          <w:tcPr>
            <w:tcW w:w="1656" w:type="dxa"/>
            <w:tcBorders>
              <w:top w:val="nil"/>
              <w:left w:val="nil"/>
              <w:bottom w:val="nil"/>
              <w:right w:val="nil"/>
            </w:tcBorders>
          </w:tcPr>
          <w:p w14:paraId="11891D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0.0168</w:t>
            </w:r>
          </w:p>
        </w:tc>
        <w:tc>
          <w:tcPr>
            <w:tcW w:w="1656" w:type="dxa"/>
            <w:tcBorders>
              <w:top w:val="nil"/>
              <w:left w:val="nil"/>
              <w:bottom w:val="nil"/>
              <w:right w:val="nil"/>
            </w:tcBorders>
          </w:tcPr>
          <w:p w14:paraId="543A703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-0.00894</w:t>
            </w:r>
          </w:p>
        </w:tc>
        <w:tc>
          <w:tcPr>
            <w:tcW w:w="1656" w:type="dxa"/>
            <w:tcBorders>
              <w:top w:val="nil"/>
              <w:left w:val="nil"/>
              <w:bottom w:val="nil"/>
              <w:right w:val="nil"/>
            </w:tcBorders>
          </w:tcPr>
          <w:p w14:paraId="60EF6F0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-0.00315</w:t>
            </w:r>
          </w:p>
        </w:tc>
      </w:tr>
      <w:tr w:rsidR="008D10A7" w:rsidRPr="005B536A" w14:paraId="63B5EDC1" w14:textId="77777777" w:rsidTr="00015B88">
        <w:tc>
          <w:tcPr>
            <w:tcW w:w="2136" w:type="dxa"/>
            <w:tcBorders>
              <w:top w:val="nil"/>
              <w:left w:val="nil"/>
              <w:bottom w:val="nil"/>
              <w:right w:val="nil"/>
            </w:tcBorders>
          </w:tcPr>
          <w:p w14:paraId="345C525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CEF2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w:t>
            </w:r>
          </w:p>
        </w:tc>
        <w:tc>
          <w:tcPr>
            <w:tcW w:w="1656" w:type="dxa"/>
            <w:tcBorders>
              <w:top w:val="nil"/>
              <w:left w:val="nil"/>
              <w:bottom w:val="nil"/>
              <w:right w:val="nil"/>
            </w:tcBorders>
          </w:tcPr>
          <w:p w14:paraId="223702E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(1.25)</w:t>
            </w:r>
          </w:p>
        </w:tc>
        <w:tc>
          <w:tcPr>
            <w:tcW w:w="1656" w:type="dxa"/>
            <w:tcBorders>
              <w:top w:val="nil"/>
              <w:left w:val="nil"/>
              <w:bottom w:val="nil"/>
              <w:right w:val="nil"/>
            </w:tcBorders>
          </w:tcPr>
          <w:p w14:paraId="337676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c>
          <w:tcPr>
            <w:tcW w:w="1656" w:type="dxa"/>
            <w:tcBorders>
              <w:top w:val="nil"/>
              <w:left w:val="nil"/>
              <w:bottom w:val="nil"/>
              <w:right w:val="nil"/>
            </w:tcBorders>
          </w:tcPr>
          <w:p w14:paraId="62A4B4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(-0.63)</w:t>
            </w:r>
          </w:p>
        </w:tc>
      </w:tr>
      <w:tr w:rsidR="008D10A7" w:rsidRPr="005B536A" w14:paraId="0C80D545" w14:textId="77777777" w:rsidTr="00015B88">
        <w:tc>
          <w:tcPr>
            <w:tcW w:w="2136" w:type="dxa"/>
            <w:tcBorders>
              <w:top w:val="nil"/>
              <w:left w:val="nil"/>
              <w:bottom w:val="nil"/>
              <w:right w:val="nil"/>
            </w:tcBorders>
          </w:tcPr>
          <w:p w14:paraId="556EE91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F016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995B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E081B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E12B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B9D8A72" w14:textId="77777777" w:rsidTr="00015B88">
        <w:tc>
          <w:tcPr>
            <w:tcW w:w="2136" w:type="dxa"/>
            <w:tcBorders>
              <w:top w:val="nil"/>
              <w:left w:val="nil"/>
              <w:bottom w:val="nil"/>
              <w:right w:val="nil"/>
            </w:tcBorders>
          </w:tcPr>
          <w:p w14:paraId="458262E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L3.More Fixed Rate * Polity Democracy</w:t>
            </w:r>
          </w:p>
        </w:tc>
        <w:tc>
          <w:tcPr>
            <w:tcW w:w="1656" w:type="dxa"/>
            <w:tcBorders>
              <w:top w:val="nil"/>
              <w:left w:val="nil"/>
              <w:bottom w:val="nil"/>
              <w:right w:val="nil"/>
            </w:tcBorders>
          </w:tcPr>
          <w:p w14:paraId="3619F4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0.00439</w:t>
            </w:r>
          </w:p>
        </w:tc>
        <w:tc>
          <w:tcPr>
            <w:tcW w:w="1656" w:type="dxa"/>
            <w:tcBorders>
              <w:top w:val="nil"/>
              <w:left w:val="nil"/>
              <w:bottom w:val="nil"/>
              <w:right w:val="nil"/>
            </w:tcBorders>
          </w:tcPr>
          <w:p w14:paraId="1CB40A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0.00621</w:t>
            </w:r>
          </w:p>
        </w:tc>
        <w:tc>
          <w:tcPr>
            <w:tcW w:w="1656" w:type="dxa"/>
            <w:tcBorders>
              <w:top w:val="nil"/>
              <w:left w:val="nil"/>
              <w:bottom w:val="nil"/>
              <w:right w:val="nil"/>
            </w:tcBorders>
          </w:tcPr>
          <w:p w14:paraId="4206E5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0.00903</w:t>
            </w:r>
          </w:p>
        </w:tc>
        <w:tc>
          <w:tcPr>
            <w:tcW w:w="1656" w:type="dxa"/>
            <w:tcBorders>
              <w:top w:val="nil"/>
              <w:left w:val="nil"/>
              <w:bottom w:val="nil"/>
              <w:right w:val="nil"/>
            </w:tcBorders>
          </w:tcPr>
          <w:p w14:paraId="1DB248B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0.00481</w:t>
            </w:r>
          </w:p>
        </w:tc>
      </w:tr>
      <w:tr w:rsidR="008D10A7" w:rsidRPr="005B536A" w14:paraId="03B797D4" w14:textId="77777777" w:rsidTr="00015B88">
        <w:tc>
          <w:tcPr>
            <w:tcW w:w="2136" w:type="dxa"/>
            <w:tcBorders>
              <w:top w:val="nil"/>
              <w:left w:val="nil"/>
              <w:bottom w:val="nil"/>
              <w:right w:val="nil"/>
            </w:tcBorders>
          </w:tcPr>
          <w:p w14:paraId="45D5270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836A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(0.37)</w:t>
            </w:r>
          </w:p>
        </w:tc>
        <w:tc>
          <w:tcPr>
            <w:tcW w:w="1656" w:type="dxa"/>
            <w:tcBorders>
              <w:top w:val="nil"/>
              <w:left w:val="nil"/>
              <w:bottom w:val="nil"/>
              <w:right w:val="nil"/>
            </w:tcBorders>
          </w:tcPr>
          <w:p w14:paraId="766574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(0.49)</w:t>
            </w:r>
          </w:p>
        </w:tc>
        <w:tc>
          <w:tcPr>
            <w:tcW w:w="1656" w:type="dxa"/>
            <w:tcBorders>
              <w:top w:val="nil"/>
              <w:left w:val="nil"/>
              <w:bottom w:val="nil"/>
              <w:right w:val="nil"/>
            </w:tcBorders>
          </w:tcPr>
          <w:p w14:paraId="2D2384E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(0.71)</w:t>
            </w:r>
          </w:p>
        </w:tc>
        <w:tc>
          <w:tcPr>
            <w:tcW w:w="1656" w:type="dxa"/>
            <w:tcBorders>
              <w:top w:val="nil"/>
              <w:left w:val="nil"/>
              <w:bottom w:val="nil"/>
              <w:right w:val="nil"/>
            </w:tcBorders>
          </w:tcPr>
          <w:p w14:paraId="46AD5C3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(1.24)</w:t>
            </w:r>
          </w:p>
        </w:tc>
      </w:tr>
      <w:tr w:rsidR="008D10A7" w:rsidRPr="005B536A" w14:paraId="5697F111" w14:textId="77777777" w:rsidTr="00015B88">
        <w:tc>
          <w:tcPr>
            <w:tcW w:w="2136" w:type="dxa"/>
            <w:tcBorders>
              <w:top w:val="nil"/>
              <w:left w:val="nil"/>
              <w:bottom w:val="nil"/>
              <w:right w:val="nil"/>
            </w:tcBorders>
          </w:tcPr>
          <w:p w14:paraId="35485E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5B87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6C84D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10AA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72FE7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517B67F" w14:textId="77777777" w:rsidTr="00015B88">
        <w:tc>
          <w:tcPr>
            <w:tcW w:w="2136" w:type="dxa"/>
            <w:tcBorders>
              <w:top w:val="nil"/>
              <w:left w:val="nil"/>
              <w:bottom w:val="nil"/>
              <w:right w:val="nil"/>
            </w:tcBorders>
          </w:tcPr>
          <w:p w14:paraId="1E0805F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L4.More Fixed Rate * Polity Democracy</w:t>
            </w:r>
          </w:p>
        </w:tc>
        <w:tc>
          <w:tcPr>
            <w:tcW w:w="1656" w:type="dxa"/>
            <w:tcBorders>
              <w:top w:val="nil"/>
              <w:left w:val="nil"/>
              <w:bottom w:val="nil"/>
              <w:right w:val="nil"/>
            </w:tcBorders>
          </w:tcPr>
          <w:p w14:paraId="34D9FCD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-0.00720</w:t>
            </w:r>
          </w:p>
        </w:tc>
        <w:tc>
          <w:tcPr>
            <w:tcW w:w="1656" w:type="dxa"/>
            <w:tcBorders>
              <w:top w:val="nil"/>
              <w:left w:val="nil"/>
              <w:bottom w:val="nil"/>
              <w:right w:val="nil"/>
            </w:tcBorders>
          </w:tcPr>
          <w:p w14:paraId="29C6C19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-0.00365</w:t>
            </w:r>
          </w:p>
        </w:tc>
        <w:tc>
          <w:tcPr>
            <w:tcW w:w="1656" w:type="dxa"/>
            <w:tcBorders>
              <w:top w:val="nil"/>
              <w:left w:val="nil"/>
              <w:bottom w:val="nil"/>
              <w:right w:val="nil"/>
            </w:tcBorders>
          </w:tcPr>
          <w:p w14:paraId="48FCA74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-0.0298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FA918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0.00256</w:t>
            </w:r>
          </w:p>
        </w:tc>
      </w:tr>
      <w:tr w:rsidR="008D10A7" w:rsidRPr="005B536A" w14:paraId="33EACE23" w14:textId="77777777" w:rsidTr="00015B88">
        <w:tc>
          <w:tcPr>
            <w:tcW w:w="2136" w:type="dxa"/>
            <w:tcBorders>
              <w:top w:val="nil"/>
              <w:left w:val="nil"/>
              <w:bottom w:val="nil"/>
              <w:right w:val="nil"/>
            </w:tcBorders>
          </w:tcPr>
          <w:p w14:paraId="69C0E76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7A15E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(-0.71)</w:t>
            </w:r>
          </w:p>
        </w:tc>
        <w:tc>
          <w:tcPr>
            <w:tcW w:w="1656" w:type="dxa"/>
            <w:tcBorders>
              <w:top w:val="nil"/>
              <w:left w:val="nil"/>
              <w:bottom w:val="nil"/>
              <w:right w:val="nil"/>
            </w:tcBorders>
          </w:tcPr>
          <w:p w14:paraId="6EA76E0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c>
          <w:tcPr>
            <w:tcW w:w="1656" w:type="dxa"/>
            <w:tcBorders>
              <w:top w:val="nil"/>
              <w:left w:val="nil"/>
              <w:bottom w:val="nil"/>
              <w:right w:val="nil"/>
            </w:tcBorders>
          </w:tcPr>
          <w:p w14:paraId="2834C8F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(-2.06)</w:t>
            </w:r>
          </w:p>
        </w:tc>
        <w:tc>
          <w:tcPr>
            <w:tcW w:w="1656" w:type="dxa"/>
            <w:tcBorders>
              <w:top w:val="nil"/>
              <w:left w:val="nil"/>
              <w:bottom w:val="nil"/>
              <w:right w:val="nil"/>
            </w:tcBorders>
          </w:tcPr>
          <w:p w14:paraId="0C0EEE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(0.75)</w:t>
            </w:r>
          </w:p>
        </w:tc>
      </w:tr>
      <w:tr w:rsidR="008D10A7" w:rsidRPr="005B536A" w14:paraId="1597FA50" w14:textId="77777777" w:rsidTr="00015B88">
        <w:tc>
          <w:tcPr>
            <w:tcW w:w="2136" w:type="dxa"/>
            <w:tcBorders>
              <w:top w:val="nil"/>
              <w:left w:val="nil"/>
              <w:bottom w:val="nil"/>
              <w:right w:val="nil"/>
            </w:tcBorders>
          </w:tcPr>
          <w:p w14:paraId="51F2F4F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ADC42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A42F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7C5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6F6C3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C5BAB64" w14:textId="77777777" w:rsidTr="00015B88">
        <w:tc>
          <w:tcPr>
            <w:tcW w:w="2136" w:type="dxa"/>
            <w:tcBorders>
              <w:top w:val="nil"/>
              <w:left w:val="nil"/>
              <w:bottom w:val="nil"/>
              <w:right w:val="nil"/>
            </w:tcBorders>
          </w:tcPr>
          <w:p w14:paraId="026A919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L5.More Fixed Rate * Polity Democracy</w:t>
            </w:r>
          </w:p>
        </w:tc>
        <w:tc>
          <w:tcPr>
            <w:tcW w:w="1656" w:type="dxa"/>
            <w:tcBorders>
              <w:top w:val="nil"/>
              <w:left w:val="nil"/>
              <w:bottom w:val="nil"/>
              <w:right w:val="nil"/>
            </w:tcBorders>
          </w:tcPr>
          <w:p w14:paraId="4D607FC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0.00443</w:t>
            </w:r>
          </w:p>
        </w:tc>
        <w:tc>
          <w:tcPr>
            <w:tcW w:w="1656" w:type="dxa"/>
            <w:tcBorders>
              <w:top w:val="nil"/>
              <w:left w:val="nil"/>
              <w:bottom w:val="nil"/>
              <w:right w:val="nil"/>
            </w:tcBorders>
          </w:tcPr>
          <w:p w14:paraId="0A14114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0.0161</w:t>
            </w:r>
          </w:p>
        </w:tc>
        <w:tc>
          <w:tcPr>
            <w:tcW w:w="1656" w:type="dxa"/>
            <w:tcBorders>
              <w:top w:val="nil"/>
              <w:left w:val="nil"/>
              <w:bottom w:val="nil"/>
              <w:right w:val="nil"/>
            </w:tcBorders>
          </w:tcPr>
          <w:p w14:paraId="3EE6A8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1C9F8D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-0.000915</w:t>
            </w:r>
          </w:p>
        </w:tc>
      </w:tr>
      <w:tr w:rsidR="008D10A7" w:rsidRPr="005B536A" w14:paraId="79B9FBFF" w14:textId="77777777" w:rsidTr="00015B88">
        <w:tc>
          <w:tcPr>
            <w:tcW w:w="2136" w:type="dxa"/>
            <w:tcBorders>
              <w:top w:val="nil"/>
              <w:left w:val="nil"/>
              <w:bottom w:val="nil"/>
              <w:right w:val="nil"/>
            </w:tcBorders>
          </w:tcPr>
          <w:p w14:paraId="53CAF50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6848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(0.53)</w:t>
            </w:r>
          </w:p>
        </w:tc>
        <w:tc>
          <w:tcPr>
            <w:tcW w:w="1656" w:type="dxa"/>
            <w:tcBorders>
              <w:top w:val="nil"/>
              <w:left w:val="nil"/>
              <w:bottom w:val="nil"/>
              <w:right w:val="nil"/>
            </w:tcBorders>
          </w:tcPr>
          <w:p w14:paraId="5CB7F6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(1.26)</w:t>
            </w:r>
          </w:p>
        </w:tc>
        <w:tc>
          <w:tcPr>
            <w:tcW w:w="1656" w:type="dxa"/>
            <w:tcBorders>
              <w:top w:val="nil"/>
              <w:left w:val="nil"/>
              <w:bottom w:val="nil"/>
              <w:right w:val="nil"/>
            </w:tcBorders>
          </w:tcPr>
          <w:p w14:paraId="1885FD0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(2.50)</w:t>
            </w:r>
          </w:p>
        </w:tc>
        <w:tc>
          <w:tcPr>
            <w:tcW w:w="1656" w:type="dxa"/>
            <w:tcBorders>
              <w:top w:val="nil"/>
              <w:left w:val="nil"/>
              <w:bottom w:val="nil"/>
              <w:right w:val="nil"/>
            </w:tcBorders>
          </w:tcPr>
          <w:p w14:paraId="6749151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r>
      <w:tr w:rsidR="008D10A7" w:rsidRPr="005B536A" w14:paraId="66C7C880" w14:textId="77777777" w:rsidTr="00015B88">
        <w:tc>
          <w:tcPr>
            <w:tcW w:w="2136" w:type="dxa"/>
            <w:tcBorders>
              <w:top w:val="nil"/>
              <w:left w:val="nil"/>
              <w:bottom w:val="nil"/>
              <w:right w:val="nil"/>
            </w:tcBorders>
          </w:tcPr>
          <w:p w14:paraId="6F05692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9F352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750D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443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4DB28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6162FDE" w14:textId="77777777" w:rsidTr="00015B88">
        <w:tc>
          <w:tcPr>
            <w:tcW w:w="2136" w:type="dxa"/>
            <w:tcBorders>
              <w:top w:val="nil"/>
              <w:left w:val="nil"/>
              <w:bottom w:val="nil"/>
              <w:right w:val="nil"/>
            </w:tcBorders>
          </w:tcPr>
          <w:p w14:paraId="1963CB5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L6.More Fixed Rate * Polity Democracy</w:t>
            </w:r>
          </w:p>
        </w:tc>
        <w:tc>
          <w:tcPr>
            <w:tcW w:w="1656" w:type="dxa"/>
            <w:tcBorders>
              <w:top w:val="nil"/>
              <w:left w:val="nil"/>
              <w:bottom w:val="nil"/>
              <w:right w:val="nil"/>
            </w:tcBorders>
          </w:tcPr>
          <w:p w14:paraId="247B9C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0.00283</w:t>
            </w:r>
          </w:p>
        </w:tc>
        <w:tc>
          <w:tcPr>
            <w:tcW w:w="1656" w:type="dxa"/>
            <w:tcBorders>
              <w:top w:val="nil"/>
              <w:left w:val="nil"/>
              <w:bottom w:val="nil"/>
              <w:right w:val="nil"/>
            </w:tcBorders>
          </w:tcPr>
          <w:p w14:paraId="353824D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-0.0228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5E96E4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-0.00639</w:t>
            </w:r>
          </w:p>
        </w:tc>
        <w:tc>
          <w:tcPr>
            <w:tcW w:w="1656" w:type="dxa"/>
            <w:tcBorders>
              <w:top w:val="nil"/>
              <w:left w:val="nil"/>
              <w:bottom w:val="nil"/>
              <w:right w:val="nil"/>
            </w:tcBorders>
          </w:tcPr>
          <w:p w14:paraId="2739239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0.00567</w:t>
            </w:r>
          </w:p>
        </w:tc>
      </w:tr>
      <w:tr w:rsidR="008D10A7" w:rsidRPr="005B536A" w14:paraId="3406AF24" w14:textId="77777777" w:rsidTr="00015B88">
        <w:tc>
          <w:tcPr>
            <w:tcW w:w="2136" w:type="dxa"/>
            <w:tcBorders>
              <w:top w:val="nil"/>
              <w:left w:val="nil"/>
              <w:bottom w:val="nil"/>
              <w:right w:val="nil"/>
            </w:tcBorders>
          </w:tcPr>
          <w:p w14:paraId="2C37285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13A9D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1C683A5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(-2.28)</w:t>
            </w:r>
          </w:p>
        </w:tc>
        <w:tc>
          <w:tcPr>
            <w:tcW w:w="1656" w:type="dxa"/>
            <w:tcBorders>
              <w:top w:val="nil"/>
              <w:left w:val="nil"/>
              <w:bottom w:val="nil"/>
              <w:right w:val="nil"/>
            </w:tcBorders>
          </w:tcPr>
          <w:p w14:paraId="6593A24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(-0.99)</w:t>
            </w:r>
          </w:p>
        </w:tc>
        <w:tc>
          <w:tcPr>
            <w:tcW w:w="1656" w:type="dxa"/>
            <w:tcBorders>
              <w:top w:val="nil"/>
              <w:left w:val="nil"/>
              <w:bottom w:val="nil"/>
              <w:right w:val="nil"/>
            </w:tcBorders>
          </w:tcPr>
          <w:p w14:paraId="6BC65D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(1.84)</w:t>
            </w:r>
          </w:p>
        </w:tc>
      </w:tr>
      <w:tr w:rsidR="008D10A7" w:rsidRPr="005B536A" w14:paraId="06AE0D45" w14:textId="77777777" w:rsidTr="00015B88">
        <w:tc>
          <w:tcPr>
            <w:tcW w:w="2136" w:type="dxa"/>
            <w:tcBorders>
              <w:top w:val="nil"/>
              <w:left w:val="nil"/>
              <w:bottom w:val="nil"/>
              <w:right w:val="nil"/>
            </w:tcBorders>
          </w:tcPr>
          <w:p w14:paraId="7F79DA9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467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1D8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904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8CB2A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AC26B4F" w14:textId="77777777" w:rsidTr="00015B88">
        <w:tc>
          <w:tcPr>
            <w:tcW w:w="2136" w:type="dxa"/>
            <w:tcBorders>
              <w:top w:val="nil"/>
              <w:left w:val="nil"/>
              <w:bottom w:val="nil"/>
              <w:right w:val="nil"/>
            </w:tcBorders>
          </w:tcPr>
          <w:p w14:paraId="5E3FB70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L7.More Fixed Rate * Polity Democracy</w:t>
            </w:r>
          </w:p>
        </w:tc>
        <w:tc>
          <w:tcPr>
            <w:tcW w:w="1656" w:type="dxa"/>
            <w:tcBorders>
              <w:top w:val="nil"/>
              <w:left w:val="nil"/>
              <w:bottom w:val="nil"/>
              <w:right w:val="nil"/>
            </w:tcBorders>
          </w:tcPr>
          <w:p w14:paraId="4D5D72C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0.000963</w:t>
            </w:r>
          </w:p>
        </w:tc>
        <w:tc>
          <w:tcPr>
            <w:tcW w:w="1656" w:type="dxa"/>
            <w:tcBorders>
              <w:top w:val="nil"/>
              <w:left w:val="nil"/>
              <w:bottom w:val="nil"/>
              <w:right w:val="nil"/>
            </w:tcBorders>
          </w:tcPr>
          <w:p w14:paraId="1508A04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0.0190</w:t>
            </w:r>
          </w:p>
        </w:tc>
        <w:tc>
          <w:tcPr>
            <w:tcW w:w="1656" w:type="dxa"/>
            <w:tcBorders>
              <w:top w:val="nil"/>
              <w:left w:val="nil"/>
              <w:bottom w:val="nil"/>
              <w:right w:val="nil"/>
            </w:tcBorders>
          </w:tcPr>
          <w:p w14:paraId="06F9537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-0.00333</w:t>
            </w:r>
          </w:p>
        </w:tc>
        <w:tc>
          <w:tcPr>
            <w:tcW w:w="1656" w:type="dxa"/>
            <w:tcBorders>
              <w:top w:val="nil"/>
              <w:left w:val="nil"/>
              <w:bottom w:val="nil"/>
              <w:right w:val="nil"/>
            </w:tcBorders>
          </w:tcPr>
          <w:p w14:paraId="2603618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-0.00237</w:t>
            </w:r>
          </w:p>
        </w:tc>
      </w:tr>
      <w:tr w:rsidR="008D10A7" w:rsidRPr="005B536A" w14:paraId="221BCB54" w14:textId="77777777" w:rsidTr="00015B88">
        <w:tc>
          <w:tcPr>
            <w:tcW w:w="2136" w:type="dxa"/>
            <w:tcBorders>
              <w:top w:val="nil"/>
              <w:left w:val="nil"/>
              <w:bottom w:val="nil"/>
              <w:right w:val="nil"/>
            </w:tcBorders>
          </w:tcPr>
          <w:p w14:paraId="3F9BB70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C94EA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w:t>
            </w:r>
          </w:p>
        </w:tc>
        <w:tc>
          <w:tcPr>
            <w:tcW w:w="1656" w:type="dxa"/>
            <w:tcBorders>
              <w:top w:val="nil"/>
              <w:left w:val="nil"/>
              <w:bottom w:val="nil"/>
              <w:right w:val="nil"/>
            </w:tcBorders>
          </w:tcPr>
          <w:p w14:paraId="6CDB1E9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(1.83)</w:t>
            </w:r>
          </w:p>
        </w:tc>
        <w:tc>
          <w:tcPr>
            <w:tcW w:w="1656" w:type="dxa"/>
            <w:tcBorders>
              <w:top w:val="nil"/>
              <w:left w:val="nil"/>
              <w:bottom w:val="nil"/>
              <w:right w:val="nil"/>
            </w:tcBorders>
          </w:tcPr>
          <w:p w14:paraId="2D31F4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(-0.38)</w:t>
            </w:r>
          </w:p>
        </w:tc>
        <w:tc>
          <w:tcPr>
            <w:tcW w:w="1656" w:type="dxa"/>
            <w:tcBorders>
              <w:top w:val="nil"/>
              <w:left w:val="nil"/>
              <w:bottom w:val="nil"/>
              <w:right w:val="nil"/>
            </w:tcBorders>
          </w:tcPr>
          <w:p w14:paraId="70705FE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(-0.62)</w:t>
            </w:r>
          </w:p>
        </w:tc>
      </w:tr>
      <w:tr w:rsidR="008D10A7" w:rsidRPr="005B536A" w14:paraId="43D9F320" w14:textId="77777777" w:rsidTr="00015B88">
        <w:tc>
          <w:tcPr>
            <w:tcW w:w="2136" w:type="dxa"/>
            <w:tcBorders>
              <w:top w:val="nil"/>
              <w:left w:val="nil"/>
              <w:bottom w:val="nil"/>
              <w:right w:val="nil"/>
            </w:tcBorders>
          </w:tcPr>
          <w:p w14:paraId="1F54282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95942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134D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42CF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AEB17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7C023D7" w14:textId="77777777" w:rsidTr="00015B88">
        <w:tc>
          <w:tcPr>
            <w:tcW w:w="2136" w:type="dxa"/>
            <w:tcBorders>
              <w:top w:val="nil"/>
              <w:left w:val="nil"/>
              <w:bottom w:val="nil"/>
              <w:right w:val="nil"/>
            </w:tcBorders>
          </w:tcPr>
          <w:p w14:paraId="1B50D98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L8.More Fixed Rate * Polity Democracy</w:t>
            </w:r>
          </w:p>
        </w:tc>
        <w:tc>
          <w:tcPr>
            <w:tcW w:w="1656" w:type="dxa"/>
            <w:tcBorders>
              <w:top w:val="nil"/>
              <w:left w:val="nil"/>
              <w:bottom w:val="nil"/>
              <w:right w:val="nil"/>
            </w:tcBorders>
          </w:tcPr>
          <w:p w14:paraId="07B523A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0.00416</w:t>
            </w:r>
          </w:p>
        </w:tc>
        <w:tc>
          <w:tcPr>
            <w:tcW w:w="1656" w:type="dxa"/>
            <w:tcBorders>
              <w:top w:val="nil"/>
              <w:left w:val="nil"/>
              <w:bottom w:val="nil"/>
              <w:right w:val="nil"/>
            </w:tcBorders>
          </w:tcPr>
          <w:p w14:paraId="4B246A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-0.00998</w:t>
            </w:r>
          </w:p>
        </w:tc>
        <w:tc>
          <w:tcPr>
            <w:tcW w:w="1656" w:type="dxa"/>
            <w:tcBorders>
              <w:top w:val="nil"/>
              <w:left w:val="nil"/>
              <w:bottom w:val="nil"/>
              <w:right w:val="nil"/>
            </w:tcBorders>
          </w:tcPr>
          <w:p w14:paraId="4F288EA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0.0115</w:t>
            </w:r>
          </w:p>
        </w:tc>
        <w:tc>
          <w:tcPr>
            <w:tcW w:w="1656" w:type="dxa"/>
            <w:tcBorders>
              <w:top w:val="nil"/>
              <w:left w:val="nil"/>
              <w:bottom w:val="nil"/>
              <w:right w:val="nil"/>
            </w:tcBorders>
          </w:tcPr>
          <w:p w14:paraId="61F4647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-0.000562</w:t>
            </w:r>
          </w:p>
        </w:tc>
      </w:tr>
      <w:tr w:rsidR="008D10A7" w:rsidRPr="005B536A" w14:paraId="72BAA826" w14:textId="77777777" w:rsidTr="00015B88">
        <w:tc>
          <w:tcPr>
            <w:tcW w:w="2136" w:type="dxa"/>
            <w:tcBorders>
              <w:top w:val="nil"/>
              <w:left w:val="nil"/>
              <w:bottom w:val="nil"/>
              <w:right w:val="nil"/>
            </w:tcBorders>
          </w:tcPr>
          <w:p w14:paraId="212BE8C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8E66A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(0.54)</w:t>
            </w:r>
          </w:p>
        </w:tc>
        <w:tc>
          <w:tcPr>
            <w:tcW w:w="1656" w:type="dxa"/>
            <w:tcBorders>
              <w:top w:val="nil"/>
              <w:left w:val="nil"/>
              <w:bottom w:val="nil"/>
              <w:right w:val="nil"/>
            </w:tcBorders>
          </w:tcPr>
          <w:p w14:paraId="6E03C86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(-0.86)</w:t>
            </w:r>
          </w:p>
        </w:tc>
        <w:tc>
          <w:tcPr>
            <w:tcW w:w="1656" w:type="dxa"/>
            <w:tcBorders>
              <w:top w:val="nil"/>
              <w:left w:val="nil"/>
              <w:bottom w:val="nil"/>
              <w:right w:val="nil"/>
            </w:tcBorders>
          </w:tcPr>
          <w:p w14:paraId="222C5E8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(1.30)</w:t>
            </w:r>
          </w:p>
        </w:tc>
        <w:tc>
          <w:tcPr>
            <w:tcW w:w="1656" w:type="dxa"/>
            <w:tcBorders>
              <w:top w:val="nil"/>
              <w:left w:val="nil"/>
              <w:bottom w:val="nil"/>
              <w:right w:val="nil"/>
            </w:tcBorders>
          </w:tcPr>
          <w:p w14:paraId="1B3246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w:t>
            </w:r>
          </w:p>
        </w:tc>
      </w:tr>
      <w:tr w:rsidR="008D10A7" w:rsidRPr="005B536A" w14:paraId="6187328D" w14:textId="77777777" w:rsidTr="00015B88">
        <w:tc>
          <w:tcPr>
            <w:tcW w:w="2136" w:type="dxa"/>
            <w:tcBorders>
              <w:top w:val="nil"/>
              <w:left w:val="nil"/>
              <w:bottom w:val="nil"/>
              <w:right w:val="nil"/>
            </w:tcBorders>
          </w:tcPr>
          <w:p w14:paraId="7DD1B36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CBBD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F8C0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B25A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F89D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C9ED300" w14:textId="77777777" w:rsidTr="00015B88">
        <w:tc>
          <w:tcPr>
            <w:tcW w:w="2136" w:type="dxa"/>
            <w:tcBorders>
              <w:top w:val="nil"/>
              <w:left w:val="nil"/>
              <w:bottom w:val="nil"/>
              <w:right w:val="nil"/>
            </w:tcBorders>
          </w:tcPr>
          <w:p w14:paraId="1AAB2F5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L9.More Fixed Rate * Polity Democracy</w:t>
            </w:r>
          </w:p>
        </w:tc>
        <w:tc>
          <w:tcPr>
            <w:tcW w:w="1656" w:type="dxa"/>
            <w:tcBorders>
              <w:top w:val="nil"/>
              <w:left w:val="nil"/>
              <w:bottom w:val="nil"/>
              <w:right w:val="nil"/>
            </w:tcBorders>
          </w:tcPr>
          <w:p w14:paraId="344376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-0.00848</w:t>
            </w:r>
          </w:p>
        </w:tc>
        <w:tc>
          <w:tcPr>
            <w:tcW w:w="1656" w:type="dxa"/>
            <w:tcBorders>
              <w:top w:val="nil"/>
              <w:left w:val="nil"/>
              <w:bottom w:val="nil"/>
              <w:right w:val="nil"/>
            </w:tcBorders>
          </w:tcPr>
          <w:p w14:paraId="1B30217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0.00112</w:t>
            </w:r>
          </w:p>
        </w:tc>
        <w:tc>
          <w:tcPr>
            <w:tcW w:w="1656" w:type="dxa"/>
            <w:tcBorders>
              <w:top w:val="nil"/>
              <w:left w:val="nil"/>
              <w:bottom w:val="nil"/>
              <w:right w:val="nil"/>
            </w:tcBorders>
          </w:tcPr>
          <w:p w14:paraId="208060B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0.00261</w:t>
            </w:r>
          </w:p>
        </w:tc>
        <w:tc>
          <w:tcPr>
            <w:tcW w:w="1656" w:type="dxa"/>
            <w:tcBorders>
              <w:top w:val="nil"/>
              <w:left w:val="nil"/>
              <w:bottom w:val="nil"/>
              <w:right w:val="nil"/>
            </w:tcBorders>
          </w:tcPr>
          <w:p w14:paraId="780A424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-0.00468</w:t>
            </w:r>
          </w:p>
        </w:tc>
      </w:tr>
      <w:tr w:rsidR="008D10A7" w:rsidRPr="005B536A" w14:paraId="7BBF661B" w14:textId="77777777" w:rsidTr="00015B88">
        <w:tc>
          <w:tcPr>
            <w:tcW w:w="2136" w:type="dxa"/>
            <w:tcBorders>
              <w:top w:val="nil"/>
              <w:left w:val="nil"/>
              <w:bottom w:val="nil"/>
              <w:right w:val="nil"/>
            </w:tcBorders>
          </w:tcPr>
          <w:p w14:paraId="34117C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092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(-1.14)</w:t>
            </w:r>
          </w:p>
        </w:tc>
        <w:tc>
          <w:tcPr>
            <w:tcW w:w="1656" w:type="dxa"/>
            <w:tcBorders>
              <w:top w:val="nil"/>
              <w:left w:val="nil"/>
              <w:bottom w:val="nil"/>
              <w:right w:val="nil"/>
            </w:tcBorders>
          </w:tcPr>
          <w:p w14:paraId="657FF7A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w:t>
            </w:r>
          </w:p>
        </w:tc>
        <w:tc>
          <w:tcPr>
            <w:tcW w:w="1656" w:type="dxa"/>
            <w:tcBorders>
              <w:top w:val="nil"/>
              <w:left w:val="nil"/>
              <w:bottom w:val="nil"/>
              <w:right w:val="nil"/>
            </w:tcBorders>
          </w:tcPr>
          <w:p w14:paraId="794DAAD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339F279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(-1.80)</w:t>
            </w:r>
          </w:p>
        </w:tc>
      </w:tr>
      <w:tr w:rsidR="008D10A7" w:rsidRPr="005B536A" w14:paraId="4E41624A" w14:textId="77777777" w:rsidTr="00015B88">
        <w:tc>
          <w:tcPr>
            <w:tcW w:w="2136" w:type="dxa"/>
            <w:tcBorders>
              <w:top w:val="nil"/>
              <w:left w:val="nil"/>
              <w:bottom w:val="nil"/>
              <w:right w:val="nil"/>
            </w:tcBorders>
          </w:tcPr>
          <w:p w14:paraId="78BD23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FD470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99D09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4524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444D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665F26F" w14:textId="77777777" w:rsidTr="00015B88">
        <w:tc>
          <w:tcPr>
            <w:tcW w:w="2136" w:type="dxa"/>
            <w:tcBorders>
              <w:top w:val="nil"/>
              <w:left w:val="nil"/>
              <w:bottom w:val="nil"/>
              <w:right w:val="nil"/>
            </w:tcBorders>
          </w:tcPr>
          <w:p w14:paraId="3D6492A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565B5F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0.00198</w:t>
            </w:r>
          </w:p>
        </w:tc>
        <w:tc>
          <w:tcPr>
            <w:tcW w:w="1656" w:type="dxa"/>
            <w:tcBorders>
              <w:top w:val="nil"/>
              <w:left w:val="nil"/>
              <w:bottom w:val="nil"/>
              <w:right w:val="nil"/>
            </w:tcBorders>
          </w:tcPr>
          <w:p w14:paraId="0A5EE58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-0.000419</w:t>
            </w:r>
          </w:p>
        </w:tc>
        <w:tc>
          <w:tcPr>
            <w:tcW w:w="1656" w:type="dxa"/>
            <w:tcBorders>
              <w:top w:val="nil"/>
              <w:left w:val="nil"/>
              <w:bottom w:val="nil"/>
              <w:right w:val="nil"/>
            </w:tcBorders>
          </w:tcPr>
          <w:p w14:paraId="7598AEB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-0.00102</w:t>
            </w:r>
          </w:p>
        </w:tc>
        <w:tc>
          <w:tcPr>
            <w:tcW w:w="1656" w:type="dxa"/>
            <w:tcBorders>
              <w:top w:val="nil"/>
              <w:left w:val="nil"/>
              <w:bottom w:val="nil"/>
              <w:right w:val="nil"/>
            </w:tcBorders>
          </w:tcPr>
          <w:p w14:paraId="7D732B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0.000718</w:t>
            </w:r>
          </w:p>
        </w:tc>
      </w:tr>
      <w:tr w:rsidR="008D10A7" w:rsidRPr="005B536A" w14:paraId="6E7E39DA" w14:textId="77777777" w:rsidTr="00015B88">
        <w:tc>
          <w:tcPr>
            <w:tcW w:w="2136" w:type="dxa"/>
            <w:tcBorders>
              <w:top w:val="nil"/>
              <w:left w:val="nil"/>
              <w:bottom w:val="nil"/>
              <w:right w:val="nil"/>
            </w:tcBorders>
          </w:tcPr>
          <w:p w14:paraId="501254A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5893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(0.33)</w:t>
            </w:r>
          </w:p>
        </w:tc>
        <w:tc>
          <w:tcPr>
            <w:tcW w:w="1656" w:type="dxa"/>
            <w:tcBorders>
              <w:top w:val="nil"/>
              <w:left w:val="nil"/>
              <w:bottom w:val="nil"/>
              <w:right w:val="nil"/>
            </w:tcBorders>
          </w:tcPr>
          <w:p w14:paraId="08ACFB7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w:t>
            </w:r>
          </w:p>
        </w:tc>
        <w:tc>
          <w:tcPr>
            <w:tcW w:w="1656" w:type="dxa"/>
            <w:tcBorders>
              <w:top w:val="nil"/>
              <w:left w:val="nil"/>
              <w:bottom w:val="nil"/>
              <w:right w:val="nil"/>
            </w:tcBorders>
          </w:tcPr>
          <w:p w14:paraId="6F36BA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w:t>
            </w:r>
          </w:p>
        </w:tc>
        <w:tc>
          <w:tcPr>
            <w:tcW w:w="1656" w:type="dxa"/>
            <w:tcBorders>
              <w:top w:val="nil"/>
              <w:left w:val="nil"/>
              <w:bottom w:val="nil"/>
              <w:right w:val="nil"/>
            </w:tcBorders>
          </w:tcPr>
          <w:p w14:paraId="21AFC0A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w:t>
            </w:r>
          </w:p>
        </w:tc>
      </w:tr>
      <w:tr w:rsidR="008D10A7" w:rsidRPr="005B536A" w14:paraId="2A64518A" w14:textId="77777777" w:rsidTr="00015B88">
        <w:tc>
          <w:tcPr>
            <w:tcW w:w="2136" w:type="dxa"/>
            <w:tcBorders>
              <w:top w:val="nil"/>
              <w:left w:val="nil"/>
              <w:bottom w:val="nil"/>
              <w:right w:val="nil"/>
            </w:tcBorders>
          </w:tcPr>
          <w:p w14:paraId="7B7E5E1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BDEB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CCB86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BF72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D6616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3D327BB" w14:textId="77777777" w:rsidTr="00015B88">
        <w:tc>
          <w:tcPr>
            <w:tcW w:w="2136" w:type="dxa"/>
            <w:tcBorders>
              <w:top w:val="nil"/>
              <w:left w:val="nil"/>
              <w:bottom w:val="nil"/>
              <w:right w:val="nil"/>
            </w:tcBorders>
          </w:tcPr>
          <w:p w14:paraId="6598E4C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358DE21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F2660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E63E0A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8AEC5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-3.116</w:t>
            </w:r>
          </w:p>
        </w:tc>
      </w:tr>
      <w:tr w:rsidR="008D10A7" w:rsidRPr="005B536A" w14:paraId="28B79084" w14:textId="77777777" w:rsidTr="00015B88">
        <w:tc>
          <w:tcPr>
            <w:tcW w:w="2136" w:type="dxa"/>
            <w:tcBorders>
              <w:top w:val="nil"/>
              <w:left w:val="nil"/>
              <w:bottom w:val="nil"/>
              <w:right w:val="nil"/>
            </w:tcBorders>
          </w:tcPr>
          <w:p w14:paraId="36A8235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0F52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1AADC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2D8E40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5B1954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(-1.06)</w:t>
            </w:r>
          </w:p>
        </w:tc>
      </w:tr>
      <w:tr w:rsidR="008D10A7" w:rsidRPr="005B536A" w14:paraId="6DB2393F" w14:textId="77777777" w:rsidTr="00015B88">
        <w:tc>
          <w:tcPr>
            <w:tcW w:w="2136" w:type="dxa"/>
            <w:tcBorders>
              <w:top w:val="single" w:sz="4" w:space="0" w:color="auto"/>
              <w:left w:val="nil"/>
              <w:bottom w:val="nil"/>
              <w:right w:val="nil"/>
            </w:tcBorders>
          </w:tcPr>
          <w:p w14:paraId="252FF0B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3B338C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39779C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52829B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0D59B4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650E3AD6" w14:textId="77777777" w:rsidTr="00015B88">
        <w:tc>
          <w:tcPr>
            <w:tcW w:w="2136" w:type="dxa"/>
            <w:tcBorders>
              <w:top w:val="nil"/>
              <w:left w:val="nil"/>
              <w:bottom w:val="nil"/>
              <w:right w:val="nil"/>
            </w:tcBorders>
          </w:tcPr>
          <w:p w14:paraId="694B12E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0021333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2.501</w:t>
            </w:r>
          </w:p>
        </w:tc>
        <w:tc>
          <w:tcPr>
            <w:tcW w:w="1656" w:type="dxa"/>
            <w:tcBorders>
              <w:top w:val="nil"/>
              <w:left w:val="nil"/>
              <w:bottom w:val="nil"/>
              <w:right w:val="nil"/>
            </w:tcBorders>
          </w:tcPr>
          <w:p w14:paraId="14B66BC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3.914</w:t>
            </w:r>
          </w:p>
        </w:tc>
        <w:tc>
          <w:tcPr>
            <w:tcW w:w="1656" w:type="dxa"/>
            <w:tcBorders>
              <w:top w:val="nil"/>
              <w:left w:val="nil"/>
              <w:bottom w:val="nil"/>
              <w:right w:val="nil"/>
            </w:tcBorders>
          </w:tcPr>
          <w:p w14:paraId="355228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1.657</w:t>
            </w:r>
          </w:p>
        </w:tc>
        <w:tc>
          <w:tcPr>
            <w:tcW w:w="1656" w:type="dxa"/>
            <w:tcBorders>
              <w:top w:val="nil"/>
              <w:left w:val="nil"/>
              <w:bottom w:val="nil"/>
              <w:right w:val="nil"/>
            </w:tcBorders>
          </w:tcPr>
          <w:p w14:paraId="2BD6A8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06C537EA" w14:textId="77777777" w:rsidTr="00015B88">
        <w:tc>
          <w:tcPr>
            <w:tcW w:w="2136" w:type="dxa"/>
            <w:tcBorders>
              <w:top w:val="nil"/>
              <w:left w:val="nil"/>
              <w:bottom w:val="nil"/>
              <w:right w:val="nil"/>
            </w:tcBorders>
          </w:tcPr>
          <w:p w14:paraId="6DF4145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DE77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(1.93)</w:t>
            </w:r>
          </w:p>
        </w:tc>
        <w:tc>
          <w:tcPr>
            <w:tcW w:w="1656" w:type="dxa"/>
            <w:tcBorders>
              <w:top w:val="nil"/>
              <w:left w:val="nil"/>
              <w:bottom w:val="nil"/>
              <w:right w:val="nil"/>
            </w:tcBorders>
          </w:tcPr>
          <w:p w14:paraId="5B6666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(1.87)</w:t>
            </w:r>
          </w:p>
        </w:tc>
        <w:tc>
          <w:tcPr>
            <w:tcW w:w="1656" w:type="dxa"/>
            <w:tcBorders>
              <w:top w:val="nil"/>
              <w:left w:val="nil"/>
              <w:bottom w:val="nil"/>
              <w:right w:val="nil"/>
            </w:tcBorders>
          </w:tcPr>
          <w:p w14:paraId="028194E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(1.31)</w:t>
            </w:r>
          </w:p>
        </w:tc>
        <w:tc>
          <w:tcPr>
            <w:tcW w:w="1656" w:type="dxa"/>
            <w:tcBorders>
              <w:top w:val="nil"/>
              <w:left w:val="nil"/>
              <w:bottom w:val="nil"/>
              <w:right w:val="nil"/>
            </w:tcBorders>
          </w:tcPr>
          <w:p w14:paraId="4039DC4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50C79E90" w14:textId="77777777" w:rsidTr="00015B88">
        <w:tc>
          <w:tcPr>
            <w:tcW w:w="2136" w:type="dxa"/>
            <w:tcBorders>
              <w:top w:val="single" w:sz="4" w:space="0" w:color="auto"/>
              <w:left w:val="nil"/>
              <w:bottom w:val="nil"/>
              <w:right w:val="nil"/>
            </w:tcBorders>
          </w:tcPr>
          <w:p w14:paraId="56FED07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8914C5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92B566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9EF70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3787F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733ACF4A" w14:textId="77777777" w:rsidTr="00015B88">
        <w:tc>
          <w:tcPr>
            <w:tcW w:w="2136" w:type="dxa"/>
            <w:tcBorders>
              <w:top w:val="nil"/>
              <w:left w:val="nil"/>
              <w:bottom w:val="nil"/>
              <w:right w:val="nil"/>
            </w:tcBorders>
          </w:tcPr>
          <w:p w14:paraId="151ADE6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42D37C1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2.982</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64D958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4.569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296DC42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3.034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30A751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6B8FD0BA" w14:textId="77777777" w:rsidTr="00015B88">
        <w:tc>
          <w:tcPr>
            <w:tcW w:w="2136" w:type="dxa"/>
            <w:tcBorders>
              <w:top w:val="nil"/>
              <w:left w:val="nil"/>
              <w:bottom w:val="nil"/>
              <w:right w:val="nil"/>
            </w:tcBorders>
          </w:tcPr>
          <w:p w14:paraId="322F45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2080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(2.30)</w:t>
            </w:r>
          </w:p>
        </w:tc>
        <w:tc>
          <w:tcPr>
            <w:tcW w:w="1656" w:type="dxa"/>
            <w:tcBorders>
              <w:top w:val="nil"/>
              <w:left w:val="nil"/>
              <w:bottom w:val="nil"/>
              <w:right w:val="nil"/>
            </w:tcBorders>
          </w:tcPr>
          <w:p w14:paraId="497A5D0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(2.17)</w:t>
            </w:r>
          </w:p>
        </w:tc>
        <w:tc>
          <w:tcPr>
            <w:tcW w:w="1656" w:type="dxa"/>
            <w:tcBorders>
              <w:top w:val="nil"/>
              <w:left w:val="nil"/>
              <w:bottom w:val="nil"/>
              <w:right w:val="nil"/>
            </w:tcBorders>
          </w:tcPr>
          <w:p w14:paraId="764F3AF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(2.40)</w:t>
            </w:r>
          </w:p>
        </w:tc>
        <w:tc>
          <w:tcPr>
            <w:tcW w:w="1656" w:type="dxa"/>
            <w:tcBorders>
              <w:top w:val="nil"/>
              <w:left w:val="nil"/>
              <w:bottom w:val="nil"/>
              <w:right w:val="nil"/>
            </w:tcBorders>
          </w:tcPr>
          <w:p w14:paraId="58951D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128B7DF9" w14:textId="77777777" w:rsidTr="00015B88">
        <w:tc>
          <w:tcPr>
            <w:tcW w:w="2136" w:type="dxa"/>
            <w:tcBorders>
              <w:top w:val="single" w:sz="4" w:space="0" w:color="auto"/>
              <w:left w:val="nil"/>
              <w:bottom w:val="nil"/>
              <w:right w:val="nil"/>
            </w:tcBorders>
          </w:tcPr>
          <w:p w14:paraId="07475D6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57D7906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3CCE5D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69B2C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A09BC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6D23EC3F" w14:textId="77777777" w:rsidTr="00015B88">
        <w:tc>
          <w:tcPr>
            <w:tcW w:w="2136" w:type="dxa"/>
            <w:tcBorders>
              <w:top w:val="nil"/>
              <w:left w:val="nil"/>
              <w:bottom w:val="nil"/>
              <w:right w:val="nil"/>
            </w:tcBorders>
          </w:tcPr>
          <w:p w14:paraId="0C6C728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377374C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0.693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63548D5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3.266</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DBE93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0.708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532C7F7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3D84F1B0" w14:textId="77777777" w:rsidTr="00015B88">
        <w:tc>
          <w:tcPr>
            <w:tcW w:w="2136" w:type="dxa"/>
            <w:tcBorders>
              <w:top w:val="nil"/>
              <w:left w:val="nil"/>
              <w:bottom w:val="nil"/>
              <w:right w:val="nil"/>
            </w:tcBorders>
          </w:tcPr>
          <w:p w14:paraId="162B272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A87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(2.75)</w:t>
            </w:r>
          </w:p>
        </w:tc>
        <w:tc>
          <w:tcPr>
            <w:tcW w:w="1656" w:type="dxa"/>
            <w:tcBorders>
              <w:top w:val="nil"/>
              <w:left w:val="nil"/>
              <w:bottom w:val="nil"/>
              <w:right w:val="nil"/>
            </w:tcBorders>
          </w:tcPr>
          <w:p w14:paraId="2D7341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(3.41)</w:t>
            </w:r>
          </w:p>
        </w:tc>
        <w:tc>
          <w:tcPr>
            <w:tcW w:w="1656" w:type="dxa"/>
            <w:tcBorders>
              <w:top w:val="nil"/>
              <w:left w:val="nil"/>
              <w:bottom w:val="nil"/>
              <w:right w:val="nil"/>
            </w:tcBorders>
          </w:tcPr>
          <w:p w14:paraId="39A7550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(2.84)</w:t>
            </w:r>
          </w:p>
        </w:tc>
        <w:tc>
          <w:tcPr>
            <w:tcW w:w="1656" w:type="dxa"/>
            <w:tcBorders>
              <w:top w:val="nil"/>
              <w:left w:val="nil"/>
              <w:bottom w:val="nil"/>
              <w:right w:val="nil"/>
            </w:tcBorders>
          </w:tcPr>
          <w:p w14:paraId="6375E95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10DDC4C4" w14:textId="77777777" w:rsidTr="00015B88">
        <w:tc>
          <w:tcPr>
            <w:tcW w:w="2136" w:type="dxa"/>
            <w:tcBorders>
              <w:top w:val="single" w:sz="4" w:space="0" w:color="auto"/>
              <w:left w:val="nil"/>
              <w:bottom w:val="nil"/>
              <w:right w:val="nil"/>
            </w:tcBorders>
          </w:tcPr>
          <w:p w14:paraId="3038D3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w:t>
            </w:r>
          </w:p>
        </w:tc>
        <w:tc>
          <w:tcPr>
            <w:tcW w:w="1656" w:type="dxa"/>
            <w:tcBorders>
              <w:top w:val="single" w:sz="4" w:space="0" w:color="auto"/>
              <w:left w:val="nil"/>
              <w:bottom w:val="nil"/>
              <w:right w:val="nil"/>
            </w:tcBorders>
          </w:tcPr>
          <w:p w14:paraId="0F0E9C5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E919DD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361E7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DF526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2D152F68" w14:textId="77777777" w:rsidTr="00015B88">
        <w:tc>
          <w:tcPr>
            <w:tcW w:w="2136" w:type="dxa"/>
            <w:tcBorders>
              <w:top w:val="nil"/>
              <w:left w:val="nil"/>
              <w:bottom w:val="nil"/>
              <w:right w:val="nil"/>
            </w:tcBorders>
          </w:tcPr>
          <w:p w14:paraId="26D23B3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lnsig2u</w:t>
            </w:r>
          </w:p>
        </w:tc>
        <w:tc>
          <w:tcPr>
            <w:tcW w:w="1656" w:type="dxa"/>
            <w:tcBorders>
              <w:top w:val="nil"/>
              <w:left w:val="nil"/>
              <w:bottom w:val="nil"/>
              <w:right w:val="nil"/>
            </w:tcBorders>
          </w:tcPr>
          <w:p w14:paraId="6A3686A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8D9383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04E9DF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30F4D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1.887</w:t>
            </w:r>
            <w:r w:rsidRPr="005B536A">
              <w:rPr>
                <w:rFonts w:ascii="Times New Roman" w:hAnsi="Times New Roman" w:cs="Times New Roman"/>
                <w:sz w:val="16"/>
                <w:szCs w:val="16"/>
                <w:vertAlign w:val="superscript"/>
              </w:rPr>
              <w:t>***</w:t>
            </w:r>
          </w:p>
        </w:tc>
      </w:tr>
      <w:tr w:rsidR="008D10A7" w:rsidRPr="005B536A" w14:paraId="53A97DDD" w14:textId="77777777" w:rsidTr="00015B88">
        <w:tc>
          <w:tcPr>
            <w:tcW w:w="2136" w:type="dxa"/>
            <w:tcBorders>
              <w:top w:val="nil"/>
              <w:left w:val="nil"/>
              <w:bottom w:val="single" w:sz="4" w:space="0" w:color="auto"/>
              <w:right w:val="nil"/>
            </w:tcBorders>
          </w:tcPr>
          <w:p w14:paraId="20C877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5A4325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72B1AA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BAB431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43A17A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(5.47)</w:t>
            </w:r>
          </w:p>
        </w:tc>
      </w:tr>
      <w:tr w:rsidR="008D10A7" w:rsidRPr="005B536A" w14:paraId="4C2EB102" w14:textId="77777777" w:rsidTr="00015B88">
        <w:tc>
          <w:tcPr>
            <w:tcW w:w="2136" w:type="dxa"/>
            <w:tcBorders>
              <w:top w:val="nil"/>
              <w:left w:val="nil"/>
              <w:bottom w:val="single" w:sz="4" w:space="0" w:color="auto"/>
              <w:right w:val="nil"/>
            </w:tcBorders>
          </w:tcPr>
          <w:p w14:paraId="284E63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24156A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1063</w:t>
            </w:r>
          </w:p>
        </w:tc>
        <w:tc>
          <w:tcPr>
            <w:tcW w:w="1656" w:type="dxa"/>
            <w:tcBorders>
              <w:top w:val="nil"/>
              <w:left w:val="nil"/>
              <w:bottom w:val="single" w:sz="4" w:space="0" w:color="auto"/>
              <w:right w:val="nil"/>
            </w:tcBorders>
          </w:tcPr>
          <w:p w14:paraId="7FA703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1064</w:t>
            </w:r>
          </w:p>
        </w:tc>
        <w:tc>
          <w:tcPr>
            <w:tcW w:w="1656" w:type="dxa"/>
            <w:tcBorders>
              <w:top w:val="nil"/>
              <w:left w:val="nil"/>
              <w:bottom w:val="single" w:sz="4" w:space="0" w:color="auto"/>
              <w:right w:val="nil"/>
            </w:tcBorders>
          </w:tcPr>
          <w:p w14:paraId="454EE6E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884</w:t>
            </w:r>
          </w:p>
        </w:tc>
        <w:tc>
          <w:tcPr>
            <w:tcW w:w="1656" w:type="dxa"/>
            <w:tcBorders>
              <w:top w:val="nil"/>
              <w:left w:val="nil"/>
              <w:bottom w:val="single" w:sz="4" w:space="0" w:color="auto"/>
              <w:right w:val="nil"/>
            </w:tcBorders>
          </w:tcPr>
          <w:p w14:paraId="7EFD082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2565</w:t>
            </w:r>
          </w:p>
        </w:tc>
      </w:tr>
    </w:tbl>
    <w:p w14:paraId="364988D9" w14:textId="77777777" w:rsidR="008D10A7" w:rsidRPr="005B536A" w:rsidRDefault="008D10A7" w:rsidP="008D10A7">
      <w:pPr>
        <w:widowControl w:val="0"/>
        <w:autoSpaceDE w:val="0"/>
        <w:autoSpaceDN w:val="0"/>
        <w:adjustRightInd w:val="0"/>
        <w:spacing w:after="0" w:line="240" w:lineRule="auto"/>
        <w:rPr>
          <w:rFonts w:ascii="Times New Roman" w:hAnsi="Times New Roman" w:cs="Times New Roman"/>
          <w:sz w:val="12"/>
          <w:szCs w:val="12"/>
        </w:rPr>
      </w:pPr>
      <w:r w:rsidRPr="005B536A">
        <w:rPr>
          <w:rFonts w:ascii="Times New Roman" w:hAnsi="Times New Roman" w:cs="Times New Roman"/>
          <w:i/>
          <w:iCs/>
          <w:sz w:val="12"/>
          <w:szCs w:val="12"/>
        </w:rPr>
        <w:lastRenderedPageBreak/>
        <w:t>t</w:t>
      </w:r>
      <w:r w:rsidRPr="005B536A">
        <w:rPr>
          <w:rFonts w:ascii="Times New Roman" w:hAnsi="Times New Roman" w:cs="Times New Roman"/>
          <w:sz w:val="12"/>
          <w:szCs w:val="12"/>
        </w:rPr>
        <w:t xml:space="preserve"> statistics in parentheses</w:t>
      </w:r>
    </w:p>
    <w:p w14:paraId="3E13AE9F" w14:textId="77777777" w:rsidR="008D10A7" w:rsidRPr="005B536A" w:rsidRDefault="008D10A7" w:rsidP="008D10A7">
      <w:pPr>
        <w:widowControl w:val="0"/>
        <w:autoSpaceDE w:val="0"/>
        <w:autoSpaceDN w:val="0"/>
        <w:adjustRightInd w:val="0"/>
        <w:spacing w:after="0" w:line="240" w:lineRule="auto"/>
        <w:rPr>
          <w:rFonts w:ascii="Times New Roman" w:hAnsi="Times New Roman" w:cs="Times New Roman"/>
          <w:sz w:val="12"/>
          <w:szCs w:val="12"/>
        </w:rPr>
      </w:pPr>
      <w:r w:rsidRPr="005B536A">
        <w:rPr>
          <w:rFonts w:ascii="Times New Roman" w:hAnsi="Times New Roman" w:cs="Times New Roman"/>
          <w:sz w:val="12"/>
          <w:szCs w:val="12"/>
          <w:vertAlign w:val="superscript"/>
        </w:rPr>
        <w:t>*</w:t>
      </w:r>
      <w:r w:rsidRPr="005B536A">
        <w:rPr>
          <w:rFonts w:ascii="Times New Roman" w:hAnsi="Times New Roman" w:cs="Times New Roman"/>
          <w:sz w:val="12"/>
          <w:szCs w:val="12"/>
        </w:rPr>
        <w:t xml:space="preserve"> </w:t>
      </w:r>
      <w:r w:rsidRPr="005B536A">
        <w:rPr>
          <w:rFonts w:ascii="Times New Roman" w:hAnsi="Times New Roman" w:cs="Times New Roman"/>
          <w:i/>
          <w:iCs/>
          <w:sz w:val="12"/>
          <w:szCs w:val="12"/>
        </w:rPr>
        <w:t>p</w:t>
      </w:r>
      <w:r w:rsidRPr="005B536A">
        <w:rPr>
          <w:rFonts w:ascii="Times New Roman" w:hAnsi="Times New Roman" w:cs="Times New Roman"/>
          <w:sz w:val="12"/>
          <w:szCs w:val="12"/>
        </w:rPr>
        <w:t xml:space="preserve"> &lt; 0.05, </w:t>
      </w:r>
      <w:r w:rsidRPr="005B536A">
        <w:rPr>
          <w:rFonts w:ascii="Times New Roman" w:hAnsi="Times New Roman" w:cs="Times New Roman"/>
          <w:sz w:val="12"/>
          <w:szCs w:val="12"/>
          <w:vertAlign w:val="superscript"/>
        </w:rPr>
        <w:t>**</w:t>
      </w:r>
      <w:r w:rsidRPr="005B536A">
        <w:rPr>
          <w:rFonts w:ascii="Times New Roman" w:hAnsi="Times New Roman" w:cs="Times New Roman"/>
          <w:sz w:val="12"/>
          <w:szCs w:val="12"/>
        </w:rPr>
        <w:t xml:space="preserve"> </w:t>
      </w:r>
      <w:r w:rsidRPr="005B536A">
        <w:rPr>
          <w:rFonts w:ascii="Times New Roman" w:hAnsi="Times New Roman" w:cs="Times New Roman"/>
          <w:i/>
          <w:iCs/>
          <w:sz w:val="12"/>
          <w:szCs w:val="12"/>
        </w:rPr>
        <w:t>p</w:t>
      </w:r>
      <w:r w:rsidRPr="005B536A">
        <w:rPr>
          <w:rFonts w:ascii="Times New Roman" w:hAnsi="Times New Roman" w:cs="Times New Roman"/>
          <w:sz w:val="12"/>
          <w:szCs w:val="12"/>
        </w:rPr>
        <w:t xml:space="preserve"> &lt; 0.01, </w:t>
      </w:r>
      <w:r w:rsidRPr="005B536A">
        <w:rPr>
          <w:rFonts w:ascii="Times New Roman" w:hAnsi="Times New Roman" w:cs="Times New Roman"/>
          <w:sz w:val="12"/>
          <w:szCs w:val="12"/>
          <w:vertAlign w:val="superscript"/>
        </w:rPr>
        <w:t>***</w:t>
      </w:r>
      <w:r w:rsidRPr="005B536A">
        <w:rPr>
          <w:rFonts w:ascii="Times New Roman" w:hAnsi="Times New Roman" w:cs="Times New Roman"/>
          <w:sz w:val="12"/>
          <w:szCs w:val="12"/>
        </w:rPr>
        <w:t xml:space="preserve"> </w:t>
      </w:r>
      <w:r w:rsidRPr="005B536A">
        <w:rPr>
          <w:rFonts w:ascii="Times New Roman" w:hAnsi="Times New Roman" w:cs="Times New Roman"/>
          <w:i/>
          <w:iCs/>
          <w:sz w:val="12"/>
          <w:szCs w:val="12"/>
        </w:rPr>
        <w:t>p</w:t>
      </w:r>
      <w:r w:rsidRPr="005B536A">
        <w:rPr>
          <w:rFonts w:ascii="Times New Roman" w:hAnsi="Times New Roman" w:cs="Times New Roman"/>
          <w:sz w:val="12"/>
          <w:szCs w:val="12"/>
        </w:rPr>
        <w:t xml:space="preserve"> &lt; 0.001</w:t>
      </w:r>
    </w:p>
    <w:p w14:paraId="7FA90ACE" w14:textId="77777777" w:rsidR="008E7D4B" w:rsidRPr="000C463F" w:rsidRDefault="008E7D4B" w:rsidP="00DB7775"/>
    <w:p w14:paraId="448D5A54" w14:textId="4994C8A6" w:rsidR="00DB7775" w:rsidRPr="00F828CA" w:rsidRDefault="00C75D55" w:rsidP="00DB7775">
      <w:r w:rsidRPr="00F828CA">
        <w:t>Table A</w:t>
      </w:r>
      <w:r w:rsidR="00A002D9" w:rsidRPr="00F828CA">
        <w:t>20</w:t>
      </w:r>
      <w:r w:rsidRPr="00F828CA">
        <w:t xml:space="preserve">: </w:t>
      </w:r>
      <w:r w:rsidR="00DB7775" w:rsidRPr="00F828CA">
        <w:t>HOG = HOS binary</w:t>
      </w:r>
      <w:r w:rsidR="00227FCE" w:rsidRPr="00F828CA">
        <w:t>, Fixed effects clustered SEs</w:t>
      </w:r>
    </w:p>
    <w:tbl>
      <w:tblPr>
        <w:tblW w:w="0" w:type="auto"/>
        <w:tblLayout w:type="fixed"/>
        <w:tblLook w:val="0000" w:firstRow="0" w:lastRow="0" w:firstColumn="0" w:lastColumn="0" w:noHBand="0" w:noVBand="0"/>
      </w:tblPr>
      <w:tblGrid>
        <w:gridCol w:w="2136"/>
        <w:gridCol w:w="1656"/>
        <w:gridCol w:w="1656"/>
      </w:tblGrid>
      <w:tr w:rsidR="00932845" w14:paraId="7C38CE84" w14:textId="77777777" w:rsidTr="00F16287">
        <w:tc>
          <w:tcPr>
            <w:tcW w:w="2136" w:type="dxa"/>
            <w:tcBorders>
              <w:top w:val="single" w:sz="4" w:space="0" w:color="auto"/>
              <w:left w:val="nil"/>
              <w:bottom w:val="nil"/>
              <w:right w:val="nil"/>
            </w:tcBorders>
          </w:tcPr>
          <w:p w14:paraId="2490BE55"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5FE2833E"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0FD1BC7D"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32845" w14:paraId="3C52A1D9" w14:textId="77777777" w:rsidTr="00F16287">
        <w:tc>
          <w:tcPr>
            <w:tcW w:w="2136" w:type="dxa"/>
            <w:tcBorders>
              <w:top w:val="nil"/>
              <w:left w:val="nil"/>
              <w:bottom w:val="nil"/>
              <w:right w:val="nil"/>
            </w:tcBorders>
          </w:tcPr>
          <w:p w14:paraId="2A578641"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AC63F74"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227D4F29"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r>
      <w:tr w:rsidR="00932845" w14:paraId="5DA7B2F4" w14:textId="77777777" w:rsidTr="00F16287">
        <w:tc>
          <w:tcPr>
            <w:tcW w:w="2136" w:type="dxa"/>
            <w:tcBorders>
              <w:top w:val="single" w:sz="4" w:space="0" w:color="auto"/>
              <w:left w:val="nil"/>
              <w:bottom w:val="nil"/>
              <w:right w:val="nil"/>
            </w:tcBorders>
          </w:tcPr>
          <w:p w14:paraId="4917E663" w14:textId="77777777" w:rsidR="00932845" w:rsidRPr="00E11837" w:rsidRDefault="00932845" w:rsidP="00F16287">
            <w:pPr>
              <w:widowControl w:val="0"/>
              <w:autoSpaceDE w:val="0"/>
              <w:autoSpaceDN w:val="0"/>
              <w:adjustRightInd w:val="0"/>
              <w:spacing w:after="0" w:line="240" w:lineRule="auto"/>
              <w:rPr>
                <w:rFonts w:ascii="Times New Roman" w:hAnsi="Times New Roman" w:cs="Times New Roman"/>
                <w:sz w:val="24"/>
                <w:szCs w:val="24"/>
                <w:lang w:val="fr-BE"/>
              </w:rPr>
            </w:pPr>
            <w:r w:rsidRPr="00E11837">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34EE34AA"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0.195</w:t>
            </w:r>
          </w:p>
        </w:tc>
        <w:tc>
          <w:tcPr>
            <w:tcW w:w="1656" w:type="dxa"/>
            <w:tcBorders>
              <w:top w:val="single" w:sz="4" w:space="0" w:color="auto"/>
              <w:left w:val="nil"/>
              <w:bottom w:val="nil"/>
              <w:right w:val="nil"/>
            </w:tcBorders>
          </w:tcPr>
          <w:p w14:paraId="31672949"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0.261</w:t>
            </w:r>
          </w:p>
        </w:tc>
      </w:tr>
      <w:tr w:rsidR="00932845" w14:paraId="0570DE86" w14:textId="77777777" w:rsidTr="00F16287">
        <w:tc>
          <w:tcPr>
            <w:tcW w:w="2136" w:type="dxa"/>
            <w:tcBorders>
              <w:top w:val="nil"/>
              <w:left w:val="nil"/>
              <w:bottom w:val="nil"/>
              <w:right w:val="nil"/>
            </w:tcBorders>
          </w:tcPr>
          <w:p w14:paraId="058927E4"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9CC02DB"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w:t>
            </w:r>
          </w:p>
        </w:tc>
        <w:tc>
          <w:tcPr>
            <w:tcW w:w="1656" w:type="dxa"/>
            <w:tcBorders>
              <w:top w:val="nil"/>
              <w:left w:val="nil"/>
              <w:bottom w:val="nil"/>
              <w:right w:val="nil"/>
            </w:tcBorders>
          </w:tcPr>
          <w:p w14:paraId="22969222"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(1.83)</w:t>
            </w:r>
          </w:p>
        </w:tc>
      </w:tr>
      <w:tr w:rsidR="00932845" w14:paraId="7CDCC393" w14:textId="77777777" w:rsidTr="00F16287">
        <w:tc>
          <w:tcPr>
            <w:tcW w:w="2136" w:type="dxa"/>
            <w:tcBorders>
              <w:top w:val="nil"/>
              <w:left w:val="nil"/>
              <w:bottom w:val="nil"/>
              <w:right w:val="nil"/>
            </w:tcBorders>
          </w:tcPr>
          <w:p w14:paraId="561568AF"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E5DEFA6"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4BF6043"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r>
      <w:tr w:rsidR="00932845" w14:paraId="77C51314" w14:textId="77777777" w:rsidTr="00F16287">
        <w:tc>
          <w:tcPr>
            <w:tcW w:w="2136" w:type="dxa"/>
            <w:tcBorders>
              <w:top w:val="nil"/>
              <w:left w:val="nil"/>
              <w:bottom w:val="nil"/>
              <w:right w:val="nil"/>
            </w:tcBorders>
          </w:tcPr>
          <w:p w14:paraId="3C47EB6B" w14:textId="4B85D0A7" w:rsidR="00932845" w:rsidRDefault="00F828C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HOS = HOG</w:t>
            </w:r>
          </w:p>
        </w:tc>
        <w:tc>
          <w:tcPr>
            <w:tcW w:w="1656" w:type="dxa"/>
            <w:tcBorders>
              <w:top w:val="nil"/>
              <w:left w:val="nil"/>
              <w:bottom w:val="nil"/>
              <w:right w:val="nil"/>
            </w:tcBorders>
          </w:tcPr>
          <w:p w14:paraId="2E1F3C04"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0.0221</w:t>
            </w:r>
          </w:p>
        </w:tc>
        <w:tc>
          <w:tcPr>
            <w:tcW w:w="1656" w:type="dxa"/>
            <w:tcBorders>
              <w:top w:val="nil"/>
              <w:left w:val="nil"/>
              <w:bottom w:val="nil"/>
              <w:right w:val="nil"/>
            </w:tcBorders>
          </w:tcPr>
          <w:p w14:paraId="7F4E3E9D"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0.149</w:t>
            </w:r>
          </w:p>
        </w:tc>
      </w:tr>
      <w:tr w:rsidR="00932845" w14:paraId="253C0160" w14:textId="77777777" w:rsidTr="00F16287">
        <w:tc>
          <w:tcPr>
            <w:tcW w:w="2136" w:type="dxa"/>
            <w:tcBorders>
              <w:top w:val="nil"/>
              <w:left w:val="nil"/>
              <w:bottom w:val="nil"/>
              <w:right w:val="nil"/>
            </w:tcBorders>
          </w:tcPr>
          <w:p w14:paraId="5E79E4D1"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54C1E31"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656" w:type="dxa"/>
            <w:tcBorders>
              <w:top w:val="nil"/>
              <w:left w:val="nil"/>
              <w:bottom w:val="nil"/>
              <w:right w:val="nil"/>
            </w:tcBorders>
          </w:tcPr>
          <w:p w14:paraId="542EDF5E"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(0.69)</w:t>
            </w:r>
          </w:p>
        </w:tc>
      </w:tr>
      <w:tr w:rsidR="00932845" w14:paraId="33CB0119" w14:textId="77777777" w:rsidTr="00F16287">
        <w:tc>
          <w:tcPr>
            <w:tcW w:w="2136" w:type="dxa"/>
            <w:tcBorders>
              <w:top w:val="nil"/>
              <w:left w:val="nil"/>
              <w:bottom w:val="nil"/>
              <w:right w:val="nil"/>
            </w:tcBorders>
          </w:tcPr>
          <w:p w14:paraId="0A0D8CC1"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4DD8987"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1F1C97A"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r>
      <w:tr w:rsidR="00932845" w14:paraId="0ED66328" w14:textId="77777777" w:rsidTr="00F16287">
        <w:tc>
          <w:tcPr>
            <w:tcW w:w="2136" w:type="dxa"/>
            <w:tcBorders>
              <w:top w:val="nil"/>
              <w:left w:val="nil"/>
              <w:bottom w:val="nil"/>
              <w:right w:val="nil"/>
            </w:tcBorders>
          </w:tcPr>
          <w:p w14:paraId="0DF5E345" w14:textId="37E6C1F7" w:rsidR="00932845" w:rsidRPr="00E11837" w:rsidRDefault="00F828CA" w:rsidP="00F16287">
            <w:pPr>
              <w:widowControl w:val="0"/>
              <w:autoSpaceDE w:val="0"/>
              <w:autoSpaceDN w:val="0"/>
              <w:adjustRightInd w:val="0"/>
              <w:spacing w:after="0" w:line="240" w:lineRule="auto"/>
              <w:rPr>
                <w:rFonts w:ascii="Times New Roman" w:hAnsi="Times New Roman" w:cs="Times New Roman"/>
                <w:sz w:val="24"/>
                <w:szCs w:val="24"/>
                <w:lang w:val="fr-BE"/>
              </w:rPr>
            </w:pPr>
            <w:r>
              <w:rPr>
                <w:rFonts w:ascii="Times New Roman" w:hAnsi="Times New Roman" w:cs="Times New Roman"/>
                <w:sz w:val="24"/>
                <w:szCs w:val="24"/>
                <w:lang w:val="fr-BE"/>
              </w:rPr>
              <w:t>HOS = HOG *</w:t>
            </w:r>
            <w:r w:rsidR="00932845" w:rsidRPr="00E11837">
              <w:rPr>
                <w:rFonts w:ascii="Times New Roman" w:hAnsi="Times New Roman" w:cs="Times New Roman"/>
                <w:sz w:val="24"/>
                <w:szCs w:val="24"/>
                <w:lang w:val="fr-BE"/>
              </w:rPr>
              <w:t xml:space="preserve"> De Jure CBI (CNW Index)</w:t>
            </w:r>
          </w:p>
        </w:tc>
        <w:tc>
          <w:tcPr>
            <w:tcW w:w="1656" w:type="dxa"/>
            <w:tcBorders>
              <w:top w:val="nil"/>
              <w:left w:val="nil"/>
              <w:bottom w:val="nil"/>
              <w:right w:val="nil"/>
            </w:tcBorders>
          </w:tcPr>
          <w:p w14:paraId="2D1C879D"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-0.00877</w:t>
            </w:r>
          </w:p>
        </w:tc>
        <w:tc>
          <w:tcPr>
            <w:tcW w:w="1656" w:type="dxa"/>
            <w:tcBorders>
              <w:top w:val="nil"/>
              <w:left w:val="nil"/>
              <w:bottom w:val="nil"/>
              <w:right w:val="nil"/>
            </w:tcBorders>
          </w:tcPr>
          <w:p w14:paraId="3A8B58B1"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-0.0563</w:t>
            </w:r>
          </w:p>
        </w:tc>
      </w:tr>
      <w:tr w:rsidR="00932845" w14:paraId="3FA46B55" w14:textId="77777777" w:rsidTr="00F16287">
        <w:tc>
          <w:tcPr>
            <w:tcW w:w="2136" w:type="dxa"/>
            <w:tcBorders>
              <w:top w:val="nil"/>
              <w:left w:val="nil"/>
              <w:bottom w:val="nil"/>
              <w:right w:val="nil"/>
            </w:tcBorders>
          </w:tcPr>
          <w:p w14:paraId="51A6BBBD"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47D2312"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656" w:type="dxa"/>
            <w:tcBorders>
              <w:top w:val="nil"/>
              <w:left w:val="nil"/>
              <w:bottom w:val="nil"/>
              <w:right w:val="nil"/>
            </w:tcBorders>
          </w:tcPr>
          <w:p w14:paraId="4FB7221C"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w:t>
            </w:r>
          </w:p>
        </w:tc>
      </w:tr>
      <w:tr w:rsidR="00932845" w14:paraId="1B12876C" w14:textId="77777777" w:rsidTr="00F16287">
        <w:tc>
          <w:tcPr>
            <w:tcW w:w="2136" w:type="dxa"/>
            <w:tcBorders>
              <w:top w:val="nil"/>
              <w:left w:val="nil"/>
              <w:bottom w:val="nil"/>
              <w:right w:val="nil"/>
            </w:tcBorders>
          </w:tcPr>
          <w:p w14:paraId="21B66995"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DFD3A77"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6B8D00F"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r>
      <w:tr w:rsidR="00932845" w14:paraId="46F10753" w14:textId="77777777" w:rsidTr="00F16287">
        <w:tc>
          <w:tcPr>
            <w:tcW w:w="2136" w:type="dxa"/>
            <w:tcBorders>
              <w:top w:val="nil"/>
              <w:left w:val="nil"/>
              <w:bottom w:val="nil"/>
              <w:right w:val="nil"/>
            </w:tcBorders>
          </w:tcPr>
          <w:p w14:paraId="30E20803"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6A5A2365"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0.00372</w:t>
            </w:r>
          </w:p>
        </w:tc>
        <w:tc>
          <w:tcPr>
            <w:tcW w:w="1656" w:type="dxa"/>
            <w:tcBorders>
              <w:top w:val="nil"/>
              <w:left w:val="nil"/>
              <w:bottom w:val="nil"/>
              <w:right w:val="nil"/>
            </w:tcBorders>
          </w:tcPr>
          <w:p w14:paraId="1F0CBE66"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-0.0105</w:t>
            </w:r>
          </w:p>
        </w:tc>
      </w:tr>
      <w:tr w:rsidR="00932845" w14:paraId="0051EF59" w14:textId="77777777" w:rsidTr="00F16287">
        <w:tc>
          <w:tcPr>
            <w:tcW w:w="2136" w:type="dxa"/>
            <w:tcBorders>
              <w:top w:val="nil"/>
              <w:left w:val="nil"/>
              <w:bottom w:val="nil"/>
              <w:right w:val="nil"/>
            </w:tcBorders>
          </w:tcPr>
          <w:p w14:paraId="27B2E4CE"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5006AA9"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w:t>
            </w:r>
          </w:p>
        </w:tc>
        <w:tc>
          <w:tcPr>
            <w:tcW w:w="1656" w:type="dxa"/>
            <w:tcBorders>
              <w:top w:val="nil"/>
              <w:left w:val="nil"/>
              <w:bottom w:val="nil"/>
              <w:right w:val="nil"/>
            </w:tcBorders>
          </w:tcPr>
          <w:p w14:paraId="4C08953C"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(-1.55)</w:t>
            </w:r>
          </w:p>
        </w:tc>
      </w:tr>
      <w:tr w:rsidR="00932845" w14:paraId="5869762F" w14:textId="77777777" w:rsidTr="00F16287">
        <w:tc>
          <w:tcPr>
            <w:tcW w:w="2136" w:type="dxa"/>
            <w:tcBorders>
              <w:top w:val="nil"/>
              <w:left w:val="nil"/>
              <w:bottom w:val="nil"/>
              <w:right w:val="nil"/>
            </w:tcBorders>
          </w:tcPr>
          <w:p w14:paraId="6257E6EC"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142D169"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B68A407"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r>
      <w:tr w:rsidR="00932845" w14:paraId="78BF8A0A" w14:textId="77777777" w:rsidTr="00F16287">
        <w:tc>
          <w:tcPr>
            <w:tcW w:w="2136" w:type="dxa"/>
            <w:tcBorders>
              <w:top w:val="nil"/>
              <w:left w:val="nil"/>
              <w:bottom w:val="nil"/>
              <w:right w:val="nil"/>
            </w:tcBorders>
          </w:tcPr>
          <w:p w14:paraId="60E7DA84" w14:textId="0B79F402" w:rsidR="00932845" w:rsidRDefault="00F828C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HOS = HOG *</w:t>
            </w:r>
            <w:r w:rsidR="00932845">
              <w:rPr>
                <w:rFonts w:ascii="Times New Roman" w:hAnsi="Times New Roman" w:cs="Times New Roman"/>
                <w:sz w:val="24"/>
                <w:szCs w:val="24"/>
              </w:rPr>
              <w:t xml:space="preserve"> Exchange Rate Classification (RR inverted, higher = more fixed)</w:t>
            </w:r>
          </w:p>
        </w:tc>
        <w:tc>
          <w:tcPr>
            <w:tcW w:w="1656" w:type="dxa"/>
            <w:tcBorders>
              <w:top w:val="nil"/>
              <w:left w:val="nil"/>
              <w:bottom w:val="nil"/>
              <w:right w:val="nil"/>
            </w:tcBorders>
          </w:tcPr>
          <w:p w14:paraId="39B6D3F1"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-0.0385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35EDA429"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-0.0248</w:t>
            </w:r>
            <w:r>
              <w:rPr>
                <w:rFonts w:ascii="Times New Roman" w:hAnsi="Times New Roman" w:cs="Times New Roman"/>
                <w:sz w:val="24"/>
                <w:szCs w:val="24"/>
                <w:vertAlign w:val="superscript"/>
              </w:rPr>
              <w:t>*</w:t>
            </w:r>
          </w:p>
        </w:tc>
      </w:tr>
      <w:tr w:rsidR="00932845" w14:paraId="79EFFB28" w14:textId="77777777" w:rsidTr="00F16287">
        <w:tc>
          <w:tcPr>
            <w:tcW w:w="2136" w:type="dxa"/>
            <w:tcBorders>
              <w:top w:val="nil"/>
              <w:left w:val="nil"/>
              <w:bottom w:val="nil"/>
              <w:right w:val="nil"/>
            </w:tcBorders>
          </w:tcPr>
          <w:p w14:paraId="671F96F8"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1EF9351"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(-3.11)</w:t>
            </w:r>
          </w:p>
        </w:tc>
        <w:tc>
          <w:tcPr>
            <w:tcW w:w="1656" w:type="dxa"/>
            <w:tcBorders>
              <w:top w:val="nil"/>
              <w:left w:val="nil"/>
              <w:bottom w:val="nil"/>
              <w:right w:val="nil"/>
            </w:tcBorders>
          </w:tcPr>
          <w:p w14:paraId="1EF3617F"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(-2.06)</w:t>
            </w:r>
          </w:p>
        </w:tc>
      </w:tr>
      <w:tr w:rsidR="00932845" w14:paraId="35C20C92" w14:textId="77777777" w:rsidTr="00F16287">
        <w:tc>
          <w:tcPr>
            <w:tcW w:w="2136" w:type="dxa"/>
            <w:tcBorders>
              <w:top w:val="nil"/>
              <w:left w:val="nil"/>
              <w:bottom w:val="nil"/>
              <w:right w:val="nil"/>
            </w:tcBorders>
          </w:tcPr>
          <w:p w14:paraId="06832C50"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147B96C"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7A1658F"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r>
      <w:tr w:rsidR="00932845" w14:paraId="52EAAAE6" w14:textId="77777777" w:rsidTr="00F16287">
        <w:tc>
          <w:tcPr>
            <w:tcW w:w="2136" w:type="dxa"/>
            <w:tcBorders>
              <w:top w:val="nil"/>
              <w:left w:val="nil"/>
              <w:bottom w:val="nil"/>
              <w:right w:val="nil"/>
            </w:tcBorders>
          </w:tcPr>
          <w:p w14:paraId="70690CE9"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0921389D"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0.626</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A859D26"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0.351</w:t>
            </w:r>
            <w:r>
              <w:rPr>
                <w:rFonts w:ascii="Times New Roman" w:hAnsi="Times New Roman" w:cs="Times New Roman"/>
                <w:sz w:val="24"/>
                <w:szCs w:val="24"/>
                <w:vertAlign w:val="superscript"/>
              </w:rPr>
              <w:t>***</w:t>
            </w:r>
          </w:p>
        </w:tc>
      </w:tr>
      <w:tr w:rsidR="00932845" w14:paraId="435FE8FF" w14:textId="77777777" w:rsidTr="00F16287">
        <w:tc>
          <w:tcPr>
            <w:tcW w:w="2136" w:type="dxa"/>
            <w:tcBorders>
              <w:top w:val="nil"/>
              <w:left w:val="nil"/>
              <w:bottom w:val="single" w:sz="4" w:space="0" w:color="auto"/>
              <w:right w:val="nil"/>
            </w:tcBorders>
          </w:tcPr>
          <w:p w14:paraId="0FAB0935"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2F8CECF4"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(5.61)</w:t>
            </w:r>
          </w:p>
        </w:tc>
        <w:tc>
          <w:tcPr>
            <w:tcW w:w="1656" w:type="dxa"/>
            <w:tcBorders>
              <w:top w:val="nil"/>
              <w:left w:val="nil"/>
              <w:bottom w:val="single" w:sz="4" w:space="0" w:color="auto"/>
              <w:right w:val="nil"/>
            </w:tcBorders>
          </w:tcPr>
          <w:p w14:paraId="4C6B170B"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(4.20)</w:t>
            </w:r>
          </w:p>
        </w:tc>
      </w:tr>
      <w:tr w:rsidR="00932845" w14:paraId="6D211226" w14:textId="77777777" w:rsidTr="00F16287">
        <w:tc>
          <w:tcPr>
            <w:tcW w:w="2136" w:type="dxa"/>
            <w:tcBorders>
              <w:top w:val="nil"/>
              <w:left w:val="nil"/>
              <w:bottom w:val="single" w:sz="4" w:space="0" w:color="auto"/>
              <w:right w:val="nil"/>
            </w:tcBorders>
          </w:tcPr>
          <w:p w14:paraId="517A5CF8" w14:textId="77777777" w:rsidR="00932845" w:rsidRDefault="00932845"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5E4D8A3B"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1399</w:t>
            </w:r>
          </w:p>
        </w:tc>
        <w:tc>
          <w:tcPr>
            <w:tcW w:w="1656" w:type="dxa"/>
            <w:tcBorders>
              <w:top w:val="nil"/>
              <w:left w:val="nil"/>
              <w:bottom w:val="single" w:sz="4" w:space="0" w:color="auto"/>
              <w:right w:val="nil"/>
            </w:tcBorders>
          </w:tcPr>
          <w:p w14:paraId="5FBCE81A" w14:textId="77777777" w:rsidR="00932845" w:rsidRDefault="00932845"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1399</w:t>
            </w:r>
          </w:p>
        </w:tc>
      </w:tr>
    </w:tbl>
    <w:p w14:paraId="28C21A71" w14:textId="77777777" w:rsidR="00932845" w:rsidRDefault="00932845" w:rsidP="0093284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397D2469" w14:textId="2481F2C8" w:rsidR="00932845" w:rsidRDefault="00932845" w:rsidP="0093284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284BB873" w14:textId="77777777" w:rsidR="0070195D" w:rsidRDefault="0070195D" w:rsidP="00932845">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tblGrid>
      <w:tr w:rsidR="0070195D" w14:paraId="28FB9A5D" w14:textId="77777777" w:rsidTr="00F16287">
        <w:tc>
          <w:tcPr>
            <w:tcW w:w="2136" w:type="dxa"/>
            <w:tcBorders>
              <w:top w:val="single" w:sz="4" w:space="0" w:color="auto"/>
              <w:left w:val="nil"/>
              <w:bottom w:val="nil"/>
              <w:right w:val="nil"/>
            </w:tcBorders>
          </w:tcPr>
          <w:p w14:paraId="30C777F0"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6F50FF10"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1155F097"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0195D" w14:paraId="11C0E195" w14:textId="77777777" w:rsidTr="00F16287">
        <w:tc>
          <w:tcPr>
            <w:tcW w:w="2136" w:type="dxa"/>
            <w:tcBorders>
              <w:top w:val="nil"/>
              <w:left w:val="nil"/>
              <w:bottom w:val="nil"/>
              <w:right w:val="nil"/>
            </w:tcBorders>
          </w:tcPr>
          <w:p w14:paraId="575D9C87"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D4AD078"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7A2C54DF"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r>
      <w:tr w:rsidR="0070195D" w14:paraId="177CB8F9" w14:textId="77777777" w:rsidTr="00F16287">
        <w:tc>
          <w:tcPr>
            <w:tcW w:w="2136" w:type="dxa"/>
            <w:tcBorders>
              <w:top w:val="nil"/>
              <w:left w:val="nil"/>
              <w:bottom w:val="nil"/>
              <w:right w:val="nil"/>
            </w:tcBorders>
          </w:tcPr>
          <w:p w14:paraId="711251CD"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6D922C0"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3171490"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r>
      <w:tr w:rsidR="0070195D" w14:paraId="545C001E" w14:textId="77777777" w:rsidTr="00F16287">
        <w:tc>
          <w:tcPr>
            <w:tcW w:w="2136" w:type="dxa"/>
            <w:tcBorders>
              <w:top w:val="nil"/>
              <w:left w:val="nil"/>
              <w:bottom w:val="nil"/>
              <w:right w:val="nil"/>
            </w:tcBorders>
          </w:tcPr>
          <w:p w14:paraId="26D0E813" w14:textId="6E4D8F84"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3763DC8C"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-0.154</w:t>
            </w:r>
          </w:p>
        </w:tc>
        <w:tc>
          <w:tcPr>
            <w:tcW w:w="1656" w:type="dxa"/>
            <w:tcBorders>
              <w:top w:val="nil"/>
              <w:left w:val="nil"/>
              <w:bottom w:val="nil"/>
              <w:right w:val="nil"/>
            </w:tcBorders>
          </w:tcPr>
          <w:p w14:paraId="0D10B0D1"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-0.0273</w:t>
            </w:r>
          </w:p>
        </w:tc>
      </w:tr>
      <w:tr w:rsidR="0070195D" w14:paraId="3B5C668E" w14:textId="77777777" w:rsidTr="00F16287">
        <w:tc>
          <w:tcPr>
            <w:tcW w:w="2136" w:type="dxa"/>
            <w:tcBorders>
              <w:top w:val="nil"/>
              <w:left w:val="nil"/>
              <w:bottom w:val="nil"/>
              <w:right w:val="nil"/>
            </w:tcBorders>
          </w:tcPr>
          <w:p w14:paraId="687D4F98"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A636C1D"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(-1.74)</w:t>
            </w:r>
          </w:p>
        </w:tc>
        <w:tc>
          <w:tcPr>
            <w:tcW w:w="1656" w:type="dxa"/>
            <w:tcBorders>
              <w:top w:val="nil"/>
              <w:left w:val="nil"/>
              <w:bottom w:val="nil"/>
              <w:right w:val="nil"/>
            </w:tcBorders>
          </w:tcPr>
          <w:p w14:paraId="43374B9C"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r>
      <w:tr w:rsidR="0070195D" w14:paraId="155369F9" w14:textId="77777777" w:rsidTr="00F16287">
        <w:tc>
          <w:tcPr>
            <w:tcW w:w="2136" w:type="dxa"/>
            <w:tcBorders>
              <w:top w:val="nil"/>
              <w:left w:val="nil"/>
              <w:bottom w:val="nil"/>
              <w:right w:val="nil"/>
            </w:tcBorders>
          </w:tcPr>
          <w:p w14:paraId="4172918C"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3468AEA"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44C11CB"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r>
      <w:tr w:rsidR="0070195D" w14:paraId="500E75B9" w14:textId="77777777" w:rsidTr="00F16287">
        <w:tc>
          <w:tcPr>
            <w:tcW w:w="2136" w:type="dxa"/>
            <w:tcBorders>
              <w:top w:val="nil"/>
              <w:left w:val="nil"/>
              <w:bottom w:val="nil"/>
              <w:right w:val="nil"/>
            </w:tcBorders>
          </w:tcPr>
          <w:p w14:paraId="3C152509" w14:textId="5F63EE7E" w:rsidR="0070195D" w:rsidRDefault="00351740"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HOS = HOG</w:t>
            </w:r>
          </w:p>
        </w:tc>
        <w:tc>
          <w:tcPr>
            <w:tcW w:w="1656" w:type="dxa"/>
            <w:tcBorders>
              <w:top w:val="nil"/>
              <w:left w:val="nil"/>
              <w:bottom w:val="nil"/>
              <w:right w:val="nil"/>
            </w:tcBorders>
          </w:tcPr>
          <w:p w14:paraId="123AB139"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-0.0412</w:t>
            </w:r>
          </w:p>
        </w:tc>
        <w:tc>
          <w:tcPr>
            <w:tcW w:w="1656" w:type="dxa"/>
            <w:tcBorders>
              <w:top w:val="nil"/>
              <w:left w:val="nil"/>
              <w:bottom w:val="nil"/>
              <w:right w:val="nil"/>
            </w:tcBorders>
          </w:tcPr>
          <w:p w14:paraId="70ADA136"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0.225</w:t>
            </w:r>
          </w:p>
        </w:tc>
      </w:tr>
      <w:tr w:rsidR="0070195D" w14:paraId="4E9F2A02" w14:textId="77777777" w:rsidTr="00F16287">
        <w:tc>
          <w:tcPr>
            <w:tcW w:w="2136" w:type="dxa"/>
            <w:tcBorders>
              <w:top w:val="nil"/>
              <w:left w:val="nil"/>
              <w:bottom w:val="nil"/>
              <w:right w:val="nil"/>
            </w:tcBorders>
          </w:tcPr>
          <w:p w14:paraId="55C723A1"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3AEC721"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w:t>
            </w:r>
          </w:p>
        </w:tc>
        <w:tc>
          <w:tcPr>
            <w:tcW w:w="1656" w:type="dxa"/>
            <w:tcBorders>
              <w:top w:val="nil"/>
              <w:left w:val="nil"/>
              <w:bottom w:val="nil"/>
              <w:right w:val="nil"/>
            </w:tcBorders>
          </w:tcPr>
          <w:p w14:paraId="731A2F8D"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(1.21)</w:t>
            </w:r>
          </w:p>
        </w:tc>
      </w:tr>
      <w:tr w:rsidR="0070195D" w14:paraId="41310679" w14:textId="77777777" w:rsidTr="00F16287">
        <w:tc>
          <w:tcPr>
            <w:tcW w:w="2136" w:type="dxa"/>
            <w:tcBorders>
              <w:top w:val="nil"/>
              <w:left w:val="nil"/>
              <w:bottom w:val="nil"/>
              <w:right w:val="nil"/>
            </w:tcBorders>
          </w:tcPr>
          <w:p w14:paraId="4B1B7D3F"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8A0B0A7"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7A5DD8B"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r>
      <w:tr w:rsidR="0070195D" w14:paraId="323AC12E" w14:textId="77777777" w:rsidTr="00F16287">
        <w:tc>
          <w:tcPr>
            <w:tcW w:w="2136" w:type="dxa"/>
            <w:tcBorders>
              <w:top w:val="nil"/>
              <w:left w:val="nil"/>
              <w:bottom w:val="nil"/>
              <w:right w:val="nil"/>
            </w:tcBorders>
          </w:tcPr>
          <w:p w14:paraId="6B8922F6"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70F2118"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A755495"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r>
      <w:tr w:rsidR="0070195D" w14:paraId="7C652A12" w14:textId="77777777" w:rsidTr="00F16287">
        <w:tc>
          <w:tcPr>
            <w:tcW w:w="2136" w:type="dxa"/>
            <w:tcBorders>
              <w:top w:val="nil"/>
              <w:left w:val="nil"/>
              <w:bottom w:val="nil"/>
              <w:right w:val="nil"/>
            </w:tcBorders>
          </w:tcPr>
          <w:p w14:paraId="1311CE84" w14:textId="50B92DAC" w:rsidR="0070195D" w:rsidRDefault="00351740"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HOS = HOG * </w:t>
            </w:r>
            <w:r w:rsidR="0070195D">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2D2C5866"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0.0991</w:t>
            </w:r>
          </w:p>
        </w:tc>
        <w:tc>
          <w:tcPr>
            <w:tcW w:w="1656" w:type="dxa"/>
            <w:tcBorders>
              <w:top w:val="nil"/>
              <w:left w:val="nil"/>
              <w:bottom w:val="nil"/>
              <w:right w:val="nil"/>
            </w:tcBorders>
          </w:tcPr>
          <w:p w14:paraId="19480E9C"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-0.0679</w:t>
            </w:r>
          </w:p>
        </w:tc>
      </w:tr>
      <w:tr w:rsidR="0070195D" w14:paraId="3246943E" w14:textId="77777777" w:rsidTr="00F16287">
        <w:tc>
          <w:tcPr>
            <w:tcW w:w="2136" w:type="dxa"/>
            <w:tcBorders>
              <w:top w:val="nil"/>
              <w:left w:val="nil"/>
              <w:bottom w:val="nil"/>
              <w:right w:val="nil"/>
            </w:tcBorders>
          </w:tcPr>
          <w:p w14:paraId="500BE59B"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37448E4"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(0.68)</w:t>
            </w:r>
          </w:p>
        </w:tc>
        <w:tc>
          <w:tcPr>
            <w:tcW w:w="1656" w:type="dxa"/>
            <w:tcBorders>
              <w:top w:val="nil"/>
              <w:left w:val="nil"/>
              <w:bottom w:val="nil"/>
              <w:right w:val="nil"/>
            </w:tcBorders>
          </w:tcPr>
          <w:p w14:paraId="4F1D4E02"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w:t>
            </w:r>
          </w:p>
        </w:tc>
      </w:tr>
      <w:tr w:rsidR="0070195D" w14:paraId="292830AE" w14:textId="77777777" w:rsidTr="00F16287">
        <w:tc>
          <w:tcPr>
            <w:tcW w:w="2136" w:type="dxa"/>
            <w:tcBorders>
              <w:top w:val="nil"/>
              <w:left w:val="nil"/>
              <w:bottom w:val="nil"/>
              <w:right w:val="nil"/>
            </w:tcBorders>
          </w:tcPr>
          <w:p w14:paraId="58B1EF7B"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D3D1D2C"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C94F281"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r>
      <w:tr w:rsidR="0070195D" w14:paraId="78DA6BEE" w14:textId="77777777" w:rsidTr="00F16287">
        <w:tc>
          <w:tcPr>
            <w:tcW w:w="2136" w:type="dxa"/>
            <w:tcBorders>
              <w:top w:val="nil"/>
              <w:left w:val="nil"/>
              <w:bottom w:val="nil"/>
              <w:right w:val="nil"/>
            </w:tcBorders>
          </w:tcPr>
          <w:p w14:paraId="05E059C2"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0AE01317"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0.00788</w:t>
            </w:r>
          </w:p>
        </w:tc>
        <w:tc>
          <w:tcPr>
            <w:tcW w:w="1656" w:type="dxa"/>
            <w:tcBorders>
              <w:top w:val="nil"/>
              <w:left w:val="nil"/>
              <w:bottom w:val="nil"/>
              <w:right w:val="nil"/>
            </w:tcBorders>
          </w:tcPr>
          <w:p w14:paraId="514901E4"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-0.00288</w:t>
            </w:r>
          </w:p>
        </w:tc>
      </w:tr>
      <w:tr w:rsidR="0070195D" w14:paraId="3526639E" w14:textId="77777777" w:rsidTr="00F16287">
        <w:tc>
          <w:tcPr>
            <w:tcW w:w="2136" w:type="dxa"/>
            <w:tcBorders>
              <w:top w:val="nil"/>
              <w:left w:val="nil"/>
              <w:bottom w:val="nil"/>
              <w:right w:val="nil"/>
            </w:tcBorders>
          </w:tcPr>
          <w:p w14:paraId="6E6B7D13"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CAA263C"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w:t>
            </w:r>
          </w:p>
        </w:tc>
        <w:tc>
          <w:tcPr>
            <w:tcW w:w="1656" w:type="dxa"/>
            <w:tcBorders>
              <w:top w:val="nil"/>
              <w:left w:val="nil"/>
              <w:bottom w:val="nil"/>
              <w:right w:val="nil"/>
            </w:tcBorders>
          </w:tcPr>
          <w:p w14:paraId="168987AB"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w:t>
            </w:r>
          </w:p>
        </w:tc>
      </w:tr>
      <w:tr w:rsidR="0070195D" w14:paraId="286F7655" w14:textId="77777777" w:rsidTr="00F16287">
        <w:tc>
          <w:tcPr>
            <w:tcW w:w="2136" w:type="dxa"/>
            <w:tcBorders>
              <w:top w:val="nil"/>
              <w:left w:val="nil"/>
              <w:bottom w:val="nil"/>
              <w:right w:val="nil"/>
            </w:tcBorders>
          </w:tcPr>
          <w:p w14:paraId="1CC87C97"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2607EAD"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AE89A2C"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r>
      <w:tr w:rsidR="0070195D" w14:paraId="2EB79318" w14:textId="77777777" w:rsidTr="00F16287">
        <w:tc>
          <w:tcPr>
            <w:tcW w:w="2136" w:type="dxa"/>
            <w:tcBorders>
              <w:top w:val="nil"/>
              <w:left w:val="nil"/>
              <w:bottom w:val="nil"/>
              <w:right w:val="nil"/>
            </w:tcBorders>
          </w:tcPr>
          <w:p w14:paraId="472AE6C3" w14:textId="6AE9C2E8" w:rsidR="0070195D" w:rsidRDefault="00351740"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HOS = HOG *</w:t>
            </w:r>
            <w:r w:rsidR="0070195D">
              <w:rPr>
                <w:rFonts w:ascii="Times New Roman" w:hAnsi="Times New Roman" w:cs="Times New Roman"/>
                <w:sz w:val="24"/>
                <w:szCs w:val="24"/>
              </w:rPr>
              <w:t xml:space="preserve"> Exchange Rate Classification (RR inverted, higher = more fixed)</w:t>
            </w:r>
          </w:p>
        </w:tc>
        <w:tc>
          <w:tcPr>
            <w:tcW w:w="1656" w:type="dxa"/>
            <w:tcBorders>
              <w:top w:val="nil"/>
              <w:left w:val="nil"/>
              <w:bottom w:val="nil"/>
              <w:right w:val="nil"/>
            </w:tcBorders>
          </w:tcPr>
          <w:p w14:paraId="53E3949D"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-0.0345</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5CC939B4"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-0.0229</w:t>
            </w:r>
            <w:r>
              <w:rPr>
                <w:rFonts w:ascii="Times New Roman" w:hAnsi="Times New Roman" w:cs="Times New Roman"/>
                <w:sz w:val="24"/>
                <w:szCs w:val="24"/>
                <w:vertAlign w:val="superscript"/>
              </w:rPr>
              <w:t>*</w:t>
            </w:r>
          </w:p>
        </w:tc>
      </w:tr>
      <w:tr w:rsidR="0070195D" w14:paraId="09F44060" w14:textId="77777777" w:rsidTr="00F16287">
        <w:tc>
          <w:tcPr>
            <w:tcW w:w="2136" w:type="dxa"/>
            <w:tcBorders>
              <w:top w:val="nil"/>
              <w:left w:val="nil"/>
              <w:bottom w:val="nil"/>
              <w:right w:val="nil"/>
            </w:tcBorders>
          </w:tcPr>
          <w:p w14:paraId="5392DE5A"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4690C58"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(-2.81)</w:t>
            </w:r>
          </w:p>
        </w:tc>
        <w:tc>
          <w:tcPr>
            <w:tcW w:w="1656" w:type="dxa"/>
            <w:tcBorders>
              <w:top w:val="nil"/>
              <w:left w:val="nil"/>
              <w:bottom w:val="nil"/>
              <w:right w:val="nil"/>
            </w:tcBorders>
          </w:tcPr>
          <w:p w14:paraId="0D0B6A28"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(-2.17)</w:t>
            </w:r>
          </w:p>
        </w:tc>
      </w:tr>
      <w:tr w:rsidR="0070195D" w14:paraId="789021F4" w14:textId="77777777" w:rsidTr="00F16287">
        <w:tc>
          <w:tcPr>
            <w:tcW w:w="2136" w:type="dxa"/>
            <w:tcBorders>
              <w:top w:val="nil"/>
              <w:left w:val="nil"/>
              <w:bottom w:val="nil"/>
              <w:right w:val="nil"/>
            </w:tcBorders>
          </w:tcPr>
          <w:p w14:paraId="7A564D0E"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BD71C67"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669813E"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r>
      <w:tr w:rsidR="0070195D" w14:paraId="42263607" w14:textId="77777777" w:rsidTr="00F16287">
        <w:tc>
          <w:tcPr>
            <w:tcW w:w="2136" w:type="dxa"/>
            <w:tcBorders>
              <w:top w:val="nil"/>
              <w:left w:val="nil"/>
              <w:bottom w:val="nil"/>
              <w:right w:val="nil"/>
            </w:tcBorders>
          </w:tcPr>
          <w:p w14:paraId="4C738633"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06F03669"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0.800</w:t>
            </w:r>
            <w:r>
              <w:rPr>
                <w:rFonts w:ascii="Times New Roman" w:hAnsi="Times New Roman" w:cs="Times New Roman"/>
                <w:sz w:val="24"/>
                <w:szCs w:val="24"/>
                <w:vertAlign w:val="superscript"/>
              </w:rPr>
              <w:t>***</w:t>
            </w:r>
          </w:p>
        </w:tc>
        <w:tc>
          <w:tcPr>
            <w:tcW w:w="1656" w:type="dxa"/>
            <w:tcBorders>
              <w:top w:val="nil"/>
              <w:left w:val="nil"/>
              <w:bottom w:val="nil"/>
              <w:right w:val="nil"/>
            </w:tcBorders>
          </w:tcPr>
          <w:p w14:paraId="4864127E"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0.429</w:t>
            </w:r>
            <w:r>
              <w:rPr>
                <w:rFonts w:ascii="Times New Roman" w:hAnsi="Times New Roman" w:cs="Times New Roman"/>
                <w:sz w:val="24"/>
                <w:szCs w:val="24"/>
                <w:vertAlign w:val="superscript"/>
              </w:rPr>
              <w:t>***</w:t>
            </w:r>
          </w:p>
        </w:tc>
      </w:tr>
      <w:tr w:rsidR="0070195D" w14:paraId="5F06521F" w14:textId="77777777" w:rsidTr="00F16287">
        <w:tc>
          <w:tcPr>
            <w:tcW w:w="2136" w:type="dxa"/>
            <w:tcBorders>
              <w:top w:val="nil"/>
              <w:left w:val="nil"/>
              <w:bottom w:val="single" w:sz="4" w:space="0" w:color="auto"/>
              <w:right w:val="nil"/>
            </w:tcBorders>
          </w:tcPr>
          <w:p w14:paraId="4EF3849B"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6F3314E2"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(7.69)</w:t>
            </w:r>
          </w:p>
        </w:tc>
        <w:tc>
          <w:tcPr>
            <w:tcW w:w="1656" w:type="dxa"/>
            <w:tcBorders>
              <w:top w:val="nil"/>
              <w:left w:val="nil"/>
              <w:bottom w:val="single" w:sz="4" w:space="0" w:color="auto"/>
              <w:right w:val="nil"/>
            </w:tcBorders>
          </w:tcPr>
          <w:p w14:paraId="15B5157E"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(4.96)</w:t>
            </w:r>
          </w:p>
        </w:tc>
      </w:tr>
      <w:tr w:rsidR="0070195D" w14:paraId="3DF34E37" w14:textId="77777777" w:rsidTr="00F16287">
        <w:tc>
          <w:tcPr>
            <w:tcW w:w="2136" w:type="dxa"/>
            <w:tcBorders>
              <w:top w:val="nil"/>
              <w:left w:val="nil"/>
              <w:bottom w:val="single" w:sz="4" w:space="0" w:color="auto"/>
              <w:right w:val="nil"/>
            </w:tcBorders>
          </w:tcPr>
          <w:p w14:paraId="108956D1" w14:textId="77777777" w:rsidR="0070195D" w:rsidRDefault="0070195D"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7FD44472"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1651</w:t>
            </w:r>
          </w:p>
        </w:tc>
        <w:tc>
          <w:tcPr>
            <w:tcW w:w="1656" w:type="dxa"/>
            <w:tcBorders>
              <w:top w:val="nil"/>
              <w:left w:val="nil"/>
              <w:bottom w:val="single" w:sz="4" w:space="0" w:color="auto"/>
              <w:right w:val="nil"/>
            </w:tcBorders>
          </w:tcPr>
          <w:p w14:paraId="0D52D648" w14:textId="77777777" w:rsidR="0070195D" w:rsidRDefault="0070195D"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1651</w:t>
            </w:r>
          </w:p>
        </w:tc>
      </w:tr>
    </w:tbl>
    <w:p w14:paraId="3A0C6774" w14:textId="77777777" w:rsidR="00DB7775" w:rsidRDefault="00DB7775" w:rsidP="00DB777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 xml:space="preserve"> statistics in parentheses</w:t>
      </w:r>
    </w:p>
    <w:p w14:paraId="08E98DF5" w14:textId="77777777" w:rsidR="00DB7775" w:rsidRDefault="00DB7775" w:rsidP="00DB777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0.001</w:t>
      </w:r>
    </w:p>
    <w:p w14:paraId="43588665" w14:textId="53A077C9" w:rsidR="00DB7775" w:rsidRDefault="00DB7775" w:rsidP="00DB7775">
      <w:pPr>
        <w:rPr>
          <w:highlight w:val="yellow"/>
        </w:rPr>
      </w:pPr>
    </w:p>
    <w:p w14:paraId="4E203069" w14:textId="4A38AC66" w:rsidR="00FD03A4" w:rsidRDefault="007A2B6A" w:rsidP="00DB7775">
      <w:r w:rsidRPr="007A2B6A">
        <w:t>IVs</w:t>
      </w:r>
    </w:p>
    <w:p w14:paraId="7B3A8F4E" w14:textId="2BEC7859" w:rsidR="00614D2C" w:rsidRDefault="00614D2C" w:rsidP="00DB7775">
      <w:r>
        <w:t>HOS = HOG</w:t>
      </w:r>
    </w:p>
    <w:p w14:paraId="4A9A712D" w14:textId="4AF8021E" w:rsidR="007A2B6A" w:rsidRDefault="00DE1657" w:rsidP="00DB7775">
      <w:r>
        <w:t>Tertiary Ed</w:t>
      </w:r>
    </w:p>
    <w:tbl>
      <w:tblPr>
        <w:tblW w:w="0" w:type="auto"/>
        <w:tblLayout w:type="fixed"/>
        <w:tblLook w:val="0000" w:firstRow="0" w:lastRow="0" w:firstColumn="0" w:lastColumn="0" w:noHBand="0" w:noVBand="0"/>
      </w:tblPr>
      <w:tblGrid>
        <w:gridCol w:w="2136"/>
        <w:gridCol w:w="1656"/>
        <w:gridCol w:w="1656"/>
      </w:tblGrid>
      <w:tr w:rsidR="00DE1657" w14:paraId="2CE32878" w14:textId="77777777" w:rsidTr="00015B88">
        <w:tc>
          <w:tcPr>
            <w:tcW w:w="2136" w:type="dxa"/>
            <w:tcBorders>
              <w:top w:val="single" w:sz="4" w:space="0" w:color="auto"/>
              <w:left w:val="nil"/>
              <w:bottom w:val="nil"/>
              <w:right w:val="nil"/>
            </w:tcBorders>
          </w:tcPr>
          <w:p w14:paraId="77AE2ED9" w14:textId="77777777" w:rsidR="00DE1657" w:rsidRDefault="00DE1657"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704824B4" w14:textId="77777777" w:rsidR="00DE1657" w:rsidRDefault="00DE1657"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1AB5008F" w14:textId="77777777" w:rsidR="00DE1657" w:rsidRDefault="00DE1657"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DE1657" w14:paraId="3364885F" w14:textId="77777777" w:rsidTr="00015B88">
        <w:tc>
          <w:tcPr>
            <w:tcW w:w="2136" w:type="dxa"/>
            <w:tcBorders>
              <w:top w:val="nil"/>
              <w:left w:val="nil"/>
              <w:bottom w:val="nil"/>
              <w:right w:val="nil"/>
            </w:tcBorders>
          </w:tcPr>
          <w:p w14:paraId="2194581D" w14:textId="77777777" w:rsidR="00DE1657" w:rsidRDefault="00DE1657"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305262D" w14:textId="77777777" w:rsidR="00DE1657" w:rsidRDefault="00DE1657"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07967DCB" w14:textId="77777777" w:rsidR="00DE1657" w:rsidRDefault="00DE1657"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r>
      <w:tr w:rsidR="00DE1657" w14:paraId="111822F9" w14:textId="77777777" w:rsidTr="00015B88">
        <w:tc>
          <w:tcPr>
            <w:tcW w:w="2136" w:type="dxa"/>
            <w:tcBorders>
              <w:top w:val="single" w:sz="4" w:space="0" w:color="auto"/>
              <w:left w:val="nil"/>
              <w:bottom w:val="nil"/>
              <w:right w:val="nil"/>
            </w:tcBorders>
          </w:tcPr>
          <w:p w14:paraId="32D0841F" w14:textId="77777777" w:rsidR="00DE1657" w:rsidRDefault="00DE1657"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 Jure CBI (CNW Index)</w:t>
            </w:r>
          </w:p>
        </w:tc>
        <w:tc>
          <w:tcPr>
            <w:tcW w:w="1656" w:type="dxa"/>
            <w:tcBorders>
              <w:top w:val="single" w:sz="4" w:space="0" w:color="auto"/>
              <w:left w:val="nil"/>
              <w:bottom w:val="nil"/>
              <w:right w:val="nil"/>
            </w:tcBorders>
          </w:tcPr>
          <w:p w14:paraId="04696A6A" w14:textId="77777777" w:rsidR="00DE1657" w:rsidRDefault="00DE1657"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1.802</w:t>
            </w:r>
          </w:p>
        </w:tc>
        <w:tc>
          <w:tcPr>
            <w:tcW w:w="1656" w:type="dxa"/>
            <w:tcBorders>
              <w:top w:val="single" w:sz="4" w:space="0" w:color="auto"/>
              <w:left w:val="nil"/>
              <w:bottom w:val="nil"/>
              <w:right w:val="nil"/>
            </w:tcBorders>
          </w:tcPr>
          <w:p w14:paraId="5B240D1E" w14:textId="77777777" w:rsidR="00DE1657" w:rsidRDefault="00DE1657"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2.544</w:t>
            </w:r>
            <w:r>
              <w:rPr>
                <w:rFonts w:ascii="Times New Roman" w:hAnsi="Times New Roman" w:cs="Times New Roman"/>
                <w:sz w:val="24"/>
                <w:szCs w:val="24"/>
                <w:vertAlign w:val="superscript"/>
              </w:rPr>
              <w:t>*</w:t>
            </w:r>
          </w:p>
        </w:tc>
      </w:tr>
      <w:tr w:rsidR="00DE1657" w14:paraId="06BF53DF" w14:textId="77777777" w:rsidTr="00015B88">
        <w:tc>
          <w:tcPr>
            <w:tcW w:w="2136" w:type="dxa"/>
            <w:tcBorders>
              <w:top w:val="nil"/>
              <w:left w:val="nil"/>
              <w:bottom w:val="nil"/>
              <w:right w:val="nil"/>
            </w:tcBorders>
          </w:tcPr>
          <w:p w14:paraId="66027396" w14:textId="77777777" w:rsidR="00DE1657" w:rsidRDefault="00DE1657"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7192620" w14:textId="77777777" w:rsidR="00DE1657" w:rsidRDefault="00DE1657"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(1.82)</w:t>
            </w:r>
          </w:p>
        </w:tc>
        <w:tc>
          <w:tcPr>
            <w:tcW w:w="1656" w:type="dxa"/>
            <w:tcBorders>
              <w:top w:val="nil"/>
              <w:left w:val="nil"/>
              <w:bottom w:val="nil"/>
              <w:right w:val="nil"/>
            </w:tcBorders>
          </w:tcPr>
          <w:p w14:paraId="6AD84AED" w14:textId="77777777" w:rsidR="00DE1657" w:rsidRDefault="00DE1657"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(2.33)</w:t>
            </w:r>
          </w:p>
        </w:tc>
      </w:tr>
      <w:tr w:rsidR="00DE1657" w14:paraId="719D29FD" w14:textId="77777777" w:rsidTr="00015B88">
        <w:tc>
          <w:tcPr>
            <w:tcW w:w="2136" w:type="dxa"/>
            <w:tcBorders>
              <w:top w:val="nil"/>
              <w:left w:val="nil"/>
              <w:bottom w:val="nil"/>
              <w:right w:val="nil"/>
            </w:tcBorders>
          </w:tcPr>
          <w:p w14:paraId="75014988" w14:textId="77777777" w:rsidR="00DE1657" w:rsidRDefault="00DE1657"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D6ED719" w14:textId="77777777" w:rsidR="00DE1657" w:rsidRDefault="00DE1657"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03EBB1E" w14:textId="77777777" w:rsidR="00DE1657" w:rsidRDefault="00DE1657" w:rsidP="00015B88">
            <w:pPr>
              <w:widowControl w:val="0"/>
              <w:autoSpaceDE w:val="0"/>
              <w:autoSpaceDN w:val="0"/>
              <w:adjustRightInd w:val="0"/>
              <w:spacing w:after="0" w:line="240" w:lineRule="auto"/>
              <w:rPr>
                <w:rFonts w:ascii="Times New Roman" w:hAnsi="Times New Roman" w:cs="Times New Roman"/>
                <w:sz w:val="24"/>
                <w:szCs w:val="24"/>
              </w:rPr>
            </w:pPr>
          </w:p>
        </w:tc>
      </w:tr>
      <w:tr w:rsidR="00DE1657" w14:paraId="5E915765" w14:textId="77777777" w:rsidTr="00015B88">
        <w:tc>
          <w:tcPr>
            <w:tcW w:w="2136" w:type="dxa"/>
            <w:tcBorders>
              <w:top w:val="nil"/>
              <w:left w:val="nil"/>
              <w:bottom w:val="nil"/>
              <w:right w:val="nil"/>
            </w:tcBorders>
          </w:tcPr>
          <w:p w14:paraId="3560C2AD" w14:textId="77777777" w:rsidR="00DE1657" w:rsidRDefault="00DE1657"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Exchange Rate Classification (RR inverted, higher = </w:t>
            </w:r>
            <w:r>
              <w:rPr>
                <w:rFonts w:ascii="Times New Roman" w:hAnsi="Times New Roman" w:cs="Times New Roman"/>
                <w:sz w:val="24"/>
                <w:szCs w:val="24"/>
              </w:rPr>
              <w:lastRenderedPageBreak/>
              <w:t>more fixed)</w:t>
            </w:r>
          </w:p>
        </w:tc>
        <w:tc>
          <w:tcPr>
            <w:tcW w:w="1656" w:type="dxa"/>
            <w:tcBorders>
              <w:top w:val="nil"/>
              <w:left w:val="nil"/>
              <w:bottom w:val="nil"/>
              <w:right w:val="nil"/>
            </w:tcBorders>
          </w:tcPr>
          <w:p w14:paraId="5C1932C0" w14:textId="77777777" w:rsidR="00DE1657" w:rsidRDefault="00DE1657"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-0.0116</w:t>
            </w:r>
          </w:p>
        </w:tc>
        <w:tc>
          <w:tcPr>
            <w:tcW w:w="1656" w:type="dxa"/>
            <w:tcBorders>
              <w:top w:val="nil"/>
              <w:left w:val="nil"/>
              <w:bottom w:val="nil"/>
              <w:right w:val="nil"/>
            </w:tcBorders>
          </w:tcPr>
          <w:p w14:paraId="4DBCC9AA" w14:textId="77777777" w:rsidR="00DE1657" w:rsidRDefault="00DE1657"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-0.0253</w:t>
            </w:r>
          </w:p>
        </w:tc>
      </w:tr>
      <w:tr w:rsidR="00DE1657" w14:paraId="1D35BCB5" w14:textId="77777777" w:rsidTr="00015B88">
        <w:tc>
          <w:tcPr>
            <w:tcW w:w="2136" w:type="dxa"/>
            <w:tcBorders>
              <w:top w:val="nil"/>
              <w:left w:val="nil"/>
              <w:bottom w:val="nil"/>
              <w:right w:val="nil"/>
            </w:tcBorders>
          </w:tcPr>
          <w:p w14:paraId="08D2B954" w14:textId="77777777" w:rsidR="00DE1657" w:rsidRDefault="00DE1657"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71C73C1" w14:textId="77777777" w:rsidR="00DE1657" w:rsidRDefault="00DE1657"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w:t>
            </w:r>
          </w:p>
        </w:tc>
        <w:tc>
          <w:tcPr>
            <w:tcW w:w="1656" w:type="dxa"/>
            <w:tcBorders>
              <w:top w:val="nil"/>
              <w:left w:val="nil"/>
              <w:bottom w:val="nil"/>
              <w:right w:val="nil"/>
            </w:tcBorders>
          </w:tcPr>
          <w:p w14:paraId="39917B58" w14:textId="77777777" w:rsidR="00DE1657" w:rsidRDefault="00DE1657"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w:t>
            </w:r>
          </w:p>
        </w:tc>
      </w:tr>
      <w:tr w:rsidR="00DE1657" w14:paraId="589737E1" w14:textId="77777777" w:rsidTr="00015B88">
        <w:tc>
          <w:tcPr>
            <w:tcW w:w="2136" w:type="dxa"/>
            <w:tcBorders>
              <w:top w:val="nil"/>
              <w:left w:val="nil"/>
              <w:bottom w:val="nil"/>
              <w:right w:val="nil"/>
            </w:tcBorders>
          </w:tcPr>
          <w:p w14:paraId="31952826" w14:textId="77777777" w:rsidR="00DE1657" w:rsidRDefault="00DE1657"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231FCB7" w14:textId="77777777" w:rsidR="00DE1657" w:rsidRDefault="00DE1657"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2B8DA31" w14:textId="77777777" w:rsidR="00DE1657" w:rsidRDefault="00DE1657" w:rsidP="00015B88">
            <w:pPr>
              <w:widowControl w:val="0"/>
              <w:autoSpaceDE w:val="0"/>
              <w:autoSpaceDN w:val="0"/>
              <w:adjustRightInd w:val="0"/>
              <w:spacing w:after="0" w:line="240" w:lineRule="auto"/>
              <w:rPr>
                <w:rFonts w:ascii="Times New Roman" w:hAnsi="Times New Roman" w:cs="Times New Roman"/>
                <w:sz w:val="24"/>
                <w:szCs w:val="24"/>
              </w:rPr>
            </w:pPr>
          </w:p>
        </w:tc>
      </w:tr>
      <w:tr w:rsidR="00DE1657" w14:paraId="64985418" w14:textId="77777777" w:rsidTr="00015B88">
        <w:tc>
          <w:tcPr>
            <w:tcW w:w="2136" w:type="dxa"/>
            <w:tcBorders>
              <w:top w:val="nil"/>
              <w:left w:val="nil"/>
              <w:bottom w:val="nil"/>
              <w:right w:val="nil"/>
            </w:tcBorders>
          </w:tcPr>
          <w:p w14:paraId="3C47A7C7" w14:textId="77777777" w:rsidR="00DE1657" w:rsidRDefault="00DE1657"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23FC4C7F" w14:textId="77777777" w:rsidR="00DE1657" w:rsidRDefault="00DE1657"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-0.235</w:t>
            </w:r>
          </w:p>
        </w:tc>
        <w:tc>
          <w:tcPr>
            <w:tcW w:w="1656" w:type="dxa"/>
            <w:tcBorders>
              <w:top w:val="nil"/>
              <w:left w:val="nil"/>
              <w:bottom w:val="nil"/>
              <w:right w:val="nil"/>
            </w:tcBorders>
          </w:tcPr>
          <w:p w14:paraId="210F5764" w14:textId="77777777" w:rsidR="00DE1657" w:rsidRDefault="00DE1657"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-0.547</w:t>
            </w:r>
          </w:p>
        </w:tc>
      </w:tr>
      <w:tr w:rsidR="00DE1657" w14:paraId="4D6A94A2" w14:textId="77777777" w:rsidTr="00015B88">
        <w:tc>
          <w:tcPr>
            <w:tcW w:w="2136" w:type="dxa"/>
            <w:tcBorders>
              <w:top w:val="nil"/>
              <w:left w:val="nil"/>
              <w:bottom w:val="single" w:sz="4" w:space="0" w:color="auto"/>
              <w:right w:val="nil"/>
            </w:tcBorders>
          </w:tcPr>
          <w:p w14:paraId="42DF0279" w14:textId="77777777" w:rsidR="00DE1657" w:rsidRDefault="00DE1657"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006EA910" w14:textId="77777777" w:rsidR="00DE1657" w:rsidRDefault="00DE1657"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656" w:type="dxa"/>
            <w:tcBorders>
              <w:top w:val="nil"/>
              <w:left w:val="nil"/>
              <w:bottom w:val="single" w:sz="4" w:space="0" w:color="auto"/>
              <w:right w:val="nil"/>
            </w:tcBorders>
          </w:tcPr>
          <w:p w14:paraId="30587AC5" w14:textId="77777777" w:rsidR="00DE1657" w:rsidRDefault="00DE1657"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(-0.90)</w:t>
            </w:r>
          </w:p>
        </w:tc>
      </w:tr>
      <w:tr w:rsidR="00DE1657" w14:paraId="74ABD116" w14:textId="77777777" w:rsidTr="00015B88">
        <w:tc>
          <w:tcPr>
            <w:tcW w:w="2136" w:type="dxa"/>
            <w:tcBorders>
              <w:top w:val="nil"/>
              <w:left w:val="nil"/>
              <w:bottom w:val="single" w:sz="4" w:space="0" w:color="auto"/>
              <w:right w:val="nil"/>
            </w:tcBorders>
          </w:tcPr>
          <w:p w14:paraId="0CD4F19F" w14:textId="77777777" w:rsidR="00DE1657" w:rsidRDefault="00DE1657"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604605A0" w14:textId="77777777" w:rsidR="00DE1657" w:rsidRDefault="00DE1657"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1656" w:type="dxa"/>
            <w:tcBorders>
              <w:top w:val="nil"/>
              <w:left w:val="nil"/>
              <w:bottom w:val="single" w:sz="4" w:space="0" w:color="auto"/>
              <w:right w:val="nil"/>
            </w:tcBorders>
          </w:tcPr>
          <w:p w14:paraId="7952B30C" w14:textId="77777777" w:rsidR="00DE1657" w:rsidRDefault="00DE1657"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300</w:t>
            </w:r>
          </w:p>
        </w:tc>
      </w:tr>
    </w:tbl>
    <w:p w14:paraId="7E813166" w14:textId="77777777" w:rsidR="00DE1657" w:rsidRDefault="00DE1657" w:rsidP="00DE1657">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3D51125C" w14:textId="77777777" w:rsidR="00DE1657" w:rsidRDefault="00DE1657" w:rsidP="00DE1657">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6A3A3A72" w14:textId="77777777" w:rsidR="00DE1657" w:rsidRDefault="00DE1657" w:rsidP="00DE1657">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tblGrid>
      <w:tr w:rsidR="0061557F" w14:paraId="1D3C6D8E" w14:textId="77777777" w:rsidTr="00015B88">
        <w:tc>
          <w:tcPr>
            <w:tcW w:w="2136" w:type="dxa"/>
            <w:tcBorders>
              <w:top w:val="nil"/>
              <w:left w:val="nil"/>
              <w:bottom w:val="nil"/>
              <w:right w:val="nil"/>
            </w:tcBorders>
          </w:tcPr>
          <w:p w14:paraId="55DBD71B" w14:textId="77777777" w:rsidR="0061557F" w:rsidRDefault="0061557F"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DD80750" w14:textId="77777777" w:rsidR="0061557F" w:rsidRDefault="0061557F"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139D8678" w14:textId="77777777" w:rsidR="0061557F" w:rsidRDefault="0061557F"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r>
      <w:tr w:rsidR="0061557F" w14:paraId="55879D92" w14:textId="77777777" w:rsidTr="00015B88">
        <w:tc>
          <w:tcPr>
            <w:tcW w:w="2136" w:type="dxa"/>
            <w:tcBorders>
              <w:top w:val="single" w:sz="4" w:space="0" w:color="auto"/>
              <w:left w:val="nil"/>
              <w:bottom w:val="nil"/>
              <w:right w:val="nil"/>
            </w:tcBorders>
          </w:tcPr>
          <w:p w14:paraId="3243B0C3" w14:textId="77777777" w:rsidR="0061557F" w:rsidRDefault="0061557F"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69E0E9F3" w14:textId="77777777" w:rsidR="0061557F" w:rsidRDefault="0061557F"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4.251</w:t>
            </w:r>
          </w:p>
        </w:tc>
        <w:tc>
          <w:tcPr>
            <w:tcW w:w="1656" w:type="dxa"/>
            <w:tcBorders>
              <w:top w:val="single" w:sz="4" w:space="0" w:color="auto"/>
              <w:left w:val="nil"/>
              <w:bottom w:val="nil"/>
              <w:right w:val="nil"/>
            </w:tcBorders>
          </w:tcPr>
          <w:p w14:paraId="747C098F" w14:textId="77777777" w:rsidR="0061557F" w:rsidRDefault="0061557F"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7.981</w:t>
            </w:r>
          </w:p>
        </w:tc>
      </w:tr>
      <w:tr w:rsidR="0061557F" w14:paraId="3BEC4878" w14:textId="77777777" w:rsidTr="00015B88">
        <w:tc>
          <w:tcPr>
            <w:tcW w:w="2136" w:type="dxa"/>
            <w:tcBorders>
              <w:top w:val="nil"/>
              <w:left w:val="nil"/>
              <w:bottom w:val="nil"/>
              <w:right w:val="nil"/>
            </w:tcBorders>
          </w:tcPr>
          <w:p w14:paraId="4EB4D629" w14:textId="77777777" w:rsidR="0061557F" w:rsidRDefault="0061557F"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A88C0DC" w14:textId="77777777" w:rsidR="0061557F" w:rsidRDefault="0061557F"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w:t>
            </w:r>
          </w:p>
        </w:tc>
        <w:tc>
          <w:tcPr>
            <w:tcW w:w="1656" w:type="dxa"/>
            <w:tcBorders>
              <w:top w:val="nil"/>
              <w:left w:val="nil"/>
              <w:bottom w:val="nil"/>
              <w:right w:val="nil"/>
            </w:tcBorders>
          </w:tcPr>
          <w:p w14:paraId="3B5B62DB" w14:textId="77777777" w:rsidR="0061557F" w:rsidRDefault="0061557F"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w:t>
            </w:r>
          </w:p>
        </w:tc>
      </w:tr>
      <w:tr w:rsidR="0061557F" w14:paraId="1BAD3ED8" w14:textId="77777777" w:rsidTr="00015B88">
        <w:tc>
          <w:tcPr>
            <w:tcW w:w="2136" w:type="dxa"/>
            <w:tcBorders>
              <w:top w:val="nil"/>
              <w:left w:val="nil"/>
              <w:bottom w:val="nil"/>
              <w:right w:val="nil"/>
            </w:tcBorders>
          </w:tcPr>
          <w:p w14:paraId="72A5066C" w14:textId="77777777" w:rsidR="0061557F" w:rsidRDefault="0061557F"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FF44D7A" w14:textId="77777777" w:rsidR="0061557F" w:rsidRDefault="0061557F"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A4D1F0F" w14:textId="77777777" w:rsidR="0061557F" w:rsidRDefault="0061557F" w:rsidP="00015B88">
            <w:pPr>
              <w:widowControl w:val="0"/>
              <w:autoSpaceDE w:val="0"/>
              <w:autoSpaceDN w:val="0"/>
              <w:adjustRightInd w:val="0"/>
              <w:spacing w:after="0" w:line="240" w:lineRule="auto"/>
              <w:rPr>
                <w:rFonts w:ascii="Times New Roman" w:hAnsi="Times New Roman" w:cs="Times New Roman"/>
                <w:sz w:val="24"/>
                <w:szCs w:val="24"/>
              </w:rPr>
            </w:pPr>
          </w:p>
        </w:tc>
      </w:tr>
      <w:tr w:rsidR="0061557F" w14:paraId="6A53CD18" w14:textId="77777777" w:rsidTr="00015B88">
        <w:tc>
          <w:tcPr>
            <w:tcW w:w="2136" w:type="dxa"/>
            <w:tcBorders>
              <w:top w:val="nil"/>
              <w:left w:val="nil"/>
              <w:bottom w:val="nil"/>
              <w:right w:val="nil"/>
            </w:tcBorders>
          </w:tcPr>
          <w:p w14:paraId="6050A761" w14:textId="77777777" w:rsidR="0061557F" w:rsidRDefault="0061557F"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113215F3" w14:textId="77777777" w:rsidR="0061557F" w:rsidRDefault="0061557F"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0.0638</w:t>
            </w:r>
          </w:p>
        </w:tc>
        <w:tc>
          <w:tcPr>
            <w:tcW w:w="1656" w:type="dxa"/>
            <w:tcBorders>
              <w:top w:val="nil"/>
              <w:left w:val="nil"/>
              <w:bottom w:val="nil"/>
              <w:right w:val="nil"/>
            </w:tcBorders>
          </w:tcPr>
          <w:p w14:paraId="4980B95C" w14:textId="77777777" w:rsidR="0061557F" w:rsidRDefault="0061557F"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0.112</w:t>
            </w:r>
          </w:p>
        </w:tc>
      </w:tr>
      <w:tr w:rsidR="0061557F" w14:paraId="410D786B" w14:textId="77777777" w:rsidTr="00015B88">
        <w:tc>
          <w:tcPr>
            <w:tcW w:w="2136" w:type="dxa"/>
            <w:tcBorders>
              <w:top w:val="nil"/>
              <w:left w:val="nil"/>
              <w:bottom w:val="nil"/>
              <w:right w:val="nil"/>
            </w:tcBorders>
          </w:tcPr>
          <w:p w14:paraId="2BF00748" w14:textId="77777777" w:rsidR="0061557F" w:rsidRDefault="0061557F"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2542EC6" w14:textId="77777777" w:rsidR="0061557F" w:rsidRDefault="0061557F"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(0.63)</w:t>
            </w:r>
          </w:p>
        </w:tc>
        <w:tc>
          <w:tcPr>
            <w:tcW w:w="1656" w:type="dxa"/>
            <w:tcBorders>
              <w:top w:val="nil"/>
              <w:left w:val="nil"/>
              <w:bottom w:val="nil"/>
              <w:right w:val="nil"/>
            </w:tcBorders>
          </w:tcPr>
          <w:p w14:paraId="62931EB2" w14:textId="77777777" w:rsidR="0061557F" w:rsidRDefault="0061557F"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61557F" w14:paraId="29778EB0" w14:textId="77777777" w:rsidTr="00015B88">
        <w:tc>
          <w:tcPr>
            <w:tcW w:w="2136" w:type="dxa"/>
            <w:tcBorders>
              <w:top w:val="nil"/>
              <w:left w:val="nil"/>
              <w:bottom w:val="nil"/>
              <w:right w:val="nil"/>
            </w:tcBorders>
          </w:tcPr>
          <w:p w14:paraId="3CD16DF9" w14:textId="77777777" w:rsidR="0061557F" w:rsidRDefault="0061557F"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974BFC6" w14:textId="77777777" w:rsidR="0061557F" w:rsidRDefault="0061557F"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EEDF25D" w14:textId="77777777" w:rsidR="0061557F" w:rsidRDefault="0061557F" w:rsidP="00015B88">
            <w:pPr>
              <w:widowControl w:val="0"/>
              <w:autoSpaceDE w:val="0"/>
              <w:autoSpaceDN w:val="0"/>
              <w:adjustRightInd w:val="0"/>
              <w:spacing w:after="0" w:line="240" w:lineRule="auto"/>
              <w:rPr>
                <w:rFonts w:ascii="Times New Roman" w:hAnsi="Times New Roman" w:cs="Times New Roman"/>
                <w:sz w:val="24"/>
                <w:szCs w:val="24"/>
              </w:rPr>
            </w:pPr>
          </w:p>
        </w:tc>
      </w:tr>
      <w:tr w:rsidR="0061557F" w14:paraId="24949369" w14:textId="77777777" w:rsidTr="00015B88">
        <w:tc>
          <w:tcPr>
            <w:tcW w:w="2136" w:type="dxa"/>
            <w:tcBorders>
              <w:top w:val="nil"/>
              <w:left w:val="nil"/>
              <w:bottom w:val="nil"/>
              <w:right w:val="nil"/>
            </w:tcBorders>
          </w:tcPr>
          <w:p w14:paraId="6AA9B28D" w14:textId="77777777" w:rsidR="0061557F" w:rsidRDefault="0061557F"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0B33C968" w14:textId="77777777" w:rsidR="0061557F" w:rsidRDefault="0061557F"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-3.377</w:t>
            </w:r>
          </w:p>
        </w:tc>
        <w:tc>
          <w:tcPr>
            <w:tcW w:w="1656" w:type="dxa"/>
            <w:tcBorders>
              <w:top w:val="nil"/>
              <w:left w:val="nil"/>
              <w:bottom w:val="nil"/>
              <w:right w:val="nil"/>
            </w:tcBorders>
          </w:tcPr>
          <w:p w14:paraId="5CC249C3" w14:textId="77777777" w:rsidR="0061557F" w:rsidRDefault="0061557F"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-6.901</w:t>
            </w:r>
          </w:p>
        </w:tc>
      </w:tr>
      <w:tr w:rsidR="0061557F" w14:paraId="699B31B8" w14:textId="77777777" w:rsidTr="00015B88">
        <w:tc>
          <w:tcPr>
            <w:tcW w:w="2136" w:type="dxa"/>
            <w:tcBorders>
              <w:top w:val="nil"/>
              <w:left w:val="nil"/>
              <w:bottom w:val="single" w:sz="4" w:space="0" w:color="auto"/>
              <w:right w:val="nil"/>
            </w:tcBorders>
          </w:tcPr>
          <w:p w14:paraId="72E7E740" w14:textId="77777777" w:rsidR="0061557F" w:rsidRDefault="0061557F"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459F86B9" w14:textId="77777777" w:rsidR="0061557F" w:rsidRDefault="0061557F"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w:t>
            </w:r>
          </w:p>
        </w:tc>
        <w:tc>
          <w:tcPr>
            <w:tcW w:w="1656" w:type="dxa"/>
            <w:tcBorders>
              <w:top w:val="nil"/>
              <w:left w:val="nil"/>
              <w:bottom w:val="single" w:sz="4" w:space="0" w:color="auto"/>
              <w:right w:val="nil"/>
            </w:tcBorders>
          </w:tcPr>
          <w:p w14:paraId="14004672" w14:textId="77777777" w:rsidR="0061557F" w:rsidRDefault="0061557F"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(-0.76)</w:t>
            </w:r>
          </w:p>
        </w:tc>
      </w:tr>
      <w:tr w:rsidR="0061557F" w14:paraId="3047E55F" w14:textId="77777777" w:rsidTr="00015B88">
        <w:tc>
          <w:tcPr>
            <w:tcW w:w="2136" w:type="dxa"/>
            <w:tcBorders>
              <w:top w:val="nil"/>
              <w:left w:val="nil"/>
              <w:bottom w:val="single" w:sz="4" w:space="0" w:color="auto"/>
              <w:right w:val="nil"/>
            </w:tcBorders>
          </w:tcPr>
          <w:p w14:paraId="01CF436D" w14:textId="77777777" w:rsidR="0061557F" w:rsidRDefault="0061557F"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075A6F70" w14:textId="77777777" w:rsidR="0061557F" w:rsidRDefault="0061557F"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6" w:type="dxa"/>
            <w:tcBorders>
              <w:top w:val="nil"/>
              <w:left w:val="nil"/>
              <w:bottom w:val="single" w:sz="4" w:space="0" w:color="auto"/>
              <w:right w:val="nil"/>
            </w:tcBorders>
          </w:tcPr>
          <w:p w14:paraId="3371D011" w14:textId="77777777" w:rsidR="0061557F" w:rsidRDefault="0061557F"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336</w:t>
            </w:r>
          </w:p>
        </w:tc>
      </w:tr>
    </w:tbl>
    <w:p w14:paraId="513749DC" w14:textId="77777777" w:rsidR="0061557F" w:rsidRDefault="0061557F" w:rsidP="0061557F">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51196509" w14:textId="77777777" w:rsidR="0061557F" w:rsidRDefault="0061557F" w:rsidP="0061557F">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6D83AF8E" w14:textId="29D1AA80" w:rsidR="0061557F" w:rsidRDefault="0061557F" w:rsidP="00DB7775"/>
    <w:p w14:paraId="6B86C4DE" w14:textId="4C9D5BB3" w:rsidR="00614D2C" w:rsidRDefault="00614D2C" w:rsidP="00DB7775">
      <w:r>
        <w:t>HOS NOT HOG</w:t>
      </w:r>
    </w:p>
    <w:p w14:paraId="4BD3BB91" w14:textId="3AA592BD" w:rsidR="00377612" w:rsidRDefault="00377612" w:rsidP="00DB7775">
      <w:r>
        <w:t>Tertiary</w:t>
      </w:r>
    </w:p>
    <w:tbl>
      <w:tblPr>
        <w:tblW w:w="0" w:type="auto"/>
        <w:tblLayout w:type="fixed"/>
        <w:tblLook w:val="0000" w:firstRow="0" w:lastRow="0" w:firstColumn="0" w:lastColumn="0" w:noHBand="0" w:noVBand="0"/>
      </w:tblPr>
      <w:tblGrid>
        <w:gridCol w:w="2136"/>
        <w:gridCol w:w="1656"/>
        <w:gridCol w:w="1656"/>
      </w:tblGrid>
      <w:tr w:rsidR="00377612" w14:paraId="60CCAC99" w14:textId="77777777" w:rsidTr="00015B88">
        <w:tc>
          <w:tcPr>
            <w:tcW w:w="2136" w:type="dxa"/>
            <w:tcBorders>
              <w:top w:val="single" w:sz="4" w:space="0" w:color="auto"/>
              <w:left w:val="nil"/>
              <w:bottom w:val="nil"/>
              <w:right w:val="nil"/>
            </w:tcBorders>
          </w:tcPr>
          <w:p w14:paraId="0314E6C2" w14:textId="77777777" w:rsidR="00377612" w:rsidRDefault="0037761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53E55ED1" w14:textId="77777777" w:rsidR="00377612" w:rsidRDefault="0037761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21735691" w14:textId="77777777" w:rsidR="00377612" w:rsidRDefault="0037761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377612" w14:paraId="68D597C0" w14:textId="77777777" w:rsidTr="00015B88">
        <w:tc>
          <w:tcPr>
            <w:tcW w:w="2136" w:type="dxa"/>
            <w:tcBorders>
              <w:top w:val="nil"/>
              <w:left w:val="nil"/>
              <w:bottom w:val="nil"/>
              <w:right w:val="nil"/>
            </w:tcBorders>
          </w:tcPr>
          <w:p w14:paraId="27066511" w14:textId="77777777" w:rsidR="00377612" w:rsidRDefault="0037761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B5FFDD7" w14:textId="77777777" w:rsidR="00377612" w:rsidRDefault="0037761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6C99F193" w14:textId="77777777" w:rsidR="00377612" w:rsidRDefault="0037761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r>
      <w:tr w:rsidR="00377612" w14:paraId="280CA3F1" w14:textId="77777777" w:rsidTr="00015B88">
        <w:tc>
          <w:tcPr>
            <w:tcW w:w="2136" w:type="dxa"/>
            <w:tcBorders>
              <w:top w:val="single" w:sz="4" w:space="0" w:color="auto"/>
              <w:left w:val="nil"/>
              <w:bottom w:val="nil"/>
              <w:right w:val="nil"/>
            </w:tcBorders>
          </w:tcPr>
          <w:p w14:paraId="652B8A9F" w14:textId="77777777" w:rsidR="00377612" w:rsidRDefault="00377612"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 Jure CBI (CNW Index)</w:t>
            </w:r>
          </w:p>
        </w:tc>
        <w:tc>
          <w:tcPr>
            <w:tcW w:w="1656" w:type="dxa"/>
            <w:tcBorders>
              <w:top w:val="single" w:sz="4" w:space="0" w:color="auto"/>
              <w:left w:val="nil"/>
              <w:bottom w:val="nil"/>
              <w:right w:val="nil"/>
            </w:tcBorders>
          </w:tcPr>
          <w:p w14:paraId="5271E8DA" w14:textId="77777777" w:rsidR="00377612" w:rsidRDefault="0037761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0.263</w:t>
            </w:r>
          </w:p>
        </w:tc>
        <w:tc>
          <w:tcPr>
            <w:tcW w:w="1656" w:type="dxa"/>
            <w:tcBorders>
              <w:top w:val="single" w:sz="4" w:space="0" w:color="auto"/>
              <w:left w:val="nil"/>
              <w:bottom w:val="nil"/>
              <w:right w:val="nil"/>
            </w:tcBorders>
          </w:tcPr>
          <w:p w14:paraId="76FECD08" w14:textId="77777777" w:rsidR="00377612" w:rsidRDefault="0037761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-0.0152</w:t>
            </w:r>
          </w:p>
        </w:tc>
      </w:tr>
      <w:tr w:rsidR="00377612" w14:paraId="518902BE" w14:textId="77777777" w:rsidTr="00015B88">
        <w:tc>
          <w:tcPr>
            <w:tcW w:w="2136" w:type="dxa"/>
            <w:tcBorders>
              <w:top w:val="nil"/>
              <w:left w:val="nil"/>
              <w:bottom w:val="nil"/>
              <w:right w:val="nil"/>
            </w:tcBorders>
          </w:tcPr>
          <w:p w14:paraId="07FA2E18" w14:textId="77777777" w:rsidR="00377612" w:rsidRDefault="0037761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3C70485" w14:textId="77777777" w:rsidR="00377612" w:rsidRDefault="0037761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(0.59)</w:t>
            </w:r>
          </w:p>
        </w:tc>
        <w:tc>
          <w:tcPr>
            <w:tcW w:w="1656" w:type="dxa"/>
            <w:tcBorders>
              <w:top w:val="nil"/>
              <w:left w:val="nil"/>
              <w:bottom w:val="nil"/>
              <w:right w:val="nil"/>
            </w:tcBorders>
          </w:tcPr>
          <w:p w14:paraId="250525D4" w14:textId="77777777" w:rsidR="00377612" w:rsidRDefault="0037761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r>
      <w:tr w:rsidR="00377612" w14:paraId="3F8823EB" w14:textId="77777777" w:rsidTr="00015B88">
        <w:tc>
          <w:tcPr>
            <w:tcW w:w="2136" w:type="dxa"/>
            <w:tcBorders>
              <w:top w:val="nil"/>
              <w:left w:val="nil"/>
              <w:bottom w:val="nil"/>
              <w:right w:val="nil"/>
            </w:tcBorders>
          </w:tcPr>
          <w:p w14:paraId="103B0CDE" w14:textId="77777777" w:rsidR="00377612" w:rsidRDefault="0037761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4694BF5" w14:textId="77777777" w:rsidR="00377612" w:rsidRDefault="0037761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693CF65" w14:textId="77777777" w:rsidR="00377612" w:rsidRDefault="00377612" w:rsidP="00015B88">
            <w:pPr>
              <w:widowControl w:val="0"/>
              <w:autoSpaceDE w:val="0"/>
              <w:autoSpaceDN w:val="0"/>
              <w:adjustRightInd w:val="0"/>
              <w:spacing w:after="0" w:line="240" w:lineRule="auto"/>
              <w:rPr>
                <w:rFonts w:ascii="Times New Roman" w:hAnsi="Times New Roman" w:cs="Times New Roman"/>
                <w:sz w:val="24"/>
                <w:szCs w:val="24"/>
              </w:rPr>
            </w:pPr>
          </w:p>
        </w:tc>
      </w:tr>
      <w:tr w:rsidR="00377612" w14:paraId="3B406E89" w14:textId="77777777" w:rsidTr="00015B88">
        <w:tc>
          <w:tcPr>
            <w:tcW w:w="2136" w:type="dxa"/>
            <w:tcBorders>
              <w:top w:val="nil"/>
              <w:left w:val="nil"/>
              <w:bottom w:val="nil"/>
              <w:right w:val="nil"/>
            </w:tcBorders>
          </w:tcPr>
          <w:p w14:paraId="64D6BA1F" w14:textId="77777777" w:rsidR="00377612" w:rsidRDefault="00377612"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1CAF299B" w14:textId="77777777" w:rsidR="00377612" w:rsidRDefault="0037761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-0.0265</w:t>
            </w:r>
          </w:p>
        </w:tc>
        <w:tc>
          <w:tcPr>
            <w:tcW w:w="1656" w:type="dxa"/>
            <w:tcBorders>
              <w:top w:val="nil"/>
              <w:left w:val="nil"/>
              <w:bottom w:val="nil"/>
              <w:right w:val="nil"/>
            </w:tcBorders>
          </w:tcPr>
          <w:p w14:paraId="06DBD9D5" w14:textId="77777777" w:rsidR="00377612" w:rsidRDefault="0037761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0.0633</w:t>
            </w:r>
            <w:r>
              <w:rPr>
                <w:rFonts w:ascii="Times New Roman" w:hAnsi="Times New Roman" w:cs="Times New Roman"/>
                <w:sz w:val="24"/>
                <w:szCs w:val="24"/>
                <w:vertAlign w:val="superscript"/>
              </w:rPr>
              <w:t>*</w:t>
            </w:r>
          </w:p>
        </w:tc>
      </w:tr>
      <w:tr w:rsidR="00377612" w14:paraId="08D4464C" w14:textId="77777777" w:rsidTr="00015B88">
        <w:tc>
          <w:tcPr>
            <w:tcW w:w="2136" w:type="dxa"/>
            <w:tcBorders>
              <w:top w:val="nil"/>
              <w:left w:val="nil"/>
              <w:bottom w:val="nil"/>
              <w:right w:val="nil"/>
            </w:tcBorders>
          </w:tcPr>
          <w:p w14:paraId="31DD536A" w14:textId="77777777" w:rsidR="00377612" w:rsidRDefault="0037761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2D5D497" w14:textId="77777777" w:rsidR="00377612" w:rsidRDefault="0037761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w:t>
            </w:r>
          </w:p>
        </w:tc>
        <w:tc>
          <w:tcPr>
            <w:tcW w:w="1656" w:type="dxa"/>
            <w:tcBorders>
              <w:top w:val="nil"/>
              <w:left w:val="nil"/>
              <w:bottom w:val="nil"/>
              <w:right w:val="nil"/>
            </w:tcBorders>
          </w:tcPr>
          <w:p w14:paraId="3049587B" w14:textId="77777777" w:rsidR="00377612" w:rsidRDefault="0037761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(2.54)</w:t>
            </w:r>
          </w:p>
        </w:tc>
      </w:tr>
      <w:tr w:rsidR="00377612" w14:paraId="1DB3AD83" w14:textId="77777777" w:rsidTr="00015B88">
        <w:tc>
          <w:tcPr>
            <w:tcW w:w="2136" w:type="dxa"/>
            <w:tcBorders>
              <w:top w:val="nil"/>
              <w:left w:val="nil"/>
              <w:bottom w:val="nil"/>
              <w:right w:val="nil"/>
            </w:tcBorders>
          </w:tcPr>
          <w:p w14:paraId="52997C65" w14:textId="77777777" w:rsidR="00377612" w:rsidRDefault="0037761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545FDAA" w14:textId="77777777" w:rsidR="00377612" w:rsidRDefault="0037761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9214DD5" w14:textId="77777777" w:rsidR="00377612" w:rsidRDefault="00377612" w:rsidP="00015B88">
            <w:pPr>
              <w:widowControl w:val="0"/>
              <w:autoSpaceDE w:val="0"/>
              <w:autoSpaceDN w:val="0"/>
              <w:adjustRightInd w:val="0"/>
              <w:spacing w:after="0" w:line="240" w:lineRule="auto"/>
              <w:rPr>
                <w:rFonts w:ascii="Times New Roman" w:hAnsi="Times New Roman" w:cs="Times New Roman"/>
                <w:sz w:val="24"/>
                <w:szCs w:val="24"/>
              </w:rPr>
            </w:pPr>
          </w:p>
        </w:tc>
      </w:tr>
      <w:tr w:rsidR="00377612" w14:paraId="0E7F8722" w14:textId="77777777" w:rsidTr="00015B88">
        <w:tc>
          <w:tcPr>
            <w:tcW w:w="2136" w:type="dxa"/>
            <w:tcBorders>
              <w:top w:val="nil"/>
              <w:left w:val="nil"/>
              <w:bottom w:val="nil"/>
              <w:right w:val="nil"/>
            </w:tcBorders>
          </w:tcPr>
          <w:p w14:paraId="111438DC" w14:textId="77777777" w:rsidR="00377612" w:rsidRDefault="00377612"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4FD60139" w14:textId="77777777" w:rsidR="00377612" w:rsidRDefault="0037761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0.772</w:t>
            </w:r>
          </w:p>
        </w:tc>
        <w:tc>
          <w:tcPr>
            <w:tcW w:w="1656" w:type="dxa"/>
            <w:tcBorders>
              <w:top w:val="nil"/>
              <w:left w:val="nil"/>
              <w:bottom w:val="nil"/>
              <w:right w:val="nil"/>
            </w:tcBorders>
          </w:tcPr>
          <w:p w14:paraId="5FF9D57A" w14:textId="77777777" w:rsidR="00377612" w:rsidRDefault="0037761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-0.236</w:t>
            </w:r>
          </w:p>
        </w:tc>
      </w:tr>
      <w:tr w:rsidR="00377612" w14:paraId="752078B9" w14:textId="77777777" w:rsidTr="00015B88">
        <w:tc>
          <w:tcPr>
            <w:tcW w:w="2136" w:type="dxa"/>
            <w:tcBorders>
              <w:top w:val="nil"/>
              <w:left w:val="nil"/>
              <w:bottom w:val="single" w:sz="4" w:space="0" w:color="auto"/>
              <w:right w:val="nil"/>
            </w:tcBorders>
          </w:tcPr>
          <w:p w14:paraId="4D6FE6B6" w14:textId="77777777" w:rsidR="00377612" w:rsidRDefault="00377612"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58F2B945" w14:textId="77777777" w:rsidR="00377612" w:rsidRDefault="0037761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(1.62)</w:t>
            </w:r>
          </w:p>
        </w:tc>
        <w:tc>
          <w:tcPr>
            <w:tcW w:w="1656" w:type="dxa"/>
            <w:tcBorders>
              <w:top w:val="nil"/>
              <w:left w:val="nil"/>
              <w:bottom w:val="single" w:sz="4" w:space="0" w:color="auto"/>
              <w:right w:val="nil"/>
            </w:tcBorders>
          </w:tcPr>
          <w:p w14:paraId="72BA6E25" w14:textId="77777777" w:rsidR="00377612" w:rsidRDefault="0037761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377612" w14:paraId="2CACB655" w14:textId="77777777" w:rsidTr="00015B88">
        <w:tc>
          <w:tcPr>
            <w:tcW w:w="2136" w:type="dxa"/>
            <w:tcBorders>
              <w:top w:val="nil"/>
              <w:left w:val="nil"/>
              <w:bottom w:val="single" w:sz="4" w:space="0" w:color="auto"/>
              <w:right w:val="nil"/>
            </w:tcBorders>
          </w:tcPr>
          <w:p w14:paraId="79C45800" w14:textId="77777777" w:rsidR="00377612" w:rsidRDefault="00377612"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7C70EF82" w14:textId="77777777" w:rsidR="00377612" w:rsidRDefault="0037761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579</w:t>
            </w:r>
          </w:p>
        </w:tc>
        <w:tc>
          <w:tcPr>
            <w:tcW w:w="1656" w:type="dxa"/>
            <w:tcBorders>
              <w:top w:val="nil"/>
              <w:left w:val="nil"/>
              <w:bottom w:val="single" w:sz="4" w:space="0" w:color="auto"/>
              <w:right w:val="nil"/>
            </w:tcBorders>
          </w:tcPr>
          <w:p w14:paraId="13A143A4" w14:textId="77777777" w:rsidR="00377612" w:rsidRDefault="00377612"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579</w:t>
            </w:r>
          </w:p>
        </w:tc>
      </w:tr>
    </w:tbl>
    <w:p w14:paraId="78DBA6DA" w14:textId="77777777" w:rsidR="00377612" w:rsidRDefault="00377612" w:rsidP="0037761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D9D0071" w14:textId="3BF020F2" w:rsidR="00377612" w:rsidRDefault="00377612" w:rsidP="00377612">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062CBB6F" w14:textId="77777777" w:rsidR="00292679" w:rsidRDefault="00292679" w:rsidP="00377612">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tblGrid>
      <w:tr w:rsidR="00292679" w14:paraId="1DE6D25D" w14:textId="77777777" w:rsidTr="00015B88">
        <w:tc>
          <w:tcPr>
            <w:tcW w:w="2136" w:type="dxa"/>
            <w:tcBorders>
              <w:top w:val="single" w:sz="4" w:space="0" w:color="auto"/>
              <w:left w:val="nil"/>
              <w:bottom w:val="nil"/>
              <w:right w:val="nil"/>
            </w:tcBorders>
          </w:tcPr>
          <w:p w14:paraId="1EE855AD" w14:textId="77777777" w:rsidR="00292679" w:rsidRDefault="00292679"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522B8ECF" w14:textId="77777777" w:rsidR="00292679" w:rsidRDefault="00292679"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56" w:type="dxa"/>
            <w:tcBorders>
              <w:top w:val="single" w:sz="4" w:space="0" w:color="auto"/>
              <w:left w:val="nil"/>
              <w:bottom w:val="nil"/>
              <w:right w:val="nil"/>
            </w:tcBorders>
          </w:tcPr>
          <w:p w14:paraId="6C12878B" w14:textId="77777777" w:rsidR="00292679" w:rsidRDefault="00292679"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292679" w14:paraId="6D28856E" w14:textId="77777777" w:rsidTr="00015B88">
        <w:tc>
          <w:tcPr>
            <w:tcW w:w="2136" w:type="dxa"/>
            <w:tcBorders>
              <w:top w:val="nil"/>
              <w:left w:val="nil"/>
              <w:bottom w:val="nil"/>
              <w:right w:val="nil"/>
            </w:tcBorders>
          </w:tcPr>
          <w:p w14:paraId="3B20FECB" w14:textId="77777777" w:rsidR="00292679" w:rsidRDefault="00292679"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DB96BF" w14:textId="77777777" w:rsidR="00292679" w:rsidRDefault="00292679"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Govt. Turnover</w:t>
            </w:r>
          </w:p>
        </w:tc>
        <w:tc>
          <w:tcPr>
            <w:tcW w:w="1656" w:type="dxa"/>
            <w:tcBorders>
              <w:top w:val="nil"/>
              <w:left w:val="nil"/>
              <w:bottom w:val="nil"/>
              <w:right w:val="nil"/>
            </w:tcBorders>
          </w:tcPr>
          <w:p w14:paraId="323317E5" w14:textId="77777777" w:rsidR="00292679" w:rsidRDefault="00292679"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Head of State Turnover</w:t>
            </w:r>
          </w:p>
        </w:tc>
      </w:tr>
      <w:tr w:rsidR="00292679" w14:paraId="38DD0C0F" w14:textId="77777777" w:rsidTr="00015B88">
        <w:tc>
          <w:tcPr>
            <w:tcW w:w="2136" w:type="dxa"/>
            <w:tcBorders>
              <w:top w:val="single" w:sz="4" w:space="0" w:color="auto"/>
              <w:left w:val="nil"/>
              <w:bottom w:val="nil"/>
              <w:right w:val="nil"/>
            </w:tcBorders>
          </w:tcPr>
          <w:p w14:paraId="4693B39D" w14:textId="77777777" w:rsidR="00292679" w:rsidRDefault="00292679"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single" w:sz="4" w:space="0" w:color="auto"/>
              <w:left w:val="nil"/>
              <w:bottom w:val="nil"/>
              <w:right w:val="nil"/>
            </w:tcBorders>
          </w:tcPr>
          <w:p w14:paraId="2B5E622E" w14:textId="77777777" w:rsidR="00292679" w:rsidRDefault="00292679"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w:t>
            </w:r>
          </w:p>
        </w:tc>
        <w:tc>
          <w:tcPr>
            <w:tcW w:w="1656" w:type="dxa"/>
            <w:tcBorders>
              <w:top w:val="single" w:sz="4" w:space="0" w:color="auto"/>
              <w:left w:val="nil"/>
              <w:bottom w:val="nil"/>
              <w:right w:val="nil"/>
            </w:tcBorders>
          </w:tcPr>
          <w:p w14:paraId="5EE957E0" w14:textId="77777777" w:rsidR="00292679" w:rsidRDefault="00292679"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0.566</w:t>
            </w:r>
          </w:p>
        </w:tc>
      </w:tr>
      <w:tr w:rsidR="00292679" w14:paraId="09A82189" w14:textId="77777777" w:rsidTr="00015B88">
        <w:tc>
          <w:tcPr>
            <w:tcW w:w="2136" w:type="dxa"/>
            <w:tcBorders>
              <w:top w:val="nil"/>
              <w:left w:val="nil"/>
              <w:bottom w:val="nil"/>
              <w:right w:val="nil"/>
            </w:tcBorders>
          </w:tcPr>
          <w:p w14:paraId="13247391" w14:textId="77777777" w:rsidR="00292679" w:rsidRDefault="00292679"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8724C87" w14:textId="77777777" w:rsidR="00292679" w:rsidRDefault="00292679"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(0.60)</w:t>
            </w:r>
          </w:p>
        </w:tc>
        <w:tc>
          <w:tcPr>
            <w:tcW w:w="1656" w:type="dxa"/>
            <w:tcBorders>
              <w:top w:val="nil"/>
              <w:left w:val="nil"/>
              <w:bottom w:val="nil"/>
              <w:right w:val="nil"/>
            </w:tcBorders>
          </w:tcPr>
          <w:p w14:paraId="53EEC27D" w14:textId="77777777" w:rsidR="00292679" w:rsidRDefault="00292679"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w:t>
            </w:r>
          </w:p>
        </w:tc>
      </w:tr>
      <w:tr w:rsidR="00292679" w14:paraId="79F8C7FB" w14:textId="77777777" w:rsidTr="00015B88">
        <w:tc>
          <w:tcPr>
            <w:tcW w:w="2136" w:type="dxa"/>
            <w:tcBorders>
              <w:top w:val="nil"/>
              <w:left w:val="nil"/>
              <w:bottom w:val="nil"/>
              <w:right w:val="nil"/>
            </w:tcBorders>
          </w:tcPr>
          <w:p w14:paraId="121B3C5F" w14:textId="77777777" w:rsidR="00292679" w:rsidRDefault="00292679"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9E7B372" w14:textId="77777777" w:rsidR="00292679" w:rsidRDefault="00292679"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8DBF954" w14:textId="77777777" w:rsidR="00292679" w:rsidRDefault="00292679" w:rsidP="00015B88">
            <w:pPr>
              <w:widowControl w:val="0"/>
              <w:autoSpaceDE w:val="0"/>
              <w:autoSpaceDN w:val="0"/>
              <w:adjustRightInd w:val="0"/>
              <w:spacing w:after="0" w:line="240" w:lineRule="auto"/>
              <w:rPr>
                <w:rFonts w:ascii="Times New Roman" w:hAnsi="Times New Roman" w:cs="Times New Roman"/>
                <w:sz w:val="24"/>
                <w:szCs w:val="24"/>
              </w:rPr>
            </w:pPr>
          </w:p>
        </w:tc>
      </w:tr>
      <w:tr w:rsidR="00292679" w14:paraId="6FF23620" w14:textId="77777777" w:rsidTr="00015B88">
        <w:tc>
          <w:tcPr>
            <w:tcW w:w="2136" w:type="dxa"/>
            <w:tcBorders>
              <w:top w:val="nil"/>
              <w:left w:val="nil"/>
              <w:bottom w:val="nil"/>
              <w:right w:val="nil"/>
            </w:tcBorders>
          </w:tcPr>
          <w:p w14:paraId="581CD86D" w14:textId="77777777" w:rsidR="00292679" w:rsidRDefault="00292679"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65A7AB55" w14:textId="77777777" w:rsidR="00292679" w:rsidRDefault="00292679"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0.00133</w:t>
            </w:r>
          </w:p>
        </w:tc>
        <w:tc>
          <w:tcPr>
            <w:tcW w:w="1656" w:type="dxa"/>
            <w:tcBorders>
              <w:top w:val="nil"/>
              <w:left w:val="nil"/>
              <w:bottom w:val="nil"/>
              <w:right w:val="nil"/>
            </w:tcBorders>
          </w:tcPr>
          <w:p w14:paraId="6C64BEA2" w14:textId="77777777" w:rsidR="00292679" w:rsidRDefault="00292679"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0.0840</w:t>
            </w:r>
          </w:p>
        </w:tc>
      </w:tr>
      <w:tr w:rsidR="00292679" w14:paraId="00372450" w14:textId="77777777" w:rsidTr="00015B88">
        <w:tc>
          <w:tcPr>
            <w:tcW w:w="2136" w:type="dxa"/>
            <w:tcBorders>
              <w:top w:val="nil"/>
              <w:left w:val="nil"/>
              <w:bottom w:val="nil"/>
              <w:right w:val="nil"/>
            </w:tcBorders>
          </w:tcPr>
          <w:p w14:paraId="3A134B68" w14:textId="77777777" w:rsidR="00292679" w:rsidRDefault="00292679"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140B046" w14:textId="77777777" w:rsidR="00292679" w:rsidRDefault="00292679"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656" w:type="dxa"/>
            <w:tcBorders>
              <w:top w:val="nil"/>
              <w:left w:val="nil"/>
              <w:bottom w:val="nil"/>
              <w:right w:val="nil"/>
            </w:tcBorders>
          </w:tcPr>
          <w:p w14:paraId="79B71896" w14:textId="77777777" w:rsidR="00292679" w:rsidRDefault="00292679"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(1.68)</w:t>
            </w:r>
          </w:p>
        </w:tc>
      </w:tr>
      <w:tr w:rsidR="00292679" w14:paraId="6EDD008A" w14:textId="77777777" w:rsidTr="00015B88">
        <w:tc>
          <w:tcPr>
            <w:tcW w:w="2136" w:type="dxa"/>
            <w:tcBorders>
              <w:top w:val="nil"/>
              <w:left w:val="nil"/>
              <w:bottom w:val="nil"/>
              <w:right w:val="nil"/>
            </w:tcBorders>
          </w:tcPr>
          <w:p w14:paraId="5E78C13D" w14:textId="77777777" w:rsidR="00292679" w:rsidRDefault="00292679"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99A397F" w14:textId="77777777" w:rsidR="00292679" w:rsidRDefault="00292679"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C9C9A6D" w14:textId="77777777" w:rsidR="00292679" w:rsidRDefault="00292679" w:rsidP="00015B88">
            <w:pPr>
              <w:widowControl w:val="0"/>
              <w:autoSpaceDE w:val="0"/>
              <w:autoSpaceDN w:val="0"/>
              <w:adjustRightInd w:val="0"/>
              <w:spacing w:after="0" w:line="240" w:lineRule="auto"/>
              <w:rPr>
                <w:rFonts w:ascii="Times New Roman" w:hAnsi="Times New Roman" w:cs="Times New Roman"/>
                <w:sz w:val="24"/>
                <w:szCs w:val="24"/>
              </w:rPr>
            </w:pPr>
          </w:p>
        </w:tc>
      </w:tr>
      <w:tr w:rsidR="00292679" w14:paraId="11C5C20A" w14:textId="77777777" w:rsidTr="00015B88">
        <w:tc>
          <w:tcPr>
            <w:tcW w:w="2136" w:type="dxa"/>
            <w:tcBorders>
              <w:top w:val="nil"/>
              <w:left w:val="nil"/>
              <w:bottom w:val="nil"/>
              <w:right w:val="nil"/>
            </w:tcBorders>
          </w:tcPr>
          <w:p w14:paraId="2F6AB022" w14:textId="77777777" w:rsidR="00292679" w:rsidRDefault="00292679"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2AF3E7E3" w14:textId="77777777" w:rsidR="00292679" w:rsidRDefault="00292679"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-0.114</w:t>
            </w:r>
          </w:p>
        </w:tc>
        <w:tc>
          <w:tcPr>
            <w:tcW w:w="1656" w:type="dxa"/>
            <w:tcBorders>
              <w:top w:val="nil"/>
              <w:left w:val="nil"/>
              <w:bottom w:val="nil"/>
              <w:right w:val="nil"/>
            </w:tcBorders>
          </w:tcPr>
          <w:p w14:paraId="6A13B9A4" w14:textId="77777777" w:rsidR="00292679" w:rsidRDefault="00292679"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-0.927</w:t>
            </w:r>
          </w:p>
        </w:tc>
      </w:tr>
      <w:tr w:rsidR="00292679" w14:paraId="1F09FAC6" w14:textId="77777777" w:rsidTr="00015B88">
        <w:tc>
          <w:tcPr>
            <w:tcW w:w="2136" w:type="dxa"/>
            <w:tcBorders>
              <w:top w:val="nil"/>
              <w:left w:val="nil"/>
              <w:bottom w:val="single" w:sz="4" w:space="0" w:color="auto"/>
              <w:right w:val="nil"/>
            </w:tcBorders>
          </w:tcPr>
          <w:p w14:paraId="6AB1BDF7" w14:textId="77777777" w:rsidR="00292679" w:rsidRDefault="00292679" w:rsidP="00015B88">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3FD19FBF" w14:textId="77777777" w:rsidR="00292679" w:rsidRDefault="00292679"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656" w:type="dxa"/>
            <w:tcBorders>
              <w:top w:val="nil"/>
              <w:left w:val="nil"/>
              <w:bottom w:val="single" w:sz="4" w:space="0" w:color="auto"/>
              <w:right w:val="nil"/>
            </w:tcBorders>
          </w:tcPr>
          <w:p w14:paraId="67EA3541" w14:textId="77777777" w:rsidR="00292679" w:rsidRDefault="00292679"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(-0.61)</w:t>
            </w:r>
          </w:p>
        </w:tc>
      </w:tr>
      <w:tr w:rsidR="00292679" w14:paraId="71B60066" w14:textId="77777777" w:rsidTr="00015B88">
        <w:tc>
          <w:tcPr>
            <w:tcW w:w="2136" w:type="dxa"/>
            <w:tcBorders>
              <w:top w:val="nil"/>
              <w:left w:val="nil"/>
              <w:bottom w:val="single" w:sz="4" w:space="0" w:color="auto"/>
              <w:right w:val="nil"/>
            </w:tcBorders>
          </w:tcPr>
          <w:p w14:paraId="5CE63094" w14:textId="77777777" w:rsidR="00292679" w:rsidRDefault="00292679" w:rsidP="00015B8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05E295E1" w14:textId="77777777" w:rsidR="00292679" w:rsidRDefault="00292679"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664</w:t>
            </w:r>
          </w:p>
        </w:tc>
        <w:tc>
          <w:tcPr>
            <w:tcW w:w="1656" w:type="dxa"/>
            <w:tcBorders>
              <w:top w:val="nil"/>
              <w:left w:val="nil"/>
              <w:bottom w:val="single" w:sz="4" w:space="0" w:color="auto"/>
              <w:right w:val="nil"/>
            </w:tcBorders>
          </w:tcPr>
          <w:p w14:paraId="609C92BB" w14:textId="77777777" w:rsidR="00292679" w:rsidRDefault="00292679" w:rsidP="00015B8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664</w:t>
            </w:r>
          </w:p>
        </w:tc>
      </w:tr>
    </w:tbl>
    <w:p w14:paraId="6E3A3B8B" w14:textId="77777777" w:rsidR="00292679" w:rsidRDefault="00292679" w:rsidP="0029267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4B0B3251" w14:textId="77777777" w:rsidR="00292679" w:rsidRDefault="00292679" w:rsidP="0029267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5AC29966" w14:textId="77777777" w:rsidR="00CB6AF6" w:rsidRDefault="00CB6AF6" w:rsidP="00CB6AF6">
      <w:pPr>
        <w:widowControl w:val="0"/>
        <w:autoSpaceDE w:val="0"/>
        <w:autoSpaceDN w:val="0"/>
        <w:adjustRightInd w:val="0"/>
        <w:spacing w:after="0" w:line="240" w:lineRule="auto"/>
        <w:rPr>
          <w:rFonts w:ascii="Times New Roman" w:hAnsi="Times New Roman" w:cs="Times New Roman"/>
          <w:sz w:val="24"/>
          <w:szCs w:val="24"/>
        </w:rPr>
      </w:pPr>
    </w:p>
    <w:p w14:paraId="40C4D4DF" w14:textId="70D6E2D9" w:rsidR="002C3C14" w:rsidRDefault="00486814" w:rsidP="00DB7775">
      <w:r>
        <w:t>Interaction term and lags</w:t>
      </w:r>
    </w:p>
    <w:p w14:paraId="7EC99451" w14:textId="3D91B558" w:rsidR="006B3D32" w:rsidRDefault="006B3D32" w:rsidP="00DB7775">
      <w:r>
        <w:t>Linear</w:t>
      </w:r>
    </w:p>
    <w:p w14:paraId="19E6C318" w14:textId="0CE101AB" w:rsidR="006B3D32" w:rsidRDefault="006B3D32" w:rsidP="00DB7775">
      <w:r>
        <w:t>DJ</w:t>
      </w:r>
    </w:p>
    <w:tbl>
      <w:tblPr>
        <w:tblW w:w="0" w:type="auto"/>
        <w:tblLayout w:type="fixed"/>
        <w:tblLook w:val="0000" w:firstRow="0" w:lastRow="0" w:firstColumn="0" w:lastColumn="0" w:noHBand="0" w:noVBand="0"/>
      </w:tblPr>
      <w:tblGrid>
        <w:gridCol w:w="2136"/>
        <w:gridCol w:w="1656"/>
        <w:gridCol w:w="1656"/>
      </w:tblGrid>
      <w:tr w:rsidR="004F2FCB" w:rsidRPr="00B75E5E" w14:paraId="762555BD" w14:textId="77777777" w:rsidTr="00015B88">
        <w:tc>
          <w:tcPr>
            <w:tcW w:w="2136" w:type="dxa"/>
            <w:tcBorders>
              <w:top w:val="single" w:sz="4" w:space="0" w:color="auto"/>
              <w:left w:val="nil"/>
              <w:bottom w:val="nil"/>
              <w:right w:val="nil"/>
            </w:tcBorders>
          </w:tcPr>
          <w:p w14:paraId="48C3FAC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177CC0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w:t>
            </w:r>
          </w:p>
        </w:tc>
        <w:tc>
          <w:tcPr>
            <w:tcW w:w="1656" w:type="dxa"/>
            <w:tcBorders>
              <w:top w:val="single" w:sz="4" w:space="0" w:color="auto"/>
              <w:left w:val="nil"/>
              <w:bottom w:val="nil"/>
              <w:right w:val="nil"/>
            </w:tcBorders>
          </w:tcPr>
          <w:p w14:paraId="0BDB036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w:t>
            </w:r>
          </w:p>
        </w:tc>
      </w:tr>
      <w:tr w:rsidR="004F2FCB" w:rsidRPr="00B75E5E" w14:paraId="5E74D68D" w14:textId="77777777" w:rsidTr="00015B88">
        <w:tc>
          <w:tcPr>
            <w:tcW w:w="2136" w:type="dxa"/>
            <w:tcBorders>
              <w:top w:val="nil"/>
              <w:left w:val="nil"/>
              <w:bottom w:val="nil"/>
              <w:right w:val="nil"/>
            </w:tcBorders>
          </w:tcPr>
          <w:p w14:paraId="1157345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EB64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Head of Govt. Turnover</w:t>
            </w:r>
          </w:p>
        </w:tc>
        <w:tc>
          <w:tcPr>
            <w:tcW w:w="1656" w:type="dxa"/>
            <w:tcBorders>
              <w:top w:val="nil"/>
              <w:left w:val="nil"/>
              <w:bottom w:val="nil"/>
              <w:right w:val="nil"/>
            </w:tcBorders>
          </w:tcPr>
          <w:p w14:paraId="6D22C99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Head of State Turnover</w:t>
            </w:r>
          </w:p>
        </w:tc>
      </w:tr>
      <w:tr w:rsidR="004F2FCB" w:rsidRPr="00B75E5E" w14:paraId="373B51D4" w14:textId="77777777" w:rsidTr="00015B88">
        <w:tc>
          <w:tcPr>
            <w:tcW w:w="2136" w:type="dxa"/>
            <w:tcBorders>
              <w:top w:val="single" w:sz="4" w:space="0" w:color="auto"/>
              <w:left w:val="nil"/>
              <w:bottom w:val="nil"/>
              <w:right w:val="nil"/>
            </w:tcBorders>
          </w:tcPr>
          <w:p w14:paraId="4357BF6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857C17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0.382</w:t>
            </w:r>
          </w:p>
        </w:tc>
        <w:tc>
          <w:tcPr>
            <w:tcW w:w="1656" w:type="dxa"/>
            <w:tcBorders>
              <w:top w:val="single" w:sz="4" w:space="0" w:color="auto"/>
              <w:left w:val="nil"/>
              <w:bottom w:val="nil"/>
              <w:right w:val="nil"/>
            </w:tcBorders>
          </w:tcPr>
          <w:p w14:paraId="79A6D32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0.359</w:t>
            </w:r>
          </w:p>
        </w:tc>
      </w:tr>
      <w:tr w:rsidR="004F2FCB" w:rsidRPr="00B75E5E" w14:paraId="639A2CB9" w14:textId="77777777" w:rsidTr="00015B88">
        <w:tc>
          <w:tcPr>
            <w:tcW w:w="2136" w:type="dxa"/>
            <w:tcBorders>
              <w:top w:val="nil"/>
              <w:left w:val="nil"/>
              <w:bottom w:val="nil"/>
              <w:right w:val="nil"/>
            </w:tcBorders>
          </w:tcPr>
          <w:p w14:paraId="79BF066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4CBA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w:t>
            </w:r>
          </w:p>
        </w:tc>
        <w:tc>
          <w:tcPr>
            <w:tcW w:w="1656" w:type="dxa"/>
            <w:tcBorders>
              <w:top w:val="nil"/>
              <w:left w:val="nil"/>
              <w:bottom w:val="nil"/>
              <w:right w:val="nil"/>
            </w:tcBorders>
          </w:tcPr>
          <w:p w14:paraId="25E658E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(0.59)</w:t>
            </w:r>
          </w:p>
        </w:tc>
      </w:tr>
      <w:tr w:rsidR="004F2FCB" w:rsidRPr="00B75E5E" w14:paraId="542BC223" w14:textId="77777777" w:rsidTr="00015B88">
        <w:tc>
          <w:tcPr>
            <w:tcW w:w="2136" w:type="dxa"/>
            <w:tcBorders>
              <w:top w:val="nil"/>
              <w:left w:val="nil"/>
              <w:bottom w:val="nil"/>
              <w:right w:val="nil"/>
            </w:tcBorders>
          </w:tcPr>
          <w:p w14:paraId="2CB2AEE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EC3A1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7C84D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6B7F61C" w14:textId="77777777" w:rsidTr="00015B88">
        <w:tc>
          <w:tcPr>
            <w:tcW w:w="2136" w:type="dxa"/>
            <w:tcBorders>
              <w:top w:val="nil"/>
              <w:left w:val="nil"/>
              <w:bottom w:val="nil"/>
              <w:right w:val="nil"/>
            </w:tcBorders>
          </w:tcPr>
          <w:p w14:paraId="2DC3919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42B4C4F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-0.0502</w:t>
            </w:r>
          </w:p>
        </w:tc>
        <w:tc>
          <w:tcPr>
            <w:tcW w:w="1656" w:type="dxa"/>
            <w:tcBorders>
              <w:top w:val="nil"/>
              <w:left w:val="nil"/>
              <w:bottom w:val="nil"/>
              <w:right w:val="nil"/>
            </w:tcBorders>
          </w:tcPr>
          <w:p w14:paraId="2BF413C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-0.0171</w:t>
            </w:r>
          </w:p>
        </w:tc>
      </w:tr>
      <w:tr w:rsidR="004F2FCB" w:rsidRPr="00B75E5E" w14:paraId="752D75DD" w14:textId="77777777" w:rsidTr="00015B88">
        <w:tc>
          <w:tcPr>
            <w:tcW w:w="2136" w:type="dxa"/>
            <w:tcBorders>
              <w:top w:val="nil"/>
              <w:left w:val="nil"/>
              <w:bottom w:val="nil"/>
              <w:right w:val="nil"/>
            </w:tcBorders>
          </w:tcPr>
          <w:p w14:paraId="2A693D0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58145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(-1.59)</w:t>
            </w:r>
          </w:p>
        </w:tc>
        <w:tc>
          <w:tcPr>
            <w:tcW w:w="1656" w:type="dxa"/>
            <w:tcBorders>
              <w:top w:val="nil"/>
              <w:left w:val="nil"/>
              <w:bottom w:val="nil"/>
              <w:right w:val="nil"/>
            </w:tcBorders>
          </w:tcPr>
          <w:p w14:paraId="2811D1D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(-0.77)</w:t>
            </w:r>
          </w:p>
        </w:tc>
      </w:tr>
      <w:tr w:rsidR="004F2FCB" w:rsidRPr="00B75E5E" w14:paraId="457587AA" w14:textId="77777777" w:rsidTr="00015B88">
        <w:tc>
          <w:tcPr>
            <w:tcW w:w="2136" w:type="dxa"/>
            <w:tcBorders>
              <w:top w:val="nil"/>
              <w:left w:val="nil"/>
              <w:bottom w:val="nil"/>
              <w:right w:val="nil"/>
            </w:tcBorders>
          </w:tcPr>
          <w:p w14:paraId="6C0F82C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19619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2A2F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60FF54E" w14:textId="77777777" w:rsidTr="00015B88">
        <w:tc>
          <w:tcPr>
            <w:tcW w:w="2136" w:type="dxa"/>
            <w:tcBorders>
              <w:top w:val="nil"/>
              <w:left w:val="nil"/>
              <w:bottom w:val="nil"/>
              <w:right w:val="nil"/>
            </w:tcBorders>
          </w:tcPr>
          <w:p w14:paraId="48E2630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HOS = HOG</w:t>
            </w:r>
          </w:p>
        </w:tc>
        <w:tc>
          <w:tcPr>
            <w:tcW w:w="1656" w:type="dxa"/>
            <w:tcBorders>
              <w:top w:val="nil"/>
              <w:left w:val="nil"/>
              <w:bottom w:val="nil"/>
              <w:right w:val="nil"/>
            </w:tcBorders>
          </w:tcPr>
          <w:p w14:paraId="2FFD7DA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-0.0371</w:t>
            </w:r>
          </w:p>
        </w:tc>
        <w:tc>
          <w:tcPr>
            <w:tcW w:w="1656" w:type="dxa"/>
            <w:tcBorders>
              <w:top w:val="nil"/>
              <w:left w:val="nil"/>
              <w:bottom w:val="nil"/>
              <w:right w:val="nil"/>
            </w:tcBorders>
          </w:tcPr>
          <w:p w14:paraId="2AC92F8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0.493</w:t>
            </w:r>
          </w:p>
        </w:tc>
      </w:tr>
      <w:tr w:rsidR="004F2FCB" w:rsidRPr="00B75E5E" w14:paraId="5B2BB58A" w14:textId="77777777" w:rsidTr="00015B88">
        <w:tc>
          <w:tcPr>
            <w:tcW w:w="2136" w:type="dxa"/>
            <w:tcBorders>
              <w:top w:val="nil"/>
              <w:left w:val="nil"/>
              <w:bottom w:val="nil"/>
              <w:right w:val="nil"/>
            </w:tcBorders>
          </w:tcPr>
          <w:p w14:paraId="4D4279B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44D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(-0.06)</w:t>
            </w:r>
          </w:p>
        </w:tc>
        <w:tc>
          <w:tcPr>
            <w:tcW w:w="1656" w:type="dxa"/>
            <w:tcBorders>
              <w:top w:val="nil"/>
              <w:left w:val="nil"/>
              <w:bottom w:val="nil"/>
              <w:right w:val="nil"/>
            </w:tcBorders>
          </w:tcPr>
          <w:p w14:paraId="7950ABA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(0.84)</w:t>
            </w:r>
          </w:p>
        </w:tc>
      </w:tr>
      <w:tr w:rsidR="004F2FCB" w:rsidRPr="00B75E5E" w14:paraId="0374E2DE" w14:textId="77777777" w:rsidTr="00015B88">
        <w:tc>
          <w:tcPr>
            <w:tcW w:w="2136" w:type="dxa"/>
            <w:tcBorders>
              <w:top w:val="nil"/>
              <w:left w:val="nil"/>
              <w:bottom w:val="nil"/>
              <w:right w:val="nil"/>
            </w:tcBorders>
          </w:tcPr>
          <w:p w14:paraId="36E0683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0AF43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4729C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B16A391" w14:textId="77777777" w:rsidTr="00015B88">
        <w:tc>
          <w:tcPr>
            <w:tcW w:w="2136" w:type="dxa"/>
            <w:tcBorders>
              <w:top w:val="nil"/>
              <w:left w:val="nil"/>
              <w:bottom w:val="nil"/>
              <w:right w:val="nil"/>
            </w:tcBorders>
          </w:tcPr>
          <w:p w14:paraId="362FFDF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De Jure CBI * HOS = HOG</w:t>
            </w:r>
          </w:p>
        </w:tc>
        <w:tc>
          <w:tcPr>
            <w:tcW w:w="1656" w:type="dxa"/>
            <w:tcBorders>
              <w:top w:val="nil"/>
              <w:left w:val="nil"/>
              <w:bottom w:val="nil"/>
              <w:right w:val="nil"/>
            </w:tcBorders>
          </w:tcPr>
          <w:p w14:paraId="6A2EEA1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-0.888</w:t>
            </w:r>
          </w:p>
        </w:tc>
        <w:tc>
          <w:tcPr>
            <w:tcW w:w="1656" w:type="dxa"/>
            <w:tcBorders>
              <w:top w:val="nil"/>
              <w:left w:val="nil"/>
              <w:bottom w:val="nil"/>
              <w:right w:val="nil"/>
            </w:tcBorders>
          </w:tcPr>
          <w:p w14:paraId="24D7236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0.0540</w:t>
            </w:r>
          </w:p>
        </w:tc>
      </w:tr>
      <w:tr w:rsidR="004F2FCB" w:rsidRPr="00B75E5E" w14:paraId="31CE6204" w14:textId="77777777" w:rsidTr="00015B88">
        <w:tc>
          <w:tcPr>
            <w:tcW w:w="2136" w:type="dxa"/>
            <w:tcBorders>
              <w:top w:val="nil"/>
              <w:left w:val="nil"/>
              <w:bottom w:val="nil"/>
              <w:right w:val="nil"/>
            </w:tcBorders>
          </w:tcPr>
          <w:p w14:paraId="4E8DA97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AC535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(-0.84)</w:t>
            </w:r>
          </w:p>
        </w:tc>
        <w:tc>
          <w:tcPr>
            <w:tcW w:w="1656" w:type="dxa"/>
            <w:tcBorders>
              <w:top w:val="nil"/>
              <w:left w:val="nil"/>
              <w:bottom w:val="nil"/>
              <w:right w:val="nil"/>
            </w:tcBorders>
          </w:tcPr>
          <w:p w14:paraId="0D0601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w:t>
            </w:r>
          </w:p>
        </w:tc>
      </w:tr>
      <w:tr w:rsidR="004F2FCB" w:rsidRPr="00B75E5E" w14:paraId="0F8091E9" w14:textId="77777777" w:rsidTr="00015B88">
        <w:tc>
          <w:tcPr>
            <w:tcW w:w="2136" w:type="dxa"/>
            <w:tcBorders>
              <w:top w:val="nil"/>
              <w:left w:val="nil"/>
              <w:bottom w:val="nil"/>
              <w:right w:val="nil"/>
            </w:tcBorders>
          </w:tcPr>
          <w:p w14:paraId="5592F02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39A3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0744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849E320" w14:textId="77777777" w:rsidTr="00015B88">
        <w:tc>
          <w:tcPr>
            <w:tcW w:w="2136" w:type="dxa"/>
            <w:tcBorders>
              <w:top w:val="nil"/>
              <w:left w:val="nil"/>
              <w:bottom w:val="nil"/>
              <w:right w:val="nil"/>
            </w:tcBorders>
          </w:tcPr>
          <w:p w14:paraId="526A553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More Fixed Rate * HOS = HOG</w:t>
            </w:r>
          </w:p>
        </w:tc>
        <w:tc>
          <w:tcPr>
            <w:tcW w:w="1656" w:type="dxa"/>
            <w:tcBorders>
              <w:top w:val="nil"/>
              <w:left w:val="nil"/>
              <w:bottom w:val="nil"/>
              <w:right w:val="nil"/>
            </w:tcBorders>
          </w:tcPr>
          <w:p w14:paraId="5454C47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-0.0107</w:t>
            </w:r>
          </w:p>
        </w:tc>
        <w:tc>
          <w:tcPr>
            <w:tcW w:w="1656" w:type="dxa"/>
            <w:tcBorders>
              <w:top w:val="nil"/>
              <w:left w:val="nil"/>
              <w:bottom w:val="nil"/>
              <w:right w:val="nil"/>
            </w:tcBorders>
          </w:tcPr>
          <w:p w14:paraId="5302427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-0.0495</w:t>
            </w:r>
          </w:p>
        </w:tc>
      </w:tr>
      <w:tr w:rsidR="004F2FCB" w:rsidRPr="00B75E5E" w14:paraId="5CB857B4" w14:textId="77777777" w:rsidTr="00015B88">
        <w:tc>
          <w:tcPr>
            <w:tcW w:w="2136" w:type="dxa"/>
            <w:tcBorders>
              <w:top w:val="nil"/>
              <w:left w:val="nil"/>
              <w:bottom w:val="nil"/>
              <w:right w:val="nil"/>
            </w:tcBorders>
          </w:tcPr>
          <w:p w14:paraId="059B189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A59A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(-0.28)</w:t>
            </w:r>
          </w:p>
        </w:tc>
        <w:tc>
          <w:tcPr>
            <w:tcW w:w="1656" w:type="dxa"/>
            <w:tcBorders>
              <w:top w:val="nil"/>
              <w:left w:val="nil"/>
              <w:bottom w:val="nil"/>
              <w:right w:val="nil"/>
            </w:tcBorders>
          </w:tcPr>
          <w:p w14:paraId="6A1D3EF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(-1.51)</w:t>
            </w:r>
          </w:p>
        </w:tc>
      </w:tr>
      <w:tr w:rsidR="004F2FCB" w:rsidRPr="00B75E5E" w14:paraId="51BC6D20" w14:textId="77777777" w:rsidTr="00015B88">
        <w:tc>
          <w:tcPr>
            <w:tcW w:w="2136" w:type="dxa"/>
            <w:tcBorders>
              <w:top w:val="nil"/>
              <w:left w:val="nil"/>
              <w:bottom w:val="nil"/>
              <w:right w:val="nil"/>
            </w:tcBorders>
          </w:tcPr>
          <w:p w14:paraId="270986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8B5F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1A316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B357431" w14:textId="77777777" w:rsidTr="00015B88">
        <w:tc>
          <w:tcPr>
            <w:tcW w:w="2136" w:type="dxa"/>
            <w:tcBorders>
              <w:top w:val="nil"/>
              <w:left w:val="nil"/>
              <w:bottom w:val="nil"/>
              <w:right w:val="nil"/>
            </w:tcBorders>
          </w:tcPr>
          <w:p w14:paraId="44B33AC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B75E5E">
              <w:rPr>
                <w:rFonts w:ascii="Times New Roman" w:hAnsi="Times New Roman" w:cs="Times New Roman"/>
                <w:sz w:val="16"/>
                <w:szCs w:val="16"/>
              </w:rPr>
              <w:t>L.De</w:t>
            </w:r>
            <w:proofErr w:type="spellEnd"/>
            <w:r w:rsidRPr="00B75E5E">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2AE3533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0.449</w:t>
            </w:r>
          </w:p>
        </w:tc>
        <w:tc>
          <w:tcPr>
            <w:tcW w:w="1656" w:type="dxa"/>
            <w:tcBorders>
              <w:top w:val="nil"/>
              <w:left w:val="nil"/>
              <w:bottom w:val="nil"/>
              <w:right w:val="nil"/>
            </w:tcBorders>
          </w:tcPr>
          <w:p w14:paraId="6DFD2EA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-0.204</w:t>
            </w:r>
          </w:p>
        </w:tc>
      </w:tr>
      <w:tr w:rsidR="004F2FCB" w:rsidRPr="00B75E5E" w14:paraId="060232C2" w14:textId="77777777" w:rsidTr="00015B88">
        <w:tc>
          <w:tcPr>
            <w:tcW w:w="2136" w:type="dxa"/>
            <w:tcBorders>
              <w:top w:val="nil"/>
              <w:left w:val="nil"/>
              <w:bottom w:val="nil"/>
              <w:right w:val="nil"/>
            </w:tcBorders>
          </w:tcPr>
          <w:p w14:paraId="3CB73D2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B150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(0.50)</w:t>
            </w:r>
          </w:p>
        </w:tc>
        <w:tc>
          <w:tcPr>
            <w:tcW w:w="1656" w:type="dxa"/>
            <w:tcBorders>
              <w:top w:val="nil"/>
              <w:left w:val="nil"/>
              <w:bottom w:val="nil"/>
              <w:right w:val="nil"/>
            </w:tcBorders>
          </w:tcPr>
          <w:p w14:paraId="196B9C6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(-0.29)</w:t>
            </w:r>
          </w:p>
        </w:tc>
      </w:tr>
      <w:tr w:rsidR="004F2FCB" w:rsidRPr="00B75E5E" w14:paraId="3702330F" w14:textId="77777777" w:rsidTr="00015B88">
        <w:tc>
          <w:tcPr>
            <w:tcW w:w="2136" w:type="dxa"/>
            <w:tcBorders>
              <w:top w:val="nil"/>
              <w:left w:val="nil"/>
              <w:bottom w:val="nil"/>
              <w:right w:val="nil"/>
            </w:tcBorders>
          </w:tcPr>
          <w:p w14:paraId="1D61EE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478A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C6564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5B2FF41" w14:textId="77777777" w:rsidTr="00015B88">
        <w:tc>
          <w:tcPr>
            <w:tcW w:w="2136" w:type="dxa"/>
            <w:tcBorders>
              <w:top w:val="nil"/>
              <w:left w:val="nil"/>
              <w:bottom w:val="nil"/>
              <w:right w:val="nil"/>
            </w:tcBorders>
          </w:tcPr>
          <w:p w14:paraId="6A6D98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lastRenderedPageBreak/>
              <w:t>L2.De Jure CBI (CNW Index)</w:t>
            </w:r>
          </w:p>
        </w:tc>
        <w:tc>
          <w:tcPr>
            <w:tcW w:w="1656" w:type="dxa"/>
            <w:tcBorders>
              <w:top w:val="nil"/>
              <w:left w:val="nil"/>
              <w:bottom w:val="nil"/>
              <w:right w:val="nil"/>
            </w:tcBorders>
          </w:tcPr>
          <w:p w14:paraId="097D362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-0.562</w:t>
            </w:r>
          </w:p>
        </w:tc>
        <w:tc>
          <w:tcPr>
            <w:tcW w:w="1656" w:type="dxa"/>
            <w:tcBorders>
              <w:top w:val="nil"/>
              <w:left w:val="nil"/>
              <w:bottom w:val="nil"/>
              <w:right w:val="nil"/>
            </w:tcBorders>
          </w:tcPr>
          <w:p w14:paraId="23929A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0.666</w:t>
            </w:r>
          </w:p>
        </w:tc>
      </w:tr>
      <w:tr w:rsidR="004F2FCB" w:rsidRPr="00B75E5E" w14:paraId="55FF01E6" w14:textId="77777777" w:rsidTr="00015B88">
        <w:tc>
          <w:tcPr>
            <w:tcW w:w="2136" w:type="dxa"/>
            <w:tcBorders>
              <w:top w:val="nil"/>
              <w:left w:val="nil"/>
              <w:bottom w:val="nil"/>
              <w:right w:val="nil"/>
            </w:tcBorders>
          </w:tcPr>
          <w:p w14:paraId="1EF73C8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DAC23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(-0.82)</w:t>
            </w:r>
          </w:p>
        </w:tc>
        <w:tc>
          <w:tcPr>
            <w:tcW w:w="1656" w:type="dxa"/>
            <w:tcBorders>
              <w:top w:val="nil"/>
              <w:left w:val="nil"/>
              <w:bottom w:val="nil"/>
              <w:right w:val="nil"/>
            </w:tcBorders>
          </w:tcPr>
          <w:p w14:paraId="1C58AAE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(1.36)</w:t>
            </w:r>
          </w:p>
        </w:tc>
      </w:tr>
      <w:tr w:rsidR="004F2FCB" w:rsidRPr="00B75E5E" w14:paraId="4B91504D" w14:textId="77777777" w:rsidTr="00015B88">
        <w:tc>
          <w:tcPr>
            <w:tcW w:w="2136" w:type="dxa"/>
            <w:tcBorders>
              <w:top w:val="nil"/>
              <w:left w:val="nil"/>
              <w:bottom w:val="nil"/>
              <w:right w:val="nil"/>
            </w:tcBorders>
          </w:tcPr>
          <w:p w14:paraId="32F8C5C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C8020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219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4C9FC9B" w14:textId="77777777" w:rsidTr="00015B88">
        <w:tc>
          <w:tcPr>
            <w:tcW w:w="2136" w:type="dxa"/>
            <w:tcBorders>
              <w:top w:val="nil"/>
              <w:left w:val="nil"/>
              <w:bottom w:val="nil"/>
              <w:right w:val="nil"/>
            </w:tcBorders>
          </w:tcPr>
          <w:p w14:paraId="20C266B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L3.De Jure CBI (CNW Index)</w:t>
            </w:r>
          </w:p>
        </w:tc>
        <w:tc>
          <w:tcPr>
            <w:tcW w:w="1656" w:type="dxa"/>
            <w:tcBorders>
              <w:top w:val="nil"/>
              <w:left w:val="nil"/>
              <w:bottom w:val="nil"/>
              <w:right w:val="nil"/>
            </w:tcBorders>
          </w:tcPr>
          <w:p w14:paraId="5CEABAD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-0.580</w:t>
            </w:r>
          </w:p>
        </w:tc>
        <w:tc>
          <w:tcPr>
            <w:tcW w:w="1656" w:type="dxa"/>
            <w:tcBorders>
              <w:top w:val="nil"/>
              <w:left w:val="nil"/>
              <w:bottom w:val="nil"/>
              <w:right w:val="nil"/>
            </w:tcBorders>
          </w:tcPr>
          <w:p w14:paraId="340FA8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-0.681</w:t>
            </w:r>
          </w:p>
        </w:tc>
      </w:tr>
      <w:tr w:rsidR="004F2FCB" w:rsidRPr="00B75E5E" w14:paraId="01147122" w14:textId="77777777" w:rsidTr="00015B88">
        <w:tc>
          <w:tcPr>
            <w:tcW w:w="2136" w:type="dxa"/>
            <w:tcBorders>
              <w:top w:val="nil"/>
              <w:left w:val="nil"/>
              <w:bottom w:val="nil"/>
              <w:right w:val="nil"/>
            </w:tcBorders>
          </w:tcPr>
          <w:p w14:paraId="73EC87C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26D8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(-0.89)</w:t>
            </w:r>
          </w:p>
        </w:tc>
        <w:tc>
          <w:tcPr>
            <w:tcW w:w="1656" w:type="dxa"/>
            <w:tcBorders>
              <w:top w:val="nil"/>
              <w:left w:val="nil"/>
              <w:bottom w:val="nil"/>
              <w:right w:val="nil"/>
            </w:tcBorders>
          </w:tcPr>
          <w:p w14:paraId="47CFEA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(-1.59)</w:t>
            </w:r>
          </w:p>
        </w:tc>
      </w:tr>
      <w:tr w:rsidR="004F2FCB" w:rsidRPr="00B75E5E" w14:paraId="34624419" w14:textId="77777777" w:rsidTr="00015B88">
        <w:tc>
          <w:tcPr>
            <w:tcW w:w="2136" w:type="dxa"/>
            <w:tcBorders>
              <w:top w:val="nil"/>
              <w:left w:val="nil"/>
              <w:bottom w:val="nil"/>
              <w:right w:val="nil"/>
            </w:tcBorders>
          </w:tcPr>
          <w:p w14:paraId="0844C56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56902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639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B8C1099" w14:textId="77777777" w:rsidTr="00015B88">
        <w:tc>
          <w:tcPr>
            <w:tcW w:w="2136" w:type="dxa"/>
            <w:tcBorders>
              <w:top w:val="nil"/>
              <w:left w:val="nil"/>
              <w:bottom w:val="nil"/>
              <w:right w:val="nil"/>
            </w:tcBorders>
          </w:tcPr>
          <w:p w14:paraId="38DB307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L4.De Jure CBI (CNW Index)</w:t>
            </w:r>
          </w:p>
        </w:tc>
        <w:tc>
          <w:tcPr>
            <w:tcW w:w="1656" w:type="dxa"/>
            <w:tcBorders>
              <w:top w:val="nil"/>
              <w:left w:val="nil"/>
              <w:bottom w:val="nil"/>
              <w:right w:val="nil"/>
            </w:tcBorders>
          </w:tcPr>
          <w:p w14:paraId="4BDE7C8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0.990</w:t>
            </w:r>
          </w:p>
        </w:tc>
        <w:tc>
          <w:tcPr>
            <w:tcW w:w="1656" w:type="dxa"/>
            <w:tcBorders>
              <w:top w:val="nil"/>
              <w:left w:val="nil"/>
              <w:bottom w:val="nil"/>
              <w:right w:val="nil"/>
            </w:tcBorders>
          </w:tcPr>
          <w:p w14:paraId="315CFFB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-0.301</w:t>
            </w:r>
          </w:p>
        </w:tc>
      </w:tr>
      <w:tr w:rsidR="004F2FCB" w:rsidRPr="00B75E5E" w14:paraId="6396D176" w14:textId="77777777" w:rsidTr="00015B88">
        <w:tc>
          <w:tcPr>
            <w:tcW w:w="2136" w:type="dxa"/>
            <w:tcBorders>
              <w:top w:val="nil"/>
              <w:left w:val="nil"/>
              <w:bottom w:val="nil"/>
              <w:right w:val="nil"/>
            </w:tcBorders>
          </w:tcPr>
          <w:p w14:paraId="0765A1F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0429A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(1.05)</w:t>
            </w:r>
          </w:p>
        </w:tc>
        <w:tc>
          <w:tcPr>
            <w:tcW w:w="1656" w:type="dxa"/>
            <w:tcBorders>
              <w:top w:val="nil"/>
              <w:left w:val="nil"/>
              <w:bottom w:val="nil"/>
              <w:right w:val="nil"/>
            </w:tcBorders>
          </w:tcPr>
          <w:p w14:paraId="77BF7F4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(-0.47)</w:t>
            </w:r>
          </w:p>
        </w:tc>
      </w:tr>
      <w:tr w:rsidR="004F2FCB" w:rsidRPr="00B75E5E" w14:paraId="142FFA1F" w14:textId="77777777" w:rsidTr="00015B88">
        <w:tc>
          <w:tcPr>
            <w:tcW w:w="2136" w:type="dxa"/>
            <w:tcBorders>
              <w:top w:val="nil"/>
              <w:left w:val="nil"/>
              <w:bottom w:val="nil"/>
              <w:right w:val="nil"/>
            </w:tcBorders>
          </w:tcPr>
          <w:p w14:paraId="2BEE7BA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09883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BB465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398C23B" w14:textId="77777777" w:rsidTr="00015B88">
        <w:tc>
          <w:tcPr>
            <w:tcW w:w="2136" w:type="dxa"/>
            <w:tcBorders>
              <w:top w:val="nil"/>
              <w:left w:val="nil"/>
              <w:bottom w:val="nil"/>
              <w:right w:val="nil"/>
            </w:tcBorders>
          </w:tcPr>
          <w:p w14:paraId="0F9B298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L5.De Jure CBI (CNW Index)</w:t>
            </w:r>
          </w:p>
        </w:tc>
        <w:tc>
          <w:tcPr>
            <w:tcW w:w="1656" w:type="dxa"/>
            <w:tcBorders>
              <w:top w:val="nil"/>
              <w:left w:val="nil"/>
              <w:bottom w:val="nil"/>
              <w:right w:val="nil"/>
            </w:tcBorders>
          </w:tcPr>
          <w:p w14:paraId="4E95686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-0.263</w:t>
            </w:r>
          </w:p>
        </w:tc>
        <w:tc>
          <w:tcPr>
            <w:tcW w:w="1656" w:type="dxa"/>
            <w:tcBorders>
              <w:top w:val="nil"/>
              <w:left w:val="nil"/>
              <w:bottom w:val="nil"/>
              <w:right w:val="nil"/>
            </w:tcBorders>
          </w:tcPr>
          <w:p w14:paraId="54D3060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0.350</w:t>
            </w:r>
          </w:p>
        </w:tc>
      </w:tr>
      <w:tr w:rsidR="004F2FCB" w:rsidRPr="00B75E5E" w14:paraId="23E1C9AC" w14:textId="77777777" w:rsidTr="00015B88">
        <w:tc>
          <w:tcPr>
            <w:tcW w:w="2136" w:type="dxa"/>
            <w:tcBorders>
              <w:top w:val="nil"/>
              <w:left w:val="nil"/>
              <w:bottom w:val="nil"/>
              <w:right w:val="nil"/>
            </w:tcBorders>
          </w:tcPr>
          <w:p w14:paraId="7660332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6C08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(-0.22)</w:t>
            </w:r>
          </w:p>
        </w:tc>
        <w:tc>
          <w:tcPr>
            <w:tcW w:w="1656" w:type="dxa"/>
            <w:tcBorders>
              <w:top w:val="nil"/>
              <w:left w:val="nil"/>
              <w:bottom w:val="nil"/>
              <w:right w:val="nil"/>
            </w:tcBorders>
          </w:tcPr>
          <w:p w14:paraId="2964A36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(0.54)</w:t>
            </w:r>
          </w:p>
        </w:tc>
      </w:tr>
      <w:tr w:rsidR="004F2FCB" w:rsidRPr="00B75E5E" w14:paraId="4A8A58EC" w14:textId="77777777" w:rsidTr="00015B88">
        <w:tc>
          <w:tcPr>
            <w:tcW w:w="2136" w:type="dxa"/>
            <w:tcBorders>
              <w:top w:val="nil"/>
              <w:left w:val="nil"/>
              <w:bottom w:val="nil"/>
              <w:right w:val="nil"/>
            </w:tcBorders>
          </w:tcPr>
          <w:p w14:paraId="280284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90EC4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C3FA9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0215EAF" w14:textId="77777777" w:rsidTr="00015B88">
        <w:tc>
          <w:tcPr>
            <w:tcW w:w="2136" w:type="dxa"/>
            <w:tcBorders>
              <w:top w:val="nil"/>
              <w:left w:val="nil"/>
              <w:bottom w:val="nil"/>
              <w:right w:val="nil"/>
            </w:tcBorders>
          </w:tcPr>
          <w:p w14:paraId="3882301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L6.De Jure CBI (CNW Index)</w:t>
            </w:r>
          </w:p>
        </w:tc>
        <w:tc>
          <w:tcPr>
            <w:tcW w:w="1656" w:type="dxa"/>
            <w:tcBorders>
              <w:top w:val="nil"/>
              <w:left w:val="nil"/>
              <w:bottom w:val="nil"/>
              <w:right w:val="nil"/>
            </w:tcBorders>
          </w:tcPr>
          <w:p w14:paraId="757C0B2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-0.883</w:t>
            </w:r>
          </w:p>
        </w:tc>
        <w:tc>
          <w:tcPr>
            <w:tcW w:w="1656" w:type="dxa"/>
            <w:tcBorders>
              <w:top w:val="nil"/>
              <w:left w:val="nil"/>
              <w:bottom w:val="nil"/>
              <w:right w:val="nil"/>
            </w:tcBorders>
          </w:tcPr>
          <w:p w14:paraId="32C5538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-0.0478</w:t>
            </w:r>
          </w:p>
        </w:tc>
      </w:tr>
      <w:tr w:rsidR="004F2FCB" w:rsidRPr="00B75E5E" w14:paraId="565CB5F9" w14:textId="77777777" w:rsidTr="00015B88">
        <w:tc>
          <w:tcPr>
            <w:tcW w:w="2136" w:type="dxa"/>
            <w:tcBorders>
              <w:top w:val="nil"/>
              <w:left w:val="nil"/>
              <w:bottom w:val="nil"/>
              <w:right w:val="nil"/>
            </w:tcBorders>
          </w:tcPr>
          <w:p w14:paraId="0B3A2BE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B400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(-0.80)</w:t>
            </w:r>
          </w:p>
        </w:tc>
        <w:tc>
          <w:tcPr>
            <w:tcW w:w="1656" w:type="dxa"/>
            <w:tcBorders>
              <w:top w:val="nil"/>
              <w:left w:val="nil"/>
              <w:bottom w:val="nil"/>
              <w:right w:val="nil"/>
            </w:tcBorders>
          </w:tcPr>
          <w:p w14:paraId="01826EC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(-0.07)</w:t>
            </w:r>
          </w:p>
        </w:tc>
      </w:tr>
      <w:tr w:rsidR="004F2FCB" w:rsidRPr="00B75E5E" w14:paraId="4F3F986B" w14:textId="77777777" w:rsidTr="00015B88">
        <w:tc>
          <w:tcPr>
            <w:tcW w:w="2136" w:type="dxa"/>
            <w:tcBorders>
              <w:top w:val="nil"/>
              <w:left w:val="nil"/>
              <w:bottom w:val="nil"/>
              <w:right w:val="nil"/>
            </w:tcBorders>
          </w:tcPr>
          <w:p w14:paraId="3DBE008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260FA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4769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DB5DF0C" w14:textId="77777777" w:rsidTr="00015B88">
        <w:tc>
          <w:tcPr>
            <w:tcW w:w="2136" w:type="dxa"/>
            <w:tcBorders>
              <w:top w:val="nil"/>
              <w:left w:val="nil"/>
              <w:bottom w:val="nil"/>
              <w:right w:val="nil"/>
            </w:tcBorders>
          </w:tcPr>
          <w:p w14:paraId="55C727D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L7.De Jure CBI (CNW Index)</w:t>
            </w:r>
          </w:p>
        </w:tc>
        <w:tc>
          <w:tcPr>
            <w:tcW w:w="1656" w:type="dxa"/>
            <w:tcBorders>
              <w:top w:val="nil"/>
              <w:left w:val="nil"/>
              <w:bottom w:val="nil"/>
              <w:right w:val="nil"/>
            </w:tcBorders>
          </w:tcPr>
          <w:p w14:paraId="544F93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1.130</w:t>
            </w:r>
          </w:p>
        </w:tc>
        <w:tc>
          <w:tcPr>
            <w:tcW w:w="1656" w:type="dxa"/>
            <w:tcBorders>
              <w:top w:val="nil"/>
              <w:left w:val="nil"/>
              <w:bottom w:val="nil"/>
              <w:right w:val="nil"/>
            </w:tcBorders>
          </w:tcPr>
          <w:p w14:paraId="0BCD46A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-0.945</w:t>
            </w:r>
          </w:p>
        </w:tc>
      </w:tr>
      <w:tr w:rsidR="004F2FCB" w:rsidRPr="00B75E5E" w14:paraId="35E528DB" w14:textId="77777777" w:rsidTr="00015B88">
        <w:tc>
          <w:tcPr>
            <w:tcW w:w="2136" w:type="dxa"/>
            <w:tcBorders>
              <w:top w:val="nil"/>
              <w:left w:val="nil"/>
              <w:bottom w:val="nil"/>
              <w:right w:val="nil"/>
            </w:tcBorders>
          </w:tcPr>
          <w:p w14:paraId="253ABDE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3378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(1.10)</w:t>
            </w:r>
          </w:p>
        </w:tc>
        <w:tc>
          <w:tcPr>
            <w:tcW w:w="1656" w:type="dxa"/>
            <w:tcBorders>
              <w:top w:val="nil"/>
              <w:left w:val="nil"/>
              <w:bottom w:val="nil"/>
              <w:right w:val="nil"/>
            </w:tcBorders>
          </w:tcPr>
          <w:p w14:paraId="7FC536B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(-1.30)</w:t>
            </w:r>
          </w:p>
        </w:tc>
      </w:tr>
      <w:tr w:rsidR="004F2FCB" w:rsidRPr="00B75E5E" w14:paraId="174C92BB" w14:textId="77777777" w:rsidTr="00015B88">
        <w:tc>
          <w:tcPr>
            <w:tcW w:w="2136" w:type="dxa"/>
            <w:tcBorders>
              <w:top w:val="nil"/>
              <w:left w:val="nil"/>
              <w:bottom w:val="nil"/>
              <w:right w:val="nil"/>
            </w:tcBorders>
          </w:tcPr>
          <w:p w14:paraId="335D3A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7D59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917A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946137F" w14:textId="77777777" w:rsidTr="00015B88">
        <w:tc>
          <w:tcPr>
            <w:tcW w:w="2136" w:type="dxa"/>
            <w:tcBorders>
              <w:top w:val="nil"/>
              <w:left w:val="nil"/>
              <w:bottom w:val="nil"/>
              <w:right w:val="nil"/>
            </w:tcBorders>
          </w:tcPr>
          <w:p w14:paraId="6FA5D5D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L8.De Jure CBI (CNW Index)</w:t>
            </w:r>
          </w:p>
        </w:tc>
        <w:tc>
          <w:tcPr>
            <w:tcW w:w="1656" w:type="dxa"/>
            <w:tcBorders>
              <w:top w:val="nil"/>
              <w:left w:val="nil"/>
              <w:bottom w:val="nil"/>
              <w:right w:val="nil"/>
            </w:tcBorders>
          </w:tcPr>
          <w:p w14:paraId="4809850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-0.996</w:t>
            </w:r>
          </w:p>
        </w:tc>
        <w:tc>
          <w:tcPr>
            <w:tcW w:w="1656" w:type="dxa"/>
            <w:tcBorders>
              <w:top w:val="nil"/>
              <w:left w:val="nil"/>
              <w:bottom w:val="nil"/>
              <w:right w:val="nil"/>
            </w:tcBorders>
          </w:tcPr>
          <w:p w14:paraId="3040406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1.217</w:t>
            </w:r>
          </w:p>
        </w:tc>
      </w:tr>
      <w:tr w:rsidR="004F2FCB" w:rsidRPr="00B75E5E" w14:paraId="5534F4CD" w14:textId="77777777" w:rsidTr="00015B88">
        <w:tc>
          <w:tcPr>
            <w:tcW w:w="2136" w:type="dxa"/>
            <w:tcBorders>
              <w:top w:val="nil"/>
              <w:left w:val="nil"/>
              <w:bottom w:val="nil"/>
              <w:right w:val="nil"/>
            </w:tcBorders>
          </w:tcPr>
          <w:p w14:paraId="5066C71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F12AB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c>
          <w:tcPr>
            <w:tcW w:w="1656" w:type="dxa"/>
            <w:tcBorders>
              <w:top w:val="nil"/>
              <w:left w:val="nil"/>
              <w:bottom w:val="nil"/>
              <w:right w:val="nil"/>
            </w:tcBorders>
          </w:tcPr>
          <w:p w14:paraId="6C010C3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(1.66)</w:t>
            </w:r>
          </w:p>
        </w:tc>
      </w:tr>
      <w:tr w:rsidR="004F2FCB" w:rsidRPr="00B75E5E" w14:paraId="3A83DED7" w14:textId="77777777" w:rsidTr="00015B88">
        <w:tc>
          <w:tcPr>
            <w:tcW w:w="2136" w:type="dxa"/>
            <w:tcBorders>
              <w:top w:val="nil"/>
              <w:left w:val="nil"/>
              <w:bottom w:val="nil"/>
              <w:right w:val="nil"/>
            </w:tcBorders>
          </w:tcPr>
          <w:p w14:paraId="6BA046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BA70E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8B304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0636FB5B" w14:textId="77777777" w:rsidTr="00015B88">
        <w:tc>
          <w:tcPr>
            <w:tcW w:w="2136" w:type="dxa"/>
            <w:tcBorders>
              <w:top w:val="nil"/>
              <w:left w:val="nil"/>
              <w:bottom w:val="nil"/>
              <w:right w:val="nil"/>
            </w:tcBorders>
          </w:tcPr>
          <w:p w14:paraId="7008A6B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L9.De Jure CBI (CNW Index)</w:t>
            </w:r>
          </w:p>
        </w:tc>
        <w:tc>
          <w:tcPr>
            <w:tcW w:w="1656" w:type="dxa"/>
            <w:tcBorders>
              <w:top w:val="nil"/>
              <w:left w:val="nil"/>
              <w:bottom w:val="nil"/>
              <w:right w:val="nil"/>
            </w:tcBorders>
          </w:tcPr>
          <w:p w14:paraId="16F06E5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-1.062</w:t>
            </w:r>
          </w:p>
        </w:tc>
        <w:tc>
          <w:tcPr>
            <w:tcW w:w="1656" w:type="dxa"/>
            <w:tcBorders>
              <w:top w:val="nil"/>
              <w:left w:val="nil"/>
              <w:bottom w:val="nil"/>
              <w:right w:val="nil"/>
            </w:tcBorders>
          </w:tcPr>
          <w:p w14:paraId="20C5810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-0.0184</w:t>
            </w:r>
          </w:p>
        </w:tc>
      </w:tr>
      <w:tr w:rsidR="004F2FCB" w:rsidRPr="00B75E5E" w14:paraId="1D99C474" w14:textId="77777777" w:rsidTr="00015B88">
        <w:tc>
          <w:tcPr>
            <w:tcW w:w="2136" w:type="dxa"/>
            <w:tcBorders>
              <w:top w:val="nil"/>
              <w:left w:val="nil"/>
              <w:bottom w:val="nil"/>
              <w:right w:val="nil"/>
            </w:tcBorders>
          </w:tcPr>
          <w:p w14:paraId="065595F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662E1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(-1.77)</w:t>
            </w:r>
          </w:p>
        </w:tc>
        <w:tc>
          <w:tcPr>
            <w:tcW w:w="1656" w:type="dxa"/>
            <w:tcBorders>
              <w:top w:val="nil"/>
              <w:left w:val="nil"/>
              <w:bottom w:val="nil"/>
              <w:right w:val="nil"/>
            </w:tcBorders>
          </w:tcPr>
          <w:p w14:paraId="1704208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w:t>
            </w:r>
          </w:p>
        </w:tc>
      </w:tr>
      <w:tr w:rsidR="004F2FCB" w:rsidRPr="00B75E5E" w14:paraId="6913040F" w14:textId="77777777" w:rsidTr="00015B88">
        <w:tc>
          <w:tcPr>
            <w:tcW w:w="2136" w:type="dxa"/>
            <w:tcBorders>
              <w:top w:val="nil"/>
              <w:left w:val="nil"/>
              <w:bottom w:val="nil"/>
              <w:right w:val="nil"/>
            </w:tcBorders>
          </w:tcPr>
          <w:p w14:paraId="2F1256C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8ED4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D4CCB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41CA27F" w14:textId="77777777" w:rsidTr="00015B88">
        <w:tc>
          <w:tcPr>
            <w:tcW w:w="2136" w:type="dxa"/>
            <w:tcBorders>
              <w:top w:val="nil"/>
              <w:left w:val="nil"/>
              <w:bottom w:val="nil"/>
              <w:right w:val="nil"/>
            </w:tcBorders>
          </w:tcPr>
          <w:p w14:paraId="198FB33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L10.De Jure CBI (CNW Index)</w:t>
            </w:r>
          </w:p>
        </w:tc>
        <w:tc>
          <w:tcPr>
            <w:tcW w:w="1656" w:type="dxa"/>
            <w:tcBorders>
              <w:top w:val="nil"/>
              <w:left w:val="nil"/>
              <w:bottom w:val="nil"/>
              <w:right w:val="nil"/>
            </w:tcBorders>
          </w:tcPr>
          <w:p w14:paraId="38DAA01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1.847</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363D6AA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-0.203</w:t>
            </w:r>
          </w:p>
        </w:tc>
      </w:tr>
      <w:tr w:rsidR="004F2FCB" w:rsidRPr="00B75E5E" w14:paraId="7E3DEEB9" w14:textId="77777777" w:rsidTr="00015B88">
        <w:tc>
          <w:tcPr>
            <w:tcW w:w="2136" w:type="dxa"/>
            <w:tcBorders>
              <w:top w:val="nil"/>
              <w:left w:val="nil"/>
              <w:bottom w:val="nil"/>
              <w:right w:val="nil"/>
            </w:tcBorders>
          </w:tcPr>
          <w:p w14:paraId="0992CF7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2D95F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(3.66)</w:t>
            </w:r>
          </w:p>
        </w:tc>
        <w:tc>
          <w:tcPr>
            <w:tcW w:w="1656" w:type="dxa"/>
            <w:tcBorders>
              <w:top w:val="nil"/>
              <w:left w:val="nil"/>
              <w:bottom w:val="nil"/>
              <w:right w:val="nil"/>
            </w:tcBorders>
          </w:tcPr>
          <w:p w14:paraId="4FDE219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(-0.40)</w:t>
            </w:r>
          </w:p>
        </w:tc>
      </w:tr>
      <w:tr w:rsidR="004F2FCB" w:rsidRPr="00B75E5E" w14:paraId="59409ABC" w14:textId="77777777" w:rsidTr="00015B88">
        <w:tc>
          <w:tcPr>
            <w:tcW w:w="2136" w:type="dxa"/>
            <w:tcBorders>
              <w:top w:val="nil"/>
              <w:left w:val="nil"/>
              <w:bottom w:val="nil"/>
              <w:right w:val="nil"/>
            </w:tcBorders>
          </w:tcPr>
          <w:p w14:paraId="28FC1F1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40FD1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9FF0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4C86B131" w14:textId="77777777" w:rsidTr="00015B88">
        <w:tc>
          <w:tcPr>
            <w:tcW w:w="2136" w:type="dxa"/>
            <w:tcBorders>
              <w:top w:val="nil"/>
              <w:left w:val="nil"/>
              <w:bottom w:val="nil"/>
              <w:right w:val="nil"/>
            </w:tcBorders>
          </w:tcPr>
          <w:p w14:paraId="1E7CF6F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B75E5E">
              <w:rPr>
                <w:rFonts w:ascii="Times New Roman" w:hAnsi="Times New Roman" w:cs="Times New Roman"/>
                <w:sz w:val="16"/>
                <w:szCs w:val="16"/>
              </w:rPr>
              <w:t>L.Exchange</w:t>
            </w:r>
            <w:proofErr w:type="spellEnd"/>
            <w:r w:rsidRPr="00B75E5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B1A2A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0.0718</w:t>
            </w:r>
          </w:p>
        </w:tc>
        <w:tc>
          <w:tcPr>
            <w:tcW w:w="1656" w:type="dxa"/>
            <w:tcBorders>
              <w:top w:val="nil"/>
              <w:left w:val="nil"/>
              <w:bottom w:val="nil"/>
              <w:right w:val="nil"/>
            </w:tcBorders>
          </w:tcPr>
          <w:p w14:paraId="75DB991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0.0197</w:t>
            </w:r>
          </w:p>
        </w:tc>
      </w:tr>
      <w:tr w:rsidR="004F2FCB" w:rsidRPr="00B75E5E" w14:paraId="0683767C" w14:textId="77777777" w:rsidTr="00015B88">
        <w:tc>
          <w:tcPr>
            <w:tcW w:w="2136" w:type="dxa"/>
            <w:tcBorders>
              <w:top w:val="nil"/>
              <w:left w:val="nil"/>
              <w:bottom w:val="nil"/>
              <w:right w:val="nil"/>
            </w:tcBorders>
          </w:tcPr>
          <w:p w14:paraId="6648868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CFDA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(1.76)</w:t>
            </w:r>
          </w:p>
        </w:tc>
        <w:tc>
          <w:tcPr>
            <w:tcW w:w="1656" w:type="dxa"/>
            <w:tcBorders>
              <w:top w:val="nil"/>
              <w:left w:val="nil"/>
              <w:bottom w:val="nil"/>
              <w:right w:val="nil"/>
            </w:tcBorders>
          </w:tcPr>
          <w:p w14:paraId="157C7E2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(0.65)</w:t>
            </w:r>
          </w:p>
        </w:tc>
      </w:tr>
      <w:tr w:rsidR="004F2FCB" w:rsidRPr="00B75E5E" w14:paraId="10D71114" w14:textId="77777777" w:rsidTr="00015B88">
        <w:tc>
          <w:tcPr>
            <w:tcW w:w="2136" w:type="dxa"/>
            <w:tcBorders>
              <w:top w:val="nil"/>
              <w:left w:val="nil"/>
              <w:bottom w:val="nil"/>
              <w:right w:val="nil"/>
            </w:tcBorders>
          </w:tcPr>
          <w:p w14:paraId="7C6519C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B0A5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868A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B37F33F" w14:textId="77777777" w:rsidTr="00015B88">
        <w:tc>
          <w:tcPr>
            <w:tcW w:w="2136" w:type="dxa"/>
            <w:tcBorders>
              <w:top w:val="nil"/>
              <w:left w:val="nil"/>
              <w:bottom w:val="nil"/>
              <w:right w:val="nil"/>
            </w:tcBorders>
          </w:tcPr>
          <w:p w14:paraId="25B6DB8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731154E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-0.0302</w:t>
            </w:r>
          </w:p>
        </w:tc>
        <w:tc>
          <w:tcPr>
            <w:tcW w:w="1656" w:type="dxa"/>
            <w:tcBorders>
              <w:top w:val="nil"/>
              <w:left w:val="nil"/>
              <w:bottom w:val="nil"/>
              <w:right w:val="nil"/>
            </w:tcBorders>
          </w:tcPr>
          <w:p w14:paraId="7AF4552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-0.0313</w:t>
            </w:r>
          </w:p>
        </w:tc>
      </w:tr>
      <w:tr w:rsidR="004F2FCB" w:rsidRPr="00B75E5E" w14:paraId="0A873AC9" w14:textId="77777777" w:rsidTr="00015B88">
        <w:tc>
          <w:tcPr>
            <w:tcW w:w="2136" w:type="dxa"/>
            <w:tcBorders>
              <w:top w:val="nil"/>
              <w:left w:val="nil"/>
              <w:bottom w:val="nil"/>
              <w:right w:val="nil"/>
            </w:tcBorders>
          </w:tcPr>
          <w:p w14:paraId="4C7B7DF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9B806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(-0.89)</w:t>
            </w:r>
          </w:p>
        </w:tc>
        <w:tc>
          <w:tcPr>
            <w:tcW w:w="1656" w:type="dxa"/>
            <w:tcBorders>
              <w:top w:val="nil"/>
              <w:left w:val="nil"/>
              <w:bottom w:val="nil"/>
              <w:right w:val="nil"/>
            </w:tcBorders>
          </w:tcPr>
          <w:p w14:paraId="409916C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(-1.26)</w:t>
            </w:r>
          </w:p>
        </w:tc>
      </w:tr>
      <w:tr w:rsidR="004F2FCB" w:rsidRPr="00B75E5E" w14:paraId="5811D706" w14:textId="77777777" w:rsidTr="00015B88">
        <w:tc>
          <w:tcPr>
            <w:tcW w:w="2136" w:type="dxa"/>
            <w:tcBorders>
              <w:top w:val="nil"/>
              <w:left w:val="nil"/>
              <w:bottom w:val="nil"/>
              <w:right w:val="nil"/>
            </w:tcBorders>
          </w:tcPr>
          <w:p w14:paraId="00E6F3B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0338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6AF6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3426E8E" w14:textId="77777777" w:rsidTr="00015B88">
        <w:tc>
          <w:tcPr>
            <w:tcW w:w="2136" w:type="dxa"/>
            <w:tcBorders>
              <w:top w:val="nil"/>
              <w:left w:val="nil"/>
              <w:bottom w:val="nil"/>
              <w:right w:val="nil"/>
            </w:tcBorders>
          </w:tcPr>
          <w:p w14:paraId="3F72F3A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37FAD5F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-0.00146</w:t>
            </w:r>
          </w:p>
        </w:tc>
        <w:tc>
          <w:tcPr>
            <w:tcW w:w="1656" w:type="dxa"/>
            <w:tcBorders>
              <w:top w:val="nil"/>
              <w:left w:val="nil"/>
              <w:bottom w:val="nil"/>
              <w:right w:val="nil"/>
            </w:tcBorders>
          </w:tcPr>
          <w:p w14:paraId="2CEE4AD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0.0148</w:t>
            </w:r>
          </w:p>
        </w:tc>
      </w:tr>
      <w:tr w:rsidR="004F2FCB" w:rsidRPr="00B75E5E" w14:paraId="75FFE0AF" w14:textId="77777777" w:rsidTr="00015B88">
        <w:tc>
          <w:tcPr>
            <w:tcW w:w="2136" w:type="dxa"/>
            <w:tcBorders>
              <w:top w:val="nil"/>
              <w:left w:val="nil"/>
              <w:bottom w:val="nil"/>
              <w:right w:val="nil"/>
            </w:tcBorders>
          </w:tcPr>
          <w:p w14:paraId="4698028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A5865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w:t>
            </w:r>
          </w:p>
        </w:tc>
        <w:tc>
          <w:tcPr>
            <w:tcW w:w="1656" w:type="dxa"/>
            <w:tcBorders>
              <w:top w:val="nil"/>
              <w:left w:val="nil"/>
              <w:bottom w:val="nil"/>
              <w:right w:val="nil"/>
            </w:tcBorders>
          </w:tcPr>
          <w:p w14:paraId="792002F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(0.58)</w:t>
            </w:r>
          </w:p>
        </w:tc>
      </w:tr>
      <w:tr w:rsidR="004F2FCB" w:rsidRPr="00B75E5E" w14:paraId="408CE089" w14:textId="77777777" w:rsidTr="00015B88">
        <w:tc>
          <w:tcPr>
            <w:tcW w:w="2136" w:type="dxa"/>
            <w:tcBorders>
              <w:top w:val="nil"/>
              <w:left w:val="nil"/>
              <w:bottom w:val="nil"/>
              <w:right w:val="nil"/>
            </w:tcBorders>
          </w:tcPr>
          <w:p w14:paraId="745B970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BCDDE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9A6F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1CF586D" w14:textId="77777777" w:rsidTr="00015B88">
        <w:tc>
          <w:tcPr>
            <w:tcW w:w="2136" w:type="dxa"/>
            <w:tcBorders>
              <w:top w:val="nil"/>
              <w:left w:val="nil"/>
              <w:bottom w:val="nil"/>
              <w:right w:val="nil"/>
            </w:tcBorders>
          </w:tcPr>
          <w:p w14:paraId="778EBE4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3A27D50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0.0160</w:t>
            </w:r>
          </w:p>
        </w:tc>
        <w:tc>
          <w:tcPr>
            <w:tcW w:w="1656" w:type="dxa"/>
            <w:tcBorders>
              <w:top w:val="nil"/>
              <w:left w:val="nil"/>
              <w:bottom w:val="nil"/>
              <w:right w:val="nil"/>
            </w:tcBorders>
          </w:tcPr>
          <w:p w14:paraId="252489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0.0274</w:t>
            </w:r>
          </w:p>
        </w:tc>
      </w:tr>
      <w:tr w:rsidR="004F2FCB" w:rsidRPr="00B75E5E" w14:paraId="340E9DED" w14:textId="77777777" w:rsidTr="00015B88">
        <w:tc>
          <w:tcPr>
            <w:tcW w:w="2136" w:type="dxa"/>
            <w:tcBorders>
              <w:top w:val="nil"/>
              <w:left w:val="nil"/>
              <w:bottom w:val="nil"/>
              <w:right w:val="nil"/>
            </w:tcBorders>
          </w:tcPr>
          <w:p w14:paraId="2A80006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C28B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(0.47)</w:t>
            </w:r>
          </w:p>
        </w:tc>
        <w:tc>
          <w:tcPr>
            <w:tcW w:w="1656" w:type="dxa"/>
            <w:tcBorders>
              <w:top w:val="nil"/>
              <w:left w:val="nil"/>
              <w:bottom w:val="nil"/>
              <w:right w:val="nil"/>
            </w:tcBorders>
          </w:tcPr>
          <w:p w14:paraId="00D3B2C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r>
      <w:tr w:rsidR="004F2FCB" w:rsidRPr="00B75E5E" w14:paraId="58675307" w14:textId="77777777" w:rsidTr="00015B88">
        <w:tc>
          <w:tcPr>
            <w:tcW w:w="2136" w:type="dxa"/>
            <w:tcBorders>
              <w:top w:val="nil"/>
              <w:left w:val="nil"/>
              <w:bottom w:val="nil"/>
              <w:right w:val="nil"/>
            </w:tcBorders>
          </w:tcPr>
          <w:p w14:paraId="2FCD55E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66543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B9AA2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5DECC2F" w14:textId="77777777" w:rsidTr="00015B88">
        <w:tc>
          <w:tcPr>
            <w:tcW w:w="2136" w:type="dxa"/>
            <w:tcBorders>
              <w:top w:val="nil"/>
              <w:left w:val="nil"/>
              <w:bottom w:val="nil"/>
              <w:right w:val="nil"/>
            </w:tcBorders>
          </w:tcPr>
          <w:p w14:paraId="0EE9084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1CEFC31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-0.0265</w:t>
            </w:r>
          </w:p>
        </w:tc>
        <w:tc>
          <w:tcPr>
            <w:tcW w:w="1656" w:type="dxa"/>
            <w:tcBorders>
              <w:top w:val="nil"/>
              <w:left w:val="nil"/>
              <w:bottom w:val="nil"/>
              <w:right w:val="nil"/>
            </w:tcBorders>
          </w:tcPr>
          <w:p w14:paraId="351B484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0.00509</w:t>
            </w:r>
          </w:p>
        </w:tc>
      </w:tr>
      <w:tr w:rsidR="004F2FCB" w:rsidRPr="00B75E5E" w14:paraId="6D2F0596" w14:textId="77777777" w:rsidTr="00015B88">
        <w:tc>
          <w:tcPr>
            <w:tcW w:w="2136" w:type="dxa"/>
            <w:tcBorders>
              <w:top w:val="nil"/>
              <w:left w:val="nil"/>
              <w:bottom w:val="nil"/>
              <w:right w:val="nil"/>
            </w:tcBorders>
          </w:tcPr>
          <w:p w14:paraId="5F4BFF9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98250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(-0.72)</w:t>
            </w:r>
          </w:p>
        </w:tc>
        <w:tc>
          <w:tcPr>
            <w:tcW w:w="1656" w:type="dxa"/>
            <w:tcBorders>
              <w:top w:val="nil"/>
              <w:left w:val="nil"/>
              <w:bottom w:val="nil"/>
              <w:right w:val="nil"/>
            </w:tcBorders>
          </w:tcPr>
          <w:p w14:paraId="44D0949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(0.17)</w:t>
            </w:r>
          </w:p>
        </w:tc>
      </w:tr>
      <w:tr w:rsidR="004F2FCB" w:rsidRPr="00B75E5E" w14:paraId="405E3143" w14:textId="77777777" w:rsidTr="00015B88">
        <w:tc>
          <w:tcPr>
            <w:tcW w:w="2136" w:type="dxa"/>
            <w:tcBorders>
              <w:top w:val="nil"/>
              <w:left w:val="nil"/>
              <w:bottom w:val="nil"/>
              <w:right w:val="nil"/>
            </w:tcBorders>
          </w:tcPr>
          <w:p w14:paraId="3FF63D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F56C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0032E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D6CE5A3" w14:textId="77777777" w:rsidTr="00015B88">
        <w:tc>
          <w:tcPr>
            <w:tcW w:w="2136" w:type="dxa"/>
            <w:tcBorders>
              <w:top w:val="nil"/>
              <w:left w:val="nil"/>
              <w:bottom w:val="nil"/>
              <w:right w:val="nil"/>
            </w:tcBorders>
          </w:tcPr>
          <w:p w14:paraId="7894AC3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AA04BE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0.0310</w:t>
            </w:r>
          </w:p>
        </w:tc>
        <w:tc>
          <w:tcPr>
            <w:tcW w:w="1656" w:type="dxa"/>
            <w:tcBorders>
              <w:top w:val="nil"/>
              <w:left w:val="nil"/>
              <w:bottom w:val="nil"/>
              <w:right w:val="nil"/>
            </w:tcBorders>
          </w:tcPr>
          <w:p w14:paraId="728D533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-0.0277</w:t>
            </w:r>
          </w:p>
        </w:tc>
      </w:tr>
      <w:tr w:rsidR="004F2FCB" w:rsidRPr="00B75E5E" w14:paraId="53AA87BB" w14:textId="77777777" w:rsidTr="00015B88">
        <w:tc>
          <w:tcPr>
            <w:tcW w:w="2136" w:type="dxa"/>
            <w:tcBorders>
              <w:top w:val="nil"/>
              <w:left w:val="nil"/>
              <w:bottom w:val="nil"/>
              <w:right w:val="nil"/>
            </w:tcBorders>
          </w:tcPr>
          <w:p w14:paraId="45B27AD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1EDDF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(0.81)</w:t>
            </w:r>
          </w:p>
        </w:tc>
        <w:tc>
          <w:tcPr>
            <w:tcW w:w="1656" w:type="dxa"/>
            <w:tcBorders>
              <w:top w:val="nil"/>
              <w:left w:val="nil"/>
              <w:bottom w:val="nil"/>
              <w:right w:val="nil"/>
            </w:tcBorders>
          </w:tcPr>
          <w:p w14:paraId="1A3673D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(-1.01)</w:t>
            </w:r>
          </w:p>
        </w:tc>
      </w:tr>
      <w:tr w:rsidR="004F2FCB" w:rsidRPr="00B75E5E" w14:paraId="38010C92" w14:textId="77777777" w:rsidTr="00015B88">
        <w:tc>
          <w:tcPr>
            <w:tcW w:w="2136" w:type="dxa"/>
            <w:tcBorders>
              <w:top w:val="nil"/>
              <w:left w:val="nil"/>
              <w:bottom w:val="nil"/>
              <w:right w:val="nil"/>
            </w:tcBorders>
          </w:tcPr>
          <w:p w14:paraId="5026057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ABD18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93516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B8769E6" w14:textId="77777777" w:rsidTr="00015B88">
        <w:tc>
          <w:tcPr>
            <w:tcW w:w="2136" w:type="dxa"/>
            <w:tcBorders>
              <w:top w:val="nil"/>
              <w:left w:val="nil"/>
              <w:bottom w:val="nil"/>
              <w:right w:val="nil"/>
            </w:tcBorders>
          </w:tcPr>
          <w:p w14:paraId="1B4C025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4E02EAD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0.0304</w:t>
            </w:r>
          </w:p>
        </w:tc>
        <w:tc>
          <w:tcPr>
            <w:tcW w:w="1656" w:type="dxa"/>
            <w:tcBorders>
              <w:top w:val="nil"/>
              <w:left w:val="nil"/>
              <w:bottom w:val="nil"/>
              <w:right w:val="nil"/>
            </w:tcBorders>
          </w:tcPr>
          <w:p w14:paraId="60F84A7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0.00667</w:t>
            </w:r>
          </w:p>
        </w:tc>
      </w:tr>
      <w:tr w:rsidR="004F2FCB" w:rsidRPr="00B75E5E" w14:paraId="4BEACA60" w14:textId="77777777" w:rsidTr="00015B88">
        <w:tc>
          <w:tcPr>
            <w:tcW w:w="2136" w:type="dxa"/>
            <w:tcBorders>
              <w:top w:val="nil"/>
              <w:left w:val="nil"/>
              <w:bottom w:val="nil"/>
              <w:right w:val="nil"/>
            </w:tcBorders>
          </w:tcPr>
          <w:p w14:paraId="34F667E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E0B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(0.90)</w:t>
            </w:r>
          </w:p>
        </w:tc>
        <w:tc>
          <w:tcPr>
            <w:tcW w:w="1656" w:type="dxa"/>
            <w:tcBorders>
              <w:top w:val="nil"/>
              <w:left w:val="nil"/>
              <w:bottom w:val="nil"/>
              <w:right w:val="nil"/>
            </w:tcBorders>
          </w:tcPr>
          <w:p w14:paraId="0C053E4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(0.36)</w:t>
            </w:r>
          </w:p>
        </w:tc>
      </w:tr>
      <w:tr w:rsidR="004F2FCB" w:rsidRPr="00B75E5E" w14:paraId="2715B1C6" w14:textId="77777777" w:rsidTr="00015B88">
        <w:tc>
          <w:tcPr>
            <w:tcW w:w="2136" w:type="dxa"/>
            <w:tcBorders>
              <w:top w:val="nil"/>
              <w:left w:val="nil"/>
              <w:bottom w:val="nil"/>
              <w:right w:val="nil"/>
            </w:tcBorders>
          </w:tcPr>
          <w:p w14:paraId="0962907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4D7C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6AE5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8712033" w14:textId="77777777" w:rsidTr="00015B88">
        <w:tc>
          <w:tcPr>
            <w:tcW w:w="2136" w:type="dxa"/>
            <w:tcBorders>
              <w:top w:val="nil"/>
              <w:left w:val="nil"/>
              <w:bottom w:val="nil"/>
              <w:right w:val="nil"/>
            </w:tcBorders>
          </w:tcPr>
          <w:p w14:paraId="0651CC5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0B186C5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-0.0287</w:t>
            </w:r>
          </w:p>
        </w:tc>
        <w:tc>
          <w:tcPr>
            <w:tcW w:w="1656" w:type="dxa"/>
            <w:tcBorders>
              <w:top w:val="nil"/>
              <w:left w:val="nil"/>
              <w:bottom w:val="nil"/>
              <w:right w:val="nil"/>
            </w:tcBorders>
          </w:tcPr>
          <w:p w14:paraId="4301E7F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-0.0219</w:t>
            </w:r>
          </w:p>
        </w:tc>
      </w:tr>
      <w:tr w:rsidR="004F2FCB" w:rsidRPr="00B75E5E" w14:paraId="375F7994" w14:textId="77777777" w:rsidTr="00015B88">
        <w:tc>
          <w:tcPr>
            <w:tcW w:w="2136" w:type="dxa"/>
            <w:tcBorders>
              <w:top w:val="nil"/>
              <w:left w:val="nil"/>
              <w:bottom w:val="nil"/>
              <w:right w:val="nil"/>
            </w:tcBorders>
          </w:tcPr>
          <w:p w14:paraId="56ED2B2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E57B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(-0.96)</w:t>
            </w:r>
          </w:p>
        </w:tc>
        <w:tc>
          <w:tcPr>
            <w:tcW w:w="1656" w:type="dxa"/>
            <w:tcBorders>
              <w:top w:val="nil"/>
              <w:left w:val="nil"/>
              <w:bottom w:val="nil"/>
              <w:right w:val="nil"/>
            </w:tcBorders>
          </w:tcPr>
          <w:p w14:paraId="4C9785F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(-1.53)</w:t>
            </w:r>
          </w:p>
        </w:tc>
      </w:tr>
      <w:tr w:rsidR="004F2FCB" w:rsidRPr="00B75E5E" w14:paraId="0A5203D5" w14:textId="77777777" w:rsidTr="00015B88">
        <w:tc>
          <w:tcPr>
            <w:tcW w:w="2136" w:type="dxa"/>
            <w:tcBorders>
              <w:top w:val="nil"/>
              <w:left w:val="nil"/>
              <w:bottom w:val="nil"/>
              <w:right w:val="nil"/>
            </w:tcBorders>
          </w:tcPr>
          <w:p w14:paraId="64C802B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E4D6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8B3C9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920FA8E" w14:textId="77777777" w:rsidTr="00015B88">
        <w:tc>
          <w:tcPr>
            <w:tcW w:w="2136" w:type="dxa"/>
            <w:tcBorders>
              <w:top w:val="nil"/>
              <w:left w:val="nil"/>
              <w:bottom w:val="nil"/>
              <w:right w:val="nil"/>
            </w:tcBorders>
          </w:tcPr>
          <w:p w14:paraId="0769BF3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7ED9B41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0.00284</w:t>
            </w:r>
          </w:p>
        </w:tc>
        <w:tc>
          <w:tcPr>
            <w:tcW w:w="1656" w:type="dxa"/>
            <w:tcBorders>
              <w:top w:val="nil"/>
              <w:left w:val="nil"/>
              <w:bottom w:val="nil"/>
              <w:right w:val="nil"/>
            </w:tcBorders>
          </w:tcPr>
          <w:p w14:paraId="00DDB92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-0.00255</w:t>
            </w:r>
          </w:p>
        </w:tc>
      </w:tr>
      <w:tr w:rsidR="004F2FCB" w:rsidRPr="00B75E5E" w14:paraId="7BBD6CEB" w14:textId="77777777" w:rsidTr="00015B88">
        <w:tc>
          <w:tcPr>
            <w:tcW w:w="2136" w:type="dxa"/>
            <w:tcBorders>
              <w:top w:val="nil"/>
              <w:left w:val="nil"/>
              <w:bottom w:val="nil"/>
              <w:right w:val="nil"/>
            </w:tcBorders>
          </w:tcPr>
          <w:p w14:paraId="313914C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DE94B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(0.12)</w:t>
            </w:r>
          </w:p>
        </w:tc>
        <w:tc>
          <w:tcPr>
            <w:tcW w:w="1656" w:type="dxa"/>
            <w:tcBorders>
              <w:top w:val="nil"/>
              <w:left w:val="nil"/>
              <w:bottom w:val="nil"/>
              <w:right w:val="nil"/>
            </w:tcBorders>
          </w:tcPr>
          <w:p w14:paraId="76FC37C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(-0.16)</w:t>
            </w:r>
          </w:p>
        </w:tc>
      </w:tr>
      <w:tr w:rsidR="004F2FCB" w:rsidRPr="00B75E5E" w14:paraId="22A95546" w14:textId="77777777" w:rsidTr="00015B88">
        <w:tc>
          <w:tcPr>
            <w:tcW w:w="2136" w:type="dxa"/>
            <w:tcBorders>
              <w:top w:val="nil"/>
              <w:left w:val="nil"/>
              <w:bottom w:val="nil"/>
              <w:right w:val="nil"/>
            </w:tcBorders>
          </w:tcPr>
          <w:p w14:paraId="2D085E1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DA53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871BA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31E7702" w14:textId="77777777" w:rsidTr="00015B88">
        <w:tc>
          <w:tcPr>
            <w:tcW w:w="2136" w:type="dxa"/>
            <w:tcBorders>
              <w:top w:val="nil"/>
              <w:left w:val="nil"/>
              <w:bottom w:val="nil"/>
              <w:right w:val="nil"/>
            </w:tcBorders>
          </w:tcPr>
          <w:p w14:paraId="553928A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0CDA9BA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-0.0124</w:t>
            </w:r>
          </w:p>
        </w:tc>
        <w:tc>
          <w:tcPr>
            <w:tcW w:w="1656" w:type="dxa"/>
            <w:tcBorders>
              <w:top w:val="nil"/>
              <w:left w:val="nil"/>
              <w:bottom w:val="nil"/>
              <w:right w:val="nil"/>
            </w:tcBorders>
          </w:tcPr>
          <w:p w14:paraId="3991A2C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0.0129</w:t>
            </w:r>
          </w:p>
        </w:tc>
      </w:tr>
      <w:tr w:rsidR="004F2FCB" w:rsidRPr="00B75E5E" w14:paraId="31458728" w14:textId="77777777" w:rsidTr="00015B88">
        <w:tc>
          <w:tcPr>
            <w:tcW w:w="2136" w:type="dxa"/>
            <w:tcBorders>
              <w:top w:val="nil"/>
              <w:left w:val="nil"/>
              <w:bottom w:val="nil"/>
              <w:right w:val="nil"/>
            </w:tcBorders>
          </w:tcPr>
          <w:p w14:paraId="32C855C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07DA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(-0.70)</w:t>
            </w:r>
          </w:p>
        </w:tc>
        <w:tc>
          <w:tcPr>
            <w:tcW w:w="1656" w:type="dxa"/>
            <w:tcBorders>
              <w:top w:val="nil"/>
              <w:left w:val="nil"/>
              <w:bottom w:val="nil"/>
              <w:right w:val="nil"/>
            </w:tcBorders>
          </w:tcPr>
          <w:p w14:paraId="243143E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(0.82)</w:t>
            </w:r>
          </w:p>
        </w:tc>
      </w:tr>
      <w:tr w:rsidR="004F2FCB" w:rsidRPr="00B75E5E" w14:paraId="053DB68D" w14:textId="77777777" w:rsidTr="00015B88">
        <w:tc>
          <w:tcPr>
            <w:tcW w:w="2136" w:type="dxa"/>
            <w:tcBorders>
              <w:top w:val="nil"/>
              <w:left w:val="nil"/>
              <w:bottom w:val="nil"/>
              <w:right w:val="nil"/>
            </w:tcBorders>
          </w:tcPr>
          <w:p w14:paraId="535EE05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D28A5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12A9D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7E0BD0E" w14:textId="77777777" w:rsidTr="00015B88">
        <w:tc>
          <w:tcPr>
            <w:tcW w:w="2136" w:type="dxa"/>
            <w:tcBorders>
              <w:top w:val="nil"/>
              <w:left w:val="nil"/>
              <w:bottom w:val="nil"/>
              <w:right w:val="nil"/>
            </w:tcBorders>
          </w:tcPr>
          <w:p w14:paraId="2B90F7A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L.HOS = HOG</w:t>
            </w:r>
          </w:p>
        </w:tc>
        <w:tc>
          <w:tcPr>
            <w:tcW w:w="1656" w:type="dxa"/>
            <w:tcBorders>
              <w:top w:val="nil"/>
              <w:left w:val="nil"/>
              <w:bottom w:val="nil"/>
              <w:right w:val="nil"/>
            </w:tcBorders>
          </w:tcPr>
          <w:p w14:paraId="73795D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0.0777</w:t>
            </w:r>
          </w:p>
        </w:tc>
        <w:tc>
          <w:tcPr>
            <w:tcW w:w="1656" w:type="dxa"/>
            <w:tcBorders>
              <w:top w:val="nil"/>
              <w:left w:val="nil"/>
              <w:bottom w:val="nil"/>
              <w:right w:val="nil"/>
            </w:tcBorders>
          </w:tcPr>
          <w:p w14:paraId="11F7AB8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-0.301</w:t>
            </w:r>
          </w:p>
        </w:tc>
      </w:tr>
      <w:tr w:rsidR="004F2FCB" w:rsidRPr="00B75E5E" w14:paraId="77B0F60F" w14:textId="77777777" w:rsidTr="00015B88">
        <w:tc>
          <w:tcPr>
            <w:tcW w:w="2136" w:type="dxa"/>
            <w:tcBorders>
              <w:top w:val="nil"/>
              <w:left w:val="nil"/>
              <w:bottom w:val="nil"/>
              <w:right w:val="nil"/>
            </w:tcBorders>
          </w:tcPr>
          <w:p w14:paraId="03C1CAD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8F13E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(0.10)</w:t>
            </w:r>
          </w:p>
        </w:tc>
        <w:tc>
          <w:tcPr>
            <w:tcW w:w="1656" w:type="dxa"/>
            <w:tcBorders>
              <w:top w:val="nil"/>
              <w:left w:val="nil"/>
              <w:bottom w:val="nil"/>
              <w:right w:val="nil"/>
            </w:tcBorders>
          </w:tcPr>
          <w:p w14:paraId="57FAC26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(-0.44)</w:t>
            </w:r>
          </w:p>
        </w:tc>
      </w:tr>
      <w:tr w:rsidR="004F2FCB" w:rsidRPr="00B75E5E" w14:paraId="1093CB2D" w14:textId="77777777" w:rsidTr="00015B88">
        <w:tc>
          <w:tcPr>
            <w:tcW w:w="2136" w:type="dxa"/>
            <w:tcBorders>
              <w:top w:val="nil"/>
              <w:left w:val="nil"/>
              <w:bottom w:val="nil"/>
              <w:right w:val="nil"/>
            </w:tcBorders>
          </w:tcPr>
          <w:p w14:paraId="5ADC94B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2D0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4E67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4D5330D" w14:textId="77777777" w:rsidTr="00015B88">
        <w:tc>
          <w:tcPr>
            <w:tcW w:w="2136" w:type="dxa"/>
            <w:tcBorders>
              <w:top w:val="nil"/>
              <w:left w:val="nil"/>
              <w:bottom w:val="nil"/>
              <w:right w:val="nil"/>
            </w:tcBorders>
          </w:tcPr>
          <w:p w14:paraId="10E6434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L2.HOS = HOG</w:t>
            </w:r>
          </w:p>
        </w:tc>
        <w:tc>
          <w:tcPr>
            <w:tcW w:w="1656" w:type="dxa"/>
            <w:tcBorders>
              <w:top w:val="nil"/>
              <w:left w:val="nil"/>
              <w:bottom w:val="nil"/>
              <w:right w:val="nil"/>
            </w:tcBorders>
          </w:tcPr>
          <w:p w14:paraId="6CAF008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0.617</w:t>
            </w:r>
          </w:p>
        </w:tc>
        <w:tc>
          <w:tcPr>
            <w:tcW w:w="1656" w:type="dxa"/>
            <w:tcBorders>
              <w:top w:val="nil"/>
              <w:left w:val="nil"/>
              <w:bottom w:val="nil"/>
              <w:right w:val="nil"/>
            </w:tcBorders>
          </w:tcPr>
          <w:p w14:paraId="10B36AA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0.604</w:t>
            </w:r>
          </w:p>
        </w:tc>
      </w:tr>
      <w:tr w:rsidR="004F2FCB" w:rsidRPr="00B75E5E" w14:paraId="75BD6E49" w14:textId="77777777" w:rsidTr="00015B88">
        <w:tc>
          <w:tcPr>
            <w:tcW w:w="2136" w:type="dxa"/>
            <w:tcBorders>
              <w:top w:val="nil"/>
              <w:left w:val="nil"/>
              <w:bottom w:val="nil"/>
              <w:right w:val="nil"/>
            </w:tcBorders>
          </w:tcPr>
          <w:p w14:paraId="22144E2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07964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(1.03)</w:t>
            </w:r>
          </w:p>
        </w:tc>
        <w:tc>
          <w:tcPr>
            <w:tcW w:w="1656" w:type="dxa"/>
            <w:tcBorders>
              <w:top w:val="nil"/>
              <w:left w:val="nil"/>
              <w:bottom w:val="nil"/>
              <w:right w:val="nil"/>
            </w:tcBorders>
          </w:tcPr>
          <w:p w14:paraId="3E1DB0C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(0.97)</w:t>
            </w:r>
          </w:p>
        </w:tc>
      </w:tr>
      <w:tr w:rsidR="004F2FCB" w:rsidRPr="00B75E5E" w14:paraId="0DB964A1" w14:textId="77777777" w:rsidTr="00015B88">
        <w:tc>
          <w:tcPr>
            <w:tcW w:w="2136" w:type="dxa"/>
            <w:tcBorders>
              <w:top w:val="nil"/>
              <w:left w:val="nil"/>
              <w:bottom w:val="nil"/>
              <w:right w:val="nil"/>
            </w:tcBorders>
          </w:tcPr>
          <w:p w14:paraId="7F3CDAA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D4DD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C0708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63EF88B" w14:textId="77777777" w:rsidTr="00015B88">
        <w:tc>
          <w:tcPr>
            <w:tcW w:w="2136" w:type="dxa"/>
            <w:tcBorders>
              <w:top w:val="nil"/>
              <w:left w:val="nil"/>
              <w:bottom w:val="nil"/>
              <w:right w:val="nil"/>
            </w:tcBorders>
          </w:tcPr>
          <w:p w14:paraId="1C56342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L3.HOS = HOG</w:t>
            </w:r>
          </w:p>
        </w:tc>
        <w:tc>
          <w:tcPr>
            <w:tcW w:w="1656" w:type="dxa"/>
            <w:tcBorders>
              <w:top w:val="nil"/>
              <w:left w:val="nil"/>
              <w:bottom w:val="nil"/>
              <w:right w:val="nil"/>
            </w:tcBorders>
          </w:tcPr>
          <w:p w14:paraId="321C8B5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0.0944</w:t>
            </w:r>
          </w:p>
        </w:tc>
        <w:tc>
          <w:tcPr>
            <w:tcW w:w="1656" w:type="dxa"/>
            <w:tcBorders>
              <w:top w:val="nil"/>
              <w:left w:val="nil"/>
              <w:bottom w:val="nil"/>
              <w:right w:val="nil"/>
            </w:tcBorders>
          </w:tcPr>
          <w:p w14:paraId="0C19B4F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0.594</w:t>
            </w:r>
          </w:p>
        </w:tc>
      </w:tr>
      <w:tr w:rsidR="004F2FCB" w:rsidRPr="00B75E5E" w14:paraId="26154A81" w14:textId="77777777" w:rsidTr="00015B88">
        <w:tc>
          <w:tcPr>
            <w:tcW w:w="2136" w:type="dxa"/>
            <w:tcBorders>
              <w:top w:val="nil"/>
              <w:left w:val="nil"/>
              <w:bottom w:val="nil"/>
              <w:right w:val="nil"/>
            </w:tcBorders>
          </w:tcPr>
          <w:p w14:paraId="18D1C82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79FC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(0.19)</w:t>
            </w:r>
          </w:p>
        </w:tc>
        <w:tc>
          <w:tcPr>
            <w:tcW w:w="1656" w:type="dxa"/>
            <w:tcBorders>
              <w:top w:val="nil"/>
              <w:left w:val="nil"/>
              <w:bottom w:val="nil"/>
              <w:right w:val="nil"/>
            </w:tcBorders>
          </w:tcPr>
          <w:p w14:paraId="30BAB1C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(1.07)</w:t>
            </w:r>
          </w:p>
        </w:tc>
      </w:tr>
      <w:tr w:rsidR="004F2FCB" w:rsidRPr="00B75E5E" w14:paraId="252EEB58" w14:textId="77777777" w:rsidTr="00015B88">
        <w:tc>
          <w:tcPr>
            <w:tcW w:w="2136" w:type="dxa"/>
            <w:tcBorders>
              <w:top w:val="nil"/>
              <w:left w:val="nil"/>
              <w:bottom w:val="nil"/>
              <w:right w:val="nil"/>
            </w:tcBorders>
          </w:tcPr>
          <w:p w14:paraId="19D7F25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796F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B5087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7CA3F7D" w14:textId="77777777" w:rsidTr="00015B88">
        <w:tc>
          <w:tcPr>
            <w:tcW w:w="2136" w:type="dxa"/>
            <w:tcBorders>
              <w:top w:val="nil"/>
              <w:left w:val="nil"/>
              <w:bottom w:val="nil"/>
              <w:right w:val="nil"/>
            </w:tcBorders>
          </w:tcPr>
          <w:p w14:paraId="1407664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L4.HOS = HOG</w:t>
            </w:r>
          </w:p>
        </w:tc>
        <w:tc>
          <w:tcPr>
            <w:tcW w:w="1656" w:type="dxa"/>
            <w:tcBorders>
              <w:top w:val="nil"/>
              <w:left w:val="nil"/>
              <w:bottom w:val="nil"/>
              <w:right w:val="nil"/>
            </w:tcBorders>
          </w:tcPr>
          <w:p w14:paraId="7AEAE34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-0.630</w:t>
            </w:r>
          </w:p>
        </w:tc>
        <w:tc>
          <w:tcPr>
            <w:tcW w:w="1656" w:type="dxa"/>
            <w:tcBorders>
              <w:top w:val="nil"/>
              <w:left w:val="nil"/>
              <w:bottom w:val="nil"/>
              <w:right w:val="nil"/>
            </w:tcBorders>
          </w:tcPr>
          <w:p w14:paraId="201D9A1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-1.625</w:t>
            </w:r>
            <w:r w:rsidRPr="00B75E5E">
              <w:rPr>
                <w:rFonts w:ascii="Times New Roman" w:hAnsi="Times New Roman" w:cs="Times New Roman"/>
                <w:sz w:val="16"/>
                <w:szCs w:val="16"/>
                <w:vertAlign w:val="superscript"/>
              </w:rPr>
              <w:t>*</w:t>
            </w:r>
          </w:p>
        </w:tc>
      </w:tr>
      <w:tr w:rsidR="004F2FCB" w:rsidRPr="00B75E5E" w14:paraId="5A260375" w14:textId="77777777" w:rsidTr="00015B88">
        <w:tc>
          <w:tcPr>
            <w:tcW w:w="2136" w:type="dxa"/>
            <w:tcBorders>
              <w:top w:val="nil"/>
              <w:left w:val="nil"/>
              <w:bottom w:val="nil"/>
              <w:right w:val="nil"/>
            </w:tcBorders>
          </w:tcPr>
          <w:p w14:paraId="64F2675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25E2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c>
          <w:tcPr>
            <w:tcW w:w="1656" w:type="dxa"/>
            <w:tcBorders>
              <w:top w:val="nil"/>
              <w:left w:val="nil"/>
              <w:bottom w:val="nil"/>
              <w:right w:val="nil"/>
            </w:tcBorders>
          </w:tcPr>
          <w:p w14:paraId="3892BBD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(-2.54)</w:t>
            </w:r>
          </w:p>
        </w:tc>
      </w:tr>
      <w:tr w:rsidR="004F2FCB" w:rsidRPr="00B75E5E" w14:paraId="22D136E3" w14:textId="77777777" w:rsidTr="00015B88">
        <w:tc>
          <w:tcPr>
            <w:tcW w:w="2136" w:type="dxa"/>
            <w:tcBorders>
              <w:top w:val="nil"/>
              <w:left w:val="nil"/>
              <w:bottom w:val="nil"/>
              <w:right w:val="nil"/>
            </w:tcBorders>
          </w:tcPr>
          <w:p w14:paraId="7F5F8B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87D69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3F600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72B798A" w14:textId="77777777" w:rsidTr="00015B88">
        <w:tc>
          <w:tcPr>
            <w:tcW w:w="2136" w:type="dxa"/>
            <w:tcBorders>
              <w:top w:val="nil"/>
              <w:left w:val="nil"/>
              <w:bottom w:val="nil"/>
              <w:right w:val="nil"/>
            </w:tcBorders>
          </w:tcPr>
          <w:p w14:paraId="4F33545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L5.HOS = HOG</w:t>
            </w:r>
          </w:p>
        </w:tc>
        <w:tc>
          <w:tcPr>
            <w:tcW w:w="1656" w:type="dxa"/>
            <w:tcBorders>
              <w:top w:val="nil"/>
              <w:left w:val="nil"/>
              <w:bottom w:val="nil"/>
              <w:right w:val="nil"/>
            </w:tcBorders>
          </w:tcPr>
          <w:p w14:paraId="7F3872E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-0.533</w:t>
            </w:r>
          </w:p>
        </w:tc>
        <w:tc>
          <w:tcPr>
            <w:tcW w:w="1656" w:type="dxa"/>
            <w:tcBorders>
              <w:top w:val="nil"/>
              <w:left w:val="nil"/>
              <w:bottom w:val="nil"/>
              <w:right w:val="nil"/>
            </w:tcBorders>
          </w:tcPr>
          <w:p w14:paraId="339E446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0.494</w:t>
            </w:r>
          </w:p>
        </w:tc>
      </w:tr>
      <w:tr w:rsidR="004F2FCB" w:rsidRPr="00B75E5E" w14:paraId="7D186504" w14:textId="77777777" w:rsidTr="00015B88">
        <w:tc>
          <w:tcPr>
            <w:tcW w:w="2136" w:type="dxa"/>
            <w:tcBorders>
              <w:top w:val="nil"/>
              <w:left w:val="nil"/>
              <w:bottom w:val="nil"/>
              <w:right w:val="nil"/>
            </w:tcBorders>
          </w:tcPr>
          <w:p w14:paraId="19E269C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014F3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(-0.73)</w:t>
            </w:r>
          </w:p>
        </w:tc>
        <w:tc>
          <w:tcPr>
            <w:tcW w:w="1656" w:type="dxa"/>
            <w:tcBorders>
              <w:top w:val="nil"/>
              <w:left w:val="nil"/>
              <w:bottom w:val="nil"/>
              <w:right w:val="nil"/>
            </w:tcBorders>
          </w:tcPr>
          <w:p w14:paraId="33499D5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r>
      <w:tr w:rsidR="004F2FCB" w:rsidRPr="00B75E5E" w14:paraId="10ECB24A" w14:textId="77777777" w:rsidTr="00015B88">
        <w:tc>
          <w:tcPr>
            <w:tcW w:w="2136" w:type="dxa"/>
            <w:tcBorders>
              <w:top w:val="nil"/>
              <w:left w:val="nil"/>
              <w:bottom w:val="nil"/>
              <w:right w:val="nil"/>
            </w:tcBorders>
          </w:tcPr>
          <w:p w14:paraId="2BE8589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B88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D9025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8144FDC" w14:textId="77777777" w:rsidTr="00015B88">
        <w:tc>
          <w:tcPr>
            <w:tcW w:w="2136" w:type="dxa"/>
            <w:tcBorders>
              <w:top w:val="nil"/>
              <w:left w:val="nil"/>
              <w:bottom w:val="nil"/>
              <w:right w:val="nil"/>
            </w:tcBorders>
          </w:tcPr>
          <w:p w14:paraId="6380890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L6.HOS = HOG</w:t>
            </w:r>
          </w:p>
        </w:tc>
        <w:tc>
          <w:tcPr>
            <w:tcW w:w="1656" w:type="dxa"/>
            <w:tcBorders>
              <w:top w:val="nil"/>
              <w:left w:val="nil"/>
              <w:bottom w:val="nil"/>
              <w:right w:val="nil"/>
            </w:tcBorders>
          </w:tcPr>
          <w:p w14:paraId="55161B6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-0.180</w:t>
            </w:r>
          </w:p>
        </w:tc>
        <w:tc>
          <w:tcPr>
            <w:tcW w:w="1656" w:type="dxa"/>
            <w:tcBorders>
              <w:top w:val="nil"/>
              <w:left w:val="nil"/>
              <w:bottom w:val="nil"/>
              <w:right w:val="nil"/>
            </w:tcBorders>
          </w:tcPr>
          <w:p w14:paraId="4C25FEE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-0.307</w:t>
            </w:r>
          </w:p>
        </w:tc>
      </w:tr>
      <w:tr w:rsidR="004F2FCB" w:rsidRPr="00B75E5E" w14:paraId="63CCE8F4" w14:textId="77777777" w:rsidTr="00015B88">
        <w:tc>
          <w:tcPr>
            <w:tcW w:w="2136" w:type="dxa"/>
            <w:tcBorders>
              <w:top w:val="nil"/>
              <w:left w:val="nil"/>
              <w:bottom w:val="nil"/>
              <w:right w:val="nil"/>
            </w:tcBorders>
          </w:tcPr>
          <w:p w14:paraId="7E488B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25527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(-0.23)</w:t>
            </w:r>
          </w:p>
        </w:tc>
        <w:tc>
          <w:tcPr>
            <w:tcW w:w="1656" w:type="dxa"/>
            <w:tcBorders>
              <w:top w:val="nil"/>
              <w:left w:val="nil"/>
              <w:bottom w:val="nil"/>
              <w:right w:val="nil"/>
            </w:tcBorders>
          </w:tcPr>
          <w:p w14:paraId="72DA38E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(-0.48)</w:t>
            </w:r>
          </w:p>
        </w:tc>
      </w:tr>
      <w:tr w:rsidR="004F2FCB" w:rsidRPr="00B75E5E" w14:paraId="0715E41C" w14:textId="77777777" w:rsidTr="00015B88">
        <w:tc>
          <w:tcPr>
            <w:tcW w:w="2136" w:type="dxa"/>
            <w:tcBorders>
              <w:top w:val="nil"/>
              <w:left w:val="nil"/>
              <w:bottom w:val="nil"/>
              <w:right w:val="nil"/>
            </w:tcBorders>
          </w:tcPr>
          <w:p w14:paraId="4711B34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1888F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4A0B4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EB692C5" w14:textId="77777777" w:rsidTr="00015B88">
        <w:tc>
          <w:tcPr>
            <w:tcW w:w="2136" w:type="dxa"/>
            <w:tcBorders>
              <w:top w:val="nil"/>
              <w:left w:val="nil"/>
              <w:bottom w:val="nil"/>
              <w:right w:val="nil"/>
            </w:tcBorders>
          </w:tcPr>
          <w:p w14:paraId="6DDCB2D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L7.HOS = HOG</w:t>
            </w:r>
          </w:p>
        </w:tc>
        <w:tc>
          <w:tcPr>
            <w:tcW w:w="1656" w:type="dxa"/>
            <w:tcBorders>
              <w:top w:val="nil"/>
              <w:left w:val="nil"/>
              <w:bottom w:val="nil"/>
              <w:right w:val="nil"/>
            </w:tcBorders>
          </w:tcPr>
          <w:p w14:paraId="46C552B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0.297</w:t>
            </w:r>
          </w:p>
        </w:tc>
        <w:tc>
          <w:tcPr>
            <w:tcW w:w="1656" w:type="dxa"/>
            <w:tcBorders>
              <w:top w:val="nil"/>
              <w:left w:val="nil"/>
              <w:bottom w:val="nil"/>
              <w:right w:val="nil"/>
            </w:tcBorders>
          </w:tcPr>
          <w:p w14:paraId="1B043A3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-0.474</w:t>
            </w:r>
          </w:p>
        </w:tc>
      </w:tr>
      <w:tr w:rsidR="004F2FCB" w:rsidRPr="00B75E5E" w14:paraId="4CFDD1E7" w14:textId="77777777" w:rsidTr="00015B88">
        <w:tc>
          <w:tcPr>
            <w:tcW w:w="2136" w:type="dxa"/>
            <w:tcBorders>
              <w:top w:val="nil"/>
              <w:left w:val="nil"/>
              <w:bottom w:val="nil"/>
              <w:right w:val="nil"/>
            </w:tcBorders>
          </w:tcPr>
          <w:p w14:paraId="7D296C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44A66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(0.33)</w:t>
            </w:r>
          </w:p>
        </w:tc>
        <w:tc>
          <w:tcPr>
            <w:tcW w:w="1656" w:type="dxa"/>
            <w:tcBorders>
              <w:top w:val="nil"/>
              <w:left w:val="nil"/>
              <w:bottom w:val="nil"/>
              <w:right w:val="nil"/>
            </w:tcBorders>
          </w:tcPr>
          <w:p w14:paraId="19AF887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(-0.61)</w:t>
            </w:r>
          </w:p>
        </w:tc>
      </w:tr>
      <w:tr w:rsidR="004F2FCB" w:rsidRPr="00B75E5E" w14:paraId="1D3BDFD8" w14:textId="77777777" w:rsidTr="00015B88">
        <w:tc>
          <w:tcPr>
            <w:tcW w:w="2136" w:type="dxa"/>
            <w:tcBorders>
              <w:top w:val="nil"/>
              <w:left w:val="nil"/>
              <w:bottom w:val="nil"/>
              <w:right w:val="nil"/>
            </w:tcBorders>
          </w:tcPr>
          <w:p w14:paraId="406A571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D1B2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7674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F8FE1A1" w14:textId="77777777" w:rsidTr="00015B88">
        <w:tc>
          <w:tcPr>
            <w:tcW w:w="2136" w:type="dxa"/>
            <w:tcBorders>
              <w:top w:val="nil"/>
              <w:left w:val="nil"/>
              <w:bottom w:val="nil"/>
              <w:right w:val="nil"/>
            </w:tcBorders>
          </w:tcPr>
          <w:p w14:paraId="1D0716D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L8.HOS = HOG</w:t>
            </w:r>
          </w:p>
        </w:tc>
        <w:tc>
          <w:tcPr>
            <w:tcW w:w="1656" w:type="dxa"/>
            <w:tcBorders>
              <w:top w:val="nil"/>
              <w:left w:val="nil"/>
              <w:bottom w:val="nil"/>
              <w:right w:val="nil"/>
            </w:tcBorders>
          </w:tcPr>
          <w:p w14:paraId="3403365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1.579</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7A49002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1.578</w:t>
            </w:r>
            <w:r w:rsidRPr="00B75E5E">
              <w:rPr>
                <w:rFonts w:ascii="Times New Roman" w:hAnsi="Times New Roman" w:cs="Times New Roman"/>
                <w:sz w:val="16"/>
                <w:szCs w:val="16"/>
                <w:vertAlign w:val="superscript"/>
              </w:rPr>
              <w:t>**</w:t>
            </w:r>
          </w:p>
        </w:tc>
      </w:tr>
      <w:tr w:rsidR="004F2FCB" w:rsidRPr="00B75E5E" w14:paraId="1995EBFD" w14:textId="77777777" w:rsidTr="00015B88">
        <w:tc>
          <w:tcPr>
            <w:tcW w:w="2136" w:type="dxa"/>
            <w:tcBorders>
              <w:top w:val="nil"/>
              <w:left w:val="nil"/>
              <w:bottom w:val="nil"/>
              <w:right w:val="nil"/>
            </w:tcBorders>
          </w:tcPr>
          <w:p w14:paraId="7DCFC68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0691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(2.22)</w:t>
            </w:r>
          </w:p>
        </w:tc>
        <w:tc>
          <w:tcPr>
            <w:tcW w:w="1656" w:type="dxa"/>
            <w:tcBorders>
              <w:top w:val="nil"/>
              <w:left w:val="nil"/>
              <w:bottom w:val="nil"/>
              <w:right w:val="nil"/>
            </w:tcBorders>
          </w:tcPr>
          <w:p w14:paraId="55CC397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(2.70)</w:t>
            </w:r>
          </w:p>
        </w:tc>
      </w:tr>
      <w:tr w:rsidR="004F2FCB" w:rsidRPr="00B75E5E" w14:paraId="7679BB4A" w14:textId="77777777" w:rsidTr="00015B88">
        <w:tc>
          <w:tcPr>
            <w:tcW w:w="2136" w:type="dxa"/>
            <w:tcBorders>
              <w:top w:val="nil"/>
              <w:left w:val="nil"/>
              <w:bottom w:val="nil"/>
              <w:right w:val="nil"/>
            </w:tcBorders>
          </w:tcPr>
          <w:p w14:paraId="278B05E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E433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1555B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B921999" w14:textId="77777777" w:rsidTr="00015B88">
        <w:tc>
          <w:tcPr>
            <w:tcW w:w="2136" w:type="dxa"/>
            <w:tcBorders>
              <w:top w:val="nil"/>
              <w:left w:val="nil"/>
              <w:bottom w:val="nil"/>
              <w:right w:val="nil"/>
            </w:tcBorders>
          </w:tcPr>
          <w:p w14:paraId="3712F1D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L9.HOS = HOG</w:t>
            </w:r>
          </w:p>
        </w:tc>
        <w:tc>
          <w:tcPr>
            <w:tcW w:w="1656" w:type="dxa"/>
            <w:tcBorders>
              <w:top w:val="nil"/>
              <w:left w:val="nil"/>
              <w:bottom w:val="nil"/>
              <w:right w:val="nil"/>
            </w:tcBorders>
          </w:tcPr>
          <w:p w14:paraId="6CD52E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-2.279</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496BC3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-1.564</w:t>
            </w:r>
            <w:r w:rsidRPr="00B75E5E">
              <w:rPr>
                <w:rFonts w:ascii="Times New Roman" w:hAnsi="Times New Roman" w:cs="Times New Roman"/>
                <w:sz w:val="16"/>
                <w:szCs w:val="16"/>
                <w:vertAlign w:val="superscript"/>
              </w:rPr>
              <w:t>***</w:t>
            </w:r>
          </w:p>
        </w:tc>
      </w:tr>
      <w:tr w:rsidR="004F2FCB" w:rsidRPr="00B75E5E" w14:paraId="58A59205" w14:textId="77777777" w:rsidTr="00015B88">
        <w:tc>
          <w:tcPr>
            <w:tcW w:w="2136" w:type="dxa"/>
            <w:tcBorders>
              <w:top w:val="nil"/>
              <w:left w:val="nil"/>
              <w:bottom w:val="nil"/>
              <w:right w:val="nil"/>
            </w:tcBorders>
          </w:tcPr>
          <w:p w14:paraId="1EECD62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DF77C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(-4.43)</w:t>
            </w:r>
          </w:p>
        </w:tc>
        <w:tc>
          <w:tcPr>
            <w:tcW w:w="1656" w:type="dxa"/>
            <w:tcBorders>
              <w:top w:val="nil"/>
              <w:left w:val="nil"/>
              <w:bottom w:val="nil"/>
              <w:right w:val="nil"/>
            </w:tcBorders>
          </w:tcPr>
          <w:p w14:paraId="5E029AD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(-3.52)</w:t>
            </w:r>
          </w:p>
        </w:tc>
      </w:tr>
      <w:tr w:rsidR="004F2FCB" w:rsidRPr="00B75E5E" w14:paraId="1AEBF113" w14:textId="77777777" w:rsidTr="00015B88">
        <w:tc>
          <w:tcPr>
            <w:tcW w:w="2136" w:type="dxa"/>
            <w:tcBorders>
              <w:top w:val="nil"/>
              <w:left w:val="nil"/>
              <w:bottom w:val="nil"/>
              <w:right w:val="nil"/>
            </w:tcBorders>
          </w:tcPr>
          <w:p w14:paraId="62DFB01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3603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3FBDA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4370965" w14:textId="77777777" w:rsidTr="00015B88">
        <w:tc>
          <w:tcPr>
            <w:tcW w:w="2136" w:type="dxa"/>
            <w:tcBorders>
              <w:top w:val="nil"/>
              <w:left w:val="nil"/>
              <w:bottom w:val="nil"/>
              <w:right w:val="nil"/>
            </w:tcBorders>
          </w:tcPr>
          <w:p w14:paraId="688C33E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L10.HOS = HOG</w:t>
            </w:r>
          </w:p>
        </w:tc>
        <w:tc>
          <w:tcPr>
            <w:tcW w:w="1656" w:type="dxa"/>
            <w:tcBorders>
              <w:top w:val="nil"/>
              <w:left w:val="nil"/>
              <w:bottom w:val="nil"/>
              <w:right w:val="nil"/>
            </w:tcBorders>
          </w:tcPr>
          <w:p w14:paraId="65B0022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1.606</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2C4E845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0.782</w:t>
            </w:r>
          </w:p>
        </w:tc>
      </w:tr>
      <w:tr w:rsidR="004F2FCB" w:rsidRPr="00B75E5E" w14:paraId="167E4CB9" w14:textId="77777777" w:rsidTr="00015B88">
        <w:tc>
          <w:tcPr>
            <w:tcW w:w="2136" w:type="dxa"/>
            <w:tcBorders>
              <w:top w:val="nil"/>
              <w:left w:val="nil"/>
              <w:bottom w:val="nil"/>
              <w:right w:val="nil"/>
            </w:tcBorders>
          </w:tcPr>
          <w:p w14:paraId="2E70502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BF56D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(4.04)</w:t>
            </w:r>
          </w:p>
        </w:tc>
        <w:tc>
          <w:tcPr>
            <w:tcW w:w="1656" w:type="dxa"/>
            <w:tcBorders>
              <w:top w:val="nil"/>
              <w:left w:val="nil"/>
              <w:bottom w:val="nil"/>
              <w:right w:val="nil"/>
            </w:tcBorders>
          </w:tcPr>
          <w:p w14:paraId="3874115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(1.92)</w:t>
            </w:r>
          </w:p>
        </w:tc>
      </w:tr>
      <w:tr w:rsidR="004F2FCB" w:rsidRPr="00B75E5E" w14:paraId="1542FC1F" w14:textId="77777777" w:rsidTr="00015B88">
        <w:tc>
          <w:tcPr>
            <w:tcW w:w="2136" w:type="dxa"/>
            <w:tcBorders>
              <w:top w:val="nil"/>
              <w:left w:val="nil"/>
              <w:bottom w:val="nil"/>
              <w:right w:val="nil"/>
            </w:tcBorders>
          </w:tcPr>
          <w:p w14:paraId="06521D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402F6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6824F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D1287B8" w14:textId="77777777" w:rsidTr="00015B88">
        <w:tc>
          <w:tcPr>
            <w:tcW w:w="2136" w:type="dxa"/>
            <w:tcBorders>
              <w:top w:val="nil"/>
              <w:left w:val="nil"/>
              <w:bottom w:val="nil"/>
              <w:right w:val="nil"/>
            </w:tcBorders>
          </w:tcPr>
          <w:p w14:paraId="45CF007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B75E5E">
              <w:rPr>
                <w:rFonts w:ascii="Times New Roman" w:hAnsi="Times New Roman" w:cs="Times New Roman"/>
                <w:sz w:val="16"/>
                <w:szCs w:val="16"/>
              </w:rPr>
              <w:t>L.De</w:t>
            </w:r>
            <w:proofErr w:type="spellEnd"/>
            <w:r w:rsidRPr="00B75E5E">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3151887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1.224</w:t>
            </w:r>
          </w:p>
        </w:tc>
        <w:tc>
          <w:tcPr>
            <w:tcW w:w="1656" w:type="dxa"/>
            <w:tcBorders>
              <w:top w:val="nil"/>
              <w:left w:val="nil"/>
              <w:bottom w:val="nil"/>
              <w:right w:val="nil"/>
            </w:tcBorders>
          </w:tcPr>
          <w:p w14:paraId="1FEDB9D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0.812</w:t>
            </w:r>
          </w:p>
        </w:tc>
      </w:tr>
      <w:tr w:rsidR="004F2FCB" w:rsidRPr="00B75E5E" w14:paraId="46561FEA" w14:textId="77777777" w:rsidTr="00015B88">
        <w:tc>
          <w:tcPr>
            <w:tcW w:w="2136" w:type="dxa"/>
            <w:tcBorders>
              <w:top w:val="nil"/>
              <w:left w:val="nil"/>
              <w:bottom w:val="nil"/>
              <w:right w:val="nil"/>
            </w:tcBorders>
          </w:tcPr>
          <w:p w14:paraId="7AED9B5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6D88C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w:t>
            </w:r>
          </w:p>
        </w:tc>
        <w:tc>
          <w:tcPr>
            <w:tcW w:w="1656" w:type="dxa"/>
            <w:tcBorders>
              <w:top w:val="nil"/>
              <w:left w:val="nil"/>
              <w:bottom w:val="nil"/>
              <w:right w:val="nil"/>
            </w:tcBorders>
          </w:tcPr>
          <w:p w14:paraId="6D247C2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(0.59)</w:t>
            </w:r>
          </w:p>
        </w:tc>
      </w:tr>
      <w:tr w:rsidR="004F2FCB" w:rsidRPr="00B75E5E" w14:paraId="4C954633" w14:textId="77777777" w:rsidTr="00015B88">
        <w:tc>
          <w:tcPr>
            <w:tcW w:w="2136" w:type="dxa"/>
            <w:tcBorders>
              <w:top w:val="nil"/>
              <w:left w:val="nil"/>
              <w:bottom w:val="nil"/>
              <w:right w:val="nil"/>
            </w:tcBorders>
          </w:tcPr>
          <w:p w14:paraId="7113363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14A10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215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3E0E2F6" w14:textId="77777777" w:rsidTr="00015B88">
        <w:tc>
          <w:tcPr>
            <w:tcW w:w="2136" w:type="dxa"/>
            <w:tcBorders>
              <w:top w:val="nil"/>
              <w:left w:val="nil"/>
              <w:bottom w:val="nil"/>
              <w:right w:val="nil"/>
            </w:tcBorders>
          </w:tcPr>
          <w:p w14:paraId="15B2FE9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L2.De Jure CBI * HOS = HOG</w:t>
            </w:r>
          </w:p>
        </w:tc>
        <w:tc>
          <w:tcPr>
            <w:tcW w:w="1656" w:type="dxa"/>
            <w:tcBorders>
              <w:top w:val="nil"/>
              <w:left w:val="nil"/>
              <w:bottom w:val="nil"/>
              <w:right w:val="nil"/>
            </w:tcBorders>
          </w:tcPr>
          <w:p w14:paraId="0EDD246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-1.401</w:t>
            </w:r>
          </w:p>
        </w:tc>
        <w:tc>
          <w:tcPr>
            <w:tcW w:w="1656" w:type="dxa"/>
            <w:tcBorders>
              <w:top w:val="nil"/>
              <w:left w:val="nil"/>
              <w:bottom w:val="nil"/>
              <w:right w:val="nil"/>
            </w:tcBorders>
          </w:tcPr>
          <w:p w14:paraId="54CA0C1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-2.046</w:t>
            </w:r>
          </w:p>
        </w:tc>
      </w:tr>
      <w:tr w:rsidR="004F2FCB" w:rsidRPr="00B75E5E" w14:paraId="66605149" w14:textId="77777777" w:rsidTr="00015B88">
        <w:tc>
          <w:tcPr>
            <w:tcW w:w="2136" w:type="dxa"/>
            <w:tcBorders>
              <w:top w:val="nil"/>
              <w:left w:val="nil"/>
              <w:bottom w:val="nil"/>
              <w:right w:val="nil"/>
            </w:tcBorders>
          </w:tcPr>
          <w:p w14:paraId="556FB76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CDC6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(-1.14)</w:t>
            </w:r>
          </w:p>
        </w:tc>
        <w:tc>
          <w:tcPr>
            <w:tcW w:w="1656" w:type="dxa"/>
            <w:tcBorders>
              <w:top w:val="nil"/>
              <w:left w:val="nil"/>
              <w:bottom w:val="nil"/>
              <w:right w:val="nil"/>
            </w:tcBorders>
          </w:tcPr>
          <w:p w14:paraId="6900A61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(-1.69)</w:t>
            </w:r>
          </w:p>
        </w:tc>
      </w:tr>
      <w:tr w:rsidR="004F2FCB" w:rsidRPr="00B75E5E" w14:paraId="4EDDFBDE" w14:textId="77777777" w:rsidTr="00015B88">
        <w:tc>
          <w:tcPr>
            <w:tcW w:w="2136" w:type="dxa"/>
            <w:tcBorders>
              <w:top w:val="nil"/>
              <w:left w:val="nil"/>
              <w:bottom w:val="nil"/>
              <w:right w:val="nil"/>
            </w:tcBorders>
          </w:tcPr>
          <w:p w14:paraId="181B544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D242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E199E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04B9667" w14:textId="77777777" w:rsidTr="00015B88">
        <w:tc>
          <w:tcPr>
            <w:tcW w:w="2136" w:type="dxa"/>
            <w:tcBorders>
              <w:top w:val="nil"/>
              <w:left w:val="nil"/>
              <w:bottom w:val="nil"/>
              <w:right w:val="nil"/>
            </w:tcBorders>
          </w:tcPr>
          <w:p w14:paraId="3514634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L3.De Jure CBI * HOS = HOG</w:t>
            </w:r>
          </w:p>
        </w:tc>
        <w:tc>
          <w:tcPr>
            <w:tcW w:w="1656" w:type="dxa"/>
            <w:tcBorders>
              <w:top w:val="nil"/>
              <w:left w:val="nil"/>
              <w:bottom w:val="nil"/>
              <w:right w:val="nil"/>
            </w:tcBorders>
          </w:tcPr>
          <w:p w14:paraId="6A32007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1.262</w:t>
            </w:r>
          </w:p>
        </w:tc>
        <w:tc>
          <w:tcPr>
            <w:tcW w:w="1656" w:type="dxa"/>
            <w:tcBorders>
              <w:top w:val="nil"/>
              <w:left w:val="nil"/>
              <w:bottom w:val="nil"/>
              <w:right w:val="nil"/>
            </w:tcBorders>
          </w:tcPr>
          <w:p w14:paraId="1B480B3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0.497</w:t>
            </w:r>
          </w:p>
        </w:tc>
      </w:tr>
      <w:tr w:rsidR="004F2FCB" w:rsidRPr="00B75E5E" w14:paraId="58B4E616" w14:textId="77777777" w:rsidTr="00015B88">
        <w:tc>
          <w:tcPr>
            <w:tcW w:w="2136" w:type="dxa"/>
            <w:tcBorders>
              <w:top w:val="nil"/>
              <w:left w:val="nil"/>
              <w:bottom w:val="nil"/>
              <w:right w:val="nil"/>
            </w:tcBorders>
          </w:tcPr>
          <w:p w14:paraId="0ED5AC4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3F2F3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(1.32)</w:t>
            </w:r>
          </w:p>
        </w:tc>
        <w:tc>
          <w:tcPr>
            <w:tcW w:w="1656" w:type="dxa"/>
            <w:tcBorders>
              <w:top w:val="nil"/>
              <w:left w:val="nil"/>
              <w:bottom w:val="nil"/>
              <w:right w:val="nil"/>
            </w:tcBorders>
          </w:tcPr>
          <w:p w14:paraId="3102D10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(0.54)</w:t>
            </w:r>
          </w:p>
        </w:tc>
      </w:tr>
      <w:tr w:rsidR="004F2FCB" w:rsidRPr="00B75E5E" w14:paraId="76AB2FC4" w14:textId="77777777" w:rsidTr="00015B88">
        <w:tc>
          <w:tcPr>
            <w:tcW w:w="2136" w:type="dxa"/>
            <w:tcBorders>
              <w:top w:val="nil"/>
              <w:left w:val="nil"/>
              <w:bottom w:val="nil"/>
              <w:right w:val="nil"/>
            </w:tcBorders>
          </w:tcPr>
          <w:p w14:paraId="2EEBB79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EE7D9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4AEA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F357344" w14:textId="77777777" w:rsidTr="00015B88">
        <w:tc>
          <w:tcPr>
            <w:tcW w:w="2136" w:type="dxa"/>
            <w:tcBorders>
              <w:top w:val="nil"/>
              <w:left w:val="nil"/>
              <w:bottom w:val="nil"/>
              <w:right w:val="nil"/>
            </w:tcBorders>
          </w:tcPr>
          <w:p w14:paraId="20546F0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L4.De Jure CBI * HOS = HOG</w:t>
            </w:r>
          </w:p>
        </w:tc>
        <w:tc>
          <w:tcPr>
            <w:tcW w:w="1656" w:type="dxa"/>
            <w:tcBorders>
              <w:top w:val="nil"/>
              <w:left w:val="nil"/>
              <w:bottom w:val="nil"/>
              <w:right w:val="nil"/>
            </w:tcBorders>
          </w:tcPr>
          <w:p w14:paraId="6234776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-0.693</w:t>
            </w:r>
          </w:p>
        </w:tc>
        <w:tc>
          <w:tcPr>
            <w:tcW w:w="1656" w:type="dxa"/>
            <w:tcBorders>
              <w:top w:val="nil"/>
              <w:left w:val="nil"/>
              <w:bottom w:val="nil"/>
              <w:right w:val="nil"/>
            </w:tcBorders>
          </w:tcPr>
          <w:p w14:paraId="11D64B3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1.048</w:t>
            </w:r>
          </w:p>
        </w:tc>
      </w:tr>
      <w:tr w:rsidR="004F2FCB" w:rsidRPr="00B75E5E" w14:paraId="73B0B01B" w14:textId="77777777" w:rsidTr="00015B88">
        <w:tc>
          <w:tcPr>
            <w:tcW w:w="2136" w:type="dxa"/>
            <w:tcBorders>
              <w:top w:val="nil"/>
              <w:left w:val="nil"/>
              <w:bottom w:val="nil"/>
              <w:right w:val="nil"/>
            </w:tcBorders>
          </w:tcPr>
          <w:p w14:paraId="3093C2B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A16CC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w:t>
            </w:r>
          </w:p>
        </w:tc>
        <w:tc>
          <w:tcPr>
            <w:tcW w:w="1656" w:type="dxa"/>
            <w:tcBorders>
              <w:top w:val="nil"/>
              <w:left w:val="nil"/>
              <w:bottom w:val="nil"/>
              <w:right w:val="nil"/>
            </w:tcBorders>
          </w:tcPr>
          <w:p w14:paraId="5ED6CB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(1.03)</w:t>
            </w:r>
          </w:p>
        </w:tc>
      </w:tr>
      <w:tr w:rsidR="004F2FCB" w:rsidRPr="00B75E5E" w14:paraId="34C63A7C" w14:textId="77777777" w:rsidTr="00015B88">
        <w:tc>
          <w:tcPr>
            <w:tcW w:w="2136" w:type="dxa"/>
            <w:tcBorders>
              <w:top w:val="nil"/>
              <w:left w:val="nil"/>
              <w:bottom w:val="nil"/>
              <w:right w:val="nil"/>
            </w:tcBorders>
          </w:tcPr>
          <w:p w14:paraId="5C60ED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469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92BEA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368DD30" w14:textId="77777777" w:rsidTr="00015B88">
        <w:tc>
          <w:tcPr>
            <w:tcW w:w="2136" w:type="dxa"/>
            <w:tcBorders>
              <w:top w:val="nil"/>
              <w:left w:val="nil"/>
              <w:bottom w:val="nil"/>
              <w:right w:val="nil"/>
            </w:tcBorders>
          </w:tcPr>
          <w:p w14:paraId="33BE692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L5.De Jure CBI * HOS = HOG</w:t>
            </w:r>
          </w:p>
        </w:tc>
        <w:tc>
          <w:tcPr>
            <w:tcW w:w="1656" w:type="dxa"/>
            <w:tcBorders>
              <w:top w:val="nil"/>
              <w:left w:val="nil"/>
              <w:bottom w:val="nil"/>
              <w:right w:val="nil"/>
            </w:tcBorders>
          </w:tcPr>
          <w:p w14:paraId="2AD41F2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1.930</w:t>
            </w:r>
          </w:p>
        </w:tc>
        <w:tc>
          <w:tcPr>
            <w:tcW w:w="1656" w:type="dxa"/>
            <w:tcBorders>
              <w:top w:val="nil"/>
              <w:left w:val="nil"/>
              <w:bottom w:val="nil"/>
              <w:right w:val="nil"/>
            </w:tcBorders>
          </w:tcPr>
          <w:p w14:paraId="26BB36C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0.942</w:t>
            </w:r>
          </w:p>
        </w:tc>
      </w:tr>
      <w:tr w:rsidR="004F2FCB" w:rsidRPr="00B75E5E" w14:paraId="51CE7A7D" w14:textId="77777777" w:rsidTr="00015B88">
        <w:tc>
          <w:tcPr>
            <w:tcW w:w="2136" w:type="dxa"/>
            <w:tcBorders>
              <w:top w:val="nil"/>
              <w:left w:val="nil"/>
              <w:bottom w:val="nil"/>
              <w:right w:val="nil"/>
            </w:tcBorders>
          </w:tcPr>
          <w:p w14:paraId="18FA803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46DC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(1.47)</w:t>
            </w:r>
          </w:p>
        </w:tc>
        <w:tc>
          <w:tcPr>
            <w:tcW w:w="1656" w:type="dxa"/>
            <w:tcBorders>
              <w:top w:val="nil"/>
              <w:left w:val="nil"/>
              <w:bottom w:val="nil"/>
              <w:right w:val="nil"/>
            </w:tcBorders>
          </w:tcPr>
          <w:p w14:paraId="73C3676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(0.83)</w:t>
            </w:r>
          </w:p>
        </w:tc>
      </w:tr>
      <w:tr w:rsidR="004F2FCB" w:rsidRPr="00B75E5E" w14:paraId="6AC6314F" w14:textId="77777777" w:rsidTr="00015B88">
        <w:tc>
          <w:tcPr>
            <w:tcW w:w="2136" w:type="dxa"/>
            <w:tcBorders>
              <w:top w:val="nil"/>
              <w:left w:val="nil"/>
              <w:bottom w:val="nil"/>
              <w:right w:val="nil"/>
            </w:tcBorders>
          </w:tcPr>
          <w:p w14:paraId="793DE58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B36E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95DAB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ED22FF9" w14:textId="77777777" w:rsidTr="00015B88">
        <w:tc>
          <w:tcPr>
            <w:tcW w:w="2136" w:type="dxa"/>
            <w:tcBorders>
              <w:top w:val="nil"/>
              <w:left w:val="nil"/>
              <w:bottom w:val="nil"/>
              <w:right w:val="nil"/>
            </w:tcBorders>
          </w:tcPr>
          <w:p w14:paraId="505E9F5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L6.De Jure CBI * HOS = HOG</w:t>
            </w:r>
          </w:p>
        </w:tc>
        <w:tc>
          <w:tcPr>
            <w:tcW w:w="1656" w:type="dxa"/>
            <w:tcBorders>
              <w:top w:val="nil"/>
              <w:left w:val="nil"/>
              <w:bottom w:val="nil"/>
              <w:right w:val="nil"/>
            </w:tcBorders>
          </w:tcPr>
          <w:p w14:paraId="59135A0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0.814</w:t>
            </w:r>
          </w:p>
        </w:tc>
        <w:tc>
          <w:tcPr>
            <w:tcW w:w="1656" w:type="dxa"/>
            <w:tcBorders>
              <w:top w:val="nil"/>
              <w:left w:val="nil"/>
              <w:bottom w:val="nil"/>
              <w:right w:val="nil"/>
            </w:tcBorders>
          </w:tcPr>
          <w:p w14:paraId="567138F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0.154</w:t>
            </w:r>
          </w:p>
        </w:tc>
      </w:tr>
      <w:tr w:rsidR="004F2FCB" w:rsidRPr="00B75E5E" w14:paraId="090B62A3" w14:textId="77777777" w:rsidTr="00015B88">
        <w:tc>
          <w:tcPr>
            <w:tcW w:w="2136" w:type="dxa"/>
            <w:tcBorders>
              <w:top w:val="nil"/>
              <w:left w:val="nil"/>
              <w:bottom w:val="nil"/>
              <w:right w:val="nil"/>
            </w:tcBorders>
          </w:tcPr>
          <w:p w14:paraId="40874BD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5053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w:t>
            </w:r>
          </w:p>
        </w:tc>
        <w:tc>
          <w:tcPr>
            <w:tcW w:w="1656" w:type="dxa"/>
            <w:tcBorders>
              <w:top w:val="nil"/>
              <w:left w:val="nil"/>
              <w:bottom w:val="nil"/>
              <w:right w:val="nil"/>
            </w:tcBorders>
          </w:tcPr>
          <w:p w14:paraId="2155085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(0.12)</w:t>
            </w:r>
          </w:p>
        </w:tc>
      </w:tr>
      <w:tr w:rsidR="004F2FCB" w:rsidRPr="00B75E5E" w14:paraId="0F9B452B" w14:textId="77777777" w:rsidTr="00015B88">
        <w:tc>
          <w:tcPr>
            <w:tcW w:w="2136" w:type="dxa"/>
            <w:tcBorders>
              <w:top w:val="nil"/>
              <w:left w:val="nil"/>
              <w:bottom w:val="nil"/>
              <w:right w:val="nil"/>
            </w:tcBorders>
          </w:tcPr>
          <w:p w14:paraId="14D3B3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A2960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1570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18CCBEF" w14:textId="77777777" w:rsidTr="00015B88">
        <w:tc>
          <w:tcPr>
            <w:tcW w:w="2136" w:type="dxa"/>
            <w:tcBorders>
              <w:top w:val="nil"/>
              <w:left w:val="nil"/>
              <w:bottom w:val="nil"/>
              <w:right w:val="nil"/>
            </w:tcBorders>
          </w:tcPr>
          <w:p w14:paraId="52B94B1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lastRenderedPageBreak/>
              <w:t>L7.De Jure CBI * HOS = HOG</w:t>
            </w:r>
          </w:p>
        </w:tc>
        <w:tc>
          <w:tcPr>
            <w:tcW w:w="1656" w:type="dxa"/>
            <w:tcBorders>
              <w:top w:val="nil"/>
              <w:left w:val="nil"/>
              <w:bottom w:val="nil"/>
              <w:right w:val="nil"/>
            </w:tcBorders>
          </w:tcPr>
          <w:p w14:paraId="29820A8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-0.0998</w:t>
            </w:r>
          </w:p>
        </w:tc>
        <w:tc>
          <w:tcPr>
            <w:tcW w:w="1656" w:type="dxa"/>
            <w:tcBorders>
              <w:top w:val="nil"/>
              <w:left w:val="nil"/>
              <w:bottom w:val="nil"/>
              <w:right w:val="nil"/>
            </w:tcBorders>
          </w:tcPr>
          <w:p w14:paraId="7CDB4CE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0.942</w:t>
            </w:r>
          </w:p>
        </w:tc>
      </w:tr>
      <w:tr w:rsidR="004F2FCB" w:rsidRPr="00B75E5E" w14:paraId="13BE0C6E" w14:textId="77777777" w:rsidTr="00015B88">
        <w:tc>
          <w:tcPr>
            <w:tcW w:w="2136" w:type="dxa"/>
            <w:tcBorders>
              <w:top w:val="nil"/>
              <w:left w:val="nil"/>
              <w:bottom w:val="nil"/>
              <w:right w:val="nil"/>
            </w:tcBorders>
          </w:tcPr>
          <w:p w14:paraId="717876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7739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w:t>
            </w:r>
          </w:p>
        </w:tc>
        <w:tc>
          <w:tcPr>
            <w:tcW w:w="1656" w:type="dxa"/>
            <w:tcBorders>
              <w:top w:val="nil"/>
              <w:left w:val="nil"/>
              <w:bottom w:val="nil"/>
              <w:right w:val="nil"/>
            </w:tcBorders>
          </w:tcPr>
          <w:p w14:paraId="39E73C1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(0.61)</w:t>
            </w:r>
          </w:p>
        </w:tc>
      </w:tr>
      <w:tr w:rsidR="004F2FCB" w:rsidRPr="00B75E5E" w14:paraId="79FE32EF" w14:textId="77777777" w:rsidTr="00015B88">
        <w:tc>
          <w:tcPr>
            <w:tcW w:w="2136" w:type="dxa"/>
            <w:tcBorders>
              <w:top w:val="nil"/>
              <w:left w:val="nil"/>
              <w:bottom w:val="nil"/>
              <w:right w:val="nil"/>
            </w:tcBorders>
          </w:tcPr>
          <w:p w14:paraId="7CEF8A8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A29AE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DC14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41F2E12" w14:textId="77777777" w:rsidTr="00015B88">
        <w:tc>
          <w:tcPr>
            <w:tcW w:w="2136" w:type="dxa"/>
            <w:tcBorders>
              <w:top w:val="nil"/>
              <w:left w:val="nil"/>
              <w:bottom w:val="nil"/>
              <w:right w:val="nil"/>
            </w:tcBorders>
          </w:tcPr>
          <w:p w14:paraId="27F5023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L8.De Jure CBI * HOS = HOG</w:t>
            </w:r>
          </w:p>
        </w:tc>
        <w:tc>
          <w:tcPr>
            <w:tcW w:w="1656" w:type="dxa"/>
            <w:tcBorders>
              <w:top w:val="nil"/>
              <w:left w:val="nil"/>
              <w:bottom w:val="nil"/>
              <w:right w:val="nil"/>
            </w:tcBorders>
          </w:tcPr>
          <w:p w14:paraId="7D6300D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-4.068</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5A2565B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-4.844</w:t>
            </w:r>
            <w:r w:rsidRPr="00B75E5E">
              <w:rPr>
                <w:rFonts w:ascii="Times New Roman" w:hAnsi="Times New Roman" w:cs="Times New Roman"/>
                <w:sz w:val="16"/>
                <w:szCs w:val="16"/>
                <w:vertAlign w:val="superscript"/>
              </w:rPr>
              <w:t>***</w:t>
            </w:r>
          </w:p>
        </w:tc>
      </w:tr>
      <w:tr w:rsidR="004F2FCB" w:rsidRPr="00B75E5E" w14:paraId="409B3927" w14:textId="77777777" w:rsidTr="00015B88">
        <w:tc>
          <w:tcPr>
            <w:tcW w:w="2136" w:type="dxa"/>
            <w:tcBorders>
              <w:top w:val="nil"/>
              <w:left w:val="nil"/>
              <w:bottom w:val="nil"/>
              <w:right w:val="nil"/>
            </w:tcBorders>
          </w:tcPr>
          <w:p w14:paraId="0B37357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0BEB2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(-2.58)</w:t>
            </w:r>
          </w:p>
        </w:tc>
        <w:tc>
          <w:tcPr>
            <w:tcW w:w="1656" w:type="dxa"/>
            <w:tcBorders>
              <w:top w:val="nil"/>
              <w:left w:val="nil"/>
              <w:bottom w:val="nil"/>
              <w:right w:val="nil"/>
            </w:tcBorders>
          </w:tcPr>
          <w:p w14:paraId="444922D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(-3.58)</w:t>
            </w:r>
          </w:p>
        </w:tc>
      </w:tr>
      <w:tr w:rsidR="004F2FCB" w:rsidRPr="00B75E5E" w14:paraId="29B3284E" w14:textId="77777777" w:rsidTr="00015B88">
        <w:tc>
          <w:tcPr>
            <w:tcW w:w="2136" w:type="dxa"/>
            <w:tcBorders>
              <w:top w:val="nil"/>
              <w:left w:val="nil"/>
              <w:bottom w:val="nil"/>
              <w:right w:val="nil"/>
            </w:tcBorders>
          </w:tcPr>
          <w:p w14:paraId="1DEC5FA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ED61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75E2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6FF0C61" w14:textId="77777777" w:rsidTr="00015B88">
        <w:tc>
          <w:tcPr>
            <w:tcW w:w="2136" w:type="dxa"/>
            <w:tcBorders>
              <w:top w:val="nil"/>
              <w:left w:val="nil"/>
              <w:bottom w:val="nil"/>
              <w:right w:val="nil"/>
            </w:tcBorders>
          </w:tcPr>
          <w:p w14:paraId="591E0C2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L9.De Jure CBI * HOS = HOG</w:t>
            </w:r>
          </w:p>
        </w:tc>
        <w:tc>
          <w:tcPr>
            <w:tcW w:w="1656" w:type="dxa"/>
            <w:tcBorders>
              <w:top w:val="nil"/>
              <w:left w:val="nil"/>
              <w:bottom w:val="nil"/>
              <w:right w:val="nil"/>
            </w:tcBorders>
          </w:tcPr>
          <w:p w14:paraId="70C6245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4.969</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7C6DF3F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3.176</w:t>
            </w:r>
            <w:r w:rsidRPr="00B75E5E">
              <w:rPr>
                <w:rFonts w:ascii="Times New Roman" w:hAnsi="Times New Roman" w:cs="Times New Roman"/>
                <w:sz w:val="16"/>
                <w:szCs w:val="16"/>
                <w:vertAlign w:val="superscript"/>
              </w:rPr>
              <w:t>***</w:t>
            </w:r>
          </w:p>
        </w:tc>
      </w:tr>
      <w:tr w:rsidR="004F2FCB" w:rsidRPr="00B75E5E" w14:paraId="0334C940" w14:textId="77777777" w:rsidTr="00015B88">
        <w:tc>
          <w:tcPr>
            <w:tcW w:w="2136" w:type="dxa"/>
            <w:tcBorders>
              <w:top w:val="nil"/>
              <w:left w:val="nil"/>
              <w:bottom w:val="nil"/>
              <w:right w:val="nil"/>
            </w:tcBorders>
          </w:tcPr>
          <w:p w14:paraId="518AABD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E752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(5.03)</w:t>
            </w:r>
          </w:p>
        </w:tc>
        <w:tc>
          <w:tcPr>
            <w:tcW w:w="1656" w:type="dxa"/>
            <w:tcBorders>
              <w:top w:val="nil"/>
              <w:left w:val="nil"/>
              <w:bottom w:val="nil"/>
              <w:right w:val="nil"/>
            </w:tcBorders>
          </w:tcPr>
          <w:p w14:paraId="0A1209A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(3.39)</w:t>
            </w:r>
          </w:p>
        </w:tc>
      </w:tr>
      <w:tr w:rsidR="004F2FCB" w:rsidRPr="00B75E5E" w14:paraId="5A37987D" w14:textId="77777777" w:rsidTr="00015B88">
        <w:tc>
          <w:tcPr>
            <w:tcW w:w="2136" w:type="dxa"/>
            <w:tcBorders>
              <w:top w:val="nil"/>
              <w:left w:val="nil"/>
              <w:bottom w:val="nil"/>
              <w:right w:val="nil"/>
            </w:tcBorders>
          </w:tcPr>
          <w:p w14:paraId="1B19409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FBE5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C7010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D8F19D5" w14:textId="77777777" w:rsidTr="00015B88">
        <w:tc>
          <w:tcPr>
            <w:tcW w:w="2136" w:type="dxa"/>
            <w:tcBorders>
              <w:top w:val="nil"/>
              <w:left w:val="nil"/>
              <w:bottom w:val="nil"/>
              <w:right w:val="nil"/>
            </w:tcBorders>
          </w:tcPr>
          <w:p w14:paraId="21E1E77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L10.De Jure CBI * HOS = HOG</w:t>
            </w:r>
          </w:p>
        </w:tc>
        <w:tc>
          <w:tcPr>
            <w:tcW w:w="1656" w:type="dxa"/>
            <w:tcBorders>
              <w:top w:val="nil"/>
              <w:left w:val="nil"/>
              <w:bottom w:val="nil"/>
              <w:right w:val="nil"/>
            </w:tcBorders>
          </w:tcPr>
          <w:p w14:paraId="7279F4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-3.290</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4BABB9D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-0.632</w:t>
            </w:r>
          </w:p>
        </w:tc>
      </w:tr>
      <w:tr w:rsidR="004F2FCB" w:rsidRPr="00B75E5E" w14:paraId="1AB5AFF7" w14:textId="77777777" w:rsidTr="00015B88">
        <w:tc>
          <w:tcPr>
            <w:tcW w:w="2136" w:type="dxa"/>
            <w:tcBorders>
              <w:top w:val="nil"/>
              <w:left w:val="nil"/>
              <w:bottom w:val="nil"/>
              <w:right w:val="nil"/>
            </w:tcBorders>
          </w:tcPr>
          <w:p w14:paraId="55DEE5F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9B3B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(-4.59)</w:t>
            </w:r>
          </w:p>
        </w:tc>
        <w:tc>
          <w:tcPr>
            <w:tcW w:w="1656" w:type="dxa"/>
            <w:tcBorders>
              <w:top w:val="nil"/>
              <w:left w:val="nil"/>
              <w:bottom w:val="nil"/>
              <w:right w:val="nil"/>
            </w:tcBorders>
          </w:tcPr>
          <w:p w14:paraId="51E02BA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w:t>
            </w:r>
          </w:p>
        </w:tc>
      </w:tr>
      <w:tr w:rsidR="004F2FCB" w:rsidRPr="00B75E5E" w14:paraId="7A5F970E" w14:textId="77777777" w:rsidTr="00015B88">
        <w:tc>
          <w:tcPr>
            <w:tcW w:w="2136" w:type="dxa"/>
            <w:tcBorders>
              <w:top w:val="nil"/>
              <w:left w:val="nil"/>
              <w:bottom w:val="nil"/>
              <w:right w:val="nil"/>
            </w:tcBorders>
          </w:tcPr>
          <w:p w14:paraId="472C691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C7EFA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15C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D5B50F5" w14:textId="77777777" w:rsidTr="00015B88">
        <w:tc>
          <w:tcPr>
            <w:tcW w:w="2136" w:type="dxa"/>
            <w:tcBorders>
              <w:top w:val="nil"/>
              <w:left w:val="nil"/>
              <w:bottom w:val="nil"/>
              <w:right w:val="nil"/>
            </w:tcBorders>
          </w:tcPr>
          <w:p w14:paraId="4032EB1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B75E5E">
              <w:rPr>
                <w:rFonts w:ascii="Times New Roman" w:hAnsi="Times New Roman" w:cs="Times New Roman"/>
                <w:sz w:val="16"/>
                <w:szCs w:val="16"/>
              </w:rPr>
              <w:t>L.More</w:t>
            </w:r>
            <w:proofErr w:type="spellEnd"/>
            <w:r w:rsidRPr="00B75E5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7C70FC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-0.0670</w:t>
            </w:r>
          </w:p>
        </w:tc>
        <w:tc>
          <w:tcPr>
            <w:tcW w:w="1656" w:type="dxa"/>
            <w:tcBorders>
              <w:top w:val="nil"/>
              <w:left w:val="nil"/>
              <w:bottom w:val="nil"/>
              <w:right w:val="nil"/>
            </w:tcBorders>
          </w:tcPr>
          <w:p w14:paraId="15921C6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0.00987</w:t>
            </w:r>
          </w:p>
        </w:tc>
      </w:tr>
      <w:tr w:rsidR="004F2FCB" w:rsidRPr="00B75E5E" w14:paraId="54E46788" w14:textId="77777777" w:rsidTr="00015B88">
        <w:tc>
          <w:tcPr>
            <w:tcW w:w="2136" w:type="dxa"/>
            <w:tcBorders>
              <w:top w:val="nil"/>
              <w:left w:val="nil"/>
              <w:bottom w:val="nil"/>
              <w:right w:val="nil"/>
            </w:tcBorders>
          </w:tcPr>
          <w:p w14:paraId="533D868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5F5D8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(-1.43)</w:t>
            </w:r>
          </w:p>
        </w:tc>
        <w:tc>
          <w:tcPr>
            <w:tcW w:w="1656" w:type="dxa"/>
            <w:tcBorders>
              <w:top w:val="nil"/>
              <w:left w:val="nil"/>
              <w:bottom w:val="nil"/>
              <w:right w:val="nil"/>
            </w:tcBorders>
          </w:tcPr>
          <w:p w14:paraId="37941ED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(0.23)</w:t>
            </w:r>
          </w:p>
        </w:tc>
      </w:tr>
      <w:tr w:rsidR="004F2FCB" w:rsidRPr="00B75E5E" w14:paraId="67616319" w14:textId="77777777" w:rsidTr="00015B88">
        <w:tc>
          <w:tcPr>
            <w:tcW w:w="2136" w:type="dxa"/>
            <w:tcBorders>
              <w:top w:val="nil"/>
              <w:left w:val="nil"/>
              <w:bottom w:val="nil"/>
              <w:right w:val="nil"/>
            </w:tcBorders>
          </w:tcPr>
          <w:p w14:paraId="59649DD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089F0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A439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5F2AB74" w14:textId="77777777" w:rsidTr="00015B88">
        <w:tc>
          <w:tcPr>
            <w:tcW w:w="2136" w:type="dxa"/>
            <w:tcBorders>
              <w:top w:val="nil"/>
              <w:left w:val="nil"/>
              <w:bottom w:val="nil"/>
              <w:right w:val="nil"/>
            </w:tcBorders>
          </w:tcPr>
          <w:p w14:paraId="1E239A3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L2.More Fixed Rate * HOS = HOG</w:t>
            </w:r>
          </w:p>
        </w:tc>
        <w:tc>
          <w:tcPr>
            <w:tcW w:w="1656" w:type="dxa"/>
            <w:tcBorders>
              <w:top w:val="nil"/>
              <w:left w:val="nil"/>
              <w:bottom w:val="nil"/>
              <w:right w:val="nil"/>
            </w:tcBorders>
          </w:tcPr>
          <w:p w14:paraId="56DEF0B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0.0135</w:t>
            </w:r>
          </w:p>
        </w:tc>
        <w:tc>
          <w:tcPr>
            <w:tcW w:w="1656" w:type="dxa"/>
            <w:tcBorders>
              <w:top w:val="nil"/>
              <w:left w:val="nil"/>
              <w:bottom w:val="nil"/>
              <w:right w:val="nil"/>
            </w:tcBorders>
          </w:tcPr>
          <w:p w14:paraId="41C4743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-0.00502</w:t>
            </w:r>
          </w:p>
        </w:tc>
      </w:tr>
      <w:tr w:rsidR="004F2FCB" w:rsidRPr="00B75E5E" w14:paraId="10C75937" w14:textId="77777777" w:rsidTr="00015B88">
        <w:tc>
          <w:tcPr>
            <w:tcW w:w="2136" w:type="dxa"/>
            <w:tcBorders>
              <w:top w:val="nil"/>
              <w:left w:val="nil"/>
              <w:bottom w:val="nil"/>
              <w:right w:val="nil"/>
            </w:tcBorders>
          </w:tcPr>
          <w:p w14:paraId="39A85A3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A622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(0.31)</w:t>
            </w:r>
          </w:p>
        </w:tc>
        <w:tc>
          <w:tcPr>
            <w:tcW w:w="1656" w:type="dxa"/>
            <w:tcBorders>
              <w:top w:val="nil"/>
              <w:left w:val="nil"/>
              <w:bottom w:val="nil"/>
              <w:right w:val="nil"/>
            </w:tcBorders>
          </w:tcPr>
          <w:p w14:paraId="5FB4280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(-0.12)</w:t>
            </w:r>
          </w:p>
        </w:tc>
      </w:tr>
      <w:tr w:rsidR="004F2FCB" w:rsidRPr="00B75E5E" w14:paraId="65A7C764" w14:textId="77777777" w:rsidTr="00015B88">
        <w:tc>
          <w:tcPr>
            <w:tcW w:w="2136" w:type="dxa"/>
            <w:tcBorders>
              <w:top w:val="nil"/>
              <w:left w:val="nil"/>
              <w:bottom w:val="nil"/>
              <w:right w:val="nil"/>
            </w:tcBorders>
          </w:tcPr>
          <w:p w14:paraId="4AB657C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1CA4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ACC7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0D5E5D58" w14:textId="77777777" w:rsidTr="00015B88">
        <w:tc>
          <w:tcPr>
            <w:tcW w:w="2136" w:type="dxa"/>
            <w:tcBorders>
              <w:top w:val="nil"/>
              <w:left w:val="nil"/>
              <w:bottom w:val="nil"/>
              <w:right w:val="nil"/>
            </w:tcBorders>
          </w:tcPr>
          <w:p w14:paraId="7099292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L3.More Fixed Rate * HOS = HOG</w:t>
            </w:r>
          </w:p>
        </w:tc>
        <w:tc>
          <w:tcPr>
            <w:tcW w:w="1656" w:type="dxa"/>
            <w:tcBorders>
              <w:top w:val="nil"/>
              <w:left w:val="nil"/>
              <w:bottom w:val="nil"/>
              <w:right w:val="nil"/>
            </w:tcBorders>
          </w:tcPr>
          <w:p w14:paraId="3ECDD2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0.0172</w:t>
            </w:r>
          </w:p>
        </w:tc>
        <w:tc>
          <w:tcPr>
            <w:tcW w:w="1656" w:type="dxa"/>
            <w:tcBorders>
              <w:top w:val="nil"/>
              <w:left w:val="nil"/>
              <w:bottom w:val="nil"/>
              <w:right w:val="nil"/>
            </w:tcBorders>
          </w:tcPr>
          <w:p w14:paraId="790F990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-0.00616</w:t>
            </w:r>
          </w:p>
        </w:tc>
      </w:tr>
      <w:tr w:rsidR="004F2FCB" w:rsidRPr="00B75E5E" w14:paraId="02482796" w14:textId="77777777" w:rsidTr="00015B88">
        <w:tc>
          <w:tcPr>
            <w:tcW w:w="2136" w:type="dxa"/>
            <w:tcBorders>
              <w:top w:val="nil"/>
              <w:left w:val="nil"/>
              <w:bottom w:val="nil"/>
              <w:right w:val="nil"/>
            </w:tcBorders>
          </w:tcPr>
          <w:p w14:paraId="782FB49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30B4F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(0.42)</w:t>
            </w:r>
          </w:p>
        </w:tc>
        <w:tc>
          <w:tcPr>
            <w:tcW w:w="1656" w:type="dxa"/>
            <w:tcBorders>
              <w:top w:val="nil"/>
              <w:left w:val="nil"/>
              <w:bottom w:val="nil"/>
              <w:right w:val="nil"/>
            </w:tcBorders>
          </w:tcPr>
          <w:p w14:paraId="3C9C32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(-0.16)</w:t>
            </w:r>
          </w:p>
        </w:tc>
      </w:tr>
      <w:tr w:rsidR="004F2FCB" w:rsidRPr="00B75E5E" w14:paraId="6987D611" w14:textId="77777777" w:rsidTr="00015B88">
        <w:tc>
          <w:tcPr>
            <w:tcW w:w="2136" w:type="dxa"/>
            <w:tcBorders>
              <w:top w:val="nil"/>
              <w:left w:val="nil"/>
              <w:bottom w:val="nil"/>
              <w:right w:val="nil"/>
            </w:tcBorders>
          </w:tcPr>
          <w:p w14:paraId="2523644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B003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D50C1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2F44100" w14:textId="77777777" w:rsidTr="00015B88">
        <w:tc>
          <w:tcPr>
            <w:tcW w:w="2136" w:type="dxa"/>
            <w:tcBorders>
              <w:top w:val="nil"/>
              <w:left w:val="nil"/>
              <w:bottom w:val="nil"/>
              <w:right w:val="nil"/>
            </w:tcBorders>
          </w:tcPr>
          <w:p w14:paraId="1B2C3D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L4.More Fixed Rate * HOS = HOG</w:t>
            </w:r>
          </w:p>
        </w:tc>
        <w:tc>
          <w:tcPr>
            <w:tcW w:w="1656" w:type="dxa"/>
            <w:tcBorders>
              <w:top w:val="nil"/>
              <w:left w:val="nil"/>
              <w:bottom w:val="nil"/>
              <w:right w:val="nil"/>
            </w:tcBorders>
          </w:tcPr>
          <w:p w14:paraId="0B3CF34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-0.00158</w:t>
            </w:r>
          </w:p>
        </w:tc>
        <w:tc>
          <w:tcPr>
            <w:tcW w:w="1656" w:type="dxa"/>
            <w:tcBorders>
              <w:top w:val="nil"/>
              <w:left w:val="nil"/>
              <w:bottom w:val="nil"/>
              <w:right w:val="nil"/>
            </w:tcBorders>
          </w:tcPr>
          <w:p w14:paraId="3C4E00F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0.00309</w:t>
            </w:r>
          </w:p>
        </w:tc>
      </w:tr>
      <w:tr w:rsidR="004F2FCB" w:rsidRPr="00B75E5E" w14:paraId="6964192A" w14:textId="77777777" w:rsidTr="00015B88">
        <w:tc>
          <w:tcPr>
            <w:tcW w:w="2136" w:type="dxa"/>
            <w:tcBorders>
              <w:top w:val="nil"/>
              <w:left w:val="nil"/>
              <w:bottom w:val="nil"/>
              <w:right w:val="nil"/>
            </w:tcBorders>
          </w:tcPr>
          <w:p w14:paraId="3F6E5AA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99186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w:t>
            </w:r>
          </w:p>
        </w:tc>
        <w:tc>
          <w:tcPr>
            <w:tcW w:w="1656" w:type="dxa"/>
            <w:tcBorders>
              <w:top w:val="nil"/>
              <w:left w:val="nil"/>
              <w:bottom w:val="nil"/>
              <w:right w:val="nil"/>
            </w:tcBorders>
          </w:tcPr>
          <w:p w14:paraId="174A0FC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(0.09)</w:t>
            </w:r>
          </w:p>
        </w:tc>
      </w:tr>
      <w:tr w:rsidR="004F2FCB" w:rsidRPr="00B75E5E" w14:paraId="46FCE771" w14:textId="77777777" w:rsidTr="00015B88">
        <w:tc>
          <w:tcPr>
            <w:tcW w:w="2136" w:type="dxa"/>
            <w:tcBorders>
              <w:top w:val="nil"/>
              <w:left w:val="nil"/>
              <w:bottom w:val="nil"/>
              <w:right w:val="nil"/>
            </w:tcBorders>
          </w:tcPr>
          <w:p w14:paraId="40264AF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665A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46B0E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A6B3912" w14:textId="77777777" w:rsidTr="00015B88">
        <w:tc>
          <w:tcPr>
            <w:tcW w:w="2136" w:type="dxa"/>
            <w:tcBorders>
              <w:top w:val="nil"/>
              <w:left w:val="nil"/>
              <w:bottom w:val="nil"/>
              <w:right w:val="nil"/>
            </w:tcBorders>
          </w:tcPr>
          <w:p w14:paraId="6F47A4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L5.More Fixed Rate * HOS = HOG</w:t>
            </w:r>
          </w:p>
        </w:tc>
        <w:tc>
          <w:tcPr>
            <w:tcW w:w="1656" w:type="dxa"/>
            <w:tcBorders>
              <w:top w:val="nil"/>
              <w:left w:val="nil"/>
              <w:bottom w:val="nil"/>
              <w:right w:val="nil"/>
            </w:tcBorders>
          </w:tcPr>
          <w:p w14:paraId="2A715EA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0.00989</w:t>
            </w:r>
          </w:p>
        </w:tc>
        <w:tc>
          <w:tcPr>
            <w:tcW w:w="1656" w:type="dxa"/>
            <w:tcBorders>
              <w:top w:val="nil"/>
              <w:left w:val="nil"/>
              <w:bottom w:val="nil"/>
              <w:right w:val="nil"/>
            </w:tcBorders>
          </w:tcPr>
          <w:p w14:paraId="5A4941D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-0.0277</w:t>
            </w:r>
          </w:p>
        </w:tc>
      </w:tr>
      <w:tr w:rsidR="004F2FCB" w:rsidRPr="00B75E5E" w14:paraId="1E673A9A" w14:textId="77777777" w:rsidTr="00015B88">
        <w:tc>
          <w:tcPr>
            <w:tcW w:w="2136" w:type="dxa"/>
            <w:tcBorders>
              <w:top w:val="nil"/>
              <w:left w:val="nil"/>
              <w:bottom w:val="nil"/>
              <w:right w:val="nil"/>
            </w:tcBorders>
          </w:tcPr>
          <w:p w14:paraId="7E79714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AC56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(0.26)</w:t>
            </w:r>
          </w:p>
        </w:tc>
        <w:tc>
          <w:tcPr>
            <w:tcW w:w="1656" w:type="dxa"/>
            <w:tcBorders>
              <w:top w:val="nil"/>
              <w:left w:val="nil"/>
              <w:bottom w:val="nil"/>
              <w:right w:val="nil"/>
            </w:tcBorders>
          </w:tcPr>
          <w:p w14:paraId="16748EF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r>
      <w:tr w:rsidR="004F2FCB" w:rsidRPr="00B75E5E" w14:paraId="25E225A9" w14:textId="77777777" w:rsidTr="00015B88">
        <w:tc>
          <w:tcPr>
            <w:tcW w:w="2136" w:type="dxa"/>
            <w:tcBorders>
              <w:top w:val="nil"/>
              <w:left w:val="nil"/>
              <w:bottom w:val="nil"/>
              <w:right w:val="nil"/>
            </w:tcBorders>
          </w:tcPr>
          <w:p w14:paraId="793FDE7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56D3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CB5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6F90879" w14:textId="77777777" w:rsidTr="00015B88">
        <w:tc>
          <w:tcPr>
            <w:tcW w:w="2136" w:type="dxa"/>
            <w:tcBorders>
              <w:top w:val="nil"/>
              <w:left w:val="nil"/>
              <w:bottom w:val="nil"/>
              <w:right w:val="nil"/>
            </w:tcBorders>
          </w:tcPr>
          <w:p w14:paraId="6FCB9BC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L6.More Fixed Rate * HOS = HOG</w:t>
            </w:r>
          </w:p>
        </w:tc>
        <w:tc>
          <w:tcPr>
            <w:tcW w:w="1656" w:type="dxa"/>
            <w:tcBorders>
              <w:top w:val="nil"/>
              <w:left w:val="nil"/>
              <w:bottom w:val="nil"/>
              <w:right w:val="nil"/>
            </w:tcBorders>
          </w:tcPr>
          <w:p w14:paraId="712359B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-0.0417</w:t>
            </w:r>
          </w:p>
        </w:tc>
        <w:tc>
          <w:tcPr>
            <w:tcW w:w="1656" w:type="dxa"/>
            <w:tcBorders>
              <w:top w:val="nil"/>
              <w:left w:val="nil"/>
              <w:bottom w:val="nil"/>
              <w:right w:val="nil"/>
            </w:tcBorders>
          </w:tcPr>
          <w:p w14:paraId="74366FA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0.0316</w:t>
            </w:r>
          </w:p>
        </w:tc>
      </w:tr>
      <w:tr w:rsidR="004F2FCB" w:rsidRPr="00B75E5E" w14:paraId="5D3880B6" w14:textId="77777777" w:rsidTr="00015B88">
        <w:tc>
          <w:tcPr>
            <w:tcW w:w="2136" w:type="dxa"/>
            <w:tcBorders>
              <w:top w:val="nil"/>
              <w:left w:val="nil"/>
              <w:bottom w:val="nil"/>
              <w:right w:val="nil"/>
            </w:tcBorders>
          </w:tcPr>
          <w:p w14:paraId="3AC6CC5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9A234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(-1.08)</w:t>
            </w:r>
          </w:p>
        </w:tc>
        <w:tc>
          <w:tcPr>
            <w:tcW w:w="1656" w:type="dxa"/>
            <w:tcBorders>
              <w:top w:val="nil"/>
              <w:left w:val="nil"/>
              <w:bottom w:val="nil"/>
              <w:right w:val="nil"/>
            </w:tcBorders>
          </w:tcPr>
          <w:p w14:paraId="6F478C4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(1.18)</w:t>
            </w:r>
          </w:p>
        </w:tc>
      </w:tr>
      <w:tr w:rsidR="004F2FCB" w:rsidRPr="00B75E5E" w14:paraId="1456617F" w14:textId="77777777" w:rsidTr="00015B88">
        <w:tc>
          <w:tcPr>
            <w:tcW w:w="2136" w:type="dxa"/>
            <w:tcBorders>
              <w:top w:val="nil"/>
              <w:left w:val="nil"/>
              <w:bottom w:val="nil"/>
              <w:right w:val="nil"/>
            </w:tcBorders>
          </w:tcPr>
          <w:p w14:paraId="5BAEB47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EE83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05B4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07142775" w14:textId="77777777" w:rsidTr="00015B88">
        <w:tc>
          <w:tcPr>
            <w:tcW w:w="2136" w:type="dxa"/>
            <w:tcBorders>
              <w:top w:val="nil"/>
              <w:left w:val="nil"/>
              <w:bottom w:val="nil"/>
              <w:right w:val="nil"/>
            </w:tcBorders>
          </w:tcPr>
          <w:p w14:paraId="50E6FC6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L7.More Fixed Rate * HOS = HOG</w:t>
            </w:r>
          </w:p>
        </w:tc>
        <w:tc>
          <w:tcPr>
            <w:tcW w:w="1656" w:type="dxa"/>
            <w:tcBorders>
              <w:top w:val="nil"/>
              <w:left w:val="nil"/>
              <w:bottom w:val="nil"/>
              <w:right w:val="nil"/>
            </w:tcBorders>
          </w:tcPr>
          <w:p w14:paraId="486F0A1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-0.0169</w:t>
            </w:r>
          </w:p>
        </w:tc>
        <w:tc>
          <w:tcPr>
            <w:tcW w:w="1656" w:type="dxa"/>
            <w:tcBorders>
              <w:top w:val="nil"/>
              <w:left w:val="nil"/>
              <w:bottom w:val="nil"/>
              <w:right w:val="nil"/>
            </w:tcBorders>
          </w:tcPr>
          <w:p w14:paraId="66E3C19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0.00884</w:t>
            </w:r>
          </w:p>
        </w:tc>
      </w:tr>
      <w:tr w:rsidR="004F2FCB" w:rsidRPr="00B75E5E" w14:paraId="6AB47ACB" w14:textId="77777777" w:rsidTr="00015B88">
        <w:tc>
          <w:tcPr>
            <w:tcW w:w="2136" w:type="dxa"/>
            <w:tcBorders>
              <w:top w:val="nil"/>
              <w:left w:val="nil"/>
              <w:bottom w:val="nil"/>
              <w:right w:val="nil"/>
            </w:tcBorders>
          </w:tcPr>
          <w:p w14:paraId="2B3A785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285ED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(-0.44)</w:t>
            </w:r>
          </w:p>
        </w:tc>
        <w:tc>
          <w:tcPr>
            <w:tcW w:w="1656" w:type="dxa"/>
            <w:tcBorders>
              <w:top w:val="nil"/>
              <w:left w:val="nil"/>
              <w:bottom w:val="nil"/>
              <w:right w:val="nil"/>
            </w:tcBorders>
          </w:tcPr>
          <w:p w14:paraId="10CBAD9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(0.33)</w:t>
            </w:r>
          </w:p>
        </w:tc>
      </w:tr>
      <w:tr w:rsidR="004F2FCB" w:rsidRPr="00B75E5E" w14:paraId="4063E669" w14:textId="77777777" w:rsidTr="00015B88">
        <w:tc>
          <w:tcPr>
            <w:tcW w:w="2136" w:type="dxa"/>
            <w:tcBorders>
              <w:top w:val="nil"/>
              <w:left w:val="nil"/>
              <w:bottom w:val="nil"/>
              <w:right w:val="nil"/>
            </w:tcBorders>
          </w:tcPr>
          <w:p w14:paraId="28D7A28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2D44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16B3A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80484EA" w14:textId="77777777" w:rsidTr="00015B88">
        <w:tc>
          <w:tcPr>
            <w:tcW w:w="2136" w:type="dxa"/>
            <w:tcBorders>
              <w:top w:val="nil"/>
              <w:left w:val="nil"/>
              <w:bottom w:val="nil"/>
              <w:right w:val="nil"/>
            </w:tcBorders>
          </w:tcPr>
          <w:p w14:paraId="538B16F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L8.More Fixed Rate * HOS = HOG</w:t>
            </w:r>
          </w:p>
        </w:tc>
        <w:tc>
          <w:tcPr>
            <w:tcW w:w="1656" w:type="dxa"/>
            <w:tcBorders>
              <w:top w:val="nil"/>
              <w:left w:val="nil"/>
              <w:bottom w:val="nil"/>
              <w:right w:val="nil"/>
            </w:tcBorders>
          </w:tcPr>
          <w:p w14:paraId="19FC22B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0.0119</w:t>
            </w:r>
          </w:p>
        </w:tc>
        <w:tc>
          <w:tcPr>
            <w:tcW w:w="1656" w:type="dxa"/>
            <w:tcBorders>
              <w:top w:val="nil"/>
              <w:left w:val="nil"/>
              <w:bottom w:val="nil"/>
              <w:right w:val="nil"/>
            </w:tcBorders>
          </w:tcPr>
          <w:p w14:paraId="78CCE0C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0.0108</w:t>
            </w:r>
          </w:p>
        </w:tc>
      </w:tr>
      <w:tr w:rsidR="004F2FCB" w:rsidRPr="00B75E5E" w14:paraId="4EBA03DF" w14:textId="77777777" w:rsidTr="00015B88">
        <w:tc>
          <w:tcPr>
            <w:tcW w:w="2136" w:type="dxa"/>
            <w:tcBorders>
              <w:top w:val="nil"/>
              <w:left w:val="nil"/>
              <w:bottom w:val="nil"/>
              <w:right w:val="nil"/>
            </w:tcBorders>
          </w:tcPr>
          <w:p w14:paraId="006BBC9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2F579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(0.34)</w:t>
            </w:r>
          </w:p>
        </w:tc>
        <w:tc>
          <w:tcPr>
            <w:tcW w:w="1656" w:type="dxa"/>
            <w:tcBorders>
              <w:top w:val="nil"/>
              <w:left w:val="nil"/>
              <w:bottom w:val="nil"/>
              <w:right w:val="nil"/>
            </w:tcBorders>
          </w:tcPr>
          <w:p w14:paraId="7340B23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(0.57)</w:t>
            </w:r>
          </w:p>
        </w:tc>
      </w:tr>
      <w:tr w:rsidR="004F2FCB" w:rsidRPr="00B75E5E" w14:paraId="26EC8617" w14:textId="77777777" w:rsidTr="00015B88">
        <w:tc>
          <w:tcPr>
            <w:tcW w:w="2136" w:type="dxa"/>
            <w:tcBorders>
              <w:top w:val="nil"/>
              <w:left w:val="nil"/>
              <w:bottom w:val="nil"/>
              <w:right w:val="nil"/>
            </w:tcBorders>
          </w:tcPr>
          <w:p w14:paraId="513371C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A1C5F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4CF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06595F0" w14:textId="77777777" w:rsidTr="00015B88">
        <w:tc>
          <w:tcPr>
            <w:tcW w:w="2136" w:type="dxa"/>
            <w:tcBorders>
              <w:top w:val="nil"/>
              <w:left w:val="nil"/>
              <w:bottom w:val="nil"/>
              <w:right w:val="nil"/>
            </w:tcBorders>
          </w:tcPr>
          <w:p w14:paraId="5AE0E33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L9.More Fixed Rate * HOS = HOG</w:t>
            </w:r>
          </w:p>
        </w:tc>
        <w:tc>
          <w:tcPr>
            <w:tcW w:w="1656" w:type="dxa"/>
            <w:tcBorders>
              <w:top w:val="nil"/>
              <w:left w:val="nil"/>
              <w:bottom w:val="nil"/>
              <w:right w:val="nil"/>
            </w:tcBorders>
          </w:tcPr>
          <w:p w14:paraId="0078A98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0.0339</w:t>
            </w:r>
          </w:p>
        </w:tc>
        <w:tc>
          <w:tcPr>
            <w:tcW w:w="1656" w:type="dxa"/>
            <w:tcBorders>
              <w:top w:val="nil"/>
              <w:left w:val="nil"/>
              <w:bottom w:val="nil"/>
              <w:right w:val="nil"/>
            </w:tcBorders>
          </w:tcPr>
          <w:p w14:paraId="300CEBB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0.0208</w:t>
            </w:r>
          </w:p>
        </w:tc>
      </w:tr>
      <w:tr w:rsidR="004F2FCB" w:rsidRPr="00B75E5E" w14:paraId="001A527D" w14:textId="77777777" w:rsidTr="00015B88">
        <w:tc>
          <w:tcPr>
            <w:tcW w:w="2136" w:type="dxa"/>
            <w:tcBorders>
              <w:top w:val="nil"/>
              <w:left w:val="nil"/>
              <w:bottom w:val="nil"/>
              <w:right w:val="nil"/>
            </w:tcBorders>
          </w:tcPr>
          <w:p w14:paraId="4435EE0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FA6F1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(1.09)</w:t>
            </w:r>
          </w:p>
        </w:tc>
        <w:tc>
          <w:tcPr>
            <w:tcW w:w="1656" w:type="dxa"/>
            <w:tcBorders>
              <w:top w:val="nil"/>
              <w:left w:val="nil"/>
              <w:bottom w:val="nil"/>
              <w:right w:val="nil"/>
            </w:tcBorders>
          </w:tcPr>
          <w:p w14:paraId="1983D32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(0.82)</w:t>
            </w:r>
          </w:p>
        </w:tc>
      </w:tr>
      <w:tr w:rsidR="004F2FCB" w:rsidRPr="00B75E5E" w14:paraId="5EFAD269" w14:textId="77777777" w:rsidTr="00015B88">
        <w:tc>
          <w:tcPr>
            <w:tcW w:w="2136" w:type="dxa"/>
            <w:tcBorders>
              <w:top w:val="nil"/>
              <w:left w:val="nil"/>
              <w:bottom w:val="nil"/>
              <w:right w:val="nil"/>
            </w:tcBorders>
          </w:tcPr>
          <w:p w14:paraId="0CDB37F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FAFB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03E5C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B4E7BCB" w14:textId="77777777" w:rsidTr="00015B88">
        <w:tc>
          <w:tcPr>
            <w:tcW w:w="2136" w:type="dxa"/>
            <w:tcBorders>
              <w:top w:val="nil"/>
              <w:left w:val="nil"/>
              <w:bottom w:val="nil"/>
              <w:right w:val="nil"/>
            </w:tcBorders>
          </w:tcPr>
          <w:p w14:paraId="5766EA5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L10.More Fixed Rate * HOS = HOG</w:t>
            </w:r>
          </w:p>
        </w:tc>
        <w:tc>
          <w:tcPr>
            <w:tcW w:w="1656" w:type="dxa"/>
            <w:tcBorders>
              <w:top w:val="nil"/>
              <w:left w:val="nil"/>
              <w:bottom w:val="nil"/>
              <w:right w:val="nil"/>
            </w:tcBorders>
          </w:tcPr>
          <w:p w14:paraId="2239B64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-0.00719</w:t>
            </w:r>
          </w:p>
        </w:tc>
        <w:tc>
          <w:tcPr>
            <w:tcW w:w="1656" w:type="dxa"/>
            <w:tcBorders>
              <w:top w:val="nil"/>
              <w:left w:val="nil"/>
              <w:bottom w:val="nil"/>
              <w:right w:val="nil"/>
            </w:tcBorders>
          </w:tcPr>
          <w:p w14:paraId="1B124F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-0.0283</w:t>
            </w:r>
          </w:p>
        </w:tc>
      </w:tr>
      <w:tr w:rsidR="004F2FCB" w:rsidRPr="00B75E5E" w14:paraId="0E04A00F" w14:textId="77777777" w:rsidTr="00015B88">
        <w:tc>
          <w:tcPr>
            <w:tcW w:w="2136" w:type="dxa"/>
            <w:tcBorders>
              <w:top w:val="nil"/>
              <w:left w:val="nil"/>
              <w:bottom w:val="nil"/>
              <w:right w:val="nil"/>
            </w:tcBorders>
          </w:tcPr>
          <w:p w14:paraId="3CEFFED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0BE7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w:t>
            </w:r>
          </w:p>
        </w:tc>
        <w:tc>
          <w:tcPr>
            <w:tcW w:w="1656" w:type="dxa"/>
            <w:tcBorders>
              <w:top w:val="nil"/>
              <w:left w:val="nil"/>
              <w:bottom w:val="nil"/>
              <w:right w:val="nil"/>
            </w:tcBorders>
          </w:tcPr>
          <w:p w14:paraId="4366FFA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(-1.11)</w:t>
            </w:r>
          </w:p>
        </w:tc>
      </w:tr>
      <w:tr w:rsidR="004F2FCB" w:rsidRPr="00B75E5E" w14:paraId="3D4EA9F0" w14:textId="77777777" w:rsidTr="00015B88">
        <w:tc>
          <w:tcPr>
            <w:tcW w:w="2136" w:type="dxa"/>
            <w:tcBorders>
              <w:top w:val="nil"/>
              <w:left w:val="nil"/>
              <w:bottom w:val="nil"/>
              <w:right w:val="nil"/>
            </w:tcBorders>
          </w:tcPr>
          <w:p w14:paraId="627D122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F21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143F0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5FCDC1F" w14:textId="77777777" w:rsidTr="00015B88">
        <w:tc>
          <w:tcPr>
            <w:tcW w:w="2136" w:type="dxa"/>
            <w:tcBorders>
              <w:top w:val="nil"/>
              <w:left w:val="nil"/>
              <w:bottom w:val="nil"/>
              <w:right w:val="nil"/>
            </w:tcBorders>
          </w:tcPr>
          <w:p w14:paraId="0DDA443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Constant</w:t>
            </w:r>
          </w:p>
        </w:tc>
        <w:tc>
          <w:tcPr>
            <w:tcW w:w="1656" w:type="dxa"/>
            <w:tcBorders>
              <w:top w:val="nil"/>
              <w:left w:val="nil"/>
              <w:bottom w:val="nil"/>
              <w:right w:val="nil"/>
            </w:tcBorders>
          </w:tcPr>
          <w:p w14:paraId="0976C3C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0.423</w:t>
            </w:r>
          </w:p>
        </w:tc>
        <w:tc>
          <w:tcPr>
            <w:tcW w:w="1656" w:type="dxa"/>
            <w:tcBorders>
              <w:top w:val="nil"/>
              <w:left w:val="nil"/>
              <w:bottom w:val="nil"/>
              <w:right w:val="nil"/>
            </w:tcBorders>
          </w:tcPr>
          <w:p w14:paraId="2C4150B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0.353</w:t>
            </w:r>
            <w:r w:rsidRPr="00B75E5E">
              <w:rPr>
                <w:rFonts w:ascii="Times New Roman" w:hAnsi="Times New Roman" w:cs="Times New Roman"/>
                <w:sz w:val="16"/>
                <w:szCs w:val="16"/>
                <w:vertAlign w:val="superscript"/>
              </w:rPr>
              <w:t>*</w:t>
            </w:r>
          </w:p>
        </w:tc>
      </w:tr>
      <w:tr w:rsidR="004F2FCB" w:rsidRPr="00B75E5E" w14:paraId="40A526BE" w14:textId="77777777" w:rsidTr="00015B88">
        <w:tc>
          <w:tcPr>
            <w:tcW w:w="2136" w:type="dxa"/>
            <w:tcBorders>
              <w:top w:val="nil"/>
              <w:left w:val="nil"/>
              <w:bottom w:val="single" w:sz="4" w:space="0" w:color="auto"/>
              <w:right w:val="nil"/>
            </w:tcBorders>
          </w:tcPr>
          <w:p w14:paraId="60956F7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FE14E9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(1.93)</w:t>
            </w:r>
          </w:p>
        </w:tc>
        <w:tc>
          <w:tcPr>
            <w:tcW w:w="1656" w:type="dxa"/>
            <w:tcBorders>
              <w:top w:val="nil"/>
              <w:left w:val="nil"/>
              <w:bottom w:val="single" w:sz="4" w:space="0" w:color="auto"/>
              <w:right w:val="nil"/>
            </w:tcBorders>
          </w:tcPr>
          <w:p w14:paraId="6191D3F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(2.35)</w:t>
            </w:r>
          </w:p>
        </w:tc>
      </w:tr>
      <w:tr w:rsidR="004F2FCB" w:rsidRPr="00B75E5E" w14:paraId="763F20D3" w14:textId="77777777" w:rsidTr="00015B88">
        <w:tc>
          <w:tcPr>
            <w:tcW w:w="2136" w:type="dxa"/>
            <w:tcBorders>
              <w:top w:val="nil"/>
              <w:left w:val="nil"/>
              <w:bottom w:val="single" w:sz="4" w:space="0" w:color="auto"/>
              <w:right w:val="nil"/>
            </w:tcBorders>
          </w:tcPr>
          <w:p w14:paraId="1ACC2A1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577200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968</w:t>
            </w:r>
          </w:p>
        </w:tc>
        <w:tc>
          <w:tcPr>
            <w:tcW w:w="1656" w:type="dxa"/>
            <w:tcBorders>
              <w:top w:val="nil"/>
              <w:left w:val="nil"/>
              <w:bottom w:val="single" w:sz="4" w:space="0" w:color="auto"/>
              <w:right w:val="nil"/>
            </w:tcBorders>
          </w:tcPr>
          <w:p w14:paraId="661563F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968</w:t>
            </w:r>
          </w:p>
        </w:tc>
      </w:tr>
    </w:tbl>
    <w:p w14:paraId="6EDB2813" w14:textId="77777777" w:rsidR="00A954A4" w:rsidRPr="00B75E5E" w:rsidRDefault="00A954A4" w:rsidP="00A954A4">
      <w:pPr>
        <w:widowControl w:val="0"/>
        <w:autoSpaceDE w:val="0"/>
        <w:autoSpaceDN w:val="0"/>
        <w:adjustRightInd w:val="0"/>
        <w:spacing w:after="0" w:line="240" w:lineRule="auto"/>
        <w:rPr>
          <w:rFonts w:ascii="Times New Roman" w:hAnsi="Times New Roman" w:cs="Times New Roman"/>
          <w:sz w:val="12"/>
          <w:szCs w:val="12"/>
        </w:rPr>
      </w:pPr>
      <w:r w:rsidRPr="00B75E5E">
        <w:rPr>
          <w:rFonts w:ascii="Times New Roman" w:hAnsi="Times New Roman" w:cs="Times New Roman"/>
          <w:i/>
          <w:iCs/>
          <w:sz w:val="12"/>
          <w:szCs w:val="12"/>
        </w:rPr>
        <w:t>t</w:t>
      </w:r>
      <w:r w:rsidRPr="00B75E5E">
        <w:rPr>
          <w:rFonts w:ascii="Times New Roman" w:hAnsi="Times New Roman" w:cs="Times New Roman"/>
          <w:sz w:val="12"/>
          <w:szCs w:val="12"/>
        </w:rPr>
        <w:t xml:space="preserve"> statistics in parentheses</w:t>
      </w:r>
    </w:p>
    <w:p w14:paraId="689D509E" w14:textId="77777777" w:rsidR="00A954A4" w:rsidRPr="00B75E5E" w:rsidRDefault="00A954A4" w:rsidP="00A954A4">
      <w:pPr>
        <w:widowControl w:val="0"/>
        <w:autoSpaceDE w:val="0"/>
        <w:autoSpaceDN w:val="0"/>
        <w:adjustRightInd w:val="0"/>
        <w:spacing w:after="0" w:line="240" w:lineRule="auto"/>
        <w:rPr>
          <w:rFonts w:ascii="Times New Roman" w:hAnsi="Times New Roman" w:cs="Times New Roman"/>
          <w:sz w:val="12"/>
          <w:szCs w:val="12"/>
        </w:rPr>
      </w:pPr>
      <w:r w:rsidRPr="00B75E5E">
        <w:rPr>
          <w:rFonts w:ascii="Times New Roman" w:hAnsi="Times New Roman" w:cs="Times New Roman"/>
          <w:sz w:val="12"/>
          <w:szCs w:val="12"/>
          <w:vertAlign w:val="superscript"/>
        </w:rPr>
        <w:t>*</w:t>
      </w:r>
      <w:r w:rsidRPr="00B75E5E">
        <w:rPr>
          <w:rFonts w:ascii="Times New Roman" w:hAnsi="Times New Roman" w:cs="Times New Roman"/>
          <w:sz w:val="12"/>
          <w:szCs w:val="12"/>
        </w:rPr>
        <w:t xml:space="preserve"> </w:t>
      </w:r>
      <w:r w:rsidRPr="00B75E5E">
        <w:rPr>
          <w:rFonts w:ascii="Times New Roman" w:hAnsi="Times New Roman" w:cs="Times New Roman"/>
          <w:i/>
          <w:iCs/>
          <w:sz w:val="12"/>
          <w:szCs w:val="12"/>
        </w:rPr>
        <w:t>p</w:t>
      </w:r>
      <w:r w:rsidRPr="00B75E5E">
        <w:rPr>
          <w:rFonts w:ascii="Times New Roman" w:hAnsi="Times New Roman" w:cs="Times New Roman"/>
          <w:sz w:val="12"/>
          <w:szCs w:val="12"/>
        </w:rPr>
        <w:t xml:space="preserve"> &lt; 0.05, </w:t>
      </w:r>
      <w:r w:rsidRPr="00B75E5E">
        <w:rPr>
          <w:rFonts w:ascii="Times New Roman" w:hAnsi="Times New Roman" w:cs="Times New Roman"/>
          <w:sz w:val="12"/>
          <w:szCs w:val="12"/>
          <w:vertAlign w:val="superscript"/>
        </w:rPr>
        <w:t>**</w:t>
      </w:r>
      <w:r w:rsidRPr="00B75E5E">
        <w:rPr>
          <w:rFonts w:ascii="Times New Roman" w:hAnsi="Times New Roman" w:cs="Times New Roman"/>
          <w:sz w:val="12"/>
          <w:szCs w:val="12"/>
        </w:rPr>
        <w:t xml:space="preserve"> </w:t>
      </w:r>
      <w:r w:rsidRPr="00B75E5E">
        <w:rPr>
          <w:rFonts w:ascii="Times New Roman" w:hAnsi="Times New Roman" w:cs="Times New Roman"/>
          <w:i/>
          <w:iCs/>
          <w:sz w:val="12"/>
          <w:szCs w:val="12"/>
        </w:rPr>
        <w:t>p</w:t>
      </w:r>
      <w:r w:rsidRPr="00B75E5E">
        <w:rPr>
          <w:rFonts w:ascii="Times New Roman" w:hAnsi="Times New Roman" w:cs="Times New Roman"/>
          <w:sz w:val="12"/>
          <w:szCs w:val="12"/>
        </w:rPr>
        <w:t xml:space="preserve"> &lt; 0.01, </w:t>
      </w:r>
      <w:r w:rsidRPr="00B75E5E">
        <w:rPr>
          <w:rFonts w:ascii="Times New Roman" w:hAnsi="Times New Roman" w:cs="Times New Roman"/>
          <w:sz w:val="12"/>
          <w:szCs w:val="12"/>
          <w:vertAlign w:val="superscript"/>
        </w:rPr>
        <w:t>***</w:t>
      </w:r>
      <w:r w:rsidRPr="00B75E5E">
        <w:rPr>
          <w:rFonts w:ascii="Times New Roman" w:hAnsi="Times New Roman" w:cs="Times New Roman"/>
          <w:sz w:val="12"/>
          <w:szCs w:val="12"/>
        </w:rPr>
        <w:t xml:space="preserve"> </w:t>
      </w:r>
      <w:r w:rsidRPr="00B75E5E">
        <w:rPr>
          <w:rFonts w:ascii="Times New Roman" w:hAnsi="Times New Roman" w:cs="Times New Roman"/>
          <w:i/>
          <w:iCs/>
          <w:sz w:val="12"/>
          <w:szCs w:val="12"/>
        </w:rPr>
        <w:t>p</w:t>
      </w:r>
      <w:r w:rsidRPr="00B75E5E">
        <w:rPr>
          <w:rFonts w:ascii="Times New Roman" w:hAnsi="Times New Roman" w:cs="Times New Roman"/>
          <w:sz w:val="12"/>
          <w:szCs w:val="12"/>
        </w:rPr>
        <w:t xml:space="preserve"> &lt; 0.001</w:t>
      </w:r>
    </w:p>
    <w:p w14:paraId="3A38FAB9" w14:textId="2F09A4C2" w:rsidR="00614D2C" w:rsidRDefault="00614D2C" w:rsidP="00DB7775"/>
    <w:tbl>
      <w:tblPr>
        <w:tblW w:w="0" w:type="auto"/>
        <w:tblLayout w:type="fixed"/>
        <w:tblLook w:val="0000" w:firstRow="0" w:lastRow="0" w:firstColumn="0" w:lastColumn="0" w:noHBand="0" w:noVBand="0"/>
      </w:tblPr>
      <w:tblGrid>
        <w:gridCol w:w="2136"/>
        <w:gridCol w:w="1656"/>
        <w:gridCol w:w="1656"/>
      </w:tblGrid>
      <w:tr w:rsidR="00201D4C" w:rsidRPr="00326CCA" w14:paraId="2140DC3C" w14:textId="77777777" w:rsidTr="00015B88">
        <w:tc>
          <w:tcPr>
            <w:tcW w:w="2136" w:type="dxa"/>
            <w:tcBorders>
              <w:top w:val="single" w:sz="4" w:space="0" w:color="auto"/>
              <w:left w:val="nil"/>
              <w:bottom w:val="nil"/>
              <w:right w:val="nil"/>
            </w:tcBorders>
          </w:tcPr>
          <w:p w14:paraId="3803B6E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18CF97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w:t>
            </w:r>
          </w:p>
        </w:tc>
        <w:tc>
          <w:tcPr>
            <w:tcW w:w="1656" w:type="dxa"/>
            <w:tcBorders>
              <w:top w:val="single" w:sz="4" w:space="0" w:color="auto"/>
              <w:left w:val="nil"/>
              <w:bottom w:val="nil"/>
              <w:right w:val="nil"/>
            </w:tcBorders>
          </w:tcPr>
          <w:p w14:paraId="184BF90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w:t>
            </w:r>
          </w:p>
        </w:tc>
      </w:tr>
      <w:tr w:rsidR="00201D4C" w:rsidRPr="00326CCA" w14:paraId="64800D80" w14:textId="77777777" w:rsidTr="00015B88">
        <w:tc>
          <w:tcPr>
            <w:tcW w:w="2136" w:type="dxa"/>
            <w:tcBorders>
              <w:top w:val="nil"/>
              <w:left w:val="nil"/>
              <w:bottom w:val="nil"/>
              <w:right w:val="nil"/>
            </w:tcBorders>
          </w:tcPr>
          <w:p w14:paraId="504DA1D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46B03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Head of Govt. Turnover</w:t>
            </w:r>
          </w:p>
        </w:tc>
        <w:tc>
          <w:tcPr>
            <w:tcW w:w="1656" w:type="dxa"/>
            <w:tcBorders>
              <w:top w:val="nil"/>
              <w:left w:val="nil"/>
              <w:bottom w:val="nil"/>
              <w:right w:val="nil"/>
            </w:tcBorders>
          </w:tcPr>
          <w:p w14:paraId="2BE2F22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Head of State Turnover</w:t>
            </w:r>
          </w:p>
        </w:tc>
      </w:tr>
      <w:tr w:rsidR="00201D4C" w:rsidRPr="00326CCA" w14:paraId="46455E03" w14:textId="77777777" w:rsidTr="00015B88">
        <w:tc>
          <w:tcPr>
            <w:tcW w:w="2136" w:type="dxa"/>
            <w:tcBorders>
              <w:top w:val="single" w:sz="4" w:space="0" w:color="auto"/>
              <w:left w:val="nil"/>
              <w:bottom w:val="nil"/>
              <w:right w:val="nil"/>
            </w:tcBorders>
          </w:tcPr>
          <w:p w14:paraId="1F92E27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1067F1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-0.176</w:t>
            </w:r>
          </w:p>
        </w:tc>
        <w:tc>
          <w:tcPr>
            <w:tcW w:w="1656" w:type="dxa"/>
            <w:tcBorders>
              <w:top w:val="single" w:sz="4" w:space="0" w:color="auto"/>
              <w:left w:val="nil"/>
              <w:bottom w:val="nil"/>
              <w:right w:val="nil"/>
            </w:tcBorders>
          </w:tcPr>
          <w:p w14:paraId="514768D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-0.0164</w:t>
            </w:r>
          </w:p>
        </w:tc>
      </w:tr>
      <w:tr w:rsidR="00201D4C" w:rsidRPr="00326CCA" w14:paraId="0C7F084A" w14:textId="77777777" w:rsidTr="00015B88">
        <w:tc>
          <w:tcPr>
            <w:tcW w:w="2136" w:type="dxa"/>
            <w:tcBorders>
              <w:top w:val="nil"/>
              <w:left w:val="nil"/>
              <w:bottom w:val="nil"/>
              <w:right w:val="nil"/>
            </w:tcBorders>
          </w:tcPr>
          <w:p w14:paraId="6E34728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B86C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(-1.53)</w:t>
            </w:r>
          </w:p>
        </w:tc>
        <w:tc>
          <w:tcPr>
            <w:tcW w:w="1656" w:type="dxa"/>
            <w:tcBorders>
              <w:top w:val="nil"/>
              <w:left w:val="nil"/>
              <w:bottom w:val="nil"/>
              <w:right w:val="nil"/>
            </w:tcBorders>
          </w:tcPr>
          <w:p w14:paraId="540E6E5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(-0.21)</w:t>
            </w:r>
          </w:p>
        </w:tc>
      </w:tr>
      <w:tr w:rsidR="00201D4C" w:rsidRPr="00326CCA" w14:paraId="518FE44D" w14:textId="77777777" w:rsidTr="00015B88">
        <w:tc>
          <w:tcPr>
            <w:tcW w:w="2136" w:type="dxa"/>
            <w:tcBorders>
              <w:top w:val="nil"/>
              <w:left w:val="nil"/>
              <w:bottom w:val="nil"/>
              <w:right w:val="nil"/>
            </w:tcBorders>
          </w:tcPr>
          <w:p w14:paraId="006DC6B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6E21E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8055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863E96B" w14:textId="77777777" w:rsidTr="00015B88">
        <w:tc>
          <w:tcPr>
            <w:tcW w:w="2136" w:type="dxa"/>
            <w:tcBorders>
              <w:top w:val="nil"/>
              <w:left w:val="nil"/>
              <w:bottom w:val="nil"/>
              <w:right w:val="nil"/>
            </w:tcBorders>
          </w:tcPr>
          <w:p w14:paraId="1836463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52FDF6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0.0102</w:t>
            </w:r>
          </w:p>
        </w:tc>
        <w:tc>
          <w:tcPr>
            <w:tcW w:w="1656" w:type="dxa"/>
            <w:tcBorders>
              <w:top w:val="nil"/>
              <w:left w:val="nil"/>
              <w:bottom w:val="nil"/>
              <w:right w:val="nil"/>
            </w:tcBorders>
          </w:tcPr>
          <w:p w14:paraId="489A5A3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-0.0120</w:t>
            </w:r>
          </w:p>
        </w:tc>
      </w:tr>
      <w:tr w:rsidR="00201D4C" w:rsidRPr="00326CCA" w14:paraId="3EBF8CE9" w14:textId="77777777" w:rsidTr="00015B88">
        <w:tc>
          <w:tcPr>
            <w:tcW w:w="2136" w:type="dxa"/>
            <w:tcBorders>
              <w:top w:val="nil"/>
              <w:left w:val="nil"/>
              <w:bottom w:val="nil"/>
              <w:right w:val="nil"/>
            </w:tcBorders>
          </w:tcPr>
          <w:p w14:paraId="1BFE7A1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DFA5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(0.39)</w:t>
            </w:r>
          </w:p>
        </w:tc>
        <w:tc>
          <w:tcPr>
            <w:tcW w:w="1656" w:type="dxa"/>
            <w:tcBorders>
              <w:top w:val="nil"/>
              <w:left w:val="nil"/>
              <w:bottom w:val="nil"/>
              <w:right w:val="nil"/>
            </w:tcBorders>
          </w:tcPr>
          <w:p w14:paraId="239930A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(-0.52)</w:t>
            </w:r>
          </w:p>
        </w:tc>
      </w:tr>
      <w:tr w:rsidR="00201D4C" w:rsidRPr="00326CCA" w14:paraId="396C84A1" w14:textId="77777777" w:rsidTr="00015B88">
        <w:tc>
          <w:tcPr>
            <w:tcW w:w="2136" w:type="dxa"/>
            <w:tcBorders>
              <w:top w:val="nil"/>
              <w:left w:val="nil"/>
              <w:bottom w:val="nil"/>
              <w:right w:val="nil"/>
            </w:tcBorders>
          </w:tcPr>
          <w:p w14:paraId="558D895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DA4EA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94A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12555AF" w14:textId="77777777" w:rsidTr="00015B88">
        <w:tc>
          <w:tcPr>
            <w:tcW w:w="2136" w:type="dxa"/>
            <w:tcBorders>
              <w:top w:val="nil"/>
              <w:left w:val="nil"/>
              <w:bottom w:val="nil"/>
              <w:right w:val="nil"/>
            </w:tcBorders>
          </w:tcPr>
          <w:p w14:paraId="1328E25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De Facto CBI * HOS = HOG</w:t>
            </w:r>
          </w:p>
        </w:tc>
        <w:tc>
          <w:tcPr>
            <w:tcW w:w="1656" w:type="dxa"/>
            <w:tcBorders>
              <w:top w:val="nil"/>
              <w:left w:val="nil"/>
              <w:bottom w:val="nil"/>
              <w:right w:val="nil"/>
            </w:tcBorders>
          </w:tcPr>
          <w:p w14:paraId="227FF2E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0.175</w:t>
            </w:r>
          </w:p>
        </w:tc>
        <w:tc>
          <w:tcPr>
            <w:tcW w:w="1656" w:type="dxa"/>
            <w:tcBorders>
              <w:top w:val="nil"/>
              <w:left w:val="nil"/>
              <w:bottom w:val="nil"/>
              <w:right w:val="nil"/>
            </w:tcBorders>
          </w:tcPr>
          <w:p w14:paraId="2195825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0.00858</w:t>
            </w:r>
          </w:p>
        </w:tc>
      </w:tr>
      <w:tr w:rsidR="00201D4C" w:rsidRPr="00326CCA" w14:paraId="08C7D4C3" w14:textId="77777777" w:rsidTr="00015B88">
        <w:tc>
          <w:tcPr>
            <w:tcW w:w="2136" w:type="dxa"/>
            <w:tcBorders>
              <w:top w:val="nil"/>
              <w:left w:val="nil"/>
              <w:bottom w:val="nil"/>
              <w:right w:val="nil"/>
            </w:tcBorders>
          </w:tcPr>
          <w:p w14:paraId="3054DC5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6A1B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(1.04)</w:t>
            </w:r>
          </w:p>
        </w:tc>
        <w:tc>
          <w:tcPr>
            <w:tcW w:w="1656" w:type="dxa"/>
            <w:tcBorders>
              <w:top w:val="nil"/>
              <w:left w:val="nil"/>
              <w:bottom w:val="nil"/>
              <w:right w:val="nil"/>
            </w:tcBorders>
          </w:tcPr>
          <w:p w14:paraId="27C5EF3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w:t>
            </w:r>
          </w:p>
        </w:tc>
      </w:tr>
      <w:tr w:rsidR="00201D4C" w:rsidRPr="00326CCA" w14:paraId="4902CE9C" w14:textId="77777777" w:rsidTr="00015B88">
        <w:tc>
          <w:tcPr>
            <w:tcW w:w="2136" w:type="dxa"/>
            <w:tcBorders>
              <w:top w:val="nil"/>
              <w:left w:val="nil"/>
              <w:bottom w:val="nil"/>
              <w:right w:val="nil"/>
            </w:tcBorders>
          </w:tcPr>
          <w:p w14:paraId="7539EF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8666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6CE69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6823875" w14:textId="77777777" w:rsidTr="00015B88">
        <w:tc>
          <w:tcPr>
            <w:tcW w:w="2136" w:type="dxa"/>
            <w:tcBorders>
              <w:top w:val="nil"/>
              <w:left w:val="nil"/>
              <w:bottom w:val="nil"/>
              <w:right w:val="nil"/>
            </w:tcBorders>
          </w:tcPr>
          <w:p w14:paraId="0BBD21D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More Fixed Rate * HOS = HOG</w:t>
            </w:r>
          </w:p>
        </w:tc>
        <w:tc>
          <w:tcPr>
            <w:tcW w:w="1656" w:type="dxa"/>
            <w:tcBorders>
              <w:top w:val="nil"/>
              <w:left w:val="nil"/>
              <w:bottom w:val="nil"/>
              <w:right w:val="nil"/>
            </w:tcBorders>
          </w:tcPr>
          <w:p w14:paraId="71C7456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-0.0605</w:t>
            </w:r>
          </w:p>
        </w:tc>
        <w:tc>
          <w:tcPr>
            <w:tcW w:w="1656" w:type="dxa"/>
            <w:tcBorders>
              <w:top w:val="nil"/>
              <w:left w:val="nil"/>
              <w:bottom w:val="nil"/>
              <w:right w:val="nil"/>
            </w:tcBorders>
          </w:tcPr>
          <w:p w14:paraId="04BDC77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-0.0378</w:t>
            </w:r>
          </w:p>
        </w:tc>
      </w:tr>
      <w:tr w:rsidR="00201D4C" w:rsidRPr="00326CCA" w14:paraId="577AD66F" w14:textId="77777777" w:rsidTr="00015B88">
        <w:tc>
          <w:tcPr>
            <w:tcW w:w="2136" w:type="dxa"/>
            <w:tcBorders>
              <w:top w:val="nil"/>
              <w:left w:val="nil"/>
              <w:bottom w:val="nil"/>
              <w:right w:val="nil"/>
            </w:tcBorders>
          </w:tcPr>
          <w:p w14:paraId="7CBCD22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7AA9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(-1.84)</w:t>
            </w:r>
          </w:p>
        </w:tc>
        <w:tc>
          <w:tcPr>
            <w:tcW w:w="1656" w:type="dxa"/>
            <w:tcBorders>
              <w:top w:val="nil"/>
              <w:left w:val="nil"/>
              <w:bottom w:val="nil"/>
              <w:right w:val="nil"/>
            </w:tcBorders>
          </w:tcPr>
          <w:p w14:paraId="56B83D2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(-1.18)</w:t>
            </w:r>
          </w:p>
        </w:tc>
      </w:tr>
      <w:tr w:rsidR="00201D4C" w:rsidRPr="00326CCA" w14:paraId="24FD4FDC" w14:textId="77777777" w:rsidTr="00015B88">
        <w:tc>
          <w:tcPr>
            <w:tcW w:w="2136" w:type="dxa"/>
            <w:tcBorders>
              <w:top w:val="nil"/>
              <w:left w:val="nil"/>
              <w:bottom w:val="nil"/>
              <w:right w:val="nil"/>
            </w:tcBorders>
          </w:tcPr>
          <w:p w14:paraId="1E8146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E597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3AE3B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E0A4CB0" w14:textId="77777777" w:rsidTr="00015B88">
        <w:tc>
          <w:tcPr>
            <w:tcW w:w="2136" w:type="dxa"/>
            <w:tcBorders>
              <w:top w:val="nil"/>
              <w:left w:val="nil"/>
              <w:bottom w:val="nil"/>
              <w:right w:val="nil"/>
            </w:tcBorders>
          </w:tcPr>
          <w:p w14:paraId="24ED73F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HOS = HOG</w:t>
            </w:r>
          </w:p>
        </w:tc>
        <w:tc>
          <w:tcPr>
            <w:tcW w:w="1656" w:type="dxa"/>
            <w:tcBorders>
              <w:top w:val="nil"/>
              <w:left w:val="nil"/>
              <w:bottom w:val="nil"/>
              <w:right w:val="nil"/>
            </w:tcBorders>
          </w:tcPr>
          <w:p w14:paraId="44871B7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-0.242</w:t>
            </w:r>
          </w:p>
        </w:tc>
        <w:tc>
          <w:tcPr>
            <w:tcW w:w="1656" w:type="dxa"/>
            <w:tcBorders>
              <w:top w:val="nil"/>
              <w:left w:val="nil"/>
              <w:bottom w:val="nil"/>
              <w:right w:val="nil"/>
            </w:tcBorders>
          </w:tcPr>
          <w:p w14:paraId="0E36197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0.283</w:t>
            </w:r>
          </w:p>
        </w:tc>
      </w:tr>
      <w:tr w:rsidR="00201D4C" w:rsidRPr="00326CCA" w14:paraId="1BB08A67" w14:textId="77777777" w:rsidTr="00015B88">
        <w:tc>
          <w:tcPr>
            <w:tcW w:w="2136" w:type="dxa"/>
            <w:tcBorders>
              <w:top w:val="nil"/>
              <w:left w:val="nil"/>
              <w:bottom w:val="nil"/>
              <w:right w:val="nil"/>
            </w:tcBorders>
          </w:tcPr>
          <w:p w14:paraId="1C2CEFA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1B85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(-0.64)</w:t>
            </w:r>
          </w:p>
        </w:tc>
        <w:tc>
          <w:tcPr>
            <w:tcW w:w="1656" w:type="dxa"/>
            <w:tcBorders>
              <w:top w:val="nil"/>
              <w:left w:val="nil"/>
              <w:bottom w:val="nil"/>
              <w:right w:val="nil"/>
            </w:tcBorders>
          </w:tcPr>
          <w:p w14:paraId="0E3A056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(0.71)</w:t>
            </w:r>
          </w:p>
        </w:tc>
      </w:tr>
      <w:tr w:rsidR="00201D4C" w:rsidRPr="00326CCA" w14:paraId="071EBAED" w14:textId="77777777" w:rsidTr="00015B88">
        <w:tc>
          <w:tcPr>
            <w:tcW w:w="2136" w:type="dxa"/>
            <w:tcBorders>
              <w:top w:val="nil"/>
              <w:left w:val="nil"/>
              <w:bottom w:val="nil"/>
              <w:right w:val="nil"/>
            </w:tcBorders>
          </w:tcPr>
          <w:p w14:paraId="5EBA58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0151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96AB2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DBBACDA" w14:textId="77777777" w:rsidTr="00015B88">
        <w:tc>
          <w:tcPr>
            <w:tcW w:w="2136" w:type="dxa"/>
            <w:tcBorders>
              <w:top w:val="nil"/>
              <w:left w:val="nil"/>
              <w:bottom w:val="nil"/>
              <w:right w:val="nil"/>
            </w:tcBorders>
          </w:tcPr>
          <w:p w14:paraId="40F5CC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30A499A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-0.130</w:t>
            </w:r>
          </w:p>
        </w:tc>
        <w:tc>
          <w:tcPr>
            <w:tcW w:w="1656" w:type="dxa"/>
            <w:tcBorders>
              <w:top w:val="nil"/>
              <w:left w:val="nil"/>
              <w:bottom w:val="nil"/>
              <w:right w:val="nil"/>
            </w:tcBorders>
          </w:tcPr>
          <w:p w14:paraId="35A8689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0.0156</w:t>
            </w:r>
          </w:p>
        </w:tc>
      </w:tr>
      <w:tr w:rsidR="00201D4C" w:rsidRPr="00326CCA" w14:paraId="429BC96B" w14:textId="77777777" w:rsidTr="00015B88">
        <w:tc>
          <w:tcPr>
            <w:tcW w:w="2136" w:type="dxa"/>
            <w:tcBorders>
              <w:top w:val="nil"/>
              <w:left w:val="nil"/>
              <w:bottom w:val="nil"/>
              <w:right w:val="nil"/>
            </w:tcBorders>
          </w:tcPr>
          <w:p w14:paraId="53E30AE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6F6F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(-1.09)</w:t>
            </w:r>
          </w:p>
        </w:tc>
        <w:tc>
          <w:tcPr>
            <w:tcW w:w="1656" w:type="dxa"/>
            <w:tcBorders>
              <w:top w:val="nil"/>
              <w:left w:val="nil"/>
              <w:bottom w:val="nil"/>
              <w:right w:val="nil"/>
            </w:tcBorders>
          </w:tcPr>
          <w:p w14:paraId="19DC7B6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(0.20)</w:t>
            </w:r>
          </w:p>
        </w:tc>
      </w:tr>
      <w:tr w:rsidR="00201D4C" w:rsidRPr="00326CCA" w14:paraId="73AA22A8" w14:textId="77777777" w:rsidTr="00015B88">
        <w:tc>
          <w:tcPr>
            <w:tcW w:w="2136" w:type="dxa"/>
            <w:tcBorders>
              <w:top w:val="nil"/>
              <w:left w:val="nil"/>
              <w:bottom w:val="nil"/>
              <w:right w:val="nil"/>
            </w:tcBorders>
          </w:tcPr>
          <w:p w14:paraId="6D8AF42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52D5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68829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7B52610" w14:textId="77777777" w:rsidTr="00015B88">
        <w:tc>
          <w:tcPr>
            <w:tcW w:w="2136" w:type="dxa"/>
            <w:tcBorders>
              <w:top w:val="nil"/>
              <w:left w:val="nil"/>
              <w:bottom w:val="nil"/>
              <w:right w:val="nil"/>
            </w:tcBorders>
          </w:tcPr>
          <w:p w14:paraId="61007AA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6A6DF04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-0.0547</w:t>
            </w:r>
          </w:p>
        </w:tc>
        <w:tc>
          <w:tcPr>
            <w:tcW w:w="1656" w:type="dxa"/>
            <w:tcBorders>
              <w:top w:val="nil"/>
              <w:left w:val="nil"/>
              <w:bottom w:val="nil"/>
              <w:right w:val="nil"/>
            </w:tcBorders>
          </w:tcPr>
          <w:p w14:paraId="16A7693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-0.0820</w:t>
            </w:r>
          </w:p>
        </w:tc>
      </w:tr>
      <w:tr w:rsidR="00201D4C" w:rsidRPr="00326CCA" w14:paraId="547CDF4D" w14:textId="77777777" w:rsidTr="00015B88">
        <w:tc>
          <w:tcPr>
            <w:tcW w:w="2136" w:type="dxa"/>
            <w:tcBorders>
              <w:top w:val="nil"/>
              <w:left w:val="nil"/>
              <w:bottom w:val="nil"/>
              <w:right w:val="nil"/>
            </w:tcBorders>
          </w:tcPr>
          <w:p w14:paraId="6B820E6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6F500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(-0.46)</w:t>
            </w:r>
          </w:p>
        </w:tc>
        <w:tc>
          <w:tcPr>
            <w:tcW w:w="1656" w:type="dxa"/>
            <w:tcBorders>
              <w:top w:val="nil"/>
              <w:left w:val="nil"/>
              <w:bottom w:val="nil"/>
              <w:right w:val="nil"/>
            </w:tcBorders>
          </w:tcPr>
          <w:p w14:paraId="045EB2E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(-0.95)</w:t>
            </w:r>
          </w:p>
        </w:tc>
      </w:tr>
      <w:tr w:rsidR="00201D4C" w:rsidRPr="00326CCA" w14:paraId="732E70F8" w14:textId="77777777" w:rsidTr="00015B88">
        <w:tc>
          <w:tcPr>
            <w:tcW w:w="2136" w:type="dxa"/>
            <w:tcBorders>
              <w:top w:val="nil"/>
              <w:left w:val="nil"/>
              <w:bottom w:val="nil"/>
              <w:right w:val="nil"/>
            </w:tcBorders>
          </w:tcPr>
          <w:p w14:paraId="558F6DB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07F5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1E42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60B86F" w14:textId="77777777" w:rsidTr="00015B88">
        <w:tc>
          <w:tcPr>
            <w:tcW w:w="2136" w:type="dxa"/>
            <w:tcBorders>
              <w:top w:val="nil"/>
              <w:left w:val="nil"/>
              <w:bottom w:val="nil"/>
              <w:right w:val="nil"/>
            </w:tcBorders>
          </w:tcPr>
          <w:p w14:paraId="57B0C8C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3412C59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-0.0431</w:t>
            </w:r>
          </w:p>
        </w:tc>
        <w:tc>
          <w:tcPr>
            <w:tcW w:w="1656" w:type="dxa"/>
            <w:tcBorders>
              <w:top w:val="nil"/>
              <w:left w:val="nil"/>
              <w:bottom w:val="nil"/>
              <w:right w:val="nil"/>
            </w:tcBorders>
          </w:tcPr>
          <w:p w14:paraId="4F34240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-0.0449</w:t>
            </w:r>
          </w:p>
        </w:tc>
      </w:tr>
      <w:tr w:rsidR="00201D4C" w:rsidRPr="00326CCA" w14:paraId="2DE37A2F" w14:textId="77777777" w:rsidTr="00015B88">
        <w:tc>
          <w:tcPr>
            <w:tcW w:w="2136" w:type="dxa"/>
            <w:tcBorders>
              <w:top w:val="nil"/>
              <w:left w:val="nil"/>
              <w:bottom w:val="nil"/>
              <w:right w:val="nil"/>
            </w:tcBorders>
          </w:tcPr>
          <w:p w14:paraId="4F9039C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5CE7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(-0.39)</w:t>
            </w:r>
          </w:p>
        </w:tc>
        <w:tc>
          <w:tcPr>
            <w:tcW w:w="1656" w:type="dxa"/>
            <w:tcBorders>
              <w:top w:val="nil"/>
              <w:left w:val="nil"/>
              <w:bottom w:val="nil"/>
              <w:right w:val="nil"/>
            </w:tcBorders>
          </w:tcPr>
          <w:p w14:paraId="58CE0A5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(-0.59)</w:t>
            </w:r>
          </w:p>
        </w:tc>
      </w:tr>
      <w:tr w:rsidR="00201D4C" w:rsidRPr="00326CCA" w14:paraId="4577A40E" w14:textId="77777777" w:rsidTr="00015B88">
        <w:tc>
          <w:tcPr>
            <w:tcW w:w="2136" w:type="dxa"/>
            <w:tcBorders>
              <w:top w:val="nil"/>
              <w:left w:val="nil"/>
              <w:bottom w:val="nil"/>
              <w:right w:val="nil"/>
            </w:tcBorders>
          </w:tcPr>
          <w:p w14:paraId="0AD31D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76CE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9F5F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62279E2" w14:textId="77777777" w:rsidTr="00015B88">
        <w:tc>
          <w:tcPr>
            <w:tcW w:w="2136" w:type="dxa"/>
            <w:tcBorders>
              <w:top w:val="nil"/>
              <w:left w:val="nil"/>
              <w:bottom w:val="nil"/>
              <w:right w:val="nil"/>
            </w:tcBorders>
          </w:tcPr>
          <w:p w14:paraId="19DD814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61B66D7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0.104</w:t>
            </w:r>
          </w:p>
        </w:tc>
        <w:tc>
          <w:tcPr>
            <w:tcW w:w="1656" w:type="dxa"/>
            <w:tcBorders>
              <w:top w:val="nil"/>
              <w:left w:val="nil"/>
              <w:bottom w:val="nil"/>
              <w:right w:val="nil"/>
            </w:tcBorders>
          </w:tcPr>
          <w:p w14:paraId="2E92702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0.0117</w:t>
            </w:r>
          </w:p>
        </w:tc>
      </w:tr>
      <w:tr w:rsidR="00201D4C" w:rsidRPr="00326CCA" w14:paraId="5686CE0C" w14:textId="77777777" w:rsidTr="00015B88">
        <w:tc>
          <w:tcPr>
            <w:tcW w:w="2136" w:type="dxa"/>
            <w:tcBorders>
              <w:top w:val="nil"/>
              <w:left w:val="nil"/>
              <w:bottom w:val="nil"/>
              <w:right w:val="nil"/>
            </w:tcBorders>
          </w:tcPr>
          <w:p w14:paraId="43AA987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8AE8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(0.87)</w:t>
            </w:r>
          </w:p>
        </w:tc>
        <w:tc>
          <w:tcPr>
            <w:tcW w:w="1656" w:type="dxa"/>
            <w:tcBorders>
              <w:top w:val="nil"/>
              <w:left w:val="nil"/>
              <w:bottom w:val="nil"/>
              <w:right w:val="nil"/>
            </w:tcBorders>
          </w:tcPr>
          <w:p w14:paraId="1C3C56F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(0.19)</w:t>
            </w:r>
          </w:p>
        </w:tc>
      </w:tr>
      <w:tr w:rsidR="00201D4C" w:rsidRPr="00326CCA" w14:paraId="3C6B4FF0" w14:textId="77777777" w:rsidTr="00015B88">
        <w:tc>
          <w:tcPr>
            <w:tcW w:w="2136" w:type="dxa"/>
            <w:tcBorders>
              <w:top w:val="nil"/>
              <w:left w:val="nil"/>
              <w:bottom w:val="nil"/>
              <w:right w:val="nil"/>
            </w:tcBorders>
          </w:tcPr>
          <w:p w14:paraId="0C9B826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E7177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7C0CD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88D3989" w14:textId="77777777" w:rsidTr="00015B88">
        <w:tc>
          <w:tcPr>
            <w:tcW w:w="2136" w:type="dxa"/>
            <w:tcBorders>
              <w:top w:val="nil"/>
              <w:left w:val="nil"/>
              <w:bottom w:val="nil"/>
              <w:right w:val="nil"/>
            </w:tcBorders>
          </w:tcPr>
          <w:p w14:paraId="7BE67B6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5419411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-0.00297</w:t>
            </w:r>
          </w:p>
        </w:tc>
        <w:tc>
          <w:tcPr>
            <w:tcW w:w="1656" w:type="dxa"/>
            <w:tcBorders>
              <w:top w:val="nil"/>
              <w:left w:val="nil"/>
              <w:bottom w:val="nil"/>
              <w:right w:val="nil"/>
            </w:tcBorders>
          </w:tcPr>
          <w:p w14:paraId="67E2D00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0.0142</w:t>
            </w:r>
          </w:p>
        </w:tc>
      </w:tr>
      <w:tr w:rsidR="00201D4C" w:rsidRPr="00326CCA" w14:paraId="14706F51" w14:textId="77777777" w:rsidTr="00015B88">
        <w:tc>
          <w:tcPr>
            <w:tcW w:w="2136" w:type="dxa"/>
            <w:tcBorders>
              <w:top w:val="nil"/>
              <w:left w:val="nil"/>
              <w:bottom w:val="nil"/>
              <w:right w:val="nil"/>
            </w:tcBorders>
          </w:tcPr>
          <w:p w14:paraId="5CE5380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336B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w:t>
            </w:r>
          </w:p>
        </w:tc>
        <w:tc>
          <w:tcPr>
            <w:tcW w:w="1656" w:type="dxa"/>
            <w:tcBorders>
              <w:top w:val="nil"/>
              <w:left w:val="nil"/>
              <w:bottom w:val="nil"/>
              <w:right w:val="nil"/>
            </w:tcBorders>
          </w:tcPr>
          <w:p w14:paraId="7077D47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w:t>
            </w:r>
          </w:p>
        </w:tc>
      </w:tr>
      <w:tr w:rsidR="00201D4C" w:rsidRPr="00326CCA" w14:paraId="6E423D5E" w14:textId="77777777" w:rsidTr="00015B88">
        <w:tc>
          <w:tcPr>
            <w:tcW w:w="2136" w:type="dxa"/>
            <w:tcBorders>
              <w:top w:val="nil"/>
              <w:left w:val="nil"/>
              <w:bottom w:val="nil"/>
              <w:right w:val="nil"/>
            </w:tcBorders>
          </w:tcPr>
          <w:p w14:paraId="386B400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34E7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6503F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49997E2" w14:textId="77777777" w:rsidTr="00015B88">
        <w:tc>
          <w:tcPr>
            <w:tcW w:w="2136" w:type="dxa"/>
            <w:tcBorders>
              <w:top w:val="nil"/>
              <w:left w:val="nil"/>
              <w:bottom w:val="nil"/>
              <w:right w:val="nil"/>
            </w:tcBorders>
          </w:tcPr>
          <w:p w14:paraId="7E392AA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7226D52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-0.0316</w:t>
            </w:r>
          </w:p>
        </w:tc>
        <w:tc>
          <w:tcPr>
            <w:tcW w:w="1656" w:type="dxa"/>
            <w:tcBorders>
              <w:top w:val="nil"/>
              <w:left w:val="nil"/>
              <w:bottom w:val="nil"/>
              <w:right w:val="nil"/>
            </w:tcBorders>
          </w:tcPr>
          <w:p w14:paraId="56CB72A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-0.0203</w:t>
            </w:r>
          </w:p>
        </w:tc>
      </w:tr>
      <w:tr w:rsidR="00201D4C" w:rsidRPr="00326CCA" w14:paraId="4D9F2EB1" w14:textId="77777777" w:rsidTr="00015B88">
        <w:tc>
          <w:tcPr>
            <w:tcW w:w="2136" w:type="dxa"/>
            <w:tcBorders>
              <w:top w:val="nil"/>
              <w:left w:val="nil"/>
              <w:bottom w:val="nil"/>
              <w:right w:val="nil"/>
            </w:tcBorders>
          </w:tcPr>
          <w:p w14:paraId="5364917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C7BC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(-0.31)</w:t>
            </w:r>
          </w:p>
        </w:tc>
        <w:tc>
          <w:tcPr>
            <w:tcW w:w="1656" w:type="dxa"/>
            <w:tcBorders>
              <w:top w:val="nil"/>
              <w:left w:val="nil"/>
              <w:bottom w:val="nil"/>
              <w:right w:val="nil"/>
            </w:tcBorders>
          </w:tcPr>
          <w:p w14:paraId="499693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(-0.29)</w:t>
            </w:r>
          </w:p>
        </w:tc>
      </w:tr>
      <w:tr w:rsidR="00201D4C" w:rsidRPr="00326CCA" w14:paraId="6CA1C006" w14:textId="77777777" w:rsidTr="00015B88">
        <w:tc>
          <w:tcPr>
            <w:tcW w:w="2136" w:type="dxa"/>
            <w:tcBorders>
              <w:top w:val="nil"/>
              <w:left w:val="nil"/>
              <w:bottom w:val="nil"/>
              <w:right w:val="nil"/>
            </w:tcBorders>
          </w:tcPr>
          <w:p w14:paraId="6ECF17B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CD920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6832E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5808AE7" w14:textId="77777777" w:rsidTr="00015B88">
        <w:tc>
          <w:tcPr>
            <w:tcW w:w="2136" w:type="dxa"/>
            <w:tcBorders>
              <w:top w:val="nil"/>
              <w:left w:val="nil"/>
              <w:bottom w:val="nil"/>
              <w:right w:val="nil"/>
            </w:tcBorders>
          </w:tcPr>
          <w:p w14:paraId="145096F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72BBA9F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-0.179</w:t>
            </w:r>
          </w:p>
        </w:tc>
        <w:tc>
          <w:tcPr>
            <w:tcW w:w="1656" w:type="dxa"/>
            <w:tcBorders>
              <w:top w:val="nil"/>
              <w:left w:val="nil"/>
              <w:bottom w:val="nil"/>
              <w:right w:val="nil"/>
            </w:tcBorders>
          </w:tcPr>
          <w:p w14:paraId="2475343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0.0858</w:t>
            </w:r>
          </w:p>
        </w:tc>
      </w:tr>
      <w:tr w:rsidR="00201D4C" w:rsidRPr="00326CCA" w14:paraId="307C7D71" w14:textId="77777777" w:rsidTr="00015B88">
        <w:tc>
          <w:tcPr>
            <w:tcW w:w="2136" w:type="dxa"/>
            <w:tcBorders>
              <w:top w:val="nil"/>
              <w:left w:val="nil"/>
              <w:bottom w:val="nil"/>
              <w:right w:val="nil"/>
            </w:tcBorders>
          </w:tcPr>
          <w:p w14:paraId="5F5DAB7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6DAB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(-1.54)</w:t>
            </w:r>
          </w:p>
        </w:tc>
        <w:tc>
          <w:tcPr>
            <w:tcW w:w="1656" w:type="dxa"/>
            <w:tcBorders>
              <w:top w:val="nil"/>
              <w:left w:val="nil"/>
              <w:bottom w:val="nil"/>
              <w:right w:val="nil"/>
            </w:tcBorders>
          </w:tcPr>
          <w:p w14:paraId="7B80FE4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(1.59)</w:t>
            </w:r>
          </w:p>
        </w:tc>
      </w:tr>
      <w:tr w:rsidR="00201D4C" w:rsidRPr="00326CCA" w14:paraId="63A90800" w14:textId="77777777" w:rsidTr="00015B88">
        <w:tc>
          <w:tcPr>
            <w:tcW w:w="2136" w:type="dxa"/>
            <w:tcBorders>
              <w:top w:val="nil"/>
              <w:left w:val="nil"/>
              <w:bottom w:val="nil"/>
              <w:right w:val="nil"/>
            </w:tcBorders>
          </w:tcPr>
          <w:p w14:paraId="32E522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D63E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DAB3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B9D8D52" w14:textId="77777777" w:rsidTr="00015B88">
        <w:tc>
          <w:tcPr>
            <w:tcW w:w="2136" w:type="dxa"/>
            <w:tcBorders>
              <w:top w:val="nil"/>
              <w:left w:val="nil"/>
              <w:bottom w:val="nil"/>
              <w:right w:val="nil"/>
            </w:tcBorders>
          </w:tcPr>
          <w:p w14:paraId="66A4D4C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5C84660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-0.0784</w:t>
            </w:r>
          </w:p>
        </w:tc>
        <w:tc>
          <w:tcPr>
            <w:tcW w:w="1656" w:type="dxa"/>
            <w:tcBorders>
              <w:top w:val="nil"/>
              <w:left w:val="nil"/>
              <w:bottom w:val="nil"/>
              <w:right w:val="nil"/>
            </w:tcBorders>
          </w:tcPr>
          <w:p w14:paraId="5E4C200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0.0906</w:t>
            </w:r>
          </w:p>
        </w:tc>
      </w:tr>
      <w:tr w:rsidR="00201D4C" w:rsidRPr="00326CCA" w14:paraId="25BE9F8D" w14:textId="77777777" w:rsidTr="00015B88">
        <w:tc>
          <w:tcPr>
            <w:tcW w:w="2136" w:type="dxa"/>
            <w:tcBorders>
              <w:top w:val="nil"/>
              <w:left w:val="nil"/>
              <w:bottom w:val="nil"/>
              <w:right w:val="nil"/>
            </w:tcBorders>
          </w:tcPr>
          <w:p w14:paraId="2643529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C42F7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(-0.71)</w:t>
            </w:r>
          </w:p>
        </w:tc>
        <w:tc>
          <w:tcPr>
            <w:tcW w:w="1656" w:type="dxa"/>
            <w:tcBorders>
              <w:top w:val="nil"/>
              <w:left w:val="nil"/>
              <w:bottom w:val="nil"/>
              <w:right w:val="nil"/>
            </w:tcBorders>
          </w:tcPr>
          <w:p w14:paraId="245EB6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(1.42)</w:t>
            </w:r>
          </w:p>
        </w:tc>
      </w:tr>
      <w:tr w:rsidR="00201D4C" w:rsidRPr="00326CCA" w14:paraId="6C20CD1E" w14:textId="77777777" w:rsidTr="00015B88">
        <w:tc>
          <w:tcPr>
            <w:tcW w:w="2136" w:type="dxa"/>
            <w:tcBorders>
              <w:top w:val="nil"/>
              <w:left w:val="nil"/>
              <w:bottom w:val="nil"/>
              <w:right w:val="nil"/>
            </w:tcBorders>
          </w:tcPr>
          <w:p w14:paraId="1CFBA92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9541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012FF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9E9FA94" w14:textId="77777777" w:rsidTr="00015B88">
        <w:tc>
          <w:tcPr>
            <w:tcW w:w="2136" w:type="dxa"/>
            <w:tcBorders>
              <w:top w:val="nil"/>
              <w:left w:val="nil"/>
              <w:bottom w:val="nil"/>
              <w:right w:val="nil"/>
            </w:tcBorders>
          </w:tcPr>
          <w:p w14:paraId="4169EDE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17D8E0C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0.145</w:t>
            </w:r>
          </w:p>
        </w:tc>
        <w:tc>
          <w:tcPr>
            <w:tcW w:w="1656" w:type="dxa"/>
            <w:tcBorders>
              <w:top w:val="nil"/>
              <w:left w:val="nil"/>
              <w:bottom w:val="nil"/>
              <w:right w:val="nil"/>
            </w:tcBorders>
          </w:tcPr>
          <w:p w14:paraId="76342A0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-0.0327</w:t>
            </w:r>
          </w:p>
        </w:tc>
      </w:tr>
      <w:tr w:rsidR="00201D4C" w:rsidRPr="00326CCA" w14:paraId="0E000413" w14:textId="77777777" w:rsidTr="00015B88">
        <w:tc>
          <w:tcPr>
            <w:tcW w:w="2136" w:type="dxa"/>
            <w:tcBorders>
              <w:top w:val="nil"/>
              <w:left w:val="nil"/>
              <w:bottom w:val="nil"/>
              <w:right w:val="nil"/>
            </w:tcBorders>
          </w:tcPr>
          <w:p w14:paraId="403EC05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662C9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c>
          <w:tcPr>
            <w:tcW w:w="1656" w:type="dxa"/>
            <w:tcBorders>
              <w:top w:val="nil"/>
              <w:left w:val="nil"/>
              <w:bottom w:val="nil"/>
              <w:right w:val="nil"/>
            </w:tcBorders>
          </w:tcPr>
          <w:p w14:paraId="64C8716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(-0.41)</w:t>
            </w:r>
          </w:p>
        </w:tc>
      </w:tr>
      <w:tr w:rsidR="00201D4C" w:rsidRPr="00326CCA" w14:paraId="19A5FBAB" w14:textId="77777777" w:rsidTr="00015B88">
        <w:tc>
          <w:tcPr>
            <w:tcW w:w="2136" w:type="dxa"/>
            <w:tcBorders>
              <w:top w:val="nil"/>
              <w:left w:val="nil"/>
              <w:bottom w:val="nil"/>
              <w:right w:val="nil"/>
            </w:tcBorders>
          </w:tcPr>
          <w:p w14:paraId="31A90C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63452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1F3A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E4214A8" w14:textId="77777777" w:rsidTr="00015B88">
        <w:tc>
          <w:tcPr>
            <w:tcW w:w="2136" w:type="dxa"/>
            <w:tcBorders>
              <w:top w:val="nil"/>
              <w:left w:val="nil"/>
              <w:bottom w:val="nil"/>
              <w:right w:val="nil"/>
            </w:tcBorders>
          </w:tcPr>
          <w:p w14:paraId="0FB49F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1F55A77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0.0375</w:t>
            </w:r>
          </w:p>
        </w:tc>
        <w:tc>
          <w:tcPr>
            <w:tcW w:w="1656" w:type="dxa"/>
            <w:tcBorders>
              <w:top w:val="nil"/>
              <w:left w:val="nil"/>
              <w:bottom w:val="nil"/>
              <w:right w:val="nil"/>
            </w:tcBorders>
          </w:tcPr>
          <w:p w14:paraId="34064BE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-0.0889</w:t>
            </w:r>
          </w:p>
        </w:tc>
      </w:tr>
      <w:tr w:rsidR="00201D4C" w:rsidRPr="00326CCA" w14:paraId="695DD46E" w14:textId="77777777" w:rsidTr="00015B88">
        <w:tc>
          <w:tcPr>
            <w:tcW w:w="2136" w:type="dxa"/>
            <w:tcBorders>
              <w:top w:val="nil"/>
              <w:left w:val="nil"/>
              <w:bottom w:val="nil"/>
              <w:right w:val="nil"/>
            </w:tcBorders>
          </w:tcPr>
          <w:p w14:paraId="081F416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DEEF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(0.33)</w:t>
            </w:r>
          </w:p>
        </w:tc>
        <w:tc>
          <w:tcPr>
            <w:tcW w:w="1656" w:type="dxa"/>
            <w:tcBorders>
              <w:top w:val="nil"/>
              <w:left w:val="nil"/>
              <w:bottom w:val="nil"/>
              <w:right w:val="nil"/>
            </w:tcBorders>
          </w:tcPr>
          <w:p w14:paraId="4165DAB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(-1.01)</w:t>
            </w:r>
          </w:p>
        </w:tc>
      </w:tr>
      <w:tr w:rsidR="00201D4C" w:rsidRPr="00326CCA" w14:paraId="6FA3DBCD" w14:textId="77777777" w:rsidTr="00015B88">
        <w:tc>
          <w:tcPr>
            <w:tcW w:w="2136" w:type="dxa"/>
            <w:tcBorders>
              <w:top w:val="nil"/>
              <w:left w:val="nil"/>
              <w:bottom w:val="nil"/>
              <w:right w:val="nil"/>
            </w:tcBorders>
          </w:tcPr>
          <w:p w14:paraId="4FAB704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F385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217F0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773887C" w14:textId="77777777" w:rsidTr="00015B88">
        <w:tc>
          <w:tcPr>
            <w:tcW w:w="2136" w:type="dxa"/>
            <w:tcBorders>
              <w:top w:val="nil"/>
              <w:left w:val="nil"/>
              <w:bottom w:val="nil"/>
              <w:right w:val="nil"/>
            </w:tcBorders>
          </w:tcPr>
          <w:p w14:paraId="7C344A8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326CCA">
              <w:rPr>
                <w:rFonts w:ascii="Times New Roman" w:hAnsi="Times New Roman" w:cs="Times New Roman"/>
                <w:sz w:val="16"/>
                <w:szCs w:val="16"/>
              </w:rPr>
              <w:t>L.Exchange</w:t>
            </w:r>
            <w:proofErr w:type="spellEnd"/>
            <w:r w:rsidRPr="00326CCA">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7D1BC4A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0.0285</w:t>
            </w:r>
          </w:p>
        </w:tc>
        <w:tc>
          <w:tcPr>
            <w:tcW w:w="1656" w:type="dxa"/>
            <w:tcBorders>
              <w:top w:val="nil"/>
              <w:left w:val="nil"/>
              <w:bottom w:val="nil"/>
              <w:right w:val="nil"/>
            </w:tcBorders>
          </w:tcPr>
          <w:p w14:paraId="2D55248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-0.00922</w:t>
            </w:r>
          </w:p>
        </w:tc>
      </w:tr>
      <w:tr w:rsidR="00201D4C" w:rsidRPr="00326CCA" w14:paraId="45C3D2E6" w14:textId="77777777" w:rsidTr="00015B88">
        <w:tc>
          <w:tcPr>
            <w:tcW w:w="2136" w:type="dxa"/>
            <w:tcBorders>
              <w:top w:val="nil"/>
              <w:left w:val="nil"/>
              <w:bottom w:val="nil"/>
              <w:right w:val="nil"/>
            </w:tcBorders>
          </w:tcPr>
          <w:p w14:paraId="2648029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8D8C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(0.80)</w:t>
            </w:r>
          </w:p>
        </w:tc>
        <w:tc>
          <w:tcPr>
            <w:tcW w:w="1656" w:type="dxa"/>
            <w:tcBorders>
              <w:top w:val="nil"/>
              <w:left w:val="nil"/>
              <w:bottom w:val="nil"/>
              <w:right w:val="nil"/>
            </w:tcBorders>
          </w:tcPr>
          <w:p w14:paraId="09C1871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(-0.34)</w:t>
            </w:r>
          </w:p>
        </w:tc>
      </w:tr>
      <w:tr w:rsidR="00201D4C" w:rsidRPr="00326CCA" w14:paraId="0ACB2E40" w14:textId="77777777" w:rsidTr="00015B88">
        <w:tc>
          <w:tcPr>
            <w:tcW w:w="2136" w:type="dxa"/>
            <w:tcBorders>
              <w:top w:val="nil"/>
              <w:left w:val="nil"/>
              <w:bottom w:val="nil"/>
              <w:right w:val="nil"/>
            </w:tcBorders>
          </w:tcPr>
          <w:p w14:paraId="047E9FE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8BB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D1F19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120CB66" w14:textId="77777777" w:rsidTr="00015B88">
        <w:tc>
          <w:tcPr>
            <w:tcW w:w="2136" w:type="dxa"/>
            <w:tcBorders>
              <w:top w:val="nil"/>
              <w:left w:val="nil"/>
              <w:bottom w:val="nil"/>
              <w:right w:val="nil"/>
            </w:tcBorders>
          </w:tcPr>
          <w:p w14:paraId="2FBA08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0EF6E30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-0.0233</w:t>
            </w:r>
          </w:p>
        </w:tc>
        <w:tc>
          <w:tcPr>
            <w:tcW w:w="1656" w:type="dxa"/>
            <w:tcBorders>
              <w:top w:val="nil"/>
              <w:left w:val="nil"/>
              <w:bottom w:val="nil"/>
              <w:right w:val="nil"/>
            </w:tcBorders>
          </w:tcPr>
          <w:p w14:paraId="306FF0E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0.00709</w:t>
            </w:r>
          </w:p>
        </w:tc>
      </w:tr>
      <w:tr w:rsidR="00201D4C" w:rsidRPr="00326CCA" w14:paraId="4931882C" w14:textId="77777777" w:rsidTr="00015B88">
        <w:tc>
          <w:tcPr>
            <w:tcW w:w="2136" w:type="dxa"/>
            <w:tcBorders>
              <w:top w:val="nil"/>
              <w:left w:val="nil"/>
              <w:bottom w:val="nil"/>
              <w:right w:val="nil"/>
            </w:tcBorders>
          </w:tcPr>
          <w:p w14:paraId="1227F04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39C71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(-0.80)</w:t>
            </w:r>
          </w:p>
        </w:tc>
        <w:tc>
          <w:tcPr>
            <w:tcW w:w="1656" w:type="dxa"/>
            <w:tcBorders>
              <w:top w:val="nil"/>
              <w:left w:val="nil"/>
              <w:bottom w:val="nil"/>
              <w:right w:val="nil"/>
            </w:tcBorders>
          </w:tcPr>
          <w:p w14:paraId="409845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(0.48)</w:t>
            </w:r>
          </w:p>
        </w:tc>
      </w:tr>
      <w:tr w:rsidR="00201D4C" w:rsidRPr="00326CCA" w14:paraId="411AAD2C" w14:textId="77777777" w:rsidTr="00015B88">
        <w:tc>
          <w:tcPr>
            <w:tcW w:w="2136" w:type="dxa"/>
            <w:tcBorders>
              <w:top w:val="nil"/>
              <w:left w:val="nil"/>
              <w:bottom w:val="nil"/>
              <w:right w:val="nil"/>
            </w:tcBorders>
          </w:tcPr>
          <w:p w14:paraId="0C41D1B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17D34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11AE5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DD059E8" w14:textId="77777777" w:rsidTr="00015B88">
        <w:tc>
          <w:tcPr>
            <w:tcW w:w="2136" w:type="dxa"/>
            <w:tcBorders>
              <w:top w:val="nil"/>
              <w:left w:val="nil"/>
              <w:bottom w:val="nil"/>
              <w:right w:val="nil"/>
            </w:tcBorders>
          </w:tcPr>
          <w:p w14:paraId="377235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3368D7F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-0.000343</w:t>
            </w:r>
          </w:p>
        </w:tc>
        <w:tc>
          <w:tcPr>
            <w:tcW w:w="1656" w:type="dxa"/>
            <w:tcBorders>
              <w:top w:val="nil"/>
              <w:left w:val="nil"/>
              <w:bottom w:val="nil"/>
              <w:right w:val="nil"/>
            </w:tcBorders>
          </w:tcPr>
          <w:p w14:paraId="5831B55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0.0166</w:t>
            </w:r>
          </w:p>
        </w:tc>
      </w:tr>
      <w:tr w:rsidR="00201D4C" w:rsidRPr="00326CCA" w14:paraId="71C748DC" w14:textId="77777777" w:rsidTr="00015B88">
        <w:tc>
          <w:tcPr>
            <w:tcW w:w="2136" w:type="dxa"/>
            <w:tcBorders>
              <w:top w:val="nil"/>
              <w:left w:val="nil"/>
              <w:bottom w:val="nil"/>
              <w:right w:val="nil"/>
            </w:tcBorders>
          </w:tcPr>
          <w:p w14:paraId="0D15DD1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CFA3F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w:t>
            </w:r>
          </w:p>
        </w:tc>
        <w:tc>
          <w:tcPr>
            <w:tcW w:w="1656" w:type="dxa"/>
            <w:tcBorders>
              <w:top w:val="nil"/>
              <w:left w:val="nil"/>
              <w:bottom w:val="nil"/>
              <w:right w:val="nil"/>
            </w:tcBorders>
          </w:tcPr>
          <w:p w14:paraId="2AD1B75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(0.69)</w:t>
            </w:r>
          </w:p>
        </w:tc>
      </w:tr>
      <w:tr w:rsidR="00201D4C" w:rsidRPr="00326CCA" w14:paraId="725641CD" w14:textId="77777777" w:rsidTr="00015B88">
        <w:tc>
          <w:tcPr>
            <w:tcW w:w="2136" w:type="dxa"/>
            <w:tcBorders>
              <w:top w:val="nil"/>
              <w:left w:val="nil"/>
              <w:bottom w:val="nil"/>
              <w:right w:val="nil"/>
            </w:tcBorders>
          </w:tcPr>
          <w:p w14:paraId="0543188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11EA8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5E5EC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2B79B33" w14:textId="77777777" w:rsidTr="00015B88">
        <w:tc>
          <w:tcPr>
            <w:tcW w:w="2136" w:type="dxa"/>
            <w:tcBorders>
              <w:top w:val="nil"/>
              <w:left w:val="nil"/>
              <w:bottom w:val="nil"/>
              <w:right w:val="nil"/>
            </w:tcBorders>
          </w:tcPr>
          <w:p w14:paraId="7227597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6AA1391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-0.0160</w:t>
            </w:r>
          </w:p>
        </w:tc>
        <w:tc>
          <w:tcPr>
            <w:tcW w:w="1656" w:type="dxa"/>
            <w:tcBorders>
              <w:top w:val="nil"/>
              <w:left w:val="nil"/>
              <w:bottom w:val="nil"/>
              <w:right w:val="nil"/>
            </w:tcBorders>
          </w:tcPr>
          <w:p w14:paraId="461762F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0.00342</w:t>
            </w:r>
          </w:p>
        </w:tc>
      </w:tr>
      <w:tr w:rsidR="00201D4C" w:rsidRPr="00326CCA" w14:paraId="05CBB783" w14:textId="77777777" w:rsidTr="00015B88">
        <w:tc>
          <w:tcPr>
            <w:tcW w:w="2136" w:type="dxa"/>
            <w:tcBorders>
              <w:top w:val="nil"/>
              <w:left w:val="nil"/>
              <w:bottom w:val="nil"/>
              <w:right w:val="nil"/>
            </w:tcBorders>
          </w:tcPr>
          <w:p w14:paraId="18C9CDE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EC7FE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(-0.47)</w:t>
            </w:r>
          </w:p>
        </w:tc>
        <w:tc>
          <w:tcPr>
            <w:tcW w:w="1656" w:type="dxa"/>
            <w:tcBorders>
              <w:top w:val="nil"/>
              <w:left w:val="nil"/>
              <w:bottom w:val="nil"/>
              <w:right w:val="nil"/>
            </w:tcBorders>
          </w:tcPr>
          <w:p w14:paraId="5BF416E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(0.13)</w:t>
            </w:r>
          </w:p>
        </w:tc>
      </w:tr>
      <w:tr w:rsidR="00201D4C" w:rsidRPr="00326CCA" w14:paraId="2EC7BCD8" w14:textId="77777777" w:rsidTr="00015B88">
        <w:tc>
          <w:tcPr>
            <w:tcW w:w="2136" w:type="dxa"/>
            <w:tcBorders>
              <w:top w:val="nil"/>
              <w:left w:val="nil"/>
              <w:bottom w:val="nil"/>
              <w:right w:val="nil"/>
            </w:tcBorders>
          </w:tcPr>
          <w:p w14:paraId="734BC29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4852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24030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BBBF4AB" w14:textId="77777777" w:rsidTr="00015B88">
        <w:tc>
          <w:tcPr>
            <w:tcW w:w="2136" w:type="dxa"/>
            <w:tcBorders>
              <w:top w:val="nil"/>
              <w:left w:val="nil"/>
              <w:bottom w:val="nil"/>
              <w:right w:val="nil"/>
            </w:tcBorders>
          </w:tcPr>
          <w:p w14:paraId="3FA46D7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2207E3D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0.0113</w:t>
            </w:r>
          </w:p>
        </w:tc>
        <w:tc>
          <w:tcPr>
            <w:tcW w:w="1656" w:type="dxa"/>
            <w:tcBorders>
              <w:top w:val="nil"/>
              <w:left w:val="nil"/>
              <w:bottom w:val="nil"/>
              <w:right w:val="nil"/>
            </w:tcBorders>
          </w:tcPr>
          <w:p w14:paraId="23BB994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0.0128</w:t>
            </w:r>
          </w:p>
        </w:tc>
      </w:tr>
      <w:tr w:rsidR="00201D4C" w:rsidRPr="00326CCA" w14:paraId="0AA806E8" w14:textId="77777777" w:rsidTr="00015B88">
        <w:tc>
          <w:tcPr>
            <w:tcW w:w="2136" w:type="dxa"/>
            <w:tcBorders>
              <w:top w:val="nil"/>
              <w:left w:val="nil"/>
              <w:bottom w:val="nil"/>
              <w:right w:val="nil"/>
            </w:tcBorders>
          </w:tcPr>
          <w:p w14:paraId="14A616F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CCE41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(0.32)</w:t>
            </w:r>
          </w:p>
        </w:tc>
        <w:tc>
          <w:tcPr>
            <w:tcW w:w="1656" w:type="dxa"/>
            <w:tcBorders>
              <w:top w:val="nil"/>
              <w:left w:val="nil"/>
              <w:bottom w:val="nil"/>
              <w:right w:val="nil"/>
            </w:tcBorders>
          </w:tcPr>
          <w:p w14:paraId="4956393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(0.48)</w:t>
            </w:r>
          </w:p>
        </w:tc>
      </w:tr>
      <w:tr w:rsidR="00201D4C" w:rsidRPr="00326CCA" w14:paraId="1D700262" w14:textId="77777777" w:rsidTr="00015B88">
        <w:tc>
          <w:tcPr>
            <w:tcW w:w="2136" w:type="dxa"/>
            <w:tcBorders>
              <w:top w:val="nil"/>
              <w:left w:val="nil"/>
              <w:bottom w:val="nil"/>
              <w:right w:val="nil"/>
            </w:tcBorders>
          </w:tcPr>
          <w:p w14:paraId="6B1DBAB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1B0E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DBDB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25B5472" w14:textId="77777777" w:rsidTr="00015B88">
        <w:tc>
          <w:tcPr>
            <w:tcW w:w="2136" w:type="dxa"/>
            <w:tcBorders>
              <w:top w:val="nil"/>
              <w:left w:val="nil"/>
              <w:bottom w:val="nil"/>
              <w:right w:val="nil"/>
            </w:tcBorders>
          </w:tcPr>
          <w:p w14:paraId="6D1823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5228CE0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0.0251</w:t>
            </w:r>
          </w:p>
        </w:tc>
        <w:tc>
          <w:tcPr>
            <w:tcW w:w="1656" w:type="dxa"/>
            <w:tcBorders>
              <w:top w:val="nil"/>
              <w:left w:val="nil"/>
              <w:bottom w:val="nil"/>
              <w:right w:val="nil"/>
            </w:tcBorders>
          </w:tcPr>
          <w:p w14:paraId="027533A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-0.0470</w:t>
            </w:r>
          </w:p>
        </w:tc>
      </w:tr>
      <w:tr w:rsidR="00201D4C" w:rsidRPr="00326CCA" w14:paraId="7023F8D9" w14:textId="77777777" w:rsidTr="00015B88">
        <w:tc>
          <w:tcPr>
            <w:tcW w:w="2136" w:type="dxa"/>
            <w:tcBorders>
              <w:top w:val="nil"/>
              <w:left w:val="nil"/>
              <w:bottom w:val="nil"/>
              <w:right w:val="nil"/>
            </w:tcBorders>
          </w:tcPr>
          <w:p w14:paraId="44C3635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C7F1B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(0.73)</w:t>
            </w:r>
          </w:p>
        </w:tc>
        <w:tc>
          <w:tcPr>
            <w:tcW w:w="1656" w:type="dxa"/>
            <w:tcBorders>
              <w:top w:val="nil"/>
              <w:left w:val="nil"/>
              <w:bottom w:val="nil"/>
              <w:right w:val="nil"/>
            </w:tcBorders>
          </w:tcPr>
          <w:p w14:paraId="0F90571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(-1.95)</w:t>
            </w:r>
          </w:p>
        </w:tc>
      </w:tr>
      <w:tr w:rsidR="00201D4C" w:rsidRPr="00326CCA" w14:paraId="5D68EEF9" w14:textId="77777777" w:rsidTr="00015B88">
        <w:tc>
          <w:tcPr>
            <w:tcW w:w="2136" w:type="dxa"/>
            <w:tcBorders>
              <w:top w:val="nil"/>
              <w:left w:val="nil"/>
              <w:bottom w:val="nil"/>
              <w:right w:val="nil"/>
            </w:tcBorders>
          </w:tcPr>
          <w:p w14:paraId="2F0E7D1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E2AB1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B286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9DE0146" w14:textId="77777777" w:rsidTr="00015B88">
        <w:tc>
          <w:tcPr>
            <w:tcW w:w="2136" w:type="dxa"/>
            <w:tcBorders>
              <w:top w:val="nil"/>
              <w:left w:val="nil"/>
              <w:bottom w:val="nil"/>
              <w:right w:val="nil"/>
            </w:tcBorders>
          </w:tcPr>
          <w:p w14:paraId="1DA4A8D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50EE068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0.00967</w:t>
            </w:r>
          </w:p>
        </w:tc>
        <w:tc>
          <w:tcPr>
            <w:tcW w:w="1656" w:type="dxa"/>
            <w:tcBorders>
              <w:top w:val="nil"/>
              <w:left w:val="nil"/>
              <w:bottom w:val="nil"/>
              <w:right w:val="nil"/>
            </w:tcBorders>
          </w:tcPr>
          <w:p w14:paraId="567DAC1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0.0204</w:t>
            </w:r>
          </w:p>
        </w:tc>
      </w:tr>
      <w:tr w:rsidR="00201D4C" w:rsidRPr="00326CCA" w14:paraId="6477A345" w14:textId="77777777" w:rsidTr="00015B88">
        <w:tc>
          <w:tcPr>
            <w:tcW w:w="2136" w:type="dxa"/>
            <w:tcBorders>
              <w:top w:val="nil"/>
              <w:left w:val="nil"/>
              <w:bottom w:val="nil"/>
              <w:right w:val="nil"/>
            </w:tcBorders>
          </w:tcPr>
          <w:p w14:paraId="54E3C8E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095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(0.35)</w:t>
            </w:r>
          </w:p>
        </w:tc>
        <w:tc>
          <w:tcPr>
            <w:tcW w:w="1656" w:type="dxa"/>
            <w:tcBorders>
              <w:top w:val="nil"/>
              <w:left w:val="nil"/>
              <w:bottom w:val="nil"/>
              <w:right w:val="nil"/>
            </w:tcBorders>
          </w:tcPr>
          <w:p w14:paraId="66D887B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(1.01)</w:t>
            </w:r>
          </w:p>
        </w:tc>
      </w:tr>
      <w:tr w:rsidR="00201D4C" w:rsidRPr="00326CCA" w14:paraId="571C6849" w14:textId="77777777" w:rsidTr="00015B88">
        <w:tc>
          <w:tcPr>
            <w:tcW w:w="2136" w:type="dxa"/>
            <w:tcBorders>
              <w:top w:val="nil"/>
              <w:left w:val="nil"/>
              <w:bottom w:val="nil"/>
              <w:right w:val="nil"/>
            </w:tcBorders>
          </w:tcPr>
          <w:p w14:paraId="5CBF843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40901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E3C4B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2DEAEAF" w14:textId="77777777" w:rsidTr="00015B88">
        <w:tc>
          <w:tcPr>
            <w:tcW w:w="2136" w:type="dxa"/>
            <w:tcBorders>
              <w:top w:val="nil"/>
              <w:left w:val="nil"/>
              <w:bottom w:val="nil"/>
              <w:right w:val="nil"/>
            </w:tcBorders>
          </w:tcPr>
          <w:p w14:paraId="77D9A05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72EA2CE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-0.0154</w:t>
            </w:r>
          </w:p>
        </w:tc>
        <w:tc>
          <w:tcPr>
            <w:tcW w:w="1656" w:type="dxa"/>
            <w:tcBorders>
              <w:top w:val="nil"/>
              <w:left w:val="nil"/>
              <w:bottom w:val="nil"/>
              <w:right w:val="nil"/>
            </w:tcBorders>
          </w:tcPr>
          <w:p w14:paraId="1CC9BCB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-0.000937</w:t>
            </w:r>
          </w:p>
        </w:tc>
      </w:tr>
      <w:tr w:rsidR="00201D4C" w:rsidRPr="00326CCA" w14:paraId="4BD66FCF" w14:textId="77777777" w:rsidTr="00015B88">
        <w:tc>
          <w:tcPr>
            <w:tcW w:w="2136" w:type="dxa"/>
            <w:tcBorders>
              <w:top w:val="nil"/>
              <w:left w:val="nil"/>
              <w:bottom w:val="nil"/>
              <w:right w:val="nil"/>
            </w:tcBorders>
          </w:tcPr>
          <w:p w14:paraId="63E0762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14BF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(-0.55)</w:t>
            </w:r>
          </w:p>
        </w:tc>
        <w:tc>
          <w:tcPr>
            <w:tcW w:w="1656" w:type="dxa"/>
            <w:tcBorders>
              <w:top w:val="nil"/>
              <w:left w:val="nil"/>
              <w:bottom w:val="nil"/>
              <w:right w:val="nil"/>
            </w:tcBorders>
          </w:tcPr>
          <w:p w14:paraId="596C63D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(-0.05)</w:t>
            </w:r>
          </w:p>
        </w:tc>
      </w:tr>
      <w:tr w:rsidR="00201D4C" w:rsidRPr="00326CCA" w14:paraId="350B8AA4" w14:textId="77777777" w:rsidTr="00015B88">
        <w:tc>
          <w:tcPr>
            <w:tcW w:w="2136" w:type="dxa"/>
            <w:tcBorders>
              <w:top w:val="nil"/>
              <w:left w:val="nil"/>
              <w:bottom w:val="nil"/>
              <w:right w:val="nil"/>
            </w:tcBorders>
          </w:tcPr>
          <w:p w14:paraId="7C8C2C3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88456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AF54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2CECE73" w14:textId="77777777" w:rsidTr="00015B88">
        <w:tc>
          <w:tcPr>
            <w:tcW w:w="2136" w:type="dxa"/>
            <w:tcBorders>
              <w:top w:val="nil"/>
              <w:left w:val="nil"/>
              <w:bottom w:val="nil"/>
              <w:right w:val="nil"/>
            </w:tcBorders>
          </w:tcPr>
          <w:p w14:paraId="16D27A7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23AFF1C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-0.00771</w:t>
            </w:r>
          </w:p>
        </w:tc>
        <w:tc>
          <w:tcPr>
            <w:tcW w:w="1656" w:type="dxa"/>
            <w:tcBorders>
              <w:top w:val="nil"/>
              <w:left w:val="nil"/>
              <w:bottom w:val="nil"/>
              <w:right w:val="nil"/>
            </w:tcBorders>
          </w:tcPr>
          <w:p w14:paraId="2FDA558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-0.00996</w:t>
            </w:r>
          </w:p>
        </w:tc>
      </w:tr>
      <w:tr w:rsidR="00201D4C" w:rsidRPr="00326CCA" w14:paraId="3AB7D0C6" w14:textId="77777777" w:rsidTr="00015B88">
        <w:tc>
          <w:tcPr>
            <w:tcW w:w="2136" w:type="dxa"/>
            <w:tcBorders>
              <w:top w:val="nil"/>
              <w:left w:val="nil"/>
              <w:bottom w:val="nil"/>
              <w:right w:val="nil"/>
            </w:tcBorders>
          </w:tcPr>
          <w:p w14:paraId="72D2D3B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10E75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(-0.26)</w:t>
            </w:r>
          </w:p>
        </w:tc>
        <w:tc>
          <w:tcPr>
            <w:tcW w:w="1656" w:type="dxa"/>
            <w:tcBorders>
              <w:top w:val="nil"/>
              <w:left w:val="nil"/>
              <w:bottom w:val="nil"/>
              <w:right w:val="nil"/>
            </w:tcBorders>
          </w:tcPr>
          <w:p w14:paraId="2C873EE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(-0.53)</w:t>
            </w:r>
          </w:p>
        </w:tc>
      </w:tr>
      <w:tr w:rsidR="00201D4C" w:rsidRPr="00326CCA" w14:paraId="737F63F0" w14:textId="77777777" w:rsidTr="00015B88">
        <w:tc>
          <w:tcPr>
            <w:tcW w:w="2136" w:type="dxa"/>
            <w:tcBorders>
              <w:top w:val="nil"/>
              <w:left w:val="nil"/>
              <w:bottom w:val="nil"/>
              <w:right w:val="nil"/>
            </w:tcBorders>
          </w:tcPr>
          <w:p w14:paraId="38D10BC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BEA97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7121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57B682D1" w14:textId="77777777" w:rsidTr="00015B88">
        <w:tc>
          <w:tcPr>
            <w:tcW w:w="2136" w:type="dxa"/>
            <w:tcBorders>
              <w:top w:val="nil"/>
              <w:left w:val="nil"/>
              <w:bottom w:val="nil"/>
              <w:right w:val="nil"/>
            </w:tcBorders>
          </w:tcPr>
          <w:p w14:paraId="7929EAC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58214A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-0.00838</w:t>
            </w:r>
          </w:p>
        </w:tc>
        <w:tc>
          <w:tcPr>
            <w:tcW w:w="1656" w:type="dxa"/>
            <w:tcBorders>
              <w:top w:val="nil"/>
              <w:left w:val="nil"/>
              <w:bottom w:val="nil"/>
              <w:right w:val="nil"/>
            </w:tcBorders>
          </w:tcPr>
          <w:p w14:paraId="102B929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0.0104</w:t>
            </w:r>
          </w:p>
        </w:tc>
      </w:tr>
      <w:tr w:rsidR="00201D4C" w:rsidRPr="00326CCA" w14:paraId="72791E3A" w14:textId="77777777" w:rsidTr="00015B88">
        <w:tc>
          <w:tcPr>
            <w:tcW w:w="2136" w:type="dxa"/>
            <w:tcBorders>
              <w:top w:val="nil"/>
              <w:left w:val="nil"/>
              <w:bottom w:val="nil"/>
              <w:right w:val="nil"/>
            </w:tcBorders>
          </w:tcPr>
          <w:p w14:paraId="0FC5782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E223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(-0.35)</w:t>
            </w:r>
          </w:p>
        </w:tc>
        <w:tc>
          <w:tcPr>
            <w:tcW w:w="1656" w:type="dxa"/>
            <w:tcBorders>
              <w:top w:val="nil"/>
              <w:left w:val="nil"/>
              <w:bottom w:val="nil"/>
              <w:right w:val="nil"/>
            </w:tcBorders>
          </w:tcPr>
          <w:p w14:paraId="3E927EF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(0.48)</w:t>
            </w:r>
          </w:p>
        </w:tc>
      </w:tr>
      <w:tr w:rsidR="00201D4C" w:rsidRPr="00326CCA" w14:paraId="2C754258" w14:textId="77777777" w:rsidTr="00015B88">
        <w:tc>
          <w:tcPr>
            <w:tcW w:w="2136" w:type="dxa"/>
            <w:tcBorders>
              <w:top w:val="nil"/>
              <w:left w:val="nil"/>
              <w:bottom w:val="nil"/>
              <w:right w:val="nil"/>
            </w:tcBorders>
          </w:tcPr>
          <w:p w14:paraId="2B8980A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9113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B6F5B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B1671C7" w14:textId="77777777" w:rsidTr="00015B88">
        <w:tc>
          <w:tcPr>
            <w:tcW w:w="2136" w:type="dxa"/>
            <w:tcBorders>
              <w:top w:val="nil"/>
              <w:left w:val="nil"/>
              <w:bottom w:val="nil"/>
              <w:right w:val="nil"/>
            </w:tcBorders>
          </w:tcPr>
          <w:p w14:paraId="297EF18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L.HOS = HOG</w:t>
            </w:r>
          </w:p>
        </w:tc>
        <w:tc>
          <w:tcPr>
            <w:tcW w:w="1656" w:type="dxa"/>
            <w:tcBorders>
              <w:top w:val="nil"/>
              <w:left w:val="nil"/>
              <w:bottom w:val="nil"/>
              <w:right w:val="nil"/>
            </w:tcBorders>
          </w:tcPr>
          <w:p w14:paraId="06048D6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-0.385</w:t>
            </w:r>
          </w:p>
        </w:tc>
        <w:tc>
          <w:tcPr>
            <w:tcW w:w="1656" w:type="dxa"/>
            <w:tcBorders>
              <w:top w:val="nil"/>
              <w:left w:val="nil"/>
              <w:bottom w:val="nil"/>
              <w:right w:val="nil"/>
            </w:tcBorders>
          </w:tcPr>
          <w:p w14:paraId="77B2701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-0.372</w:t>
            </w:r>
          </w:p>
        </w:tc>
      </w:tr>
      <w:tr w:rsidR="00201D4C" w:rsidRPr="00326CCA" w14:paraId="2845F945" w14:textId="77777777" w:rsidTr="00015B88">
        <w:tc>
          <w:tcPr>
            <w:tcW w:w="2136" w:type="dxa"/>
            <w:tcBorders>
              <w:top w:val="nil"/>
              <w:left w:val="nil"/>
              <w:bottom w:val="nil"/>
              <w:right w:val="nil"/>
            </w:tcBorders>
          </w:tcPr>
          <w:p w14:paraId="77178D2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8ECA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(-0.75)</w:t>
            </w:r>
          </w:p>
        </w:tc>
        <w:tc>
          <w:tcPr>
            <w:tcW w:w="1656" w:type="dxa"/>
            <w:tcBorders>
              <w:top w:val="nil"/>
              <w:left w:val="nil"/>
              <w:bottom w:val="nil"/>
              <w:right w:val="nil"/>
            </w:tcBorders>
          </w:tcPr>
          <w:p w14:paraId="4A0C34D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(-0.86)</w:t>
            </w:r>
          </w:p>
        </w:tc>
      </w:tr>
      <w:tr w:rsidR="00201D4C" w:rsidRPr="00326CCA" w14:paraId="27697489" w14:textId="77777777" w:rsidTr="00015B88">
        <w:tc>
          <w:tcPr>
            <w:tcW w:w="2136" w:type="dxa"/>
            <w:tcBorders>
              <w:top w:val="nil"/>
              <w:left w:val="nil"/>
              <w:bottom w:val="nil"/>
              <w:right w:val="nil"/>
            </w:tcBorders>
          </w:tcPr>
          <w:p w14:paraId="1F789C3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0ECEA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A346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9A0514B" w14:textId="77777777" w:rsidTr="00015B88">
        <w:tc>
          <w:tcPr>
            <w:tcW w:w="2136" w:type="dxa"/>
            <w:tcBorders>
              <w:top w:val="nil"/>
              <w:left w:val="nil"/>
              <w:bottom w:val="nil"/>
              <w:right w:val="nil"/>
            </w:tcBorders>
          </w:tcPr>
          <w:p w14:paraId="13A865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L2.HOS = HOG</w:t>
            </w:r>
          </w:p>
        </w:tc>
        <w:tc>
          <w:tcPr>
            <w:tcW w:w="1656" w:type="dxa"/>
            <w:tcBorders>
              <w:top w:val="nil"/>
              <w:left w:val="nil"/>
              <w:bottom w:val="nil"/>
              <w:right w:val="nil"/>
            </w:tcBorders>
          </w:tcPr>
          <w:p w14:paraId="3E381B9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0.0918</w:t>
            </w:r>
          </w:p>
        </w:tc>
        <w:tc>
          <w:tcPr>
            <w:tcW w:w="1656" w:type="dxa"/>
            <w:tcBorders>
              <w:top w:val="nil"/>
              <w:left w:val="nil"/>
              <w:bottom w:val="nil"/>
              <w:right w:val="nil"/>
            </w:tcBorders>
          </w:tcPr>
          <w:p w14:paraId="0987B1E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0.0413</w:t>
            </w:r>
          </w:p>
        </w:tc>
      </w:tr>
      <w:tr w:rsidR="00201D4C" w:rsidRPr="00326CCA" w14:paraId="3ADE789A" w14:textId="77777777" w:rsidTr="00015B88">
        <w:tc>
          <w:tcPr>
            <w:tcW w:w="2136" w:type="dxa"/>
            <w:tcBorders>
              <w:top w:val="nil"/>
              <w:left w:val="nil"/>
              <w:bottom w:val="nil"/>
              <w:right w:val="nil"/>
            </w:tcBorders>
          </w:tcPr>
          <w:p w14:paraId="365B71A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3F17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(0.25)</w:t>
            </w:r>
          </w:p>
        </w:tc>
        <w:tc>
          <w:tcPr>
            <w:tcW w:w="1656" w:type="dxa"/>
            <w:tcBorders>
              <w:top w:val="nil"/>
              <w:left w:val="nil"/>
              <w:bottom w:val="nil"/>
              <w:right w:val="nil"/>
            </w:tcBorders>
          </w:tcPr>
          <w:p w14:paraId="16F3BF0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w:t>
            </w:r>
          </w:p>
        </w:tc>
      </w:tr>
      <w:tr w:rsidR="00201D4C" w:rsidRPr="00326CCA" w14:paraId="5AF24F8B" w14:textId="77777777" w:rsidTr="00015B88">
        <w:tc>
          <w:tcPr>
            <w:tcW w:w="2136" w:type="dxa"/>
            <w:tcBorders>
              <w:top w:val="nil"/>
              <w:left w:val="nil"/>
              <w:bottom w:val="nil"/>
              <w:right w:val="nil"/>
            </w:tcBorders>
          </w:tcPr>
          <w:p w14:paraId="03C5798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2D6E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8B269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61D454" w14:textId="77777777" w:rsidTr="00015B88">
        <w:tc>
          <w:tcPr>
            <w:tcW w:w="2136" w:type="dxa"/>
            <w:tcBorders>
              <w:top w:val="nil"/>
              <w:left w:val="nil"/>
              <w:bottom w:val="nil"/>
              <w:right w:val="nil"/>
            </w:tcBorders>
          </w:tcPr>
          <w:p w14:paraId="1CE2669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L3.HOS = HOG</w:t>
            </w:r>
          </w:p>
        </w:tc>
        <w:tc>
          <w:tcPr>
            <w:tcW w:w="1656" w:type="dxa"/>
            <w:tcBorders>
              <w:top w:val="nil"/>
              <w:left w:val="nil"/>
              <w:bottom w:val="nil"/>
              <w:right w:val="nil"/>
            </w:tcBorders>
          </w:tcPr>
          <w:p w14:paraId="348628D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1.213</w:t>
            </w:r>
            <w:r w:rsidRPr="00326CCA">
              <w:rPr>
                <w:rFonts w:ascii="Times New Roman" w:hAnsi="Times New Roman" w:cs="Times New Roman"/>
                <w:sz w:val="16"/>
                <w:szCs w:val="16"/>
                <w:vertAlign w:val="superscript"/>
              </w:rPr>
              <w:t>**</w:t>
            </w:r>
          </w:p>
        </w:tc>
        <w:tc>
          <w:tcPr>
            <w:tcW w:w="1656" w:type="dxa"/>
            <w:tcBorders>
              <w:top w:val="nil"/>
              <w:left w:val="nil"/>
              <w:bottom w:val="nil"/>
              <w:right w:val="nil"/>
            </w:tcBorders>
          </w:tcPr>
          <w:p w14:paraId="19DA6BB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0.564</w:t>
            </w:r>
          </w:p>
        </w:tc>
      </w:tr>
      <w:tr w:rsidR="00201D4C" w:rsidRPr="00326CCA" w14:paraId="0F82D397" w14:textId="77777777" w:rsidTr="00015B88">
        <w:tc>
          <w:tcPr>
            <w:tcW w:w="2136" w:type="dxa"/>
            <w:tcBorders>
              <w:top w:val="nil"/>
              <w:left w:val="nil"/>
              <w:bottom w:val="nil"/>
              <w:right w:val="nil"/>
            </w:tcBorders>
          </w:tcPr>
          <w:p w14:paraId="7A1B739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2EDA0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(3.15)</w:t>
            </w:r>
          </w:p>
        </w:tc>
        <w:tc>
          <w:tcPr>
            <w:tcW w:w="1656" w:type="dxa"/>
            <w:tcBorders>
              <w:top w:val="nil"/>
              <w:left w:val="nil"/>
              <w:bottom w:val="nil"/>
              <w:right w:val="nil"/>
            </w:tcBorders>
          </w:tcPr>
          <w:p w14:paraId="426EF46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(0.95)</w:t>
            </w:r>
          </w:p>
        </w:tc>
      </w:tr>
      <w:tr w:rsidR="00201D4C" w:rsidRPr="00326CCA" w14:paraId="429AC761" w14:textId="77777777" w:rsidTr="00015B88">
        <w:tc>
          <w:tcPr>
            <w:tcW w:w="2136" w:type="dxa"/>
            <w:tcBorders>
              <w:top w:val="nil"/>
              <w:left w:val="nil"/>
              <w:bottom w:val="nil"/>
              <w:right w:val="nil"/>
            </w:tcBorders>
          </w:tcPr>
          <w:p w14:paraId="28FC0CB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809F8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59A3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0242603" w14:textId="77777777" w:rsidTr="00015B88">
        <w:tc>
          <w:tcPr>
            <w:tcW w:w="2136" w:type="dxa"/>
            <w:tcBorders>
              <w:top w:val="nil"/>
              <w:left w:val="nil"/>
              <w:bottom w:val="nil"/>
              <w:right w:val="nil"/>
            </w:tcBorders>
          </w:tcPr>
          <w:p w14:paraId="46DFBC8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L4.HOS = HOG</w:t>
            </w:r>
          </w:p>
        </w:tc>
        <w:tc>
          <w:tcPr>
            <w:tcW w:w="1656" w:type="dxa"/>
            <w:tcBorders>
              <w:top w:val="nil"/>
              <w:left w:val="nil"/>
              <w:bottom w:val="nil"/>
              <w:right w:val="nil"/>
            </w:tcBorders>
          </w:tcPr>
          <w:p w14:paraId="1050CDF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-0.747</w:t>
            </w:r>
          </w:p>
        </w:tc>
        <w:tc>
          <w:tcPr>
            <w:tcW w:w="1656" w:type="dxa"/>
            <w:tcBorders>
              <w:top w:val="nil"/>
              <w:left w:val="nil"/>
              <w:bottom w:val="nil"/>
              <w:right w:val="nil"/>
            </w:tcBorders>
          </w:tcPr>
          <w:p w14:paraId="06FAD37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-1.008</w:t>
            </w:r>
            <w:r w:rsidRPr="00326CCA">
              <w:rPr>
                <w:rFonts w:ascii="Times New Roman" w:hAnsi="Times New Roman" w:cs="Times New Roman"/>
                <w:sz w:val="16"/>
                <w:szCs w:val="16"/>
                <w:vertAlign w:val="superscript"/>
              </w:rPr>
              <w:t>*</w:t>
            </w:r>
          </w:p>
        </w:tc>
      </w:tr>
      <w:tr w:rsidR="00201D4C" w:rsidRPr="00326CCA" w14:paraId="042A59BC" w14:textId="77777777" w:rsidTr="00015B88">
        <w:tc>
          <w:tcPr>
            <w:tcW w:w="2136" w:type="dxa"/>
            <w:tcBorders>
              <w:top w:val="nil"/>
              <w:left w:val="nil"/>
              <w:bottom w:val="nil"/>
              <w:right w:val="nil"/>
            </w:tcBorders>
          </w:tcPr>
          <w:p w14:paraId="05D2FF3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55DF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(-1.49)</w:t>
            </w:r>
          </w:p>
        </w:tc>
        <w:tc>
          <w:tcPr>
            <w:tcW w:w="1656" w:type="dxa"/>
            <w:tcBorders>
              <w:top w:val="nil"/>
              <w:left w:val="nil"/>
              <w:bottom w:val="nil"/>
              <w:right w:val="nil"/>
            </w:tcBorders>
          </w:tcPr>
          <w:p w14:paraId="1F436A9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(-2.09)</w:t>
            </w:r>
          </w:p>
        </w:tc>
      </w:tr>
      <w:tr w:rsidR="00201D4C" w:rsidRPr="00326CCA" w14:paraId="72865469" w14:textId="77777777" w:rsidTr="00015B88">
        <w:tc>
          <w:tcPr>
            <w:tcW w:w="2136" w:type="dxa"/>
            <w:tcBorders>
              <w:top w:val="nil"/>
              <w:left w:val="nil"/>
              <w:bottom w:val="nil"/>
              <w:right w:val="nil"/>
            </w:tcBorders>
          </w:tcPr>
          <w:p w14:paraId="67C1275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0FD8B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FB1FE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42B02BC" w14:textId="77777777" w:rsidTr="00015B88">
        <w:tc>
          <w:tcPr>
            <w:tcW w:w="2136" w:type="dxa"/>
            <w:tcBorders>
              <w:top w:val="nil"/>
              <w:left w:val="nil"/>
              <w:bottom w:val="nil"/>
              <w:right w:val="nil"/>
            </w:tcBorders>
          </w:tcPr>
          <w:p w14:paraId="2661410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L5.HOS = HOG</w:t>
            </w:r>
          </w:p>
        </w:tc>
        <w:tc>
          <w:tcPr>
            <w:tcW w:w="1656" w:type="dxa"/>
            <w:tcBorders>
              <w:top w:val="nil"/>
              <w:left w:val="nil"/>
              <w:bottom w:val="nil"/>
              <w:right w:val="nil"/>
            </w:tcBorders>
          </w:tcPr>
          <w:p w14:paraId="7C0846D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0.276</w:t>
            </w:r>
          </w:p>
        </w:tc>
        <w:tc>
          <w:tcPr>
            <w:tcW w:w="1656" w:type="dxa"/>
            <w:tcBorders>
              <w:top w:val="nil"/>
              <w:left w:val="nil"/>
              <w:bottom w:val="nil"/>
              <w:right w:val="nil"/>
            </w:tcBorders>
          </w:tcPr>
          <w:p w14:paraId="649280C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0.798</w:t>
            </w:r>
            <w:r w:rsidRPr="00326CCA">
              <w:rPr>
                <w:rFonts w:ascii="Times New Roman" w:hAnsi="Times New Roman" w:cs="Times New Roman"/>
                <w:sz w:val="16"/>
                <w:szCs w:val="16"/>
                <w:vertAlign w:val="superscript"/>
              </w:rPr>
              <w:t>*</w:t>
            </w:r>
          </w:p>
        </w:tc>
      </w:tr>
      <w:tr w:rsidR="00201D4C" w:rsidRPr="00326CCA" w14:paraId="6E5717D4" w14:textId="77777777" w:rsidTr="00015B88">
        <w:tc>
          <w:tcPr>
            <w:tcW w:w="2136" w:type="dxa"/>
            <w:tcBorders>
              <w:top w:val="nil"/>
              <w:left w:val="nil"/>
              <w:bottom w:val="nil"/>
              <w:right w:val="nil"/>
            </w:tcBorders>
          </w:tcPr>
          <w:p w14:paraId="2114AEC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80EE6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(0.61)</w:t>
            </w:r>
          </w:p>
        </w:tc>
        <w:tc>
          <w:tcPr>
            <w:tcW w:w="1656" w:type="dxa"/>
            <w:tcBorders>
              <w:top w:val="nil"/>
              <w:left w:val="nil"/>
              <w:bottom w:val="nil"/>
              <w:right w:val="nil"/>
            </w:tcBorders>
          </w:tcPr>
          <w:p w14:paraId="3A4648B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(2.04)</w:t>
            </w:r>
          </w:p>
        </w:tc>
      </w:tr>
      <w:tr w:rsidR="00201D4C" w:rsidRPr="00326CCA" w14:paraId="269E39F9" w14:textId="77777777" w:rsidTr="00015B88">
        <w:tc>
          <w:tcPr>
            <w:tcW w:w="2136" w:type="dxa"/>
            <w:tcBorders>
              <w:top w:val="nil"/>
              <w:left w:val="nil"/>
              <w:bottom w:val="nil"/>
              <w:right w:val="nil"/>
            </w:tcBorders>
          </w:tcPr>
          <w:p w14:paraId="1E3A07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FE1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E49F7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586AF8B4" w14:textId="77777777" w:rsidTr="00015B88">
        <w:tc>
          <w:tcPr>
            <w:tcW w:w="2136" w:type="dxa"/>
            <w:tcBorders>
              <w:top w:val="nil"/>
              <w:left w:val="nil"/>
              <w:bottom w:val="nil"/>
              <w:right w:val="nil"/>
            </w:tcBorders>
          </w:tcPr>
          <w:p w14:paraId="1F22D0C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L6.HOS = HOG</w:t>
            </w:r>
          </w:p>
        </w:tc>
        <w:tc>
          <w:tcPr>
            <w:tcW w:w="1656" w:type="dxa"/>
            <w:tcBorders>
              <w:top w:val="nil"/>
              <w:left w:val="nil"/>
              <w:bottom w:val="nil"/>
              <w:right w:val="nil"/>
            </w:tcBorders>
          </w:tcPr>
          <w:p w14:paraId="15AF916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0.413</w:t>
            </w:r>
          </w:p>
        </w:tc>
        <w:tc>
          <w:tcPr>
            <w:tcW w:w="1656" w:type="dxa"/>
            <w:tcBorders>
              <w:top w:val="nil"/>
              <w:left w:val="nil"/>
              <w:bottom w:val="nil"/>
              <w:right w:val="nil"/>
            </w:tcBorders>
          </w:tcPr>
          <w:p w14:paraId="0B68BCC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-0.370</w:t>
            </w:r>
          </w:p>
        </w:tc>
      </w:tr>
      <w:tr w:rsidR="00201D4C" w:rsidRPr="00326CCA" w14:paraId="6971261F" w14:textId="77777777" w:rsidTr="00015B88">
        <w:tc>
          <w:tcPr>
            <w:tcW w:w="2136" w:type="dxa"/>
            <w:tcBorders>
              <w:top w:val="nil"/>
              <w:left w:val="nil"/>
              <w:bottom w:val="nil"/>
              <w:right w:val="nil"/>
            </w:tcBorders>
          </w:tcPr>
          <w:p w14:paraId="1AD3E7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739E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(0.86)</w:t>
            </w:r>
          </w:p>
        </w:tc>
        <w:tc>
          <w:tcPr>
            <w:tcW w:w="1656" w:type="dxa"/>
            <w:tcBorders>
              <w:top w:val="nil"/>
              <w:left w:val="nil"/>
              <w:bottom w:val="nil"/>
              <w:right w:val="nil"/>
            </w:tcBorders>
          </w:tcPr>
          <w:p w14:paraId="692554C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r>
      <w:tr w:rsidR="00201D4C" w:rsidRPr="00326CCA" w14:paraId="30B81AB4" w14:textId="77777777" w:rsidTr="00015B88">
        <w:tc>
          <w:tcPr>
            <w:tcW w:w="2136" w:type="dxa"/>
            <w:tcBorders>
              <w:top w:val="nil"/>
              <w:left w:val="nil"/>
              <w:bottom w:val="nil"/>
              <w:right w:val="nil"/>
            </w:tcBorders>
          </w:tcPr>
          <w:p w14:paraId="34D06CA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E4D9A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F6C4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D1EDE6F" w14:textId="77777777" w:rsidTr="00015B88">
        <w:tc>
          <w:tcPr>
            <w:tcW w:w="2136" w:type="dxa"/>
            <w:tcBorders>
              <w:top w:val="nil"/>
              <w:left w:val="nil"/>
              <w:bottom w:val="nil"/>
              <w:right w:val="nil"/>
            </w:tcBorders>
          </w:tcPr>
          <w:p w14:paraId="21E5375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L7.HOS = HOG</w:t>
            </w:r>
          </w:p>
        </w:tc>
        <w:tc>
          <w:tcPr>
            <w:tcW w:w="1656" w:type="dxa"/>
            <w:tcBorders>
              <w:top w:val="nil"/>
              <w:left w:val="nil"/>
              <w:bottom w:val="nil"/>
              <w:right w:val="nil"/>
            </w:tcBorders>
          </w:tcPr>
          <w:p w14:paraId="7189F20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-0.655</w:t>
            </w:r>
          </w:p>
        </w:tc>
        <w:tc>
          <w:tcPr>
            <w:tcW w:w="1656" w:type="dxa"/>
            <w:tcBorders>
              <w:top w:val="nil"/>
              <w:left w:val="nil"/>
              <w:bottom w:val="nil"/>
              <w:right w:val="nil"/>
            </w:tcBorders>
          </w:tcPr>
          <w:p w14:paraId="5416F16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0.171</w:t>
            </w:r>
          </w:p>
        </w:tc>
      </w:tr>
      <w:tr w:rsidR="00201D4C" w:rsidRPr="00326CCA" w14:paraId="550B6C6E" w14:textId="77777777" w:rsidTr="00015B88">
        <w:tc>
          <w:tcPr>
            <w:tcW w:w="2136" w:type="dxa"/>
            <w:tcBorders>
              <w:top w:val="nil"/>
              <w:left w:val="nil"/>
              <w:bottom w:val="nil"/>
              <w:right w:val="nil"/>
            </w:tcBorders>
          </w:tcPr>
          <w:p w14:paraId="3448197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605E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(-1.45)</w:t>
            </w:r>
          </w:p>
        </w:tc>
        <w:tc>
          <w:tcPr>
            <w:tcW w:w="1656" w:type="dxa"/>
            <w:tcBorders>
              <w:top w:val="nil"/>
              <w:left w:val="nil"/>
              <w:bottom w:val="nil"/>
              <w:right w:val="nil"/>
            </w:tcBorders>
          </w:tcPr>
          <w:p w14:paraId="7B1E668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(0.40)</w:t>
            </w:r>
          </w:p>
        </w:tc>
      </w:tr>
      <w:tr w:rsidR="00201D4C" w:rsidRPr="00326CCA" w14:paraId="12779D74" w14:textId="77777777" w:rsidTr="00015B88">
        <w:tc>
          <w:tcPr>
            <w:tcW w:w="2136" w:type="dxa"/>
            <w:tcBorders>
              <w:top w:val="nil"/>
              <w:left w:val="nil"/>
              <w:bottom w:val="nil"/>
              <w:right w:val="nil"/>
            </w:tcBorders>
          </w:tcPr>
          <w:p w14:paraId="324B95C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D90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54C0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FE4EFF2" w14:textId="77777777" w:rsidTr="00015B88">
        <w:tc>
          <w:tcPr>
            <w:tcW w:w="2136" w:type="dxa"/>
            <w:tcBorders>
              <w:top w:val="nil"/>
              <w:left w:val="nil"/>
              <w:bottom w:val="nil"/>
              <w:right w:val="nil"/>
            </w:tcBorders>
          </w:tcPr>
          <w:p w14:paraId="11E0332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L8.HOS = HOG</w:t>
            </w:r>
          </w:p>
        </w:tc>
        <w:tc>
          <w:tcPr>
            <w:tcW w:w="1656" w:type="dxa"/>
            <w:tcBorders>
              <w:top w:val="nil"/>
              <w:left w:val="nil"/>
              <w:bottom w:val="nil"/>
              <w:right w:val="nil"/>
            </w:tcBorders>
          </w:tcPr>
          <w:p w14:paraId="611701A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0.0672</w:t>
            </w:r>
          </w:p>
        </w:tc>
        <w:tc>
          <w:tcPr>
            <w:tcW w:w="1656" w:type="dxa"/>
            <w:tcBorders>
              <w:top w:val="nil"/>
              <w:left w:val="nil"/>
              <w:bottom w:val="nil"/>
              <w:right w:val="nil"/>
            </w:tcBorders>
          </w:tcPr>
          <w:p w14:paraId="4AA692F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-0.498</w:t>
            </w:r>
          </w:p>
        </w:tc>
      </w:tr>
      <w:tr w:rsidR="00201D4C" w:rsidRPr="00326CCA" w14:paraId="0C6499EA" w14:textId="77777777" w:rsidTr="00015B88">
        <w:tc>
          <w:tcPr>
            <w:tcW w:w="2136" w:type="dxa"/>
            <w:tcBorders>
              <w:top w:val="nil"/>
              <w:left w:val="nil"/>
              <w:bottom w:val="nil"/>
              <w:right w:val="nil"/>
            </w:tcBorders>
          </w:tcPr>
          <w:p w14:paraId="5CD5D12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4E45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w:t>
            </w:r>
          </w:p>
        </w:tc>
        <w:tc>
          <w:tcPr>
            <w:tcW w:w="1656" w:type="dxa"/>
            <w:tcBorders>
              <w:top w:val="nil"/>
              <w:left w:val="nil"/>
              <w:bottom w:val="nil"/>
              <w:right w:val="nil"/>
            </w:tcBorders>
          </w:tcPr>
          <w:p w14:paraId="4979838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(-1.35)</w:t>
            </w:r>
          </w:p>
        </w:tc>
      </w:tr>
      <w:tr w:rsidR="00201D4C" w:rsidRPr="00326CCA" w14:paraId="26F5F111" w14:textId="77777777" w:rsidTr="00015B88">
        <w:tc>
          <w:tcPr>
            <w:tcW w:w="2136" w:type="dxa"/>
            <w:tcBorders>
              <w:top w:val="nil"/>
              <w:left w:val="nil"/>
              <w:bottom w:val="nil"/>
              <w:right w:val="nil"/>
            </w:tcBorders>
          </w:tcPr>
          <w:p w14:paraId="0A716EB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B037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F6A4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98B012A" w14:textId="77777777" w:rsidTr="00015B88">
        <w:tc>
          <w:tcPr>
            <w:tcW w:w="2136" w:type="dxa"/>
            <w:tcBorders>
              <w:top w:val="nil"/>
              <w:left w:val="nil"/>
              <w:bottom w:val="nil"/>
              <w:right w:val="nil"/>
            </w:tcBorders>
          </w:tcPr>
          <w:p w14:paraId="442DF1D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lastRenderedPageBreak/>
              <w:t>L9.HOS = HOG</w:t>
            </w:r>
          </w:p>
        </w:tc>
        <w:tc>
          <w:tcPr>
            <w:tcW w:w="1656" w:type="dxa"/>
            <w:tcBorders>
              <w:top w:val="nil"/>
              <w:left w:val="nil"/>
              <w:bottom w:val="nil"/>
              <w:right w:val="nil"/>
            </w:tcBorders>
          </w:tcPr>
          <w:p w14:paraId="31A2B43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0.0377</w:t>
            </w:r>
          </w:p>
        </w:tc>
        <w:tc>
          <w:tcPr>
            <w:tcW w:w="1656" w:type="dxa"/>
            <w:tcBorders>
              <w:top w:val="nil"/>
              <w:left w:val="nil"/>
              <w:bottom w:val="nil"/>
              <w:right w:val="nil"/>
            </w:tcBorders>
          </w:tcPr>
          <w:p w14:paraId="49E7B0C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0.113</w:t>
            </w:r>
          </w:p>
        </w:tc>
      </w:tr>
      <w:tr w:rsidR="00201D4C" w:rsidRPr="00326CCA" w14:paraId="1A0BDCE8" w14:textId="77777777" w:rsidTr="00015B88">
        <w:tc>
          <w:tcPr>
            <w:tcW w:w="2136" w:type="dxa"/>
            <w:tcBorders>
              <w:top w:val="nil"/>
              <w:left w:val="nil"/>
              <w:bottom w:val="nil"/>
              <w:right w:val="nil"/>
            </w:tcBorders>
          </w:tcPr>
          <w:p w14:paraId="14B889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919D2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(0.10)</w:t>
            </w:r>
          </w:p>
        </w:tc>
        <w:tc>
          <w:tcPr>
            <w:tcW w:w="1656" w:type="dxa"/>
            <w:tcBorders>
              <w:top w:val="nil"/>
              <w:left w:val="nil"/>
              <w:bottom w:val="nil"/>
              <w:right w:val="nil"/>
            </w:tcBorders>
          </w:tcPr>
          <w:p w14:paraId="1B47960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(0.43)</w:t>
            </w:r>
          </w:p>
        </w:tc>
      </w:tr>
      <w:tr w:rsidR="00201D4C" w:rsidRPr="00326CCA" w14:paraId="6E231B03" w14:textId="77777777" w:rsidTr="00015B88">
        <w:tc>
          <w:tcPr>
            <w:tcW w:w="2136" w:type="dxa"/>
            <w:tcBorders>
              <w:top w:val="nil"/>
              <w:left w:val="nil"/>
              <w:bottom w:val="nil"/>
              <w:right w:val="nil"/>
            </w:tcBorders>
          </w:tcPr>
          <w:p w14:paraId="54267D6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A4EEE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6E90C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5C98EB9" w14:textId="77777777" w:rsidTr="00015B88">
        <w:tc>
          <w:tcPr>
            <w:tcW w:w="2136" w:type="dxa"/>
            <w:tcBorders>
              <w:top w:val="nil"/>
              <w:left w:val="nil"/>
              <w:bottom w:val="nil"/>
              <w:right w:val="nil"/>
            </w:tcBorders>
          </w:tcPr>
          <w:p w14:paraId="53D03E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L10.HOS = HOG</w:t>
            </w:r>
          </w:p>
        </w:tc>
        <w:tc>
          <w:tcPr>
            <w:tcW w:w="1656" w:type="dxa"/>
            <w:tcBorders>
              <w:top w:val="nil"/>
              <w:left w:val="nil"/>
              <w:bottom w:val="nil"/>
              <w:right w:val="nil"/>
            </w:tcBorders>
          </w:tcPr>
          <w:p w14:paraId="76E8307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0.450</w:t>
            </w:r>
          </w:p>
        </w:tc>
        <w:tc>
          <w:tcPr>
            <w:tcW w:w="1656" w:type="dxa"/>
            <w:tcBorders>
              <w:top w:val="nil"/>
              <w:left w:val="nil"/>
              <w:bottom w:val="nil"/>
              <w:right w:val="nil"/>
            </w:tcBorders>
          </w:tcPr>
          <w:p w14:paraId="449724B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0.319</w:t>
            </w:r>
          </w:p>
        </w:tc>
      </w:tr>
      <w:tr w:rsidR="00201D4C" w:rsidRPr="00326CCA" w14:paraId="483DC679" w14:textId="77777777" w:rsidTr="00015B88">
        <w:tc>
          <w:tcPr>
            <w:tcW w:w="2136" w:type="dxa"/>
            <w:tcBorders>
              <w:top w:val="nil"/>
              <w:left w:val="nil"/>
              <w:bottom w:val="nil"/>
              <w:right w:val="nil"/>
            </w:tcBorders>
          </w:tcPr>
          <w:p w14:paraId="507544C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C134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(1.57)</w:t>
            </w:r>
          </w:p>
        </w:tc>
        <w:tc>
          <w:tcPr>
            <w:tcW w:w="1656" w:type="dxa"/>
            <w:tcBorders>
              <w:top w:val="nil"/>
              <w:left w:val="nil"/>
              <w:bottom w:val="nil"/>
              <w:right w:val="nil"/>
            </w:tcBorders>
          </w:tcPr>
          <w:p w14:paraId="3EDB8EB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(1.07)</w:t>
            </w:r>
          </w:p>
        </w:tc>
      </w:tr>
      <w:tr w:rsidR="00201D4C" w:rsidRPr="00326CCA" w14:paraId="4945A0A6" w14:textId="77777777" w:rsidTr="00015B88">
        <w:tc>
          <w:tcPr>
            <w:tcW w:w="2136" w:type="dxa"/>
            <w:tcBorders>
              <w:top w:val="nil"/>
              <w:left w:val="nil"/>
              <w:bottom w:val="nil"/>
              <w:right w:val="nil"/>
            </w:tcBorders>
          </w:tcPr>
          <w:p w14:paraId="04F3ED1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B8E8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F8B9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48C474" w14:textId="77777777" w:rsidTr="00015B88">
        <w:tc>
          <w:tcPr>
            <w:tcW w:w="2136" w:type="dxa"/>
            <w:tcBorders>
              <w:top w:val="nil"/>
              <w:left w:val="nil"/>
              <w:bottom w:val="nil"/>
              <w:right w:val="nil"/>
            </w:tcBorders>
          </w:tcPr>
          <w:p w14:paraId="0F30DF6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326CCA">
              <w:rPr>
                <w:rFonts w:ascii="Times New Roman" w:hAnsi="Times New Roman" w:cs="Times New Roman"/>
                <w:sz w:val="16"/>
                <w:szCs w:val="16"/>
              </w:rPr>
              <w:t>L.De</w:t>
            </w:r>
            <w:proofErr w:type="spellEnd"/>
            <w:r w:rsidRPr="00326CCA">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60F6C60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0.208</w:t>
            </w:r>
          </w:p>
        </w:tc>
        <w:tc>
          <w:tcPr>
            <w:tcW w:w="1656" w:type="dxa"/>
            <w:tcBorders>
              <w:top w:val="nil"/>
              <w:left w:val="nil"/>
              <w:bottom w:val="nil"/>
              <w:right w:val="nil"/>
            </w:tcBorders>
          </w:tcPr>
          <w:p w14:paraId="7619194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0.125</w:t>
            </w:r>
          </w:p>
        </w:tc>
      </w:tr>
      <w:tr w:rsidR="00201D4C" w:rsidRPr="00326CCA" w14:paraId="41129424" w14:textId="77777777" w:rsidTr="00015B88">
        <w:tc>
          <w:tcPr>
            <w:tcW w:w="2136" w:type="dxa"/>
            <w:tcBorders>
              <w:top w:val="nil"/>
              <w:left w:val="nil"/>
              <w:bottom w:val="nil"/>
              <w:right w:val="nil"/>
            </w:tcBorders>
          </w:tcPr>
          <w:p w14:paraId="38A5667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58B2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(1.38)</w:t>
            </w:r>
          </w:p>
        </w:tc>
        <w:tc>
          <w:tcPr>
            <w:tcW w:w="1656" w:type="dxa"/>
            <w:tcBorders>
              <w:top w:val="nil"/>
              <w:left w:val="nil"/>
              <w:bottom w:val="nil"/>
              <w:right w:val="nil"/>
            </w:tcBorders>
          </w:tcPr>
          <w:p w14:paraId="31BC3FD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(0.90)</w:t>
            </w:r>
          </w:p>
        </w:tc>
      </w:tr>
      <w:tr w:rsidR="00201D4C" w:rsidRPr="00326CCA" w14:paraId="1138264F" w14:textId="77777777" w:rsidTr="00015B88">
        <w:tc>
          <w:tcPr>
            <w:tcW w:w="2136" w:type="dxa"/>
            <w:tcBorders>
              <w:top w:val="nil"/>
              <w:left w:val="nil"/>
              <w:bottom w:val="nil"/>
              <w:right w:val="nil"/>
            </w:tcBorders>
          </w:tcPr>
          <w:p w14:paraId="00CA08C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EF8F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6199D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F9DDD24" w14:textId="77777777" w:rsidTr="00015B88">
        <w:tc>
          <w:tcPr>
            <w:tcW w:w="2136" w:type="dxa"/>
            <w:tcBorders>
              <w:top w:val="nil"/>
              <w:left w:val="nil"/>
              <w:bottom w:val="nil"/>
              <w:right w:val="nil"/>
            </w:tcBorders>
          </w:tcPr>
          <w:p w14:paraId="3222671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L2.De Facto CBI * HOS = HOG</w:t>
            </w:r>
          </w:p>
        </w:tc>
        <w:tc>
          <w:tcPr>
            <w:tcW w:w="1656" w:type="dxa"/>
            <w:tcBorders>
              <w:top w:val="nil"/>
              <w:left w:val="nil"/>
              <w:bottom w:val="nil"/>
              <w:right w:val="nil"/>
            </w:tcBorders>
          </w:tcPr>
          <w:p w14:paraId="6CD98E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-0.140</w:t>
            </w:r>
          </w:p>
        </w:tc>
        <w:tc>
          <w:tcPr>
            <w:tcW w:w="1656" w:type="dxa"/>
            <w:tcBorders>
              <w:top w:val="nil"/>
              <w:left w:val="nil"/>
              <w:bottom w:val="nil"/>
              <w:right w:val="nil"/>
            </w:tcBorders>
          </w:tcPr>
          <w:p w14:paraId="7134517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-0.0805</w:t>
            </w:r>
          </w:p>
        </w:tc>
      </w:tr>
      <w:tr w:rsidR="00201D4C" w:rsidRPr="00326CCA" w14:paraId="2D2290C9" w14:textId="77777777" w:rsidTr="00015B88">
        <w:tc>
          <w:tcPr>
            <w:tcW w:w="2136" w:type="dxa"/>
            <w:tcBorders>
              <w:top w:val="nil"/>
              <w:left w:val="nil"/>
              <w:bottom w:val="nil"/>
              <w:right w:val="nil"/>
            </w:tcBorders>
          </w:tcPr>
          <w:p w14:paraId="263971E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2FA1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(-0.87)</w:t>
            </w:r>
          </w:p>
        </w:tc>
        <w:tc>
          <w:tcPr>
            <w:tcW w:w="1656" w:type="dxa"/>
            <w:tcBorders>
              <w:top w:val="nil"/>
              <w:left w:val="nil"/>
              <w:bottom w:val="nil"/>
              <w:right w:val="nil"/>
            </w:tcBorders>
          </w:tcPr>
          <w:p w14:paraId="2CD0278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(-0.59)</w:t>
            </w:r>
          </w:p>
        </w:tc>
      </w:tr>
      <w:tr w:rsidR="00201D4C" w:rsidRPr="00326CCA" w14:paraId="14E08006" w14:textId="77777777" w:rsidTr="00015B88">
        <w:tc>
          <w:tcPr>
            <w:tcW w:w="2136" w:type="dxa"/>
            <w:tcBorders>
              <w:top w:val="nil"/>
              <w:left w:val="nil"/>
              <w:bottom w:val="nil"/>
              <w:right w:val="nil"/>
            </w:tcBorders>
          </w:tcPr>
          <w:p w14:paraId="221941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EA9EA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566A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FADDBB9" w14:textId="77777777" w:rsidTr="00015B88">
        <w:tc>
          <w:tcPr>
            <w:tcW w:w="2136" w:type="dxa"/>
            <w:tcBorders>
              <w:top w:val="nil"/>
              <w:left w:val="nil"/>
              <w:bottom w:val="nil"/>
              <w:right w:val="nil"/>
            </w:tcBorders>
          </w:tcPr>
          <w:p w14:paraId="039C226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L3.De Facto CBI * HOS = HOG</w:t>
            </w:r>
          </w:p>
        </w:tc>
        <w:tc>
          <w:tcPr>
            <w:tcW w:w="1656" w:type="dxa"/>
            <w:tcBorders>
              <w:top w:val="nil"/>
              <w:left w:val="nil"/>
              <w:bottom w:val="nil"/>
              <w:right w:val="nil"/>
            </w:tcBorders>
          </w:tcPr>
          <w:p w14:paraId="17E1649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-0.0197</w:t>
            </w:r>
          </w:p>
        </w:tc>
        <w:tc>
          <w:tcPr>
            <w:tcW w:w="1656" w:type="dxa"/>
            <w:tcBorders>
              <w:top w:val="nil"/>
              <w:left w:val="nil"/>
              <w:bottom w:val="nil"/>
              <w:right w:val="nil"/>
            </w:tcBorders>
          </w:tcPr>
          <w:p w14:paraId="3CDC1EF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0.0328</w:t>
            </w:r>
          </w:p>
        </w:tc>
      </w:tr>
      <w:tr w:rsidR="00201D4C" w:rsidRPr="00326CCA" w14:paraId="5BFCA815" w14:textId="77777777" w:rsidTr="00015B88">
        <w:tc>
          <w:tcPr>
            <w:tcW w:w="2136" w:type="dxa"/>
            <w:tcBorders>
              <w:top w:val="nil"/>
              <w:left w:val="nil"/>
              <w:bottom w:val="nil"/>
              <w:right w:val="nil"/>
            </w:tcBorders>
          </w:tcPr>
          <w:p w14:paraId="5BD3283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9AD6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(-0.13)</w:t>
            </w:r>
          </w:p>
        </w:tc>
        <w:tc>
          <w:tcPr>
            <w:tcW w:w="1656" w:type="dxa"/>
            <w:tcBorders>
              <w:top w:val="nil"/>
              <w:left w:val="nil"/>
              <w:bottom w:val="nil"/>
              <w:right w:val="nil"/>
            </w:tcBorders>
          </w:tcPr>
          <w:p w14:paraId="443F0F5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(0.26)</w:t>
            </w:r>
          </w:p>
        </w:tc>
      </w:tr>
      <w:tr w:rsidR="00201D4C" w:rsidRPr="00326CCA" w14:paraId="773094CC" w14:textId="77777777" w:rsidTr="00015B88">
        <w:tc>
          <w:tcPr>
            <w:tcW w:w="2136" w:type="dxa"/>
            <w:tcBorders>
              <w:top w:val="nil"/>
              <w:left w:val="nil"/>
              <w:bottom w:val="nil"/>
              <w:right w:val="nil"/>
            </w:tcBorders>
          </w:tcPr>
          <w:p w14:paraId="06C9101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7AE96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8938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3F54A9A" w14:textId="77777777" w:rsidTr="00015B88">
        <w:tc>
          <w:tcPr>
            <w:tcW w:w="2136" w:type="dxa"/>
            <w:tcBorders>
              <w:top w:val="nil"/>
              <w:left w:val="nil"/>
              <w:bottom w:val="nil"/>
              <w:right w:val="nil"/>
            </w:tcBorders>
          </w:tcPr>
          <w:p w14:paraId="1DC9604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L4.De Facto CBI * HOS = HOG</w:t>
            </w:r>
          </w:p>
        </w:tc>
        <w:tc>
          <w:tcPr>
            <w:tcW w:w="1656" w:type="dxa"/>
            <w:tcBorders>
              <w:top w:val="nil"/>
              <w:left w:val="nil"/>
              <w:bottom w:val="nil"/>
              <w:right w:val="nil"/>
            </w:tcBorders>
          </w:tcPr>
          <w:p w14:paraId="517F5B8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-0.0389</w:t>
            </w:r>
          </w:p>
        </w:tc>
        <w:tc>
          <w:tcPr>
            <w:tcW w:w="1656" w:type="dxa"/>
            <w:tcBorders>
              <w:top w:val="nil"/>
              <w:left w:val="nil"/>
              <w:bottom w:val="nil"/>
              <w:right w:val="nil"/>
            </w:tcBorders>
          </w:tcPr>
          <w:p w14:paraId="1DE7652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0.0621</w:t>
            </w:r>
          </w:p>
        </w:tc>
      </w:tr>
      <w:tr w:rsidR="00201D4C" w:rsidRPr="00326CCA" w14:paraId="7C4EF439" w14:textId="77777777" w:rsidTr="00015B88">
        <w:tc>
          <w:tcPr>
            <w:tcW w:w="2136" w:type="dxa"/>
            <w:tcBorders>
              <w:top w:val="nil"/>
              <w:left w:val="nil"/>
              <w:bottom w:val="nil"/>
              <w:right w:val="nil"/>
            </w:tcBorders>
          </w:tcPr>
          <w:p w14:paraId="643BC8B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90EFD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(-0.22)</w:t>
            </w:r>
          </w:p>
        </w:tc>
        <w:tc>
          <w:tcPr>
            <w:tcW w:w="1656" w:type="dxa"/>
            <w:tcBorders>
              <w:top w:val="nil"/>
              <w:left w:val="nil"/>
              <w:bottom w:val="nil"/>
              <w:right w:val="nil"/>
            </w:tcBorders>
          </w:tcPr>
          <w:p w14:paraId="274E34F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(0.41)</w:t>
            </w:r>
          </w:p>
        </w:tc>
      </w:tr>
      <w:tr w:rsidR="00201D4C" w:rsidRPr="00326CCA" w14:paraId="076DFF3F" w14:textId="77777777" w:rsidTr="00015B88">
        <w:tc>
          <w:tcPr>
            <w:tcW w:w="2136" w:type="dxa"/>
            <w:tcBorders>
              <w:top w:val="nil"/>
              <w:left w:val="nil"/>
              <w:bottom w:val="nil"/>
              <w:right w:val="nil"/>
            </w:tcBorders>
          </w:tcPr>
          <w:p w14:paraId="7BFC2B0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0AF9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03C4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F886352" w14:textId="77777777" w:rsidTr="00015B88">
        <w:tc>
          <w:tcPr>
            <w:tcW w:w="2136" w:type="dxa"/>
            <w:tcBorders>
              <w:top w:val="nil"/>
              <w:left w:val="nil"/>
              <w:bottom w:val="nil"/>
              <w:right w:val="nil"/>
            </w:tcBorders>
          </w:tcPr>
          <w:p w14:paraId="21E5D09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L5.De Facto CBI * HOS = HOG</w:t>
            </w:r>
          </w:p>
        </w:tc>
        <w:tc>
          <w:tcPr>
            <w:tcW w:w="1656" w:type="dxa"/>
            <w:tcBorders>
              <w:top w:val="nil"/>
              <w:left w:val="nil"/>
              <w:bottom w:val="nil"/>
              <w:right w:val="nil"/>
            </w:tcBorders>
          </w:tcPr>
          <w:p w14:paraId="087F9C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-0.0499</w:t>
            </w:r>
          </w:p>
        </w:tc>
        <w:tc>
          <w:tcPr>
            <w:tcW w:w="1656" w:type="dxa"/>
            <w:tcBorders>
              <w:top w:val="nil"/>
              <w:left w:val="nil"/>
              <w:bottom w:val="nil"/>
              <w:right w:val="nil"/>
            </w:tcBorders>
          </w:tcPr>
          <w:p w14:paraId="22A59E7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-0.0965</w:t>
            </w:r>
          </w:p>
        </w:tc>
      </w:tr>
      <w:tr w:rsidR="00201D4C" w:rsidRPr="00326CCA" w14:paraId="0C5F2416" w14:textId="77777777" w:rsidTr="00015B88">
        <w:tc>
          <w:tcPr>
            <w:tcW w:w="2136" w:type="dxa"/>
            <w:tcBorders>
              <w:top w:val="nil"/>
              <w:left w:val="nil"/>
              <w:bottom w:val="nil"/>
              <w:right w:val="nil"/>
            </w:tcBorders>
          </w:tcPr>
          <w:p w14:paraId="2E57509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BB071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(-0.30)</w:t>
            </w:r>
          </w:p>
        </w:tc>
        <w:tc>
          <w:tcPr>
            <w:tcW w:w="1656" w:type="dxa"/>
            <w:tcBorders>
              <w:top w:val="nil"/>
              <w:left w:val="nil"/>
              <w:bottom w:val="nil"/>
              <w:right w:val="nil"/>
            </w:tcBorders>
          </w:tcPr>
          <w:p w14:paraId="300D036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(-0.68)</w:t>
            </w:r>
          </w:p>
        </w:tc>
      </w:tr>
      <w:tr w:rsidR="00201D4C" w:rsidRPr="00326CCA" w14:paraId="0E14E5A8" w14:textId="77777777" w:rsidTr="00015B88">
        <w:tc>
          <w:tcPr>
            <w:tcW w:w="2136" w:type="dxa"/>
            <w:tcBorders>
              <w:top w:val="nil"/>
              <w:left w:val="nil"/>
              <w:bottom w:val="nil"/>
              <w:right w:val="nil"/>
            </w:tcBorders>
          </w:tcPr>
          <w:p w14:paraId="38F8246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9570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ACE96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AB1CA3D" w14:textId="77777777" w:rsidTr="00015B88">
        <w:tc>
          <w:tcPr>
            <w:tcW w:w="2136" w:type="dxa"/>
            <w:tcBorders>
              <w:top w:val="nil"/>
              <w:left w:val="nil"/>
              <w:bottom w:val="nil"/>
              <w:right w:val="nil"/>
            </w:tcBorders>
          </w:tcPr>
          <w:p w14:paraId="52BB174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L6.De Facto CBI * HOS = HOG</w:t>
            </w:r>
          </w:p>
        </w:tc>
        <w:tc>
          <w:tcPr>
            <w:tcW w:w="1656" w:type="dxa"/>
            <w:tcBorders>
              <w:top w:val="nil"/>
              <w:left w:val="nil"/>
              <w:bottom w:val="nil"/>
              <w:right w:val="nil"/>
            </w:tcBorders>
          </w:tcPr>
          <w:p w14:paraId="6E78CF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-0.208</w:t>
            </w:r>
          </w:p>
        </w:tc>
        <w:tc>
          <w:tcPr>
            <w:tcW w:w="1656" w:type="dxa"/>
            <w:tcBorders>
              <w:top w:val="nil"/>
              <w:left w:val="nil"/>
              <w:bottom w:val="nil"/>
              <w:right w:val="nil"/>
            </w:tcBorders>
          </w:tcPr>
          <w:p w14:paraId="2BCE1F8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-0.111</w:t>
            </w:r>
          </w:p>
        </w:tc>
      </w:tr>
      <w:tr w:rsidR="00201D4C" w:rsidRPr="00326CCA" w14:paraId="0D9BC5B9" w14:textId="77777777" w:rsidTr="00015B88">
        <w:tc>
          <w:tcPr>
            <w:tcW w:w="2136" w:type="dxa"/>
            <w:tcBorders>
              <w:top w:val="nil"/>
              <w:left w:val="nil"/>
              <w:bottom w:val="nil"/>
              <w:right w:val="nil"/>
            </w:tcBorders>
          </w:tcPr>
          <w:p w14:paraId="11A86CE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661B8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(-1.45)</w:t>
            </w:r>
          </w:p>
        </w:tc>
        <w:tc>
          <w:tcPr>
            <w:tcW w:w="1656" w:type="dxa"/>
            <w:tcBorders>
              <w:top w:val="nil"/>
              <w:left w:val="nil"/>
              <w:bottom w:val="nil"/>
              <w:right w:val="nil"/>
            </w:tcBorders>
          </w:tcPr>
          <w:p w14:paraId="3939F1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(-0.95)</w:t>
            </w:r>
          </w:p>
        </w:tc>
      </w:tr>
      <w:tr w:rsidR="00201D4C" w:rsidRPr="00326CCA" w14:paraId="1E1B7B8F" w14:textId="77777777" w:rsidTr="00015B88">
        <w:tc>
          <w:tcPr>
            <w:tcW w:w="2136" w:type="dxa"/>
            <w:tcBorders>
              <w:top w:val="nil"/>
              <w:left w:val="nil"/>
              <w:bottom w:val="nil"/>
              <w:right w:val="nil"/>
            </w:tcBorders>
          </w:tcPr>
          <w:p w14:paraId="2BFCFC5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69369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5F7C3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289A682" w14:textId="77777777" w:rsidTr="00015B88">
        <w:tc>
          <w:tcPr>
            <w:tcW w:w="2136" w:type="dxa"/>
            <w:tcBorders>
              <w:top w:val="nil"/>
              <w:left w:val="nil"/>
              <w:bottom w:val="nil"/>
              <w:right w:val="nil"/>
            </w:tcBorders>
          </w:tcPr>
          <w:p w14:paraId="1F5FD52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L7.De Facto CBI * HOS = HOG</w:t>
            </w:r>
          </w:p>
        </w:tc>
        <w:tc>
          <w:tcPr>
            <w:tcW w:w="1656" w:type="dxa"/>
            <w:tcBorders>
              <w:top w:val="nil"/>
              <w:left w:val="nil"/>
              <w:bottom w:val="nil"/>
              <w:right w:val="nil"/>
            </w:tcBorders>
          </w:tcPr>
          <w:p w14:paraId="3A80CF1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0.258</w:t>
            </w:r>
          </w:p>
        </w:tc>
        <w:tc>
          <w:tcPr>
            <w:tcW w:w="1656" w:type="dxa"/>
            <w:tcBorders>
              <w:top w:val="nil"/>
              <w:left w:val="nil"/>
              <w:bottom w:val="nil"/>
              <w:right w:val="nil"/>
            </w:tcBorders>
          </w:tcPr>
          <w:p w14:paraId="7A96BA9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0.00318</w:t>
            </w:r>
          </w:p>
        </w:tc>
      </w:tr>
      <w:tr w:rsidR="00201D4C" w:rsidRPr="00326CCA" w14:paraId="00DA1D43" w14:textId="77777777" w:rsidTr="00015B88">
        <w:tc>
          <w:tcPr>
            <w:tcW w:w="2136" w:type="dxa"/>
            <w:tcBorders>
              <w:top w:val="nil"/>
              <w:left w:val="nil"/>
              <w:bottom w:val="nil"/>
              <w:right w:val="nil"/>
            </w:tcBorders>
          </w:tcPr>
          <w:p w14:paraId="25C5C7C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E15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(1.63)</w:t>
            </w:r>
          </w:p>
        </w:tc>
        <w:tc>
          <w:tcPr>
            <w:tcW w:w="1656" w:type="dxa"/>
            <w:tcBorders>
              <w:top w:val="nil"/>
              <w:left w:val="nil"/>
              <w:bottom w:val="nil"/>
              <w:right w:val="nil"/>
            </w:tcBorders>
          </w:tcPr>
          <w:p w14:paraId="78DDB08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w:t>
            </w:r>
          </w:p>
        </w:tc>
      </w:tr>
      <w:tr w:rsidR="00201D4C" w:rsidRPr="00326CCA" w14:paraId="2E17F303" w14:textId="77777777" w:rsidTr="00015B88">
        <w:tc>
          <w:tcPr>
            <w:tcW w:w="2136" w:type="dxa"/>
            <w:tcBorders>
              <w:top w:val="nil"/>
              <w:left w:val="nil"/>
              <w:bottom w:val="nil"/>
              <w:right w:val="nil"/>
            </w:tcBorders>
          </w:tcPr>
          <w:p w14:paraId="4AA1435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A2578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05787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5A34AA80" w14:textId="77777777" w:rsidTr="00015B88">
        <w:tc>
          <w:tcPr>
            <w:tcW w:w="2136" w:type="dxa"/>
            <w:tcBorders>
              <w:top w:val="nil"/>
              <w:left w:val="nil"/>
              <w:bottom w:val="nil"/>
              <w:right w:val="nil"/>
            </w:tcBorders>
          </w:tcPr>
          <w:p w14:paraId="67D27CC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L8.De Facto CBI * HOS = HOG</w:t>
            </w:r>
          </w:p>
        </w:tc>
        <w:tc>
          <w:tcPr>
            <w:tcW w:w="1656" w:type="dxa"/>
            <w:tcBorders>
              <w:top w:val="nil"/>
              <w:left w:val="nil"/>
              <w:bottom w:val="nil"/>
              <w:right w:val="nil"/>
            </w:tcBorders>
          </w:tcPr>
          <w:p w14:paraId="1109AB1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0.292</w:t>
            </w:r>
          </w:p>
        </w:tc>
        <w:tc>
          <w:tcPr>
            <w:tcW w:w="1656" w:type="dxa"/>
            <w:tcBorders>
              <w:top w:val="nil"/>
              <w:left w:val="nil"/>
              <w:bottom w:val="nil"/>
              <w:right w:val="nil"/>
            </w:tcBorders>
          </w:tcPr>
          <w:p w14:paraId="3AF5988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0.211</w:t>
            </w:r>
          </w:p>
        </w:tc>
      </w:tr>
      <w:tr w:rsidR="00201D4C" w:rsidRPr="00326CCA" w14:paraId="5EDFF3E6" w14:textId="77777777" w:rsidTr="00015B88">
        <w:tc>
          <w:tcPr>
            <w:tcW w:w="2136" w:type="dxa"/>
            <w:tcBorders>
              <w:top w:val="nil"/>
              <w:left w:val="nil"/>
              <w:bottom w:val="nil"/>
              <w:right w:val="nil"/>
            </w:tcBorders>
          </w:tcPr>
          <w:p w14:paraId="317DDC7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FDDF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(1.80)</w:t>
            </w:r>
          </w:p>
        </w:tc>
        <w:tc>
          <w:tcPr>
            <w:tcW w:w="1656" w:type="dxa"/>
            <w:tcBorders>
              <w:top w:val="nil"/>
              <w:left w:val="nil"/>
              <w:bottom w:val="nil"/>
              <w:right w:val="nil"/>
            </w:tcBorders>
          </w:tcPr>
          <w:p w14:paraId="7873BFB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(1.63)</w:t>
            </w:r>
          </w:p>
        </w:tc>
      </w:tr>
      <w:tr w:rsidR="00201D4C" w:rsidRPr="00326CCA" w14:paraId="7FE2F9E5" w14:textId="77777777" w:rsidTr="00015B88">
        <w:tc>
          <w:tcPr>
            <w:tcW w:w="2136" w:type="dxa"/>
            <w:tcBorders>
              <w:top w:val="nil"/>
              <w:left w:val="nil"/>
              <w:bottom w:val="nil"/>
              <w:right w:val="nil"/>
            </w:tcBorders>
          </w:tcPr>
          <w:p w14:paraId="509CB7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3256F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E9A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66A128A" w14:textId="77777777" w:rsidTr="00015B88">
        <w:tc>
          <w:tcPr>
            <w:tcW w:w="2136" w:type="dxa"/>
            <w:tcBorders>
              <w:top w:val="nil"/>
              <w:left w:val="nil"/>
              <w:bottom w:val="nil"/>
              <w:right w:val="nil"/>
            </w:tcBorders>
          </w:tcPr>
          <w:p w14:paraId="4199D1E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L9.De Facto CBI * HOS = HOG</w:t>
            </w:r>
          </w:p>
        </w:tc>
        <w:tc>
          <w:tcPr>
            <w:tcW w:w="1656" w:type="dxa"/>
            <w:tcBorders>
              <w:top w:val="nil"/>
              <w:left w:val="nil"/>
              <w:bottom w:val="nil"/>
              <w:right w:val="nil"/>
            </w:tcBorders>
          </w:tcPr>
          <w:p w14:paraId="45178E8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-0.476</w:t>
            </w:r>
            <w:r w:rsidRPr="00326CCA">
              <w:rPr>
                <w:rFonts w:ascii="Times New Roman" w:hAnsi="Times New Roman" w:cs="Times New Roman"/>
                <w:sz w:val="16"/>
                <w:szCs w:val="16"/>
                <w:vertAlign w:val="superscript"/>
              </w:rPr>
              <w:t>*</w:t>
            </w:r>
          </w:p>
        </w:tc>
        <w:tc>
          <w:tcPr>
            <w:tcW w:w="1656" w:type="dxa"/>
            <w:tcBorders>
              <w:top w:val="nil"/>
              <w:left w:val="nil"/>
              <w:bottom w:val="nil"/>
              <w:right w:val="nil"/>
            </w:tcBorders>
          </w:tcPr>
          <w:p w14:paraId="33C3763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-0.228</w:t>
            </w:r>
          </w:p>
        </w:tc>
      </w:tr>
      <w:tr w:rsidR="00201D4C" w:rsidRPr="00326CCA" w14:paraId="4F2EE992" w14:textId="77777777" w:rsidTr="00015B88">
        <w:tc>
          <w:tcPr>
            <w:tcW w:w="2136" w:type="dxa"/>
            <w:tcBorders>
              <w:top w:val="nil"/>
              <w:left w:val="nil"/>
              <w:bottom w:val="nil"/>
              <w:right w:val="nil"/>
            </w:tcBorders>
          </w:tcPr>
          <w:p w14:paraId="0E5638C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D4C2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(-2.59)</w:t>
            </w:r>
          </w:p>
        </w:tc>
        <w:tc>
          <w:tcPr>
            <w:tcW w:w="1656" w:type="dxa"/>
            <w:tcBorders>
              <w:top w:val="nil"/>
              <w:left w:val="nil"/>
              <w:bottom w:val="nil"/>
              <w:right w:val="nil"/>
            </w:tcBorders>
          </w:tcPr>
          <w:p w14:paraId="0AEEC1B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(-1.46)</w:t>
            </w:r>
          </w:p>
        </w:tc>
      </w:tr>
      <w:tr w:rsidR="00201D4C" w:rsidRPr="00326CCA" w14:paraId="572E3D74" w14:textId="77777777" w:rsidTr="00015B88">
        <w:tc>
          <w:tcPr>
            <w:tcW w:w="2136" w:type="dxa"/>
            <w:tcBorders>
              <w:top w:val="nil"/>
              <w:left w:val="nil"/>
              <w:bottom w:val="nil"/>
              <w:right w:val="nil"/>
            </w:tcBorders>
          </w:tcPr>
          <w:p w14:paraId="55C3640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0254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03B18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2C7485B" w14:textId="77777777" w:rsidTr="00015B88">
        <w:tc>
          <w:tcPr>
            <w:tcW w:w="2136" w:type="dxa"/>
            <w:tcBorders>
              <w:top w:val="nil"/>
              <w:left w:val="nil"/>
              <w:bottom w:val="nil"/>
              <w:right w:val="nil"/>
            </w:tcBorders>
          </w:tcPr>
          <w:p w14:paraId="23F8746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L10.De Facto CBI * HOS = HOG</w:t>
            </w:r>
          </w:p>
        </w:tc>
        <w:tc>
          <w:tcPr>
            <w:tcW w:w="1656" w:type="dxa"/>
            <w:tcBorders>
              <w:top w:val="nil"/>
              <w:left w:val="nil"/>
              <w:bottom w:val="nil"/>
              <w:right w:val="nil"/>
            </w:tcBorders>
          </w:tcPr>
          <w:p w14:paraId="0D96E83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-0.251</w:t>
            </w:r>
          </w:p>
        </w:tc>
        <w:tc>
          <w:tcPr>
            <w:tcW w:w="1656" w:type="dxa"/>
            <w:tcBorders>
              <w:top w:val="nil"/>
              <w:left w:val="nil"/>
              <w:bottom w:val="nil"/>
              <w:right w:val="nil"/>
            </w:tcBorders>
          </w:tcPr>
          <w:p w14:paraId="71575A6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-0.103</w:t>
            </w:r>
          </w:p>
        </w:tc>
      </w:tr>
      <w:tr w:rsidR="00201D4C" w:rsidRPr="00326CCA" w14:paraId="5CA5DCCF" w14:textId="77777777" w:rsidTr="00015B88">
        <w:tc>
          <w:tcPr>
            <w:tcW w:w="2136" w:type="dxa"/>
            <w:tcBorders>
              <w:top w:val="nil"/>
              <w:left w:val="nil"/>
              <w:bottom w:val="nil"/>
              <w:right w:val="nil"/>
            </w:tcBorders>
          </w:tcPr>
          <w:p w14:paraId="122FB1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BA75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(-1.39)</w:t>
            </w:r>
          </w:p>
        </w:tc>
        <w:tc>
          <w:tcPr>
            <w:tcW w:w="1656" w:type="dxa"/>
            <w:tcBorders>
              <w:top w:val="nil"/>
              <w:left w:val="nil"/>
              <w:bottom w:val="nil"/>
              <w:right w:val="nil"/>
            </w:tcBorders>
          </w:tcPr>
          <w:p w14:paraId="1C10BAF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(-0.63)</w:t>
            </w:r>
          </w:p>
        </w:tc>
      </w:tr>
      <w:tr w:rsidR="00201D4C" w:rsidRPr="00326CCA" w14:paraId="2D5713B3" w14:textId="77777777" w:rsidTr="00015B88">
        <w:tc>
          <w:tcPr>
            <w:tcW w:w="2136" w:type="dxa"/>
            <w:tcBorders>
              <w:top w:val="nil"/>
              <w:left w:val="nil"/>
              <w:bottom w:val="nil"/>
              <w:right w:val="nil"/>
            </w:tcBorders>
          </w:tcPr>
          <w:p w14:paraId="6214D66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2FCA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3391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6C0F013" w14:textId="77777777" w:rsidTr="00015B88">
        <w:tc>
          <w:tcPr>
            <w:tcW w:w="2136" w:type="dxa"/>
            <w:tcBorders>
              <w:top w:val="nil"/>
              <w:left w:val="nil"/>
              <w:bottom w:val="nil"/>
              <w:right w:val="nil"/>
            </w:tcBorders>
          </w:tcPr>
          <w:p w14:paraId="009B979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326CCA">
              <w:rPr>
                <w:rFonts w:ascii="Times New Roman" w:hAnsi="Times New Roman" w:cs="Times New Roman"/>
                <w:sz w:val="16"/>
                <w:szCs w:val="16"/>
              </w:rPr>
              <w:t>L.More</w:t>
            </w:r>
            <w:proofErr w:type="spellEnd"/>
            <w:r w:rsidRPr="00326CCA">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6C1436D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-0.00218</w:t>
            </w:r>
          </w:p>
        </w:tc>
        <w:tc>
          <w:tcPr>
            <w:tcW w:w="1656" w:type="dxa"/>
            <w:tcBorders>
              <w:top w:val="nil"/>
              <w:left w:val="nil"/>
              <w:bottom w:val="nil"/>
              <w:right w:val="nil"/>
            </w:tcBorders>
          </w:tcPr>
          <w:p w14:paraId="5E893AB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0.0491</w:t>
            </w:r>
          </w:p>
        </w:tc>
      </w:tr>
      <w:tr w:rsidR="00201D4C" w:rsidRPr="00326CCA" w14:paraId="7C4A7D42" w14:textId="77777777" w:rsidTr="00015B88">
        <w:tc>
          <w:tcPr>
            <w:tcW w:w="2136" w:type="dxa"/>
            <w:tcBorders>
              <w:top w:val="nil"/>
              <w:left w:val="nil"/>
              <w:bottom w:val="nil"/>
              <w:right w:val="nil"/>
            </w:tcBorders>
          </w:tcPr>
          <w:p w14:paraId="12C6FD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E9372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(-0.05)</w:t>
            </w:r>
          </w:p>
        </w:tc>
        <w:tc>
          <w:tcPr>
            <w:tcW w:w="1656" w:type="dxa"/>
            <w:tcBorders>
              <w:top w:val="nil"/>
              <w:left w:val="nil"/>
              <w:bottom w:val="nil"/>
              <w:right w:val="nil"/>
            </w:tcBorders>
          </w:tcPr>
          <w:p w14:paraId="6BF6739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(1.23)</w:t>
            </w:r>
          </w:p>
        </w:tc>
      </w:tr>
      <w:tr w:rsidR="00201D4C" w:rsidRPr="00326CCA" w14:paraId="3BD5C8B3" w14:textId="77777777" w:rsidTr="00015B88">
        <w:tc>
          <w:tcPr>
            <w:tcW w:w="2136" w:type="dxa"/>
            <w:tcBorders>
              <w:top w:val="nil"/>
              <w:left w:val="nil"/>
              <w:bottom w:val="nil"/>
              <w:right w:val="nil"/>
            </w:tcBorders>
          </w:tcPr>
          <w:p w14:paraId="50B4557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40C12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FC59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A9D532F" w14:textId="77777777" w:rsidTr="00015B88">
        <w:tc>
          <w:tcPr>
            <w:tcW w:w="2136" w:type="dxa"/>
            <w:tcBorders>
              <w:top w:val="nil"/>
              <w:left w:val="nil"/>
              <w:bottom w:val="nil"/>
              <w:right w:val="nil"/>
            </w:tcBorders>
          </w:tcPr>
          <w:p w14:paraId="138145F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L2.More Fixed Rate * HOS = HOG</w:t>
            </w:r>
          </w:p>
        </w:tc>
        <w:tc>
          <w:tcPr>
            <w:tcW w:w="1656" w:type="dxa"/>
            <w:tcBorders>
              <w:top w:val="nil"/>
              <w:left w:val="nil"/>
              <w:bottom w:val="nil"/>
              <w:right w:val="nil"/>
            </w:tcBorders>
          </w:tcPr>
          <w:p w14:paraId="6165940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0.00838</w:t>
            </w:r>
          </w:p>
        </w:tc>
        <w:tc>
          <w:tcPr>
            <w:tcW w:w="1656" w:type="dxa"/>
            <w:tcBorders>
              <w:top w:val="nil"/>
              <w:left w:val="nil"/>
              <w:bottom w:val="nil"/>
              <w:right w:val="nil"/>
            </w:tcBorders>
          </w:tcPr>
          <w:p w14:paraId="10EDC4F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-0.0360</w:t>
            </w:r>
          </w:p>
        </w:tc>
      </w:tr>
      <w:tr w:rsidR="00201D4C" w:rsidRPr="00326CCA" w14:paraId="70A062DC" w14:textId="77777777" w:rsidTr="00015B88">
        <w:tc>
          <w:tcPr>
            <w:tcW w:w="2136" w:type="dxa"/>
            <w:tcBorders>
              <w:top w:val="nil"/>
              <w:left w:val="nil"/>
              <w:bottom w:val="nil"/>
              <w:right w:val="nil"/>
            </w:tcBorders>
          </w:tcPr>
          <w:p w14:paraId="008D39E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F3D25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(0.23)</w:t>
            </w:r>
          </w:p>
        </w:tc>
        <w:tc>
          <w:tcPr>
            <w:tcW w:w="1656" w:type="dxa"/>
            <w:tcBorders>
              <w:top w:val="nil"/>
              <w:left w:val="nil"/>
              <w:bottom w:val="nil"/>
              <w:right w:val="nil"/>
            </w:tcBorders>
          </w:tcPr>
          <w:p w14:paraId="58D9825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(-1.16)</w:t>
            </w:r>
          </w:p>
        </w:tc>
      </w:tr>
      <w:tr w:rsidR="00201D4C" w:rsidRPr="00326CCA" w14:paraId="55F7113B" w14:textId="77777777" w:rsidTr="00015B88">
        <w:tc>
          <w:tcPr>
            <w:tcW w:w="2136" w:type="dxa"/>
            <w:tcBorders>
              <w:top w:val="nil"/>
              <w:left w:val="nil"/>
              <w:bottom w:val="nil"/>
              <w:right w:val="nil"/>
            </w:tcBorders>
          </w:tcPr>
          <w:p w14:paraId="53FD93F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3841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8E3F4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46C69EA" w14:textId="77777777" w:rsidTr="00015B88">
        <w:tc>
          <w:tcPr>
            <w:tcW w:w="2136" w:type="dxa"/>
            <w:tcBorders>
              <w:top w:val="nil"/>
              <w:left w:val="nil"/>
              <w:bottom w:val="nil"/>
              <w:right w:val="nil"/>
            </w:tcBorders>
          </w:tcPr>
          <w:p w14:paraId="025CED1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L3.More Fixed Rate * HOS = HOG</w:t>
            </w:r>
          </w:p>
        </w:tc>
        <w:tc>
          <w:tcPr>
            <w:tcW w:w="1656" w:type="dxa"/>
            <w:tcBorders>
              <w:top w:val="nil"/>
              <w:left w:val="nil"/>
              <w:bottom w:val="nil"/>
              <w:right w:val="nil"/>
            </w:tcBorders>
          </w:tcPr>
          <w:p w14:paraId="42011B7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-0.00508</w:t>
            </w:r>
          </w:p>
        </w:tc>
        <w:tc>
          <w:tcPr>
            <w:tcW w:w="1656" w:type="dxa"/>
            <w:tcBorders>
              <w:top w:val="nil"/>
              <w:left w:val="nil"/>
              <w:bottom w:val="nil"/>
              <w:right w:val="nil"/>
            </w:tcBorders>
          </w:tcPr>
          <w:p w14:paraId="3F88A63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-0.0297</w:t>
            </w:r>
          </w:p>
        </w:tc>
      </w:tr>
      <w:tr w:rsidR="00201D4C" w:rsidRPr="00326CCA" w14:paraId="381554AF" w14:textId="77777777" w:rsidTr="00015B88">
        <w:tc>
          <w:tcPr>
            <w:tcW w:w="2136" w:type="dxa"/>
            <w:tcBorders>
              <w:top w:val="nil"/>
              <w:left w:val="nil"/>
              <w:bottom w:val="nil"/>
              <w:right w:val="nil"/>
            </w:tcBorders>
          </w:tcPr>
          <w:p w14:paraId="0E28083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F96B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w:t>
            </w:r>
          </w:p>
        </w:tc>
        <w:tc>
          <w:tcPr>
            <w:tcW w:w="1656" w:type="dxa"/>
            <w:tcBorders>
              <w:top w:val="nil"/>
              <w:left w:val="nil"/>
              <w:bottom w:val="nil"/>
              <w:right w:val="nil"/>
            </w:tcBorders>
          </w:tcPr>
          <w:p w14:paraId="26D5026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(-0.92)</w:t>
            </w:r>
          </w:p>
        </w:tc>
      </w:tr>
      <w:tr w:rsidR="00201D4C" w:rsidRPr="00326CCA" w14:paraId="690E8226" w14:textId="77777777" w:rsidTr="00015B88">
        <w:tc>
          <w:tcPr>
            <w:tcW w:w="2136" w:type="dxa"/>
            <w:tcBorders>
              <w:top w:val="nil"/>
              <w:left w:val="nil"/>
              <w:bottom w:val="nil"/>
              <w:right w:val="nil"/>
            </w:tcBorders>
          </w:tcPr>
          <w:p w14:paraId="255E8B0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09448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96712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6E3A922" w14:textId="77777777" w:rsidTr="00015B88">
        <w:tc>
          <w:tcPr>
            <w:tcW w:w="2136" w:type="dxa"/>
            <w:tcBorders>
              <w:top w:val="nil"/>
              <w:left w:val="nil"/>
              <w:bottom w:val="nil"/>
              <w:right w:val="nil"/>
            </w:tcBorders>
          </w:tcPr>
          <w:p w14:paraId="6CA3EAB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L4.More Fixed Rate * HOS = HOG</w:t>
            </w:r>
          </w:p>
        </w:tc>
        <w:tc>
          <w:tcPr>
            <w:tcW w:w="1656" w:type="dxa"/>
            <w:tcBorders>
              <w:top w:val="nil"/>
              <w:left w:val="nil"/>
              <w:bottom w:val="nil"/>
              <w:right w:val="nil"/>
            </w:tcBorders>
          </w:tcPr>
          <w:p w14:paraId="6770FC9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0.0494</w:t>
            </w:r>
          </w:p>
        </w:tc>
        <w:tc>
          <w:tcPr>
            <w:tcW w:w="1656" w:type="dxa"/>
            <w:tcBorders>
              <w:top w:val="nil"/>
              <w:left w:val="nil"/>
              <w:bottom w:val="nil"/>
              <w:right w:val="nil"/>
            </w:tcBorders>
          </w:tcPr>
          <w:p w14:paraId="74974C6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0.0482</w:t>
            </w:r>
          </w:p>
        </w:tc>
      </w:tr>
      <w:tr w:rsidR="00201D4C" w:rsidRPr="00326CCA" w14:paraId="6D921D03" w14:textId="77777777" w:rsidTr="00015B88">
        <w:tc>
          <w:tcPr>
            <w:tcW w:w="2136" w:type="dxa"/>
            <w:tcBorders>
              <w:top w:val="nil"/>
              <w:left w:val="nil"/>
              <w:bottom w:val="nil"/>
              <w:right w:val="nil"/>
            </w:tcBorders>
          </w:tcPr>
          <w:p w14:paraId="66DC389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4F93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(1.27)</w:t>
            </w:r>
          </w:p>
        </w:tc>
        <w:tc>
          <w:tcPr>
            <w:tcW w:w="1656" w:type="dxa"/>
            <w:tcBorders>
              <w:top w:val="nil"/>
              <w:left w:val="nil"/>
              <w:bottom w:val="nil"/>
              <w:right w:val="nil"/>
            </w:tcBorders>
          </w:tcPr>
          <w:p w14:paraId="078A6BF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(1.56)</w:t>
            </w:r>
          </w:p>
        </w:tc>
      </w:tr>
      <w:tr w:rsidR="00201D4C" w:rsidRPr="00326CCA" w14:paraId="1913B6F0" w14:textId="77777777" w:rsidTr="00015B88">
        <w:tc>
          <w:tcPr>
            <w:tcW w:w="2136" w:type="dxa"/>
            <w:tcBorders>
              <w:top w:val="nil"/>
              <w:left w:val="nil"/>
              <w:bottom w:val="nil"/>
              <w:right w:val="nil"/>
            </w:tcBorders>
          </w:tcPr>
          <w:p w14:paraId="196FDAC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9B4B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071DA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DDBB47E" w14:textId="77777777" w:rsidTr="00015B88">
        <w:tc>
          <w:tcPr>
            <w:tcW w:w="2136" w:type="dxa"/>
            <w:tcBorders>
              <w:top w:val="nil"/>
              <w:left w:val="nil"/>
              <w:bottom w:val="nil"/>
              <w:right w:val="nil"/>
            </w:tcBorders>
          </w:tcPr>
          <w:p w14:paraId="245DC2A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L5.More Fixed Rate * HOS = HOG</w:t>
            </w:r>
          </w:p>
        </w:tc>
        <w:tc>
          <w:tcPr>
            <w:tcW w:w="1656" w:type="dxa"/>
            <w:tcBorders>
              <w:top w:val="nil"/>
              <w:left w:val="nil"/>
              <w:bottom w:val="nil"/>
              <w:right w:val="nil"/>
            </w:tcBorders>
          </w:tcPr>
          <w:p w14:paraId="3C01FDC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-0.0191</w:t>
            </w:r>
          </w:p>
        </w:tc>
        <w:tc>
          <w:tcPr>
            <w:tcW w:w="1656" w:type="dxa"/>
            <w:tcBorders>
              <w:top w:val="nil"/>
              <w:left w:val="nil"/>
              <w:bottom w:val="nil"/>
              <w:right w:val="nil"/>
            </w:tcBorders>
          </w:tcPr>
          <w:p w14:paraId="3371851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-0.0434</w:t>
            </w:r>
          </w:p>
        </w:tc>
      </w:tr>
      <w:tr w:rsidR="00201D4C" w:rsidRPr="00326CCA" w14:paraId="60114D5E" w14:textId="77777777" w:rsidTr="00015B88">
        <w:tc>
          <w:tcPr>
            <w:tcW w:w="2136" w:type="dxa"/>
            <w:tcBorders>
              <w:top w:val="nil"/>
              <w:left w:val="nil"/>
              <w:bottom w:val="nil"/>
              <w:right w:val="nil"/>
            </w:tcBorders>
          </w:tcPr>
          <w:p w14:paraId="60A80F8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67978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(-0.50)</w:t>
            </w:r>
          </w:p>
        </w:tc>
        <w:tc>
          <w:tcPr>
            <w:tcW w:w="1656" w:type="dxa"/>
            <w:tcBorders>
              <w:top w:val="nil"/>
              <w:left w:val="nil"/>
              <w:bottom w:val="nil"/>
              <w:right w:val="nil"/>
            </w:tcBorders>
          </w:tcPr>
          <w:p w14:paraId="632C59A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(-1.49)</w:t>
            </w:r>
          </w:p>
        </w:tc>
      </w:tr>
      <w:tr w:rsidR="00201D4C" w:rsidRPr="00326CCA" w14:paraId="5F9A03E4" w14:textId="77777777" w:rsidTr="00015B88">
        <w:tc>
          <w:tcPr>
            <w:tcW w:w="2136" w:type="dxa"/>
            <w:tcBorders>
              <w:top w:val="nil"/>
              <w:left w:val="nil"/>
              <w:bottom w:val="nil"/>
              <w:right w:val="nil"/>
            </w:tcBorders>
          </w:tcPr>
          <w:p w14:paraId="12D1FDD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031FA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E1422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E8D00CB" w14:textId="77777777" w:rsidTr="00015B88">
        <w:tc>
          <w:tcPr>
            <w:tcW w:w="2136" w:type="dxa"/>
            <w:tcBorders>
              <w:top w:val="nil"/>
              <w:left w:val="nil"/>
              <w:bottom w:val="nil"/>
              <w:right w:val="nil"/>
            </w:tcBorders>
          </w:tcPr>
          <w:p w14:paraId="329425C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L6.More Fixed Rate * HOS = HOG</w:t>
            </w:r>
          </w:p>
        </w:tc>
        <w:tc>
          <w:tcPr>
            <w:tcW w:w="1656" w:type="dxa"/>
            <w:tcBorders>
              <w:top w:val="nil"/>
              <w:left w:val="nil"/>
              <w:bottom w:val="nil"/>
              <w:right w:val="nil"/>
            </w:tcBorders>
          </w:tcPr>
          <w:p w14:paraId="787A4F5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-0.0629</w:t>
            </w:r>
          </w:p>
        </w:tc>
        <w:tc>
          <w:tcPr>
            <w:tcW w:w="1656" w:type="dxa"/>
            <w:tcBorders>
              <w:top w:val="nil"/>
              <w:left w:val="nil"/>
              <w:bottom w:val="nil"/>
              <w:right w:val="nil"/>
            </w:tcBorders>
          </w:tcPr>
          <w:p w14:paraId="07425C6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0.0311</w:t>
            </w:r>
          </w:p>
        </w:tc>
      </w:tr>
      <w:tr w:rsidR="00201D4C" w:rsidRPr="00326CCA" w14:paraId="754C4BF8" w14:textId="77777777" w:rsidTr="00015B88">
        <w:tc>
          <w:tcPr>
            <w:tcW w:w="2136" w:type="dxa"/>
            <w:tcBorders>
              <w:top w:val="nil"/>
              <w:left w:val="nil"/>
              <w:bottom w:val="nil"/>
              <w:right w:val="nil"/>
            </w:tcBorders>
          </w:tcPr>
          <w:p w14:paraId="0264680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8A1B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(-1.53)</w:t>
            </w:r>
          </w:p>
        </w:tc>
        <w:tc>
          <w:tcPr>
            <w:tcW w:w="1656" w:type="dxa"/>
            <w:tcBorders>
              <w:top w:val="nil"/>
              <w:left w:val="nil"/>
              <w:bottom w:val="nil"/>
              <w:right w:val="nil"/>
            </w:tcBorders>
          </w:tcPr>
          <w:p w14:paraId="3D62133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r>
      <w:tr w:rsidR="00201D4C" w:rsidRPr="00326CCA" w14:paraId="7F93954D" w14:textId="77777777" w:rsidTr="00015B88">
        <w:tc>
          <w:tcPr>
            <w:tcW w:w="2136" w:type="dxa"/>
            <w:tcBorders>
              <w:top w:val="nil"/>
              <w:left w:val="nil"/>
              <w:bottom w:val="nil"/>
              <w:right w:val="nil"/>
            </w:tcBorders>
          </w:tcPr>
          <w:p w14:paraId="0B0B55D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E7FBF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AA9D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55F29AF" w14:textId="77777777" w:rsidTr="00015B88">
        <w:tc>
          <w:tcPr>
            <w:tcW w:w="2136" w:type="dxa"/>
            <w:tcBorders>
              <w:top w:val="nil"/>
              <w:left w:val="nil"/>
              <w:bottom w:val="nil"/>
              <w:right w:val="nil"/>
            </w:tcBorders>
          </w:tcPr>
          <w:p w14:paraId="5BD3B4F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lastRenderedPageBreak/>
              <w:t>L7.More Fixed Rate * HOS = HOG</w:t>
            </w:r>
          </w:p>
        </w:tc>
        <w:tc>
          <w:tcPr>
            <w:tcW w:w="1656" w:type="dxa"/>
            <w:tcBorders>
              <w:top w:val="nil"/>
              <w:left w:val="nil"/>
              <w:bottom w:val="nil"/>
              <w:right w:val="nil"/>
            </w:tcBorders>
          </w:tcPr>
          <w:p w14:paraId="63D33E3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0.0150</w:t>
            </w:r>
          </w:p>
        </w:tc>
        <w:tc>
          <w:tcPr>
            <w:tcW w:w="1656" w:type="dxa"/>
            <w:tcBorders>
              <w:top w:val="nil"/>
              <w:left w:val="nil"/>
              <w:bottom w:val="nil"/>
              <w:right w:val="nil"/>
            </w:tcBorders>
          </w:tcPr>
          <w:p w14:paraId="3A071BA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0.0105</w:t>
            </w:r>
          </w:p>
        </w:tc>
      </w:tr>
      <w:tr w:rsidR="00201D4C" w:rsidRPr="00326CCA" w14:paraId="2625D932" w14:textId="77777777" w:rsidTr="00015B88">
        <w:tc>
          <w:tcPr>
            <w:tcW w:w="2136" w:type="dxa"/>
            <w:tcBorders>
              <w:top w:val="nil"/>
              <w:left w:val="nil"/>
              <w:bottom w:val="nil"/>
              <w:right w:val="nil"/>
            </w:tcBorders>
          </w:tcPr>
          <w:p w14:paraId="5ECF185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5552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(0.38)</w:t>
            </w:r>
          </w:p>
        </w:tc>
        <w:tc>
          <w:tcPr>
            <w:tcW w:w="1656" w:type="dxa"/>
            <w:tcBorders>
              <w:top w:val="nil"/>
              <w:left w:val="nil"/>
              <w:bottom w:val="nil"/>
              <w:right w:val="nil"/>
            </w:tcBorders>
          </w:tcPr>
          <w:p w14:paraId="7E00EF6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(0.36)</w:t>
            </w:r>
          </w:p>
        </w:tc>
      </w:tr>
      <w:tr w:rsidR="00201D4C" w:rsidRPr="00326CCA" w14:paraId="13F83733" w14:textId="77777777" w:rsidTr="00015B88">
        <w:tc>
          <w:tcPr>
            <w:tcW w:w="2136" w:type="dxa"/>
            <w:tcBorders>
              <w:top w:val="nil"/>
              <w:left w:val="nil"/>
              <w:bottom w:val="nil"/>
              <w:right w:val="nil"/>
            </w:tcBorders>
          </w:tcPr>
          <w:p w14:paraId="150A15B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EF594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FFBA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BB923BE" w14:textId="77777777" w:rsidTr="00015B88">
        <w:tc>
          <w:tcPr>
            <w:tcW w:w="2136" w:type="dxa"/>
            <w:tcBorders>
              <w:top w:val="nil"/>
              <w:left w:val="nil"/>
              <w:bottom w:val="nil"/>
              <w:right w:val="nil"/>
            </w:tcBorders>
          </w:tcPr>
          <w:p w14:paraId="346A6A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L8.More Fixed Rate * HOS = HOG</w:t>
            </w:r>
          </w:p>
        </w:tc>
        <w:tc>
          <w:tcPr>
            <w:tcW w:w="1656" w:type="dxa"/>
            <w:tcBorders>
              <w:top w:val="nil"/>
              <w:left w:val="nil"/>
              <w:bottom w:val="nil"/>
              <w:right w:val="nil"/>
            </w:tcBorders>
          </w:tcPr>
          <w:p w14:paraId="7188964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0.0125</w:t>
            </w:r>
          </w:p>
        </w:tc>
        <w:tc>
          <w:tcPr>
            <w:tcW w:w="1656" w:type="dxa"/>
            <w:tcBorders>
              <w:top w:val="nil"/>
              <w:left w:val="nil"/>
              <w:bottom w:val="nil"/>
              <w:right w:val="nil"/>
            </w:tcBorders>
          </w:tcPr>
          <w:p w14:paraId="1FFAC13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-0.00651</w:t>
            </w:r>
          </w:p>
        </w:tc>
      </w:tr>
      <w:tr w:rsidR="00201D4C" w:rsidRPr="00326CCA" w14:paraId="563EC4FF" w14:textId="77777777" w:rsidTr="00015B88">
        <w:tc>
          <w:tcPr>
            <w:tcW w:w="2136" w:type="dxa"/>
            <w:tcBorders>
              <w:top w:val="nil"/>
              <w:left w:val="nil"/>
              <w:bottom w:val="nil"/>
              <w:right w:val="nil"/>
            </w:tcBorders>
          </w:tcPr>
          <w:p w14:paraId="589CE60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232C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(0.35)</w:t>
            </w:r>
          </w:p>
        </w:tc>
        <w:tc>
          <w:tcPr>
            <w:tcW w:w="1656" w:type="dxa"/>
            <w:tcBorders>
              <w:top w:val="nil"/>
              <w:left w:val="nil"/>
              <w:bottom w:val="nil"/>
              <w:right w:val="nil"/>
            </w:tcBorders>
          </w:tcPr>
          <w:p w14:paraId="1ED2BCA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(-0.24)</w:t>
            </w:r>
          </w:p>
        </w:tc>
      </w:tr>
      <w:tr w:rsidR="00201D4C" w:rsidRPr="00326CCA" w14:paraId="05D52C66" w14:textId="77777777" w:rsidTr="00015B88">
        <w:tc>
          <w:tcPr>
            <w:tcW w:w="2136" w:type="dxa"/>
            <w:tcBorders>
              <w:top w:val="nil"/>
              <w:left w:val="nil"/>
              <w:bottom w:val="nil"/>
              <w:right w:val="nil"/>
            </w:tcBorders>
          </w:tcPr>
          <w:p w14:paraId="41184E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805D0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E92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16FB8AD" w14:textId="77777777" w:rsidTr="00015B88">
        <w:tc>
          <w:tcPr>
            <w:tcW w:w="2136" w:type="dxa"/>
            <w:tcBorders>
              <w:top w:val="nil"/>
              <w:left w:val="nil"/>
              <w:bottom w:val="nil"/>
              <w:right w:val="nil"/>
            </w:tcBorders>
          </w:tcPr>
          <w:p w14:paraId="5E14EE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L9.More Fixed Rate * HOS = HOG</w:t>
            </w:r>
          </w:p>
        </w:tc>
        <w:tc>
          <w:tcPr>
            <w:tcW w:w="1656" w:type="dxa"/>
            <w:tcBorders>
              <w:top w:val="nil"/>
              <w:left w:val="nil"/>
              <w:bottom w:val="nil"/>
              <w:right w:val="nil"/>
            </w:tcBorders>
          </w:tcPr>
          <w:p w14:paraId="64085CA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0.0313</w:t>
            </w:r>
          </w:p>
        </w:tc>
        <w:tc>
          <w:tcPr>
            <w:tcW w:w="1656" w:type="dxa"/>
            <w:tcBorders>
              <w:top w:val="nil"/>
              <w:left w:val="nil"/>
              <w:bottom w:val="nil"/>
              <w:right w:val="nil"/>
            </w:tcBorders>
          </w:tcPr>
          <w:p w14:paraId="2FD7D68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0.0244</w:t>
            </w:r>
          </w:p>
        </w:tc>
      </w:tr>
      <w:tr w:rsidR="00201D4C" w:rsidRPr="00326CCA" w14:paraId="2C621401" w14:textId="77777777" w:rsidTr="00015B88">
        <w:tc>
          <w:tcPr>
            <w:tcW w:w="2136" w:type="dxa"/>
            <w:tcBorders>
              <w:top w:val="nil"/>
              <w:left w:val="nil"/>
              <w:bottom w:val="nil"/>
              <w:right w:val="nil"/>
            </w:tcBorders>
          </w:tcPr>
          <w:p w14:paraId="360C6AC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68913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(0.89)</w:t>
            </w:r>
          </w:p>
        </w:tc>
        <w:tc>
          <w:tcPr>
            <w:tcW w:w="1656" w:type="dxa"/>
            <w:tcBorders>
              <w:top w:val="nil"/>
              <w:left w:val="nil"/>
              <w:bottom w:val="nil"/>
              <w:right w:val="nil"/>
            </w:tcBorders>
          </w:tcPr>
          <w:p w14:paraId="67987A4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(0.96)</w:t>
            </w:r>
          </w:p>
        </w:tc>
      </w:tr>
      <w:tr w:rsidR="00201D4C" w:rsidRPr="00326CCA" w14:paraId="7418EBF8" w14:textId="77777777" w:rsidTr="00015B88">
        <w:tc>
          <w:tcPr>
            <w:tcW w:w="2136" w:type="dxa"/>
            <w:tcBorders>
              <w:top w:val="nil"/>
              <w:left w:val="nil"/>
              <w:bottom w:val="nil"/>
              <w:right w:val="nil"/>
            </w:tcBorders>
          </w:tcPr>
          <w:p w14:paraId="49A6228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8AAA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06C4C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E5469F" w14:textId="77777777" w:rsidTr="00015B88">
        <w:tc>
          <w:tcPr>
            <w:tcW w:w="2136" w:type="dxa"/>
            <w:tcBorders>
              <w:top w:val="nil"/>
              <w:left w:val="nil"/>
              <w:bottom w:val="nil"/>
              <w:right w:val="nil"/>
            </w:tcBorders>
          </w:tcPr>
          <w:p w14:paraId="7B21873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L10.More Fixed Rate * HOS = HOG</w:t>
            </w:r>
          </w:p>
        </w:tc>
        <w:tc>
          <w:tcPr>
            <w:tcW w:w="1656" w:type="dxa"/>
            <w:tcBorders>
              <w:top w:val="nil"/>
              <w:left w:val="nil"/>
              <w:bottom w:val="nil"/>
              <w:right w:val="nil"/>
            </w:tcBorders>
          </w:tcPr>
          <w:p w14:paraId="504C7DF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-0.00672</w:t>
            </w:r>
          </w:p>
        </w:tc>
        <w:tc>
          <w:tcPr>
            <w:tcW w:w="1656" w:type="dxa"/>
            <w:tcBorders>
              <w:top w:val="nil"/>
              <w:left w:val="nil"/>
              <w:bottom w:val="nil"/>
              <w:right w:val="nil"/>
            </w:tcBorders>
          </w:tcPr>
          <w:p w14:paraId="2189C0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-0.0298</w:t>
            </w:r>
          </w:p>
        </w:tc>
      </w:tr>
      <w:tr w:rsidR="00201D4C" w:rsidRPr="00326CCA" w14:paraId="30FB26BA" w14:textId="77777777" w:rsidTr="00015B88">
        <w:tc>
          <w:tcPr>
            <w:tcW w:w="2136" w:type="dxa"/>
            <w:tcBorders>
              <w:top w:val="nil"/>
              <w:left w:val="nil"/>
              <w:bottom w:val="nil"/>
              <w:right w:val="nil"/>
            </w:tcBorders>
          </w:tcPr>
          <w:p w14:paraId="2CD2FDD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6187F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(-0.24)</w:t>
            </w:r>
          </w:p>
        </w:tc>
        <w:tc>
          <w:tcPr>
            <w:tcW w:w="1656" w:type="dxa"/>
            <w:tcBorders>
              <w:top w:val="nil"/>
              <w:left w:val="nil"/>
              <w:bottom w:val="nil"/>
              <w:right w:val="nil"/>
            </w:tcBorders>
          </w:tcPr>
          <w:p w14:paraId="79A9B43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r>
      <w:tr w:rsidR="00201D4C" w:rsidRPr="00326CCA" w14:paraId="15AD9044" w14:textId="77777777" w:rsidTr="00015B88">
        <w:tc>
          <w:tcPr>
            <w:tcW w:w="2136" w:type="dxa"/>
            <w:tcBorders>
              <w:top w:val="nil"/>
              <w:left w:val="nil"/>
              <w:bottom w:val="nil"/>
              <w:right w:val="nil"/>
            </w:tcBorders>
          </w:tcPr>
          <w:p w14:paraId="2E0986D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599D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6C143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4897B43" w14:textId="77777777" w:rsidTr="00015B88">
        <w:tc>
          <w:tcPr>
            <w:tcW w:w="2136" w:type="dxa"/>
            <w:tcBorders>
              <w:top w:val="nil"/>
              <w:left w:val="nil"/>
              <w:bottom w:val="nil"/>
              <w:right w:val="nil"/>
            </w:tcBorders>
          </w:tcPr>
          <w:p w14:paraId="3E8448B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Constant</w:t>
            </w:r>
          </w:p>
        </w:tc>
        <w:tc>
          <w:tcPr>
            <w:tcW w:w="1656" w:type="dxa"/>
            <w:tcBorders>
              <w:top w:val="nil"/>
              <w:left w:val="nil"/>
              <w:bottom w:val="nil"/>
              <w:right w:val="nil"/>
            </w:tcBorders>
          </w:tcPr>
          <w:p w14:paraId="73E636F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0.924</w:t>
            </w:r>
            <w:r w:rsidRPr="00326CCA">
              <w:rPr>
                <w:rFonts w:ascii="Times New Roman" w:hAnsi="Times New Roman" w:cs="Times New Roman"/>
                <w:sz w:val="16"/>
                <w:szCs w:val="16"/>
                <w:vertAlign w:val="superscript"/>
              </w:rPr>
              <w:t>*</w:t>
            </w:r>
          </w:p>
        </w:tc>
        <w:tc>
          <w:tcPr>
            <w:tcW w:w="1656" w:type="dxa"/>
            <w:tcBorders>
              <w:top w:val="nil"/>
              <w:left w:val="nil"/>
              <w:bottom w:val="nil"/>
              <w:right w:val="nil"/>
            </w:tcBorders>
          </w:tcPr>
          <w:p w14:paraId="61D6D10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0.619</w:t>
            </w:r>
            <w:r w:rsidRPr="00326CCA">
              <w:rPr>
                <w:rFonts w:ascii="Times New Roman" w:hAnsi="Times New Roman" w:cs="Times New Roman"/>
                <w:sz w:val="16"/>
                <w:szCs w:val="16"/>
                <w:vertAlign w:val="superscript"/>
              </w:rPr>
              <w:t>**</w:t>
            </w:r>
          </w:p>
        </w:tc>
      </w:tr>
      <w:tr w:rsidR="00201D4C" w:rsidRPr="00326CCA" w14:paraId="46E9C85B" w14:textId="77777777" w:rsidTr="00015B88">
        <w:tc>
          <w:tcPr>
            <w:tcW w:w="2136" w:type="dxa"/>
            <w:tcBorders>
              <w:top w:val="nil"/>
              <w:left w:val="nil"/>
              <w:bottom w:val="single" w:sz="4" w:space="0" w:color="auto"/>
              <w:right w:val="nil"/>
            </w:tcBorders>
          </w:tcPr>
          <w:p w14:paraId="194A937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D089CD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(2.18)</w:t>
            </w:r>
          </w:p>
        </w:tc>
        <w:tc>
          <w:tcPr>
            <w:tcW w:w="1656" w:type="dxa"/>
            <w:tcBorders>
              <w:top w:val="nil"/>
              <w:left w:val="nil"/>
              <w:bottom w:val="single" w:sz="4" w:space="0" w:color="auto"/>
              <w:right w:val="nil"/>
            </w:tcBorders>
          </w:tcPr>
          <w:p w14:paraId="2E76B9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(2.74)</w:t>
            </w:r>
          </w:p>
        </w:tc>
      </w:tr>
      <w:tr w:rsidR="00201D4C" w:rsidRPr="00326CCA" w14:paraId="385544B7" w14:textId="77777777" w:rsidTr="00015B88">
        <w:tc>
          <w:tcPr>
            <w:tcW w:w="2136" w:type="dxa"/>
            <w:tcBorders>
              <w:top w:val="nil"/>
              <w:left w:val="nil"/>
              <w:bottom w:val="single" w:sz="4" w:space="0" w:color="auto"/>
              <w:right w:val="nil"/>
            </w:tcBorders>
          </w:tcPr>
          <w:p w14:paraId="11B825E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091BB8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1157</w:t>
            </w:r>
          </w:p>
        </w:tc>
        <w:tc>
          <w:tcPr>
            <w:tcW w:w="1656" w:type="dxa"/>
            <w:tcBorders>
              <w:top w:val="nil"/>
              <w:left w:val="nil"/>
              <w:bottom w:val="single" w:sz="4" w:space="0" w:color="auto"/>
              <w:right w:val="nil"/>
            </w:tcBorders>
          </w:tcPr>
          <w:p w14:paraId="51D4B40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1158</w:t>
            </w:r>
          </w:p>
        </w:tc>
      </w:tr>
    </w:tbl>
    <w:p w14:paraId="3A39F646" w14:textId="77777777" w:rsidR="003D27F5" w:rsidRPr="00326CCA" w:rsidRDefault="003D27F5" w:rsidP="003D27F5">
      <w:pPr>
        <w:widowControl w:val="0"/>
        <w:autoSpaceDE w:val="0"/>
        <w:autoSpaceDN w:val="0"/>
        <w:adjustRightInd w:val="0"/>
        <w:spacing w:after="0" w:line="240" w:lineRule="auto"/>
        <w:rPr>
          <w:rFonts w:ascii="Times New Roman" w:hAnsi="Times New Roman" w:cs="Times New Roman"/>
          <w:sz w:val="12"/>
          <w:szCs w:val="12"/>
        </w:rPr>
      </w:pPr>
      <w:r w:rsidRPr="00326CCA">
        <w:rPr>
          <w:rFonts w:ascii="Times New Roman" w:hAnsi="Times New Roman" w:cs="Times New Roman"/>
          <w:i/>
          <w:iCs/>
          <w:sz w:val="12"/>
          <w:szCs w:val="12"/>
        </w:rPr>
        <w:t>t</w:t>
      </w:r>
      <w:r w:rsidRPr="00326CCA">
        <w:rPr>
          <w:rFonts w:ascii="Times New Roman" w:hAnsi="Times New Roman" w:cs="Times New Roman"/>
          <w:sz w:val="12"/>
          <w:szCs w:val="12"/>
        </w:rPr>
        <w:t xml:space="preserve"> statistics in parentheses</w:t>
      </w:r>
    </w:p>
    <w:p w14:paraId="5CA9B471" w14:textId="77777777" w:rsidR="003D27F5" w:rsidRPr="00326CCA" w:rsidRDefault="003D27F5" w:rsidP="003D27F5">
      <w:pPr>
        <w:widowControl w:val="0"/>
        <w:autoSpaceDE w:val="0"/>
        <w:autoSpaceDN w:val="0"/>
        <w:adjustRightInd w:val="0"/>
        <w:spacing w:after="0" w:line="240" w:lineRule="auto"/>
        <w:rPr>
          <w:rFonts w:ascii="Times New Roman" w:hAnsi="Times New Roman" w:cs="Times New Roman"/>
          <w:sz w:val="12"/>
          <w:szCs w:val="12"/>
        </w:rPr>
      </w:pPr>
      <w:r w:rsidRPr="00326CCA">
        <w:rPr>
          <w:rFonts w:ascii="Times New Roman" w:hAnsi="Times New Roman" w:cs="Times New Roman"/>
          <w:sz w:val="12"/>
          <w:szCs w:val="12"/>
          <w:vertAlign w:val="superscript"/>
        </w:rPr>
        <w:t>*</w:t>
      </w:r>
      <w:r w:rsidRPr="00326CCA">
        <w:rPr>
          <w:rFonts w:ascii="Times New Roman" w:hAnsi="Times New Roman" w:cs="Times New Roman"/>
          <w:sz w:val="12"/>
          <w:szCs w:val="12"/>
        </w:rPr>
        <w:t xml:space="preserve"> </w:t>
      </w:r>
      <w:r w:rsidRPr="00326CCA">
        <w:rPr>
          <w:rFonts w:ascii="Times New Roman" w:hAnsi="Times New Roman" w:cs="Times New Roman"/>
          <w:i/>
          <w:iCs/>
          <w:sz w:val="12"/>
          <w:szCs w:val="12"/>
        </w:rPr>
        <w:t>p</w:t>
      </w:r>
      <w:r w:rsidRPr="00326CCA">
        <w:rPr>
          <w:rFonts w:ascii="Times New Roman" w:hAnsi="Times New Roman" w:cs="Times New Roman"/>
          <w:sz w:val="12"/>
          <w:szCs w:val="12"/>
        </w:rPr>
        <w:t xml:space="preserve"> &lt; 0.05, </w:t>
      </w:r>
      <w:r w:rsidRPr="00326CCA">
        <w:rPr>
          <w:rFonts w:ascii="Times New Roman" w:hAnsi="Times New Roman" w:cs="Times New Roman"/>
          <w:sz w:val="12"/>
          <w:szCs w:val="12"/>
          <w:vertAlign w:val="superscript"/>
        </w:rPr>
        <w:t>**</w:t>
      </w:r>
      <w:r w:rsidRPr="00326CCA">
        <w:rPr>
          <w:rFonts w:ascii="Times New Roman" w:hAnsi="Times New Roman" w:cs="Times New Roman"/>
          <w:sz w:val="12"/>
          <w:szCs w:val="12"/>
        </w:rPr>
        <w:t xml:space="preserve"> </w:t>
      </w:r>
      <w:r w:rsidRPr="00326CCA">
        <w:rPr>
          <w:rFonts w:ascii="Times New Roman" w:hAnsi="Times New Roman" w:cs="Times New Roman"/>
          <w:i/>
          <w:iCs/>
          <w:sz w:val="12"/>
          <w:szCs w:val="12"/>
        </w:rPr>
        <w:t>p</w:t>
      </w:r>
      <w:r w:rsidRPr="00326CCA">
        <w:rPr>
          <w:rFonts w:ascii="Times New Roman" w:hAnsi="Times New Roman" w:cs="Times New Roman"/>
          <w:sz w:val="12"/>
          <w:szCs w:val="12"/>
        </w:rPr>
        <w:t xml:space="preserve"> &lt; 0.01, </w:t>
      </w:r>
      <w:r w:rsidRPr="00326CCA">
        <w:rPr>
          <w:rFonts w:ascii="Times New Roman" w:hAnsi="Times New Roman" w:cs="Times New Roman"/>
          <w:sz w:val="12"/>
          <w:szCs w:val="12"/>
          <w:vertAlign w:val="superscript"/>
        </w:rPr>
        <w:t>***</w:t>
      </w:r>
      <w:r w:rsidRPr="00326CCA">
        <w:rPr>
          <w:rFonts w:ascii="Times New Roman" w:hAnsi="Times New Roman" w:cs="Times New Roman"/>
          <w:sz w:val="12"/>
          <w:szCs w:val="12"/>
        </w:rPr>
        <w:t xml:space="preserve"> </w:t>
      </w:r>
      <w:r w:rsidRPr="00326CCA">
        <w:rPr>
          <w:rFonts w:ascii="Times New Roman" w:hAnsi="Times New Roman" w:cs="Times New Roman"/>
          <w:i/>
          <w:iCs/>
          <w:sz w:val="12"/>
          <w:szCs w:val="12"/>
        </w:rPr>
        <w:t>p</w:t>
      </w:r>
      <w:r w:rsidRPr="00326CCA">
        <w:rPr>
          <w:rFonts w:ascii="Times New Roman" w:hAnsi="Times New Roman" w:cs="Times New Roman"/>
          <w:sz w:val="12"/>
          <w:szCs w:val="12"/>
        </w:rPr>
        <w:t xml:space="preserve"> &lt; 0.001</w:t>
      </w:r>
    </w:p>
    <w:p w14:paraId="200283B1" w14:textId="1B82CF48" w:rsidR="006B3D32" w:rsidRDefault="006B3D32" w:rsidP="00DB7775"/>
    <w:p w14:paraId="0456B68E" w14:textId="0360EDC4" w:rsidR="006B3D32" w:rsidRDefault="003D27F5" w:rsidP="00DB7775">
      <w:r>
        <w:t>Lag ordinal logit</w:t>
      </w:r>
    </w:p>
    <w:p w14:paraId="388E217D" w14:textId="7EAB91DC" w:rsidR="003D27F5" w:rsidRDefault="003D27F5" w:rsidP="00DB7775">
      <w:r>
        <w:t>De jure</w:t>
      </w:r>
    </w:p>
    <w:tbl>
      <w:tblPr>
        <w:tblW w:w="0" w:type="auto"/>
        <w:tblLayout w:type="fixed"/>
        <w:tblLook w:val="0000" w:firstRow="0" w:lastRow="0" w:firstColumn="0" w:lastColumn="0" w:noHBand="0" w:noVBand="0"/>
      </w:tblPr>
      <w:tblGrid>
        <w:gridCol w:w="2136"/>
        <w:gridCol w:w="1656"/>
        <w:gridCol w:w="1656"/>
      </w:tblGrid>
      <w:tr w:rsidR="00201D4C" w:rsidRPr="008D48A5" w14:paraId="3E77A569" w14:textId="77777777" w:rsidTr="00015B88">
        <w:tc>
          <w:tcPr>
            <w:tcW w:w="2136" w:type="dxa"/>
            <w:tcBorders>
              <w:top w:val="single" w:sz="4" w:space="0" w:color="auto"/>
              <w:left w:val="nil"/>
              <w:bottom w:val="nil"/>
              <w:right w:val="nil"/>
            </w:tcBorders>
          </w:tcPr>
          <w:p w14:paraId="0C09597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DB9539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w:t>
            </w:r>
          </w:p>
        </w:tc>
        <w:tc>
          <w:tcPr>
            <w:tcW w:w="1656" w:type="dxa"/>
            <w:tcBorders>
              <w:top w:val="single" w:sz="4" w:space="0" w:color="auto"/>
              <w:left w:val="nil"/>
              <w:bottom w:val="nil"/>
              <w:right w:val="nil"/>
            </w:tcBorders>
          </w:tcPr>
          <w:p w14:paraId="29C988C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w:t>
            </w:r>
          </w:p>
        </w:tc>
      </w:tr>
      <w:tr w:rsidR="00201D4C" w:rsidRPr="008D48A5" w14:paraId="0B2042C2" w14:textId="77777777" w:rsidTr="00015B88">
        <w:tc>
          <w:tcPr>
            <w:tcW w:w="2136" w:type="dxa"/>
            <w:tcBorders>
              <w:top w:val="nil"/>
              <w:left w:val="nil"/>
              <w:bottom w:val="nil"/>
              <w:right w:val="nil"/>
            </w:tcBorders>
          </w:tcPr>
          <w:p w14:paraId="0F11750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C262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Head of Govt. Turnover</w:t>
            </w:r>
          </w:p>
        </w:tc>
        <w:tc>
          <w:tcPr>
            <w:tcW w:w="1656" w:type="dxa"/>
            <w:tcBorders>
              <w:top w:val="nil"/>
              <w:left w:val="nil"/>
              <w:bottom w:val="nil"/>
              <w:right w:val="nil"/>
            </w:tcBorders>
          </w:tcPr>
          <w:p w14:paraId="5B404EF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Head of State Turnover</w:t>
            </w:r>
          </w:p>
        </w:tc>
      </w:tr>
      <w:tr w:rsidR="00201D4C" w:rsidRPr="008D48A5" w14:paraId="035E77AC" w14:textId="77777777" w:rsidTr="00015B88">
        <w:tc>
          <w:tcPr>
            <w:tcW w:w="2136" w:type="dxa"/>
            <w:tcBorders>
              <w:top w:val="single" w:sz="4" w:space="0" w:color="auto"/>
              <w:left w:val="nil"/>
              <w:bottom w:val="nil"/>
              <w:right w:val="nil"/>
            </w:tcBorders>
          </w:tcPr>
          <w:p w14:paraId="6FADD1C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A55E68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C79D96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4102F8B2" w14:textId="77777777" w:rsidTr="00015B88">
        <w:tc>
          <w:tcPr>
            <w:tcW w:w="2136" w:type="dxa"/>
            <w:tcBorders>
              <w:top w:val="nil"/>
              <w:left w:val="nil"/>
              <w:bottom w:val="nil"/>
              <w:right w:val="nil"/>
            </w:tcBorders>
          </w:tcPr>
          <w:p w14:paraId="5A21BBC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De Jure CBI (CNW Index)</w:t>
            </w:r>
          </w:p>
        </w:tc>
        <w:tc>
          <w:tcPr>
            <w:tcW w:w="1656" w:type="dxa"/>
            <w:tcBorders>
              <w:top w:val="nil"/>
              <w:left w:val="nil"/>
              <w:bottom w:val="nil"/>
              <w:right w:val="nil"/>
            </w:tcBorders>
          </w:tcPr>
          <w:p w14:paraId="5B2DA74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1.092</w:t>
            </w:r>
          </w:p>
        </w:tc>
        <w:tc>
          <w:tcPr>
            <w:tcW w:w="1656" w:type="dxa"/>
            <w:tcBorders>
              <w:top w:val="nil"/>
              <w:left w:val="nil"/>
              <w:bottom w:val="nil"/>
              <w:right w:val="nil"/>
            </w:tcBorders>
          </w:tcPr>
          <w:p w14:paraId="0176E41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3.678</w:t>
            </w:r>
          </w:p>
        </w:tc>
      </w:tr>
      <w:tr w:rsidR="00201D4C" w:rsidRPr="008D48A5" w14:paraId="54AE5C68" w14:textId="77777777" w:rsidTr="00015B88">
        <w:tc>
          <w:tcPr>
            <w:tcW w:w="2136" w:type="dxa"/>
            <w:tcBorders>
              <w:top w:val="nil"/>
              <w:left w:val="nil"/>
              <w:bottom w:val="nil"/>
              <w:right w:val="nil"/>
            </w:tcBorders>
          </w:tcPr>
          <w:p w14:paraId="2A0BAE8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3B0D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(0.65)</w:t>
            </w:r>
          </w:p>
        </w:tc>
        <w:tc>
          <w:tcPr>
            <w:tcW w:w="1656" w:type="dxa"/>
            <w:tcBorders>
              <w:top w:val="nil"/>
              <w:left w:val="nil"/>
              <w:bottom w:val="nil"/>
              <w:right w:val="nil"/>
            </w:tcBorders>
          </w:tcPr>
          <w:p w14:paraId="6314C1C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(1.34)</w:t>
            </w:r>
          </w:p>
        </w:tc>
      </w:tr>
      <w:tr w:rsidR="00201D4C" w:rsidRPr="008D48A5" w14:paraId="72EDB8F6" w14:textId="77777777" w:rsidTr="00015B88">
        <w:tc>
          <w:tcPr>
            <w:tcW w:w="2136" w:type="dxa"/>
            <w:tcBorders>
              <w:top w:val="nil"/>
              <w:left w:val="nil"/>
              <w:bottom w:val="nil"/>
              <w:right w:val="nil"/>
            </w:tcBorders>
          </w:tcPr>
          <w:p w14:paraId="401BF3E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88A8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97644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664C805" w14:textId="77777777" w:rsidTr="00015B88">
        <w:tc>
          <w:tcPr>
            <w:tcW w:w="2136" w:type="dxa"/>
            <w:tcBorders>
              <w:top w:val="nil"/>
              <w:left w:val="nil"/>
              <w:bottom w:val="nil"/>
              <w:right w:val="nil"/>
            </w:tcBorders>
          </w:tcPr>
          <w:p w14:paraId="24DDBCB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99C879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-0.110</w:t>
            </w:r>
          </w:p>
        </w:tc>
        <w:tc>
          <w:tcPr>
            <w:tcW w:w="1656" w:type="dxa"/>
            <w:tcBorders>
              <w:top w:val="nil"/>
              <w:left w:val="nil"/>
              <w:bottom w:val="nil"/>
              <w:right w:val="nil"/>
            </w:tcBorders>
          </w:tcPr>
          <w:p w14:paraId="3509F1D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-0.0274</w:t>
            </w:r>
          </w:p>
        </w:tc>
      </w:tr>
      <w:tr w:rsidR="00201D4C" w:rsidRPr="008D48A5" w14:paraId="1CCA669C" w14:textId="77777777" w:rsidTr="00015B88">
        <w:tc>
          <w:tcPr>
            <w:tcW w:w="2136" w:type="dxa"/>
            <w:tcBorders>
              <w:top w:val="nil"/>
              <w:left w:val="nil"/>
              <w:bottom w:val="nil"/>
              <w:right w:val="nil"/>
            </w:tcBorders>
          </w:tcPr>
          <w:p w14:paraId="535A37F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22CC6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(-1.19)</w:t>
            </w:r>
          </w:p>
        </w:tc>
        <w:tc>
          <w:tcPr>
            <w:tcW w:w="1656" w:type="dxa"/>
            <w:tcBorders>
              <w:top w:val="nil"/>
              <w:left w:val="nil"/>
              <w:bottom w:val="nil"/>
              <w:right w:val="nil"/>
            </w:tcBorders>
          </w:tcPr>
          <w:p w14:paraId="1D07C5E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(-0.17)</w:t>
            </w:r>
          </w:p>
        </w:tc>
      </w:tr>
      <w:tr w:rsidR="00201D4C" w:rsidRPr="008D48A5" w14:paraId="1C21BB81" w14:textId="77777777" w:rsidTr="00015B88">
        <w:tc>
          <w:tcPr>
            <w:tcW w:w="2136" w:type="dxa"/>
            <w:tcBorders>
              <w:top w:val="nil"/>
              <w:left w:val="nil"/>
              <w:bottom w:val="nil"/>
              <w:right w:val="nil"/>
            </w:tcBorders>
          </w:tcPr>
          <w:p w14:paraId="1BCF1DC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B724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126D0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26A0E1C" w14:textId="77777777" w:rsidTr="00015B88">
        <w:tc>
          <w:tcPr>
            <w:tcW w:w="2136" w:type="dxa"/>
            <w:tcBorders>
              <w:top w:val="nil"/>
              <w:left w:val="nil"/>
              <w:bottom w:val="nil"/>
              <w:right w:val="nil"/>
            </w:tcBorders>
          </w:tcPr>
          <w:p w14:paraId="5523053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HOS = HOG</w:t>
            </w:r>
          </w:p>
        </w:tc>
        <w:tc>
          <w:tcPr>
            <w:tcW w:w="1656" w:type="dxa"/>
            <w:tcBorders>
              <w:top w:val="nil"/>
              <w:left w:val="nil"/>
              <w:bottom w:val="nil"/>
              <w:right w:val="nil"/>
            </w:tcBorders>
          </w:tcPr>
          <w:p w14:paraId="3B8B5E5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-0.221</w:t>
            </w:r>
          </w:p>
        </w:tc>
        <w:tc>
          <w:tcPr>
            <w:tcW w:w="1656" w:type="dxa"/>
            <w:tcBorders>
              <w:top w:val="nil"/>
              <w:left w:val="nil"/>
              <w:bottom w:val="nil"/>
              <w:right w:val="nil"/>
            </w:tcBorders>
          </w:tcPr>
          <w:p w14:paraId="6CAF80F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3.748</w:t>
            </w:r>
          </w:p>
        </w:tc>
      </w:tr>
      <w:tr w:rsidR="00201D4C" w:rsidRPr="008D48A5" w14:paraId="3060B26F" w14:textId="77777777" w:rsidTr="00015B88">
        <w:tc>
          <w:tcPr>
            <w:tcW w:w="2136" w:type="dxa"/>
            <w:tcBorders>
              <w:top w:val="nil"/>
              <w:left w:val="nil"/>
              <w:bottom w:val="nil"/>
              <w:right w:val="nil"/>
            </w:tcBorders>
          </w:tcPr>
          <w:p w14:paraId="19AC263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2978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w:t>
            </w:r>
          </w:p>
        </w:tc>
        <w:tc>
          <w:tcPr>
            <w:tcW w:w="1656" w:type="dxa"/>
            <w:tcBorders>
              <w:top w:val="nil"/>
              <w:left w:val="nil"/>
              <w:bottom w:val="nil"/>
              <w:right w:val="nil"/>
            </w:tcBorders>
          </w:tcPr>
          <w:p w14:paraId="21BBA21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(1.35)</w:t>
            </w:r>
          </w:p>
        </w:tc>
      </w:tr>
      <w:tr w:rsidR="00201D4C" w:rsidRPr="008D48A5" w14:paraId="7E1EEEA5" w14:textId="77777777" w:rsidTr="00015B88">
        <w:tc>
          <w:tcPr>
            <w:tcW w:w="2136" w:type="dxa"/>
            <w:tcBorders>
              <w:top w:val="nil"/>
              <w:left w:val="nil"/>
              <w:bottom w:val="nil"/>
              <w:right w:val="nil"/>
            </w:tcBorders>
          </w:tcPr>
          <w:p w14:paraId="08AA236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C8F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237E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EACDF39" w14:textId="77777777" w:rsidTr="00015B88">
        <w:tc>
          <w:tcPr>
            <w:tcW w:w="2136" w:type="dxa"/>
            <w:tcBorders>
              <w:top w:val="nil"/>
              <w:left w:val="nil"/>
              <w:bottom w:val="nil"/>
              <w:right w:val="nil"/>
            </w:tcBorders>
          </w:tcPr>
          <w:p w14:paraId="03B6191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De Jure CBI * HOS = HOG</w:t>
            </w:r>
          </w:p>
        </w:tc>
        <w:tc>
          <w:tcPr>
            <w:tcW w:w="1656" w:type="dxa"/>
            <w:tcBorders>
              <w:top w:val="nil"/>
              <w:left w:val="nil"/>
              <w:bottom w:val="nil"/>
              <w:right w:val="nil"/>
            </w:tcBorders>
          </w:tcPr>
          <w:p w14:paraId="7BEC750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-2.460</w:t>
            </w:r>
          </w:p>
        </w:tc>
        <w:tc>
          <w:tcPr>
            <w:tcW w:w="1656" w:type="dxa"/>
            <w:tcBorders>
              <w:top w:val="nil"/>
              <w:left w:val="nil"/>
              <w:bottom w:val="nil"/>
              <w:right w:val="nil"/>
            </w:tcBorders>
          </w:tcPr>
          <w:p w14:paraId="3952247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-2.454</w:t>
            </w:r>
          </w:p>
        </w:tc>
      </w:tr>
      <w:tr w:rsidR="00201D4C" w:rsidRPr="008D48A5" w14:paraId="00748696" w14:textId="77777777" w:rsidTr="00015B88">
        <w:tc>
          <w:tcPr>
            <w:tcW w:w="2136" w:type="dxa"/>
            <w:tcBorders>
              <w:top w:val="nil"/>
              <w:left w:val="nil"/>
              <w:bottom w:val="nil"/>
              <w:right w:val="nil"/>
            </w:tcBorders>
          </w:tcPr>
          <w:p w14:paraId="48FC7F9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B7EE0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(-0.90)</w:t>
            </w:r>
          </w:p>
        </w:tc>
        <w:tc>
          <w:tcPr>
            <w:tcW w:w="1656" w:type="dxa"/>
            <w:tcBorders>
              <w:top w:val="nil"/>
              <w:left w:val="nil"/>
              <w:bottom w:val="nil"/>
              <w:right w:val="nil"/>
            </w:tcBorders>
          </w:tcPr>
          <w:p w14:paraId="4032FCB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(-0.68)</w:t>
            </w:r>
          </w:p>
        </w:tc>
      </w:tr>
      <w:tr w:rsidR="00201D4C" w:rsidRPr="008D48A5" w14:paraId="3CFE8F86" w14:textId="77777777" w:rsidTr="00015B88">
        <w:tc>
          <w:tcPr>
            <w:tcW w:w="2136" w:type="dxa"/>
            <w:tcBorders>
              <w:top w:val="nil"/>
              <w:left w:val="nil"/>
              <w:bottom w:val="nil"/>
              <w:right w:val="nil"/>
            </w:tcBorders>
          </w:tcPr>
          <w:p w14:paraId="115BD6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3941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949DF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437EBDE" w14:textId="77777777" w:rsidTr="00015B88">
        <w:tc>
          <w:tcPr>
            <w:tcW w:w="2136" w:type="dxa"/>
            <w:tcBorders>
              <w:top w:val="nil"/>
              <w:left w:val="nil"/>
              <w:bottom w:val="nil"/>
              <w:right w:val="nil"/>
            </w:tcBorders>
          </w:tcPr>
          <w:p w14:paraId="0CD4E68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More Fixed Rate * HOS = HOG</w:t>
            </w:r>
          </w:p>
        </w:tc>
        <w:tc>
          <w:tcPr>
            <w:tcW w:w="1656" w:type="dxa"/>
            <w:tcBorders>
              <w:top w:val="nil"/>
              <w:left w:val="nil"/>
              <w:bottom w:val="nil"/>
              <w:right w:val="nil"/>
            </w:tcBorders>
          </w:tcPr>
          <w:p w14:paraId="5E9D145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-0.0751</w:t>
            </w:r>
          </w:p>
        </w:tc>
        <w:tc>
          <w:tcPr>
            <w:tcW w:w="1656" w:type="dxa"/>
            <w:tcBorders>
              <w:top w:val="nil"/>
              <w:left w:val="nil"/>
              <w:bottom w:val="nil"/>
              <w:right w:val="nil"/>
            </w:tcBorders>
          </w:tcPr>
          <w:p w14:paraId="4B2185F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-0.202</w:t>
            </w:r>
          </w:p>
        </w:tc>
      </w:tr>
      <w:tr w:rsidR="00201D4C" w:rsidRPr="008D48A5" w14:paraId="735B0E54" w14:textId="77777777" w:rsidTr="00015B88">
        <w:tc>
          <w:tcPr>
            <w:tcW w:w="2136" w:type="dxa"/>
            <w:tcBorders>
              <w:top w:val="nil"/>
              <w:left w:val="nil"/>
              <w:bottom w:val="nil"/>
              <w:right w:val="nil"/>
            </w:tcBorders>
          </w:tcPr>
          <w:p w14:paraId="4060689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8FA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(-0.73)</w:t>
            </w:r>
          </w:p>
        </w:tc>
        <w:tc>
          <w:tcPr>
            <w:tcW w:w="1656" w:type="dxa"/>
            <w:tcBorders>
              <w:top w:val="nil"/>
              <w:left w:val="nil"/>
              <w:bottom w:val="nil"/>
              <w:right w:val="nil"/>
            </w:tcBorders>
          </w:tcPr>
          <w:p w14:paraId="00C1F58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(-1.08)</w:t>
            </w:r>
          </w:p>
        </w:tc>
      </w:tr>
      <w:tr w:rsidR="00201D4C" w:rsidRPr="008D48A5" w14:paraId="650E551E" w14:textId="77777777" w:rsidTr="00015B88">
        <w:tc>
          <w:tcPr>
            <w:tcW w:w="2136" w:type="dxa"/>
            <w:tcBorders>
              <w:top w:val="nil"/>
              <w:left w:val="nil"/>
              <w:bottom w:val="nil"/>
              <w:right w:val="nil"/>
            </w:tcBorders>
          </w:tcPr>
          <w:p w14:paraId="0741AAA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B643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804C4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1067492" w14:textId="77777777" w:rsidTr="00015B88">
        <w:tc>
          <w:tcPr>
            <w:tcW w:w="2136" w:type="dxa"/>
            <w:tcBorders>
              <w:top w:val="nil"/>
              <w:left w:val="nil"/>
              <w:bottom w:val="nil"/>
              <w:right w:val="nil"/>
            </w:tcBorders>
          </w:tcPr>
          <w:p w14:paraId="71E4454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D48A5">
              <w:rPr>
                <w:rFonts w:ascii="Times New Roman" w:hAnsi="Times New Roman" w:cs="Times New Roman"/>
                <w:sz w:val="16"/>
                <w:szCs w:val="16"/>
              </w:rPr>
              <w:t>L.De</w:t>
            </w:r>
            <w:proofErr w:type="spellEnd"/>
            <w:r w:rsidRPr="008D48A5">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D42856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0.931</w:t>
            </w:r>
          </w:p>
        </w:tc>
        <w:tc>
          <w:tcPr>
            <w:tcW w:w="1656" w:type="dxa"/>
            <w:tcBorders>
              <w:top w:val="nil"/>
              <w:left w:val="nil"/>
              <w:bottom w:val="nil"/>
              <w:right w:val="nil"/>
            </w:tcBorders>
          </w:tcPr>
          <w:p w14:paraId="5C051E6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-0.752</w:t>
            </w:r>
          </w:p>
        </w:tc>
      </w:tr>
      <w:tr w:rsidR="00201D4C" w:rsidRPr="008D48A5" w14:paraId="72D7CD86" w14:textId="77777777" w:rsidTr="00015B88">
        <w:tc>
          <w:tcPr>
            <w:tcW w:w="2136" w:type="dxa"/>
            <w:tcBorders>
              <w:top w:val="nil"/>
              <w:left w:val="nil"/>
              <w:bottom w:val="nil"/>
              <w:right w:val="nil"/>
            </w:tcBorders>
          </w:tcPr>
          <w:p w14:paraId="5FB2D37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68431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(0.40)</w:t>
            </w:r>
          </w:p>
        </w:tc>
        <w:tc>
          <w:tcPr>
            <w:tcW w:w="1656" w:type="dxa"/>
            <w:tcBorders>
              <w:top w:val="nil"/>
              <w:left w:val="nil"/>
              <w:bottom w:val="nil"/>
              <w:right w:val="nil"/>
            </w:tcBorders>
          </w:tcPr>
          <w:p w14:paraId="3CE1C92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(-0.23)</w:t>
            </w:r>
          </w:p>
        </w:tc>
      </w:tr>
      <w:tr w:rsidR="00201D4C" w:rsidRPr="008D48A5" w14:paraId="6E763C03" w14:textId="77777777" w:rsidTr="00015B88">
        <w:tc>
          <w:tcPr>
            <w:tcW w:w="2136" w:type="dxa"/>
            <w:tcBorders>
              <w:top w:val="nil"/>
              <w:left w:val="nil"/>
              <w:bottom w:val="nil"/>
              <w:right w:val="nil"/>
            </w:tcBorders>
          </w:tcPr>
          <w:p w14:paraId="5BF484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538A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A368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3FF32F" w14:textId="77777777" w:rsidTr="00015B88">
        <w:tc>
          <w:tcPr>
            <w:tcW w:w="2136" w:type="dxa"/>
            <w:tcBorders>
              <w:top w:val="nil"/>
              <w:left w:val="nil"/>
              <w:bottom w:val="nil"/>
              <w:right w:val="nil"/>
            </w:tcBorders>
          </w:tcPr>
          <w:p w14:paraId="48E9336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L2.De Jure CBI (CNW Index)</w:t>
            </w:r>
          </w:p>
        </w:tc>
        <w:tc>
          <w:tcPr>
            <w:tcW w:w="1656" w:type="dxa"/>
            <w:tcBorders>
              <w:top w:val="nil"/>
              <w:left w:val="nil"/>
              <w:bottom w:val="nil"/>
              <w:right w:val="nil"/>
            </w:tcBorders>
          </w:tcPr>
          <w:p w14:paraId="3564E67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-1.847</w:t>
            </w:r>
          </w:p>
        </w:tc>
        <w:tc>
          <w:tcPr>
            <w:tcW w:w="1656" w:type="dxa"/>
            <w:tcBorders>
              <w:top w:val="nil"/>
              <w:left w:val="nil"/>
              <w:bottom w:val="nil"/>
              <w:right w:val="nil"/>
            </w:tcBorders>
          </w:tcPr>
          <w:p w14:paraId="7AEAD92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1.700</w:t>
            </w:r>
          </w:p>
        </w:tc>
      </w:tr>
      <w:tr w:rsidR="00201D4C" w:rsidRPr="008D48A5" w14:paraId="4D1FE613" w14:textId="77777777" w:rsidTr="00015B88">
        <w:tc>
          <w:tcPr>
            <w:tcW w:w="2136" w:type="dxa"/>
            <w:tcBorders>
              <w:top w:val="nil"/>
              <w:left w:val="nil"/>
              <w:bottom w:val="nil"/>
              <w:right w:val="nil"/>
            </w:tcBorders>
          </w:tcPr>
          <w:p w14:paraId="706137E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AA6CF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(-1.01)</w:t>
            </w:r>
          </w:p>
        </w:tc>
        <w:tc>
          <w:tcPr>
            <w:tcW w:w="1656" w:type="dxa"/>
            <w:tcBorders>
              <w:top w:val="nil"/>
              <w:left w:val="nil"/>
              <w:bottom w:val="nil"/>
              <w:right w:val="nil"/>
            </w:tcBorders>
          </w:tcPr>
          <w:p w14:paraId="1123F8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(0.84)</w:t>
            </w:r>
          </w:p>
        </w:tc>
      </w:tr>
      <w:tr w:rsidR="00201D4C" w:rsidRPr="008D48A5" w14:paraId="6636BFC6" w14:textId="77777777" w:rsidTr="00015B88">
        <w:tc>
          <w:tcPr>
            <w:tcW w:w="2136" w:type="dxa"/>
            <w:tcBorders>
              <w:top w:val="nil"/>
              <w:left w:val="nil"/>
              <w:bottom w:val="nil"/>
              <w:right w:val="nil"/>
            </w:tcBorders>
          </w:tcPr>
          <w:p w14:paraId="5BCA39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0E971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C7F2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FDDB006" w14:textId="77777777" w:rsidTr="00015B88">
        <w:tc>
          <w:tcPr>
            <w:tcW w:w="2136" w:type="dxa"/>
            <w:tcBorders>
              <w:top w:val="nil"/>
              <w:left w:val="nil"/>
              <w:bottom w:val="nil"/>
              <w:right w:val="nil"/>
            </w:tcBorders>
          </w:tcPr>
          <w:p w14:paraId="5D67FC2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L3.De Jure CBI (CNW Index)</w:t>
            </w:r>
          </w:p>
        </w:tc>
        <w:tc>
          <w:tcPr>
            <w:tcW w:w="1656" w:type="dxa"/>
            <w:tcBorders>
              <w:top w:val="nil"/>
              <w:left w:val="nil"/>
              <w:bottom w:val="nil"/>
              <w:right w:val="nil"/>
            </w:tcBorders>
          </w:tcPr>
          <w:p w14:paraId="79421D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-0.473</w:t>
            </w:r>
          </w:p>
        </w:tc>
        <w:tc>
          <w:tcPr>
            <w:tcW w:w="1656" w:type="dxa"/>
            <w:tcBorders>
              <w:top w:val="nil"/>
              <w:left w:val="nil"/>
              <w:bottom w:val="nil"/>
              <w:right w:val="nil"/>
            </w:tcBorders>
          </w:tcPr>
          <w:p w14:paraId="787BE2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-2.842</w:t>
            </w:r>
          </w:p>
        </w:tc>
      </w:tr>
      <w:tr w:rsidR="00201D4C" w:rsidRPr="008D48A5" w14:paraId="3BB3E2F6" w14:textId="77777777" w:rsidTr="00015B88">
        <w:tc>
          <w:tcPr>
            <w:tcW w:w="2136" w:type="dxa"/>
            <w:tcBorders>
              <w:top w:val="nil"/>
              <w:left w:val="nil"/>
              <w:bottom w:val="nil"/>
              <w:right w:val="nil"/>
            </w:tcBorders>
          </w:tcPr>
          <w:p w14:paraId="16B6A56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353D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(-0.25)</w:t>
            </w:r>
          </w:p>
        </w:tc>
        <w:tc>
          <w:tcPr>
            <w:tcW w:w="1656" w:type="dxa"/>
            <w:tcBorders>
              <w:top w:val="nil"/>
              <w:left w:val="nil"/>
              <w:bottom w:val="nil"/>
              <w:right w:val="nil"/>
            </w:tcBorders>
          </w:tcPr>
          <w:p w14:paraId="4CE4B55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(-1.29)</w:t>
            </w:r>
          </w:p>
        </w:tc>
      </w:tr>
      <w:tr w:rsidR="00201D4C" w:rsidRPr="008D48A5" w14:paraId="280B0171" w14:textId="77777777" w:rsidTr="00015B88">
        <w:tc>
          <w:tcPr>
            <w:tcW w:w="2136" w:type="dxa"/>
            <w:tcBorders>
              <w:top w:val="nil"/>
              <w:left w:val="nil"/>
              <w:bottom w:val="nil"/>
              <w:right w:val="nil"/>
            </w:tcBorders>
          </w:tcPr>
          <w:p w14:paraId="7F16C2D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3CC8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EE85A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89F4B0C" w14:textId="77777777" w:rsidTr="00015B88">
        <w:tc>
          <w:tcPr>
            <w:tcW w:w="2136" w:type="dxa"/>
            <w:tcBorders>
              <w:top w:val="nil"/>
              <w:left w:val="nil"/>
              <w:bottom w:val="nil"/>
              <w:right w:val="nil"/>
            </w:tcBorders>
          </w:tcPr>
          <w:p w14:paraId="4943178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L4.De Jure CBI (CNW Index)</w:t>
            </w:r>
          </w:p>
        </w:tc>
        <w:tc>
          <w:tcPr>
            <w:tcW w:w="1656" w:type="dxa"/>
            <w:tcBorders>
              <w:top w:val="nil"/>
              <w:left w:val="nil"/>
              <w:bottom w:val="nil"/>
              <w:right w:val="nil"/>
            </w:tcBorders>
          </w:tcPr>
          <w:p w14:paraId="2DE9865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1.865</w:t>
            </w:r>
          </w:p>
        </w:tc>
        <w:tc>
          <w:tcPr>
            <w:tcW w:w="1656" w:type="dxa"/>
            <w:tcBorders>
              <w:top w:val="nil"/>
              <w:left w:val="nil"/>
              <w:bottom w:val="nil"/>
              <w:right w:val="nil"/>
            </w:tcBorders>
          </w:tcPr>
          <w:p w14:paraId="72D335E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-0.593</w:t>
            </w:r>
          </w:p>
        </w:tc>
      </w:tr>
      <w:tr w:rsidR="00201D4C" w:rsidRPr="008D48A5" w14:paraId="69FBFC63" w14:textId="77777777" w:rsidTr="00015B88">
        <w:tc>
          <w:tcPr>
            <w:tcW w:w="2136" w:type="dxa"/>
            <w:tcBorders>
              <w:top w:val="nil"/>
              <w:left w:val="nil"/>
              <w:bottom w:val="nil"/>
              <w:right w:val="nil"/>
            </w:tcBorders>
          </w:tcPr>
          <w:p w14:paraId="720EDDD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1F3E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(0.74)</w:t>
            </w:r>
          </w:p>
        </w:tc>
        <w:tc>
          <w:tcPr>
            <w:tcW w:w="1656" w:type="dxa"/>
            <w:tcBorders>
              <w:top w:val="nil"/>
              <w:left w:val="nil"/>
              <w:bottom w:val="nil"/>
              <w:right w:val="nil"/>
            </w:tcBorders>
          </w:tcPr>
          <w:p w14:paraId="2BD59FA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(-0.19)</w:t>
            </w:r>
          </w:p>
        </w:tc>
      </w:tr>
      <w:tr w:rsidR="00201D4C" w:rsidRPr="008D48A5" w14:paraId="0966E811" w14:textId="77777777" w:rsidTr="00015B88">
        <w:tc>
          <w:tcPr>
            <w:tcW w:w="2136" w:type="dxa"/>
            <w:tcBorders>
              <w:top w:val="nil"/>
              <w:left w:val="nil"/>
              <w:bottom w:val="nil"/>
              <w:right w:val="nil"/>
            </w:tcBorders>
          </w:tcPr>
          <w:p w14:paraId="030E4B1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63852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6F95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C7042C7" w14:textId="77777777" w:rsidTr="00015B88">
        <w:tc>
          <w:tcPr>
            <w:tcW w:w="2136" w:type="dxa"/>
            <w:tcBorders>
              <w:top w:val="nil"/>
              <w:left w:val="nil"/>
              <w:bottom w:val="nil"/>
              <w:right w:val="nil"/>
            </w:tcBorders>
          </w:tcPr>
          <w:p w14:paraId="4BE18D1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L5.De Jure CBI (CNW Index)</w:t>
            </w:r>
          </w:p>
        </w:tc>
        <w:tc>
          <w:tcPr>
            <w:tcW w:w="1656" w:type="dxa"/>
            <w:tcBorders>
              <w:top w:val="nil"/>
              <w:left w:val="nil"/>
              <w:bottom w:val="nil"/>
              <w:right w:val="nil"/>
            </w:tcBorders>
          </w:tcPr>
          <w:p w14:paraId="26EFB9E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-0.914</w:t>
            </w:r>
          </w:p>
        </w:tc>
        <w:tc>
          <w:tcPr>
            <w:tcW w:w="1656" w:type="dxa"/>
            <w:tcBorders>
              <w:top w:val="nil"/>
              <w:left w:val="nil"/>
              <w:bottom w:val="nil"/>
              <w:right w:val="nil"/>
            </w:tcBorders>
          </w:tcPr>
          <w:p w14:paraId="55BB8C0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-0.225</w:t>
            </w:r>
          </w:p>
        </w:tc>
      </w:tr>
      <w:tr w:rsidR="00201D4C" w:rsidRPr="008D48A5" w14:paraId="0384D2AB" w14:textId="77777777" w:rsidTr="00015B88">
        <w:tc>
          <w:tcPr>
            <w:tcW w:w="2136" w:type="dxa"/>
            <w:tcBorders>
              <w:top w:val="nil"/>
              <w:left w:val="nil"/>
              <w:bottom w:val="nil"/>
              <w:right w:val="nil"/>
            </w:tcBorders>
          </w:tcPr>
          <w:p w14:paraId="79BEC2D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4526A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(-0.32)</w:t>
            </w:r>
          </w:p>
        </w:tc>
        <w:tc>
          <w:tcPr>
            <w:tcW w:w="1656" w:type="dxa"/>
            <w:tcBorders>
              <w:top w:val="nil"/>
              <w:left w:val="nil"/>
              <w:bottom w:val="nil"/>
              <w:right w:val="nil"/>
            </w:tcBorders>
          </w:tcPr>
          <w:p w14:paraId="45E8438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w:t>
            </w:r>
          </w:p>
        </w:tc>
      </w:tr>
      <w:tr w:rsidR="00201D4C" w:rsidRPr="008D48A5" w14:paraId="4072E36C" w14:textId="77777777" w:rsidTr="00015B88">
        <w:tc>
          <w:tcPr>
            <w:tcW w:w="2136" w:type="dxa"/>
            <w:tcBorders>
              <w:top w:val="nil"/>
              <w:left w:val="nil"/>
              <w:bottom w:val="nil"/>
              <w:right w:val="nil"/>
            </w:tcBorders>
          </w:tcPr>
          <w:p w14:paraId="199299C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222ED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6C26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3C27248" w14:textId="77777777" w:rsidTr="00015B88">
        <w:tc>
          <w:tcPr>
            <w:tcW w:w="2136" w:type="dxa"/>
            <w:tcBorders>
              <w:top w:val="nil"/>
              <w:left w:val="nil"/>
              <w:bottom w:val="nil"/>
              <w:right w:val="nil"/>
            </w:tcBorders>
          </w:tcPr>
          <w:p w14:paraId="128B745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 xml:space="preserve">L6.De Jure CBI (CNW </w:t>
            </w:r>
            <w:r w:rsidRPr="008D48A5">
              <w:rPr>
                <w:rFonts w:ascii="Times New Roman" w:hAnsi="Times New Roman" w:cs="Times New Roman"/>
                <w:sz w:val="16"/>
                <w:szCs w:val="16"/>
              </w:rPr>
              <w:lastRenderedPageBreak/>
              <w:t>Index)</w:t>
            </w:r>
          </w:p>
        </w:tc>
        <w:tc>
          <w:tcPr>
            <w:tcW w:w="1656" w:type="dxa"/>
            <w:tcBorders>
              <w:top w:val="nil"/>
              <w:left w:val="nil"/>
              <w:bottom w:val="nil"/>
              <w:right w:val="nil"/>
            </w:tcBorders>
          </w:tcPr>
          <w:p w14:paraId="0AF9DEE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lastRenderedPageBreak/>
              <w:t>-2.418</w:t>
            </w:r>
          </w:p>
        </w:tc>
        <w:tc>
          <w:tcPr>
            <w:tcW w:w="1656" w:type="dxa"/>
            <w:tcBorders>
              <w:top w:val="nil"/>
              <w:left w:val="nil"/>
              <w:bottom w:val="nil"/>
              <w:right w:val="nil"/>
            </w:tcBorders>
          </w:tcPr>
          <w:p w14:paraId="2EE831F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1.136</w:t>
            </w:r>
          </w:p>
        </w:tc>
      </w:tr>
      <w:tr w:rsidR="00201D4C" w:rsidRPr="008D48A5" w14:paraId="58054411" w14:textId="77777777" w:rsidTr="00015B88">
        <w:tc>
          <w:tcPr>
            <w:tcW w:w="2136" w:type="dxa"/>
            <w:tcBorders>
              <w:top w:val="nil"/>
              <w:left w:val="nil"/>
              <w:bottom w:val="nil"/>
              <w:right w:val="nil"/>
            </w:tcBorders>
          </w:tcPr>
          <w:p w14:paraId="05A721D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A7F0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(-0.87)</w:t>
            </w:r>
          </w:p>
        </w:tc>
        <w:tc>
          <w:tcPr>
            <w:tcW w:w="1656" w:type="dxa"/>
            <w:tcBorders>
              <w:top w:val="nil"/>
              <w:left w:val="nil"/>
              <w:bottom w:val="nil"/>
              <w:right w:val="nil"/>
            </w:tcBorders>
          </w:tcPr>
          <w:p w14:paraId="2E786A1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(0.35)</w:t>
            </w:r>
          </w:p>
        </w:tc>
      </w:tr>
      <w:tr w:rsidR="00201D4C" w:rsidRPr="008D48A5" w14:paraId="23D9BBAD" w14:textId="77777777" w:rsidTr="00015B88">
        <w:tc>
          <w:tcPr>
            <w:tcW w:w="2136" w:type="dxa"/>
            <w:tcBorders>
              <w:top w:val="nil"/>
              <w:left w:val="nil"/>
              <w:bottom w:val="nil"/>
              <w:right w:val="nil"/>
            </w:tcBorders>
          </w:tcPr>
          <w:p w14:paraId="5D111F8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4938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CD89E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8BED968" w14:textId="77777777" w:rsidTr="00015B88">
        <w:tc>
          <w:tcPr>
            <w:tcW w:w="2136" w:type="dxa"/>
            <w:tcBorders>
              <w:top w:val="nil"/>
              <w:left w:val="nil"/>
              <w:bottom w:val="nil"/>
              <w:right w:val="nil"/>
            </w:tcBorders>
          </w:tcPr>
          <w:p w14:paraId="7301AE4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L7.De Jure CBI (CNW Index)</w:t>
            </w:r>
          </w:p>
        </w:tc>
        <w:tc>
          <w:tcPr>
            <w:tcW w:w="1656" w:type="dxa"/>
            <w:tcBorders>
              <w:top w:val="nil"/>
              <w:left w:val="nil"/>
              <w:bottom w:val="nil"/>
              <w:right w:val="nil"/>
            </w:tcBorders>
          </w:tcPr>
          <w:p w14:paraId="22875F6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2.674</w:t>
            </w:r>
          </w:p>
        </w:tc>
        <w:tc>
          <w:tcPr>
            <w:tcW w:w="1656" w:type="dxa"/>
            <w:tcBorders>
              <w:top w:val="nil"/>
              <w:left w:val="nil"/>
              <w:bottom w:val="nil"/>
              <w:right w:val="nil"/>
            </w:tcBorders>
          </w:tcPr>
          <w:p w14:paraId="3E6430F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-12.15</w:t>
            </w:r>
          </w:p>
        </w:tc>
      </w:tr>
      <w:tr w:rsidR="00201D4C" w:rsidRPr="008D48A5" w14:paraId="5267BFDA" w14:textId="77777777" w:rsidTr="00015B88">
        <w:tc>
          <w:tcPr>
            <w:tcW w:w="2136" w:type="dxa"/>
            <w:tcBorders>
              <w:top w:val="nil"/>
              <w:left w:val="nil"/>
              <w:bottom w:val="nil"/>
              <w:right w:val="nil"/>
            </w:tcBorders>
          </w:tcPr>
          <w:p w14:paraId="5CA74E8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BC85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(0.95)</w:t>
            </w:r>
          </w:p>
        </w:tc>
        <w:tc>
          <w:tcPr>
            <w:tcW w:w="1656" w:type="dxa"/>
            <w:tcBorders>
              <w:top w:val="nil"/>
              <w:left w:val="nil"/>
              <w:bottom w:val="nil"/>
              <w:right w:val="nil"/>
            </w:tcBorders>
          </w:tcPr>
          <w:p w14:paraId="3CC26A4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(-1.73)</w:t>
            </w:r>
          </w:p>
        </w:tc>
      </w:tr>
      <w:tr w:rsidR="00201D4C" w:rsidRPr="008D48A5" w14:paraId="4C4294B6" w14:textId="77777777" w:rsidTr="00015B88">
        <w:tc>
          <w:tcPr>
            <w:tcW w:w="2136" w:type="dxa"/>
            <w:tcBorders>
              <w:top w:val="nil"/>
              <w:left w:val="nil"/>
              <w:bottom w:val="nil"/>
              <w:right w:val="nil"/>
            </w:tcBorders>
          </w:tcPr>
          <w:p w14:paraId="7138002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B094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5091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7F85637" w14:textId="77777777" w:rsidTr="00015B88">
        <w:tc>
          <w:tcPr>
            <w:tcW w:w="2136" w:type="dxa"/>
            <w:tcBorders>
              <w:top w:val="nil"/>
              <w:left w:val="nil"/>
              <w:bottom w:val="nil"/>
              <w:right w:val="nil"/>
            </w:tcBorders>
          </w:tcPr>
          <w:p w14:paraId="314FEE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L8.De Jure CBI (CNW Index)</w:t>
            </w:r>
          </w:p>
        </w:tc>
        <w:tc>
          <w:tcPr>
            <w:tcW w:w="1656" w:type="dxa"/>
            <w:tcBorders>
              <w:top w:val="nil"/>
              <w:left w:val="nil"/>
              <w:bottom w:val="nil"/>
              <w:right w:val="nil"/>
            </w:tcBorders>
          </w:tcPr>
          <w:p w14:paraId="628F8CA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-1.972</w:t>
            </w:r>
          </w:p>
        </w:tc>
        <w:tc>
          <w:tcPr>
            <w:tcW w:w="1656" w:type="dxa"/>
            <w:tcBorders>
              <w:top w:val="nil"/>
              <w:left w:val="nil"/>
              <w:bottom w:val="nil"/>
              <w:right w:val="nil"/>
            </w:tcBorders>
          </w:tcPr>
          <w:p w14:paraId="381437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13.22</w:t>
            </w:r>
            <w:r w:rsidRPr="008D48A5">
              <w:rPr>
                <w:rFonts w:ascii="Times New Roman" w:hAnsi="Times New Roman" w:cs="Times New Roman"/>
                <w:sz w:val="16"/>
                <w:szCs w:val="16"/>
                <w:vertAlign w:val="superscript"/>
              </w:rPr>
              <w:t>*</w:t>
            </w:r>
          </w:p>
        </w:tc>
      </w:tr>
      <w:tr w:rsidR="00201D4C" w:rsidRPr="008D48A5" w14:paraId="777096B5" w14:textId="77777777" w:rsidTr="00015B88">
        <w:tc>
          <w:tcPr>
            <w:tcW w:w="2136" w:type="dxa"/>
            <w:tcBorders>
              <w:top w:val="nil"/>
              <w:left w:val="nil"/>
              <w:bottom w:val="nil"/>
              <w:right w:val="nil"/>
            </w:tcBorders>
          </w:tcPr>
          <w:p w14:paraId="3D10719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E39AF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w:t>
            </w:r>
          </w:p>
        </w:tc>
        <w:tc>
          <w:tcPr>
            <w:tcW w:w="1656" w:type="dxa"/>
            <w:tcBorders>
              <w:top w:val="nil"/>
              <w:left w:val="nil"/>
              <w:bottom w:val="nil"/>
              <w:right w:val="nil"/>
            </w:tcBorders>
          </w:tcPr>
          <w:p w14:paraId="48BD6E3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(2.00)</w:t>
            </w:r>
          </w:p>
        </w:tc>
      </w:tr>
      <w:tr w:rsidR="00201D4C" w:rsidRPr="008D48A5" w14:paraId="3FFD63AF" w14:textId="77777777" w:rsidTr="00015B88">
        <w:tc>
          <w:tcPr>
            <w:tcW w:w="2136" w:type="dxa"/>
            <w:tcBorders>
              <w:top w:val="nil"/>
              <w:left w:val="nil"/>
              <w:bottom w:val="nil"/>
              <w:right w:val="nil"/>
            </w:tcBorders>
          </w:tcPr>
          <w:p w14:paraId="3552832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D800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63E4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98F4226" w14:textId="77777777" w:rsidTr="00015B88">
        <w:tc>
          <w:tcPr>
            <w:tcW w:w="2136" w:type="dxa"/>
            <w:tcBorders>
              <w:top w:val="nil"/>
              <w:left w:val="nil"/>
              <w:bottom w:val="nil"/>
              <w:right w:val="nil"/>
            </w:tcBorders>
          </w:tcPr>
          <w:p w14:paraId="76E610C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L9.De Jure CBI (CNW Index)</w:t>
            </w:r>
          </w:p>
        </w:tc>
        <w:tc>
          <w:tcPr>
            <w:tcW w:w="1656" w:type="dxa"/>
            <w:tcBorders>
              <w:top w:val="nil"/>
              <w:left w:val="nil"/>
              <w:bottom w:val="nil"/>
              <w:right w:val="nil"/>
            </w:tcBorders>
          </w:tcPr>
          <w:p w14:paraId="731EAB2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-4.117</w:t>
            </w:r>
          </w:p>
        </w:tc>
        <w:tc>
          <w:tcPr>
            <w:tcW w:w="1656" w:type="dxa"/>
            <w:tcBorders>
              <w:top w:val="nil"/>
              <w:left w:val="nil"/>
              <w:bottom w:val="nil"/>
              <w:right w:val="nil"/>
            </w:tcBorders>
          </w:tcPr>
          <w:p w14:paraId="7A9A24E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-0.470</w:t>
            </w:r>
          </w:p>
        </w:tc>
      </w:tr>
      <w:tr w:rsidR="00201D4C" w:rsidRPr="008D48A5" w14:paraId="376731D6" w14:textId="77777777" w:rsidTr="00015B88">
        <w:tc>
          <w:tcPr>
            <w:tcW w:w="2136" w:type="dxa"/>
            <w:tcBorders>
              <w:top w:val="nil"/>
              <w:left w:val="nil"/>
              <w:bottom w:val="nil"/>
              <w:right w:val="nil"/>
            </w:tcBorders>
          </w:tcPr>
          <w:p w14:paraId="67E98B3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D930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(-1.52)</w:t>
            </w:r>
          </w:p>
        </w:tc>
        <w:tc>
          <w:tcPr>
            <w:tcW w:w="1656" w:type="dxa"/>
            <w:tcBorders>
              <w:top w:val="nil"/>
              <w:left w:val="nil"/>
              <w:bottom w:val="nil"/>
              <w:right w:val="nil"/>
            </w:tcBorders>
          </w:tcPr>
          <w:p w14:paraId="234EE85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(-0.21)</w:t>
            </w:r>
          </w:p>
        </w:tc>
      </w:tr>
      <w:tr w:rsidR="00201D4C" w:rsidRPr="008D48A5" w14:paraId="439214AD" w14:textId="77777777" w:rsidTr="00015B88">
        <w:tc>
          <w:tcPr>
            <w:tcW w:w="2136" w:type="dxa"/>
            <w:tcBorders>
              <w:top w:val="nil"/>
              <w:left w:val="nil"/>
              <w:bottom w:val="nil"/>
              <w:right w:val="nil"/>
            </w:tcBorders>
          </w:tcPr>
          <w:p w14:paraId="0CEFB0C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5E0B4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E2763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8E136E4" w14:textId="77777777" w:rsidTr="00015B88">
        <w:tc>
          <w:tcPr>
            <w:tcW w:w="2136" w:type="dxa"/>
            <w:tcBorders>
              <w:top w:val="nil"/>
              <w:left w:val="nil"/>
              <w:bottom w:val="nil"/>
              <w:right w:val="nil"/>
            </w:tcBorders>
          </w:tcPr>
          <w:p w14:paraId="56300EB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L10.De Jure CBI (CNW Index)</w:t>
            </w:r>
          </w:p>
        </w:tc>
        <w:tc>
          <w:tcPr>
            <w:tcW w:w="1656" w:type="dxa"/>
            <w:tcBorders>
              <w:top w:val="nil"/>
              <w:left w:val="nil"/>
              <w:bottom w:val="nil"/>
              <w:right w:val="nil"/>
            </w:tcBorders>
          </w:tcPr>
          <w:p w14:paraId="0CB20CA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5.822</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259B372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-0.666</w:t>
            </w:r>
          </w:p>
        </w:tc>
      </w:tr>
      <w:tr w:rsidR="00201D4C" w:rsidRPr="008D48A5" w14:paraId="29A915EC" w14:textId="77777777" w:rsidTr="00015B88">
        <w:tc>
          <w:tcPr>
            <w:tcW w:w="2136" w:type="dxa"/>
            <w:tcBorders>
              <w:top w:val="nil"/>
              <w:left w:val="nil"/>
              <w:bottom w:val="nil"/>
              <w:right w:val="nil"/>
            </w:tcBorders>
          </w:tcPr>
          <w:p w14:paraId="63039BC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7BD7B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(2.56)</w:t>
            </w:r>
          </w:p>
        </w:tc>
        <w:tc>
          <w:tcPr>
            <w:tcW w:w="1656" w:type="dxa"/>
            <w:tcBorders>
              <w:top w:val="nil"/>
              <w:left w:val="nil"/>
              <w:bottom w:val="nil"/>
              <w:right w:val="nil"/>
            </w:tcBorders>
          </w:tcPr>
          <w:p w14:paraId="560E763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(-0.35)</w:t>
            </w:r>
          </w:p>
        </w:tc>
      </w:tr>
      <w:tr w:rsidR="00201D4C" w:rsidRPr="008D48A5" w14:paraId="372F1DE1" w14:textId="77777777" w:rsidTr="00015B88">
        <w:tc>
          <w:tcPr>
            <w:tcW w:w="2136" w:type="dxa"/>
            <w:tcBorders>
              <w:top w:val="nil"/>
              <w:left w:val="nil"/>
              <w:bottom w:val="nil"/>
              <w:right w:val="nil"/>
            </w:tcBorders>
          </w:tcPr>
          <w:p w14:paraId="56BACCB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D258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A4C49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07C2979" w14:textId="77777777" w:rsidTr="00015B88">
        <w:tc>
          <w:tcPr>
            <w:tcW w:w="2136" w:type="dxa"/>
            <w:tcBorders>
              <w:top w:val="nil"/>
              <w:left w:val="nil"/>
              <w:bottom w:val="nil"/>
              <w:right w:val="nil"/>
            </w:tcBorders>
          </w:tcPr>
          <w:p w14:paraId="259A063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D48A5">
              <w:rPr>
                <w:rFonts w:ascii="Times New Roman" w:hAnsi="Times New Roman" w:cs="Times New Roman"/>
                <w:sz w:val="16"/>
                <w:szCs w:val="16"/>
              </w:rPr>
              <w:t>L.Exchange</w:t>
            </w:r>
            <w:proofErr w:type="spellEnd"/>
            <w:r w:rsidRPr="008D48A5">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0EC949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0.173</w:t>
            </w:r>
          </w:p>
        </w:tc>
        <w:tc>
          <w:tcPr>
            <w:tcW w:w="1656" w:type="dxa"/>
            <w:tcBorders>
              <w:top w:val="nil"/>
              <w:left w:val="nil"/>
              <w:bottom w:val="nil"/>
              <w:right w:val="nil"/>
            </w:tcBorders>
          </w:tcPr>
          <w:p w14:paraId="2F0E2CD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0.175</w:t>
            </w:r>
          </w:p>
        </w:tc>
      </w:tr>
      <w:tr w:rsidR="00201D4C" w:rsidRPr="008D48A5" w14:paraId="048E0086" w14:textId="77777777" w:rsidTr="00015B88">
        <w:tc>
          <w:tcPr>
            <w:tcW w:w="2136" w:type="dxa"/>
            <w:tcBorders>
              <w:top w:val="nil"/>
              <w:left w:val="nil"/>
              <w:bottom w:val="nil"/>
              <w:right w:val="nil"/>
            </w:tcBorders>
          </w:tcPr>
          <w:p w14:paraId="064FB6B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204C7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(1.36)</w:t>
            </w:r>
          </w:p>
        </w:tc>
        <w:tc>
          <w:tcPr>
            <w:tcW w:w="1656" w:type="dxa"/>
            <w:tcBorders>
              <w:top w:val="nil"/>
              <w:left w:val="nil"/>
              <w:bottom w:val="nil"/>
              <w:right w:val="nil"/>
            </w:tcBorders>
          </w:tcPr>
          <w:p w14:paraId="612232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(0.85)</w:t>
            </w:r>
          </w:p>
        </w:tc>
      </w:tr>
      <w:tr w:rsidR="00201D4C" w:rsidRPr="008D48A5" w14:paraId="5392B397" w14:textId="77777777" w:rsidTr="00015B88">
        <w:tc>
          <w:tcPr>
            <w:tcW w:w="2136" w:type="dxa"/>
            <w:tcBorders>
              <w:top w:val="nil"/>
              <w:left w:val="nil"/>
              <w:bottom w:val="nil"/>
              <w:right w:val="nil"/>
            </w:tcBorders>
          </w:tcPr>
          <w:p w14:paraId="56B6C54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BC3D1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1847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F2AA712" w14:textId="77777777" w:rsidTr="00015B88">
        <w:tc>
          <w:tcPr>
            <w:tcW w:w="2136" w:type="dxa"/>
            <w:tcBorders>
              <w:top w:val="nil"/>
              <w:left w:val="nil"/>
              <w:bottom w:val="nil"/>
              <w:right w:val="nil"/>
            </w:tcBorders>
          </w:tcPr>
          <w:p w14:paraId="3E008E4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365F459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-0.0941</w:t>
            </w:r>
          </w:p>
        </w:tc>
        <w:tc>
          <w:tcPr>
            <w:tcW w:w="1656" w:type="dxa"/>
            <w:tcBorders>
              <w:top w:val="nil"/>
              <w:left w:val="nil"/>
              <w:bottom w:val="nil"/>
              <w:right w:val="nil"/>
            </w:tcBorders>
          </w:tcPr>
          <w:p w14:paraId="7FFE49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-0.123</w:t>
            </w:r>
          </w:p>
        </w:tc>
      </w:tr>
      <w:tr w:rsidR="00201D4C" w:rsidRPr="008D48A5" w14:paraId="08E1BC9F" w14:textId="77777777" w:rsidTr="00015B88">
        <w:tc>
          <w:tcPr>
            <w:tcW w:w="2136" w:type="dxa"/>
            <w:tcBorders>
              <w:top w:val="nil"/>
              <w:left w:val="nil"/>
              <w:bottom w:val="nil"/>
              <w:right w:val="nil"/>
            </w:tcBorders>
          </w:tcPr>
          <w:p w14:paraId="22586C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A3A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(-1.04)</w:t>
            </w:r>
          </w:p>
        </w:tc>
        <w:tc>
          <w:tcPr>
            <w:tcW w:w="1656" w:type="dxa"/>
            <w:tcBorders>
              <w:top w:val="nil"/>
              <w:left w:val="nil"/>
              <w:bottom w:val="nil"/>
              <w:right w:val="nil"/>
            </w:tcBorders>
          </w:tcPr>
          <w:p w14:paraId="7BA6334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(-0.80)</w:t>
            </w:r>
          </w:p>
        </w:tc>
      </w:tr>
      <w:tr w:rsidR="00201D4C" w:rsidRPr="008D48A5" w14:paraId="27170490" w14:textId="77777777" w:rsidTr="00015B88">
        <w:tc>
          <w:tcPr>
            <w:tcW w:w="2136" w:type="dxa"/>
            <w:tcBorders>
              <w:top w:val="nil"/>
              <w:left w:val="nil"/>
              <w:bottom w:val="nil"/>
              <w:right w:val="nil"/>
            </w:tcBorders>
          </w:tcPr>
          <w:p w14:paraId="570DDB2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E4F2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4E492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01C3DCC" w14:textId="77777777" w:rsidTr="00015B88">
        <w:tc>
          <w:tcPr>
            <w:tcW w:w="2136" w:type="dxa"/>
            <w:tcBorders>
              <w:top w:val="nil"/>
              <w:left w:val="nil"/>
              <w:bottom w:val="nil"/>
              <w:right w:val="nil"/>
            </w:tcBorders>
          </w:tcPr>
          <w:p w14:paraId="3916C99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3A3FEE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-0.0183</w:t>
            </w:r>
          </w:p>
        </w:tc>
        <w:tc>
          <w:tcPr>
            <w:tcW w:w="1656" w:type="dxa"/>
            <w:tcBorders>
              <w:top w:val="nil"/>
              <w:left w:val="nil"/>
              <w:bottom w:val="nil"/>
              <w:right w:val="nil"/>
            </w:tcBorders>
          </w:tcPr>
          <w:p w14:paraId="41A43C5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-0.0282</w:t>
            </w:r>
          </w:p>
        </w:tc>
      </w:tr>
      <w:tr w:rsidR="00201D4C" w:rsidRPr="008D48A5" w14:paraId="62784DBC" w14:textId="77777777" w:rsidTr="00015B88">
        <w:tc>
          <w:tcPr>
            <w:tcW w:w="2136" w:type="dxa"/>
            <w:tcBorders>
              <w:top w:val="nil"/>
              <w:left w:val="nil"/>
              <w:bottom w:val="nil"/>
              <w:right w:val="nil"/>
            </w:tcBorders>
          </w:tcPr>
          <w:p w14:paraId="367B9B8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AF49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(-0.21)</w:t>
            </w:r>
          </w:p>
        </w:tc>
        <w:tc>
          <w:tcPr>
            <w:tcW w:w="1656" w:type="dxa"/>
            <w:tcBorders>
              <w:top w:val="nil"/>
              <w:left w:val="nil"/>
              <w:bottom w:val="nil"/>
              <w:right w:val="nil"/>
            </w:tcBorders>
          </w:tcPr>
          <w:p w14:paraId="22554D0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(-0.18)</w:t>
            </w:r>
          </w:p>
        </w:tc>
      </w:tr>
      <w:tr w:rsidR="00201D4C" w:rsidRPr="008D48A5" w14:paraId="3202AD35" w14:textId="77777777" w:rsidTr="00015B88">
        <w:tc>
          <w:tcPr>
            <w:tcW w:w="2136" w:type="dxa"/>
            <w:tcBorders>
              <w:top w:val="nil"/>
              <w:left w:val="nil"/>
              <w:bottom w:val="nil"/>
              <w:right w:val="nil"/>
            </w:tcBorders>
          </w:tcPr>
          <w:p w14:paraId="3C4B11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3935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74B3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649E32A" w14:textId="77777777" w:rsidTr="00015B88">
        <w:tc>
          <w:tcPr>
            <w:tcW w:w="2136" w:type="dxa"/>
            <w:tcBorders>
              <w:top w:val="nil"/>
              <w:left w:val="nil"/>
              <w:bottom w:val="nil"/>
              <w:right w:val="nil"/>
            </w:tcBorders>
          </w:tcPr>
          <w:p w14:paraId="2BBB88F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54826D3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0.157</w:t>
            </w:r>
          </w:p>
        </w:tc>
        <w:tc>
          <w:tcPr>
            <w:tcW w:w="1656" w:type="dxa"/>
            <w:tcBorders>
              <w:top w:val="nil"/>
              <w:left w:val="nil"/>
              <w:bottom w:val="nil"/>
              <w:right w:val="nil"/>
            </w:tcBorders>
          </w:tcPr>
          <w:p w14:paraId="2AA45F4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0.150</w:t>
            </w:r>
          </w:p>
        </w:tc>
      </w:tr>
      <w:tr w:rsidR="00201D4C" w:rsidRPr="008D48A5" w14:paraId="56FB161F" w14:textId="77777777" w:rsidTr="00015B88">
        <w:tc>
          <w:tcPr>
            <w:tcW w:w="2136" w:type="dxa"/>
            <w:tcBorders>
              <w:top w:val="nil"/>
              <w:left w:val="nil"/>
              <w:bottom w:val="nil"/>
              <w:right w:val="nil"/>
            </w:tcBorders>
          </w:tcPr>
          <w:p w14:paraId="3B9CB6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3EF1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(1.57)</w:t>
            </w:r>
          </w:p>
        </w:tc>
        <w:tc>
          <w:tcPr>
            <w:tcW w:w="1656" w:type="dxa"/>
            <w:tcBorders>
              <w:top w:val="nil"/>
              <w:left w:val="nil"/>
              <w:bottom w:val="nil"/>
              <w:right w:val="nil"/>
            </w:tcBorders>
          </w:tcPr>
          <w:p w14:paraId="45C894E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(0.73)</w:t>
            </w:r>
          </w:p>
        </w:tc>
      </w:tr>
      <w:tr w:rsidR="00201D4C" w:rsidRPr="008D48A5" w14:paraId="03255F2B" w14:textId="77777777" w:rsidTr="00015B88">
        <w:tc>
          <w:tcPr>
            <w:tcW w:w="2136" w:type="dxa"/>
            <w:tcBorders>
              <w:top w:val="nil"/>
              <w:left w:val="nil"/>
              <w:bottom w:val="nil"/>
              <w:right w:val="nil"/>
            </w:tcBorders>
          </w:tcPr>
          <w:p w14:paraId="798C8D3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2245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07E6D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A1F0315" w14:textId="77777777" w:rsidTr="00015B88">
        <w:tc>
          <w:tcPr>
            <w:tcW w:w="2136" w:type="dxa"/>
            <w:tcBorders>
              <w:top w:val="nil"/>
              <w:left w:val="nil"/>
              <w:bottom w:val="nil"/>
              <w:right w:val="nil"/>
            </w:tcBorders>
          </w:tcPr>
          <w:p w14:paraId="4BC0985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36A20AE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-0.198</w:t>
            </w:r>
          </w:p>
        </w:tc>
        <w:tc>
          <w:tcPr>
            <w:tcW w:w="1656" w:type="dxa"/>
            <w:tcBorders>
              <w:top w:val="nil"/>
              <w:left w:val="nil"/>
              <w:bottom w:val="nil"/>
              <w:right w:val="nil"/>
            </w:tcBorders>
          </w:tcPr>
          <w:p w14:paraId="01896AC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0.0563</w:t>
            </w:r>
          </w:p>
        </w:tc>
      </w:tr>
      <w:tr w:rsidR="00201D4C" w:rsidRPr="008D48A5" w14:paraId="18DE2278" w14:textId="77777777" w:rsidTr="00015B88">
        <w:tc>
          <w:tcPr>
            <w:tcW w:w="2136" w:type="dxa"/>
            <w:tcBorders>
              <w:top w:val="nil"/>
              <w:left w:val="nil"/>
              <w:bottom w:val="nil"/>
              <w:right w:val="nil"/>
            </w:tcBorders>
          </w:tcPr>
          <w:p w14:paraId="52C60E3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1C997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(-1.86)</w:t>
            </w:r>
          </w:p>
        </w:tc>
        <w:tc>
          <w:tcPr>
            <w:tcW w:w="1656" w:type="dxa"/>
            <w:tcBorders>
              <w:top w:val="nil"/>
              <w:left w:val="nil"/>
              <w:bottom w:val="nil"/>
              <w:right w:val="nil"/>
            </w:tcBorders>
          </w:tcPr>
          <w:p w14:paraId="4B39491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(0.29)</w:t>
            </w:r>
          </w:p>
        </w:tc>
      </w:tr>
      <w:tr w:rsidR="00201D4C" w:rsidRPr="008D48A5" w14:paraId="4BAFE0F4" w14:textId="77777777" w:rsidTr="00015B88">
        <w:tc>
          <w:tcPr>
            <w:tcW w:w="2136" w:type="dxa"/>
            <w:tcBorders>
              <w:top w:val="nil"/>
              <w:left w:val="nil"/>
              <w:bottom w:val="nil"/>
              <w:right w:val="nil"/>
            </w:tcBorders>
          </w:tcPr>
          <w:p w14:paraId="1CDD08D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9299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DB85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56146B" w14:textId="77777777" w:rsidTr="00015B88">
        <w:tc>
          <w:tcPr>
            <w:tcW w:w="2136" w:type="dxa"/>
            <w:tcBorders>
              <w:top w:val="nil"/>
              <w:left w:val="nil"/>
              <w:bottom w:val="nil"/>
              <w:right w:val="nil"/>
            </w:tcBorders>
          </w:tcPr>
          <w:p w14:paraId="3555C2D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36206F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0.106</w:t>
            </w:r>
          </w:p>
        </w:tc>
        <w:tc>
          <w:tcPr>
            <w:tcW w:w="1656" w:type="dxa"/>
            <w:tcBorders>
              <w:top w:val="nil"/>
              <w:left w:val="nil"/>
              <w:bottom w:val="nil"/>
              <w:right w:val="nil"/>
            </w:tcBorders>
          </w:tcPr>
          <w:p w14:paraId="1564259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-0.147</w:t>
            </w:r>
          </w:p>
        </w:tc>
      </w:tr>
      <w:tr w:rsidR="00201D4C" w:rsidRPr="008D48A5" w14:paraId="017EA1C5" w14:textId="77777777" w:rsidTr="00015B88">
        <w:tc>
          <w:tcPr>
            <w:tcW w:w="2136" w:type="dxa"/>
            <w:tcBorders>
              <w:top w:val="nil"/>
              <w:left w:val="nil"/>
              <w:bottom w:val="nil"/>
              <w:right w:val="nil"/>
            </w:tcBorders>
          </w:tcPr>
          <w:p w14:paraId="415A2E8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6D85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(0.99)</w:t>
            </w:r>
          </w:p>
        </w:tc>
        <w:tc>
          <w:tcPr>
            <w:tcW w:w="1656" w:type="dxa"/>
            <w:tcBorders>
              <w:top w:val="nil"/>
              <w:left w:val="nil"/>
              <w:bottom w:val="nil"/>
              <w:right w:val="nil"/>
            </w:tcBorders>
          </w:tcPr>
          <w:p w14:paraId="7096546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(-1.03)</w:t>
            </w:r>
          </w:p>
        </w:tc>
      </w:tr>
      <w:tr w:rsidR="00201D4C" w:rsidRPr="008D48A5" w14:paraId="246DD5E1" w14:textId="77777777" w:rsidTr="00015B88">
        <w:tc>
          <w:tcPr>
            <w:tcW w:w="2136" w:type="dxa"/>
            <w:tcBorders>
              <w:top w:val="nil"/>
              <w:left w:val="nil"/>
              <w:bottom w:val="nil"/>
              <w:right w:val="nil"/>
            </w:tcBorders>
          </w:tcPr>
          <w:p w14:paraId="7210C0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5C45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6A136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26BF8F" w14:textId="77777777" w:rsidTr="00015B88">
        <w:tc>
          <w:tcPr>
            <w:tcW w:w="2136" w:type="dxa"/>
            <w:tcBorders>
              <w:top w:val="nil"/>
              <w:left w:val="nil"/>
              <w:bottom w:val="nil"/>
              <w:right w:val="nil"/>
            </w:tcBorders>
          </w:tcPr>
          <w:p w14:paraId="24B2E2D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7DB5449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0.0758</w:t>
            </w:r>
          </w:p>
        </w:tc>
        <w:tc>
          <w:tcPr>
            <w:tcW w:w="1656" w:type="dxa"/>
            <w:tcBorders>
              <w:top w:val="nil"/>
              <w:left w:val="nil"/>
              <w:bottom w:val="nil"/>
              <w:right w:val="nil"/>
            </w:tcBorders>
          </w:tcPr>
          <w:p w14:paraId="2E156A0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0.0459</w:t>
            </w:r>
          </w:p>
        </w:tc>
      </w:tr>
      <w:tr w:rsidR="00201D4C" w:rsidRPr="008D48A5" w14:paraId="73B34FE9" w14:textId="77777777" w:rsidTr="00015B88">
        <w:tc>
          <w:tcPr>
            <w:tcW w:w="2136" w:type="dxa"/>
            <w:tcBorders>
              <w:top w:val="nil"/>
              <w:left w:val="nil"/>
              <w:bottom w:val="nil"/>
              <w:right w:val="nil"/>
            </w:tcBorders>
          </w:tcPr>
          <w:p w14:paraId="298FA87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3EBD1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(0.91)</w:t>
            </w:r>
          </w:p>
        </w:tc>
        <w:tc>
          <w:tcPr>
            <w:tcW w:w="1656" w:type="dxa"/>
            <w:tcBorders>
              <w:top w:val="nil"/>
              <w:left w:val="nil"/>
              <w:bottom w:val="nil"/>
              <w:right w:val="nil"/>
            </w:tcBorders>
          </w:tcPr>
          <w:p w14:paraId="0CE7F4D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(0.37)</w:t>
            </w:r>
          </w:p>
        </w:tc>
      </w:tr>
      <w:tr w:rsidR="00201D4C" w:rsidRPr="008D48A5" w14:paraId="3B1FF673" w14:textId="77777777" w:rsidTr="00015B88">
        <w:tc>
          <w:tcPr>
            <w:tcW w:w="2136" w:type="dxa"/>
            <w:tcBorders>
              <w:top w:val="nil"/>
              <w:left w:val="nil"/>
              <w:bottom w:val="nil"/>
              <w:right w:val="nil"/>
            </w:tcBorders>
          </w:tcPr>
          <w:p w14:paraId="410D912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87958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7F897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652D1FA" w14:textId="77777777" w:rsidTr="00015B88">
        <w:tc>
          <w:tcPr>
            <w:tcW w:w="2136" w:type="dxa"/>
            <w:tcBorders>
              <w:top w:val="nil"/>
              <w:left w:val="nil"/>
              <w:bottom w:val="nil"/>
              <w:right w:val="nil"/>
            </w:tcBorders>
          </w:tcPr>
          <w:p w14:paraId="543E6E2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7A146F8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-0.0519</w:t>
            </w:r>
          </w:p>
        </w:tc>
        <w:tc>
          <w:tcPr>
            <w:tcW w:w="1656" w:type="dxa"/>
            <w:tcBorders>
              <w:top w:val="nil"/>
              <w:left w:val="nil"/>
              <w:bottom w:val="nil"/>
              <w:right w:val="nil"/>
            </w:tcBorders>
          </w:tcPr>
          <w:p w14:paraId="7D06C7E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-0.120</w:t>
            </w:r>
          </w:p>
        </w:tc>
      </w:tr>
      <w:tr w:rsidR="00201D4C" w:rsidRPr="008D48A5" w14:paraId="0F99B6F5" w14:textId="77777777" w:rsidTr="00015B88">
        <w:tc>
          <w:tcPr>
            <w:tcW w:w="2136" w:type="dxa"/>
            <w:tcBorders>
              <w:top w:val="nil"/>
              <w:left w:val="nil"/>
              <w:bottom w:val="nil"/>
              <w:right w:val="nil"/>
            </w:tcBorders>
          </w:tcPr>
          <w:p w14:paraId="724E514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16C2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(-0.67)</w:t>
            </w:r>
          </w:p>
        </w:tc>
        <w:tc>
          <w:tcPr>
            <w:tcW w:w="1656" w:type="dxa"/>
            <w:tcBorders>
              <w:top w:val="nil"/>
              <w:left w:val="nil"/>
              <w:bottom w:val="nil"/>
              <w:right w:val="nil"/>
            </w:tcBorders>
          </w:tcPr>
          <w:p w14:paraId="02F01AE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(-1.18)</w:t>
            </w:r>
          </w:p>
        </w:tc>
      </w:tr>
      <w:tr w:rsidR="00201D4C" w:rsidRPr="008D48A5" w14:paraId="49A9E052" w14:textId="77777777" w:rsidTr="00015B88">
        <w:tc>
          <w:tcPr>
            <w:tcW w:w="2136" w:type="dxa"/>
            <w:tcBorders>
              <w:top w:val="nil"/>
              <w:left w:val="nil"/>
              <w:bottom w:val="nil"/>
              <w:right w:val="nil"/>
            </w:tcBorders>
          </w:tcPr>
          <w:p w14:paraId="170C7E8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5E598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9E80F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24D7EEF" w14:textId="77777777" w:rsidTr="00015B88">
        <w:tc>
          <w:tcPr>
            <w:tcW w:w="2136" w:type="dxa"/>
            <w:tcBorders>
              <w:top w:val="nil"/>
              <w:left w:val="nil"/>
              <w:bottom w:val="nil"/>
              <w:right w:val="nil"/>
            </w:tcBorders>
          </w:tcPr>
          <w:p w14:paraId="150F77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0D707DB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0.00717</w:t>
            </w:r>
          </w:p>
        </w:tc>
        <w:tc>
          <w:tcPr>
            <w:tcW w:w="1656" w:type="dxa"/>
            <w:tcBorders>
              <w:top w:val="nil"/>
              <w:left w:val="nil"/>
              <w:bottom w:val="nil"/>
              <w:right w:val="nil"/>
            </w:tcBorders>
          </w:tcPr>
          <w:p w14:paraId="2F93FEA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0.0198</w:t>
            </w:r>
          </w:p>
        </w:tc>
      </w:tr>
      <w:tr w:rsidR="00201D4C" w:rsidRPr="008D48A5" w14:paraId="37987B2D" w14:textId="77777777" w:rsidTr="00015B88">
        <w:tc>
          <w:tcPr>
            <w:tcW w:w="2136" w:type="dxa"/>
            <w:tcBorders>
              <w:top w:val="nil"/>
              <w:left w:val="nil"/>
              <w:bottom w:val="nil"/>
              <w:right w:val="nil"/>
            </w:tcBorders>
          </w:tcPr>
          <w:p w14:paraId="120B5A6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841D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(0.11)</w:t>
            </w:r>
          </w:p>
        </w:tc>
        <w:tc>
          <w:tcPr>
            <w:tcW w:w="1656" w:type="dxa"/>
            <w:tcBorders>
              <w:top w:val="nil"/>
              <w:left w:val="nil"/>
              <w:bottom w:val="nil"/>
              <w:right w:val="nil"/>
            </w:tcBorders>
          </w:tcPr>
          <w:p w14:paraId="6422AAD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(0.21)</w:t>
            </w:r>
          </w:p>
        </w:tc>
      </w:tr>
      <w:tr w:rsidR="00201D4C" w:rsidRPr="008D48A5" w14:paraId="15EC92A4" w14:textId="77777777" w:rsidTr="00015B88">
        <w:tc>
          <w:tcPr>
            <w:tcW w:w="2136" w:type="dxa"/>
            <w:tcBorders>
              <w:top w:val="nil"/>
              <w:left w:val="nil"/>
              <w:bottom w:val="nil"/>
              <w:right w:val="nil"/>
            </w:tcBorders>
          </w:tcPr>
          <w:p w14:paraId="6FBA3A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5433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9F757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D50D2B6" w14:textId="77777777" w:rsidTr="00015B88">
        <w:tc>
          <w:tcPr>
            <w:tcW w:w="2136" w:type="dxa"/>
            <w:tcBorders>
              <w:top w:val="nil"/>
              <w:left w:val="nil"/>
              <w:bottom w:val="nil"/>
              <w:right w:val="nil"/>
            </w:tcBorders>
          </w:tcPr>
          <w:p w14:paraId="2FC24E0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4C395CE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-0.0466</w:t>
            </w:r>
          </w:p>
        </w:tc>
        <w:tc>
          <w:tcPr>
            <w:tcW w:w="1656" w:type="dxa"/>
            <w:tcBorders>
              <w:top w:val="nil"/>
              <w:left w:val="nil"/>
              <w:bottom w:val="nil"/>
              <w:right w:val="nil"/>
            </w:tcBorders>
          </w:tcPr>
          <w:p w14:paraId="4FAEFB3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0.0852</w:t>
            </w:r>
          </w:p>
        </w:tc>
      </w:tr>
      <w:tr w:rsidR="00201D4C" w:rsidRPr="008D48A5" w14:paraId="1AA6BF6D" w14:textId="77777777" w:rsidTr="00015B88">
        <w:tc>
          <w:tcPr>
            <w:tcW w:w="2136" w:type="dxa"/>
            <w:tcBorders>
              <w:top w:val="nil"/>
              <w:left w:val="nil"/>
              <w:bottom w:val="nil"/>
              <w:right w:val="nil"/>
            </w:tcBorders>
          </w:tcPr>
          <w:p w14:paraId="40B04C6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7120A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(-0.95)</w:t>
            </w:r>
          </w:p>
        </w:tc>
        <w:tc>
          <w:tcPr>
            <w:tcW w:w="1656" w:type="dxa"/>
            <w:tcBorders>
              <w:top w:val="nil"/>
              <w:left w:val="nil"/>
              <w:bottom w:val="nil"/>
              <w:right w:val="nil"/>
            </w:tcBorders>
          </w:tcPr>
          <w:p w14:paraId="7CFDA65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(0.87)</w:t>
            </w:r>
          </w:p>
        </w:tc>
      </w:tr>
      <w:tr w:rsidR="00201D4C" w:rsidRPr="008D48A5" w14:paraId="5DAFB5AD" w14:textId="77777777" w:rsidTr="00015B88">
        <w:tc>
          <w:tcPr>
            <w:tcW w:w="2136" w:type="dxa"/>
            <w:tcBorders>
              <w:top w:val="nil"/>
              <w:left w:val="nil"/>
              <w:bottom w:val="nil"/>
              <w:right w:val="nil"/>
            </w:tcBorders>
          </w:tcPr>
          <w:p w14:paraId="0A0A881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13F63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921E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03DB7E8" w14:textId="77777777" w:rsidTr="00015B88">
        <w:tc>
          <w:tcPr>
            <w:tcW w:w="2136" w:type="dxa"/>
            <w:tcBorders>
              <w:top w:val="nil"/>
              <w:left w:val="nil"/>
              <w:bottom w:val="nil"/>
              <w:right w:val="nil"/>
            </w:tcBorders>
          </w:tcPr>
          <w:p w14:paraId="38D99F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L.HOS = HOG</w:t>
            </w:r>
          </w:p>
        </w:tc>
        <w:tc>
          <w:tcPr>
            <w:tcW w:w="1656" w:type="dxa"/>
            <w:tcBorders>
              <w:top w:val="nil"/>
              <w:left w:val="nil"/>
              <w:bottom w:val="nil"/>
              <w:right w:val="nil"/>
            </w:tcBorders>
          </w:tcPr>
          <w:p w14:paraId="0FD1F31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0.0917</w:t>
            </w:r>
          </w:p>
        </w:tc>
        <w:tc>
          <w:tcPr>
            <w:tcW w:w="1656" w:type="dxa"/>
            <w:tcBorders>
              <w:top w:val="nil"/>
              <w:left w:val="nil"/>
              <w:bottom w:val="nil"/>
              <w:right w:val="nil"/>
            </w:tcBorders>
          </w:tcPr>
          <w:p w14:paraId="0467CCF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0.716</w:t>
            </w:r>
          </w:p>
        </w:tc>
      </w:tr>
      <w:tr w:rsidR="00201D4C" w:rsidRPr="008D48A5" w14:paraId="3AF7655F" w14:textId="77777777" w:rsidTr="00015B88">
        <w:tc>
          <w:tcPr>
            <w:tcW w:w="2136" w:type="dxa"/>
            <w:tcBorders>
              <w:top w:val="nil"/>
              <w:left w:val="nil"/>
              <w:bottom w:val="nil"/>
              <w:right w:val="nil"/>
            </w:tcBorders>
          </w:tcPr>
          <w:p w14:paraId="0AC53A0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4F734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w:t>
            </w:r>
          </w:p>
        </w:tc>
        <w:tc>
          <w:tcPr>
            <w:tcW w:w="1656" w:type="dxa"/>
            <w:tcBorders>
              <w:top w:val="nil"/>
              <w:left w:val="nil"/>
              <w:bottom w:val="nil"/>
              <w:right w:val="nil"/>
            </w:tcBorders>
          </w:tcPr>
          <w:p w14:paraId="42077EF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w:t>
            </w:r>
          </w:p>
        </w:tc>
      </w:tr>
      <w:tr w:rsidR="00201D4C" w:rsidRPr="008D48A5" w14:paraId="3D2BB646" w14:textId="77777777" w:rsidTr="00015B88">
        <w:tc>
          <w:tcPr>
            <w:tcW w:w="2136" w:type="dxa"/>
            <w:tcBorders>
              <w:top w:val="nil"/>
              <w:left w:val="nil"/>
              <w:bottom w:val="nil"/>
              <w:right w:val="nil"/>
            </w:tcBorders>
          </w:tcPr>
          <w:p w14:paraId="3FF8B5E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6D78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66240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BF96DCC" w14:textId="77777777" w:rsidTr="00015B88">
        <w:tc>
          <w:tcPr>
            <w:tcW w:w="2136" w:type="dxa"/>
            <w:tcBorders>
              <w:top w:val="nil"/>
              <w:left w:val="nil"/>
              <w:bottom w:val="nil"/>
              <w:right w:val="nil"/>
            </w:tcBorders>
          </w:tcPr>
          <w:p w14:paraId="50FC7BD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L2.HOS = HOG</w:t>
            </w:r>
          </w:p>
        </w:tc>
        <w:tc>
          <w:tcPr>
            <w:tcW w:w="1656" w:type="dxa"/>
            <w:tcBorders>
              <w:top w:val="nil"/>
              <w:left w:val="nil"/>
              <w:bottom w:val="nil"/>
              <w:right w:val="nil"/>
            </w:tcBorders>
          </w:tcPr>
          <w:p w14:paraId="01289E5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0.243</w:t>
            </w:r>
          </w:p>
        </w:tc>
        <w:tc>
          <w:tcPr>
            <w:tcW w:w="1656" w:type="dxa"/>
            <w:tcBorders>
              <w:top w:val="nil"/>
              <w:left w:val="nil"/>
              <w:bottom w:val="nil"/>
              <w:right w:val="nil"/>
            </w:tcBorders>
          </w:tcPr>
          <w:p w14:paraId="0E4FF76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0.428</w:t>
            </w:r>
          </w:p>
        </w:tc>
      </w:tr>
      <w:tr w:rsidR="00201D4C" w:rsidRPr="008D48A5" w14:paraId="3B2E97A3" w14:textId="77777777" w:rsidTr="00015B88">
        <w:tc>
          <w:tcPr>
            <w:tcW w:w="2136" w:type="dxa"/>
            <w:tcBorders>
              <w:top w:val="nil"/>
              <w:left w:val="nil"/>
              <w:bottom w:val="nil"/>
              <w:right w:val="nil"/>
            </w:tcBorders>
          </w:tcPr>
          <w:p w14:paraId="0AF617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FA2F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(0.14)</w:t>
            </w:r>
          </w:p>
        </w:tc>
        <w:tc>
          <w:tcPr>
            <w:tcW w:w="1656" w:type="dxa"/>
            <w:tcBorders>
              <w:top w:val="nil"/>
              <w:left w:val="nil"/>
              <w:bottom w:val="nil"/>
              <w:right w:val="nil"/>
            </w:tcBorders>
          </w:tcPr>
          <w:p w14:paraId="21FCA9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w:t>
            </w:r>
          </w:p>
        </w:tc>
      </w:tr>
      <w:tr w:rsidR="00201D4C" w:rsidRPr="008D48A5" w14:paraId="05DBA153" w14:textId="77777777" w:rsidTr="00015B88">
        <w:tc>
          <w:tcPr>
            <w:tcW w:w="2136" w:type="dxa"/>
            <w:tcBorders>
              <w:top w:val="nil"/>
              <w:left w:val="nil"/>
              <w:bottom w:val="nil"/>
              <w:right w:val="nil"/>
            </w:tcBorders>
          </w:tcPr>
          <w:p w14:paraId="057C1A9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13D1B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042C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A0125A6" w14:textId="77777777" w:rsidTr="00015B88">
        <w:tc>
          <w:tcPr>
            <w:tcW w:w="2136" w:type="dxa"/>
            <w:tcBorders>
              <w:top w:val="nil"/>
              <w:left w:val="nil"/>
              <w:bottom w:val="nil"/>
              <w:right w:val="nil"/>
            </w:tcBorders>
          </w:tcPr>
          <w:p w14:paraId="55C8AC2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L3.HOS = HOG</w:t>
            </w:r>
          </w:p>
        </w:tc>
        <w:tc>
          <w:tcPr>
            <w:tcW w:w="1656" w:type="dxa"/>
            <w:tcBorders>
              <w:top w:val="nil"/>
              <w:left w:val="nil"/>
              <w:bottom w:val="nil"/>
              <w:right w:val="nil"/>
            </w:tcBorders>
          </w:tcPr>
          <w:p w14:paraId="0E81BE3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1.074</w:t>
            </w:r>
          </w:p>
        </w:tc>
        <w:tc>
          <w:tcPr>
            <w:tcW w:w="1656" w:type="dxa"/>
            <w:tcBorders>
              <w:top w:val="nil"/>
              <w:left w:val="nil"/>
              <w:bottom w:val="nil"/>
              <w:right w:val="nil"/>
            </w:tcBorders>
          </w:tcPr>
          <w:p w14:paraId="226C3B7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2.186</w:t>
            </w:r>
          </w:p>
        </w:tc>
      </w:tr>
      <w:tr w:rsidR="00201D4C" w:rsidRPr="008D48A5" w14:paraId="7297588D" w14:textId="77777777" w:rsidTr="00015B88">
        <w:tc>
          <w:tcPr>
            <w:tcW w:w="2136" w:type="dxa"/>
            <w:tcBorders>
              <w:top w:val="nil"/>
              <w:left w:val="nil"/>
              <w:bottom w:val="nil"/>
              <w:right w:val="nil"/>
            </w:tcBorders>
          </w:tcPr>
          <w:p w14:paraId="590E1FC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E50FC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w:t>
            </w:r>
          </w:p>
        </w:tc>
        <w:tc>
          <w:tcPr>
            <w:tcW w:w="1656" w:type="dxa"/>
            <w:tcBorders>
              <w:top w:val="nil"/>
              <w:left w:val="nil"/>
              <w:bottom w:val="nil"/>
              <w:right w:val="nil"/>
            </w:tcBorders>
          </w:tcPr>
          <w:p w14:paraId="279ADE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(0.94)</w:t>
            </w:r>
          </w:p>
        </w:tc>
      </w:tr>
      <w:tr w:rsidR="00201D4C" w:rsidRPr="008D48A5" w14:paraId="2B8D853D" w14:textId="77777777" w:rsidTr="00015B88">
        <w:tc>
          <w:tcPr>
            <w:tcW w:w="2136" w:type="dxa"/>
            <w:tcBorders>
              <w:top w:val="nil"/>
              <w:left w:val="nil"/>
              <w:bottom w:val="nil"/>
              <w:right w:val="nil"/>
            </w:tcBorders>
          </w:tcPr>
          <w:p w14:paraId="332D174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1E02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1BD5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30B503F" w14:textId="77777777" w:rsidTr="00015B88">
        <w:tc>
          <w:tcPr>
            <w:tcW w:w="2136" w:type="dxa"/>
            <w:tcBorders>
              <w:top w:val="nil"/>
              <w:left w:val="nil"/>
              <w:bottom w:val="nil"/>
              <w:right w:val="nil"/>
            </w:tcBorders>
          </w:tcPr>
          <w:p w14:paraId="6F3D3F1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L4.HOS = HOG</w:t>
            </w:r>
          </w:p>
        </w:tc>
        <w:tc>
          <w:tcPr>
            <w:tcW w:w="1656" w:type="dxa"/>
            <w:tcBorders>
              <w:top w:val="nil"/>
              <w:left w:val="nil"/>
              <w:bottom w:val="nil"/>
              <w:right w:val="nil"/>
            </w:tcBorders>
          </w:tcPr>
          <w:p w14:paraId="1BAB201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-1.796</w:t>
            </w:r>
          </w:p>
        </w:tc>
        <w:tc>
          <w:tcPr>
            <w:tcW w:w="1656" w:type="dxa"/>
            <w:tcBorders>
              <w:top w:val="nil"/>
              <w:left w:val="nil"/>
              <w:bottom w:val="nil"/>
              <w:right w:val="nil"/>
            </w:tcBorders>
          </w:tcPr>
          <w:p w14:paraId="0EFAE33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-6.946</w:t>
            </w:r>
            <w:r w:rsidRPr="008D48A5">
              <w:rPr>
                <w:rFonts w:ascii="Times New Roman" w:hAnsi="Times New Roman" w:cs="Times New Roman"/>
                <w:sz w:val="16"/>
                <w:szCs w:val="16"/>
                <w:vertAlign w:val="superscript"/>
              </w:rPr>
              <w:t>*</w:t>
            </w:r>
          </w:p>
        </w:tc>
      </w:tr>
      <w:tr w:rsidR="00201D4C" w:rsidRPr="008D48A5" w14:paraId="197F801E" w14:textId="77777777" w:rsidTr="00015B88">
        <w:tc>
          <w:tcPr>
            <w:tcW w:w="2136" w:type="dxa"/>
            <w:tcBorders>
              <w:top w:val="nil"/>
              <w:left w:val="nil"/>
              <w:bottom w:val="nil"/>
              <w:right w:val="nil"/>
            </w:tcBorders>
          </w:tcPr>
          <w:p w14:paraId="04124D3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29FA8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(-0.91)</w:t>
            </w:r>
          </w:p>
        </w:tc>
        <w:tc>
          <w:tcPr>
            <w:tcW w:w="1656" w:type="dxa"/>
            <w:tcBorders>
              <w:top w:val="nil"/>
              <w:left w:val="nil"/>
              <w:bottom w:val="nil"/>
              <w:right w:val="nil"/>
            </w:tcBorders>
          </w:tcPr>
          <w:p w14:paraId="5E7CA69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(-2.18)</w:t>
            </w:r>
          </w:p>
        </w:tc>
      </w:tr>
      <w:tr w:rsidR="00201D4C" w:rsidRPr="008D48A5" w14:paraId="2DD39127" w14:textId="77777777" w:rsidTr="00015B88">
        <w:tc>
          <w:tcPr>
            <w:tcW w:w="2136" w:type="dxa"/>
            <w:tcBorders>
              <w:top w:val="nil"/>
              <w:left w:val="nil"/>
              <w:bottom w:val="nil"/>
              <w:right w:val="nil"/>
            </w:tcBorders>
          </w:tcPr>
          <w:p w14:paraId="4B62C87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1D86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77FF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B678FF3" w14:textId="77777777" w:rsidTr="00015B88">
        <w:tc>
          <w:tcPr>
            <w:tcW w:w="2136" w:type="dxa"/>
            <w:tcBorders>
              <w:top w:val="nil"/>
              <w:left w:val="nil"/>
              <w:bottom w:val="nil"/>
              <w:right w:val="nil"/>
            </w:tcBorders>
          </w:tcPr>
          <w:p w14:paraId="28744B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L5.HOS = HOG</w:t>
            </w:r>
          </w:p>
        </w:tc>
        <w:tc>
          <w:tcPr>
            <w:tcW w:w="1656" w:type="dxa"/>
            <w:tcBorders>
              <w:top w:val="nil"/>
              <w:left w:val="nil"/>
              <w:bottom w:val="nil"/>
              <w:right w:val="nil"/>
            </w:tcBorders>
          </w:tcPr>
          <w:p w14:paraId="10710F4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-1.595</w:t>
            </w:r>
          </w:p>
        </w:tc>
        <w:tc>
          <w:tcPr>
            <w:tcW w:w="1656" w:type="dxa"/>
            <w:tcBorders>
              <w:top w:val="nil"/>
              <w:left w:val="nil"/>
              <w:bottom w:val="nil"/>
              <w:right w:val="nil"/>
            </w:tcBorders>
          </w:tcPr>
          <w:p w14:paraId="5C64D4A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2.925</w:t>
            </w:r>
          </w:p>
        </w:tc>
      </w:tr>
      <w:tr w:rsidR="00201D4C" w:rsidRPr="008D48A5" w14:paraId="1FE95853" w14:textId="77777777" w:rsidTr="00015B88">
        <w:tc>
          <w:tcPr>
            <w:tcW w:w="2136" w:type="dxa"/>
            <w:tcBorders>
              <w:top w:val="nil"/>
              <w:left w:val="nil"/>
              <w:bottom w:val="nil"/>
              <w:right w:val="nil"/>
            </w:tcBorders>
          </w:tcPr>
          <w:p w14:paraId="6F0A2F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EF8A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(-0.86)</w:t>
            </w:r>
          </w:p>
        </w:tc>
        <w:tc>
          <w:tcPr>
            <w:tcW w:w="1656" w:type="dxa"/>
            <w:tcBorders>
              <w:top w:val="nil"/>
              <w:left w:val="nil"/>
              <w:bottom w:val="nil"/>
              <w:right w:val="nil"/>
            </w:tcBorders>
          </w:tcPr>
          <w:p w14:paraId="432532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(1.05)</w:t>
            </w:r>
          </w:p>
        </w:tc>
      </w:tr>
      <w:tr w:rsidR="00201D4C" w:rsidRPr="008D48A5" w14:paraId="52AAC4E5" w14:textId="77777777" w:rsidTr="00015B88">
        <w:tc>
          <w:tcPr>
            <w:tcW w:w="2136" w:type="dxa"/>
            <w:tcBorders>
              <w:top w:val="nil"/>
              <w:left w:val="nil"/>
              <w:bottom w:val="nil"/>
              <w:right w:val="nil"/>
            </w:tcBorders>
          </w:tcPr>
          <w:p w14:paraId="55EE223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A3B5C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181A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BB4B8E5" w14:textId="77777777" w:rsidTr="00015B88">
        <w:tc>
          <w:tcPr>
            <w:tcW w:w="2136" w:type="dxa"/>
            <w:tcBorders>
              <w:top w:val="nil"/>
              <w:left w:val="nil"/>
              <w:bottom w:val="nil"/>
              <w:right w:val="nil"/>
            </w:tcBorders>
          </w:tcPr>
          <w:p w14:paraId="7C50786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L6.HOS = HOG</w:t>
            </w:r>
          </w:p>
        </w:tc>
        <w:tc>
          <w:tcPr>
            <w:tcW w:w="1656" w:type="dxa"/>
            <w:tcBorders>
              <w:top w:val="nil"/>
              <w:left w:val="nil"/>
              <w:bottom w:val="nil"/>
              <w:right w:val="nil"/>
            </w:tcBorders>
          </w:tcPr>
          <w:p w14:paraId="3628FB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-0.902</w:t>
            </w:r>
          </w:p>
        </w:tc>
        <w:tc>
          <w:tcPr>
            <w:tcW w:w="1656" w:type="dxa"/>
            <w:tcBorders>
              <w:top w:val="nil"/>
              <w:left w:val="nil"/>
              <w:bottom w:val="nil"/>
              <w:right w:val="nil"/>
            </w:tcBorders>
          </w:tcPr>
          <w:p w14:paraId="5D4E4B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-0.959</w:t>
            </w:r>
          </w:p>
        </w:tc>
      </w:tr>
      <w:tr w:rsidR="00201D4C" w:rsidRPr="008D48A5" w14:paraId="4FA9BA0E" w14:textId="77777777" w:rsidTr="00015B88">
        <w:tc>
          <w:tcPr>
            <w:tcW w:w="2136" w:type="dxa"/>
            <w:tcBorders>
              <w:top w:val="nil"/>
              <w:left w:val="nil"/>
              <w:bottom w:val="nil"/>
              <w:right w:val="nil"/>
            </w:tcBorders>
          </w:tcPr>
          <w:p w14:paraId="5F261BC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03B0F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(-0.43)</w:t>
            </w:r>
          </w:p>
        </w:tc>
        <w:tc>
          <w:tcPr>
            <w:tcW w:w="1656" w:type="dxa"/>
            <w:tcBorders>
              <w:top w:val="nil"/>
              <w:left w:val="nil"/>
              <w:bottom w:val="nil"/>
              <w:right w:val="nil"/>
            </w:tcBorders>
          </w:tcPr>
          <w:p w14:paraId="2CA935F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(-0.37)</w:t>
            </w:r>
          </w:p>
        </w:tc>
      </w:tr>
      <w:tr w:rsidR="00201D4C" w:rsidRPr="008D48A5" w14:paraId="508C8785" w14:textId="77777777" w:rsidTr="00015B88">
        <w:tc>
          <w:tcPr>
            <w:tcW w:w="2136" w:type="dxa"/>
            <w:tcBorders>
              <w:top w:val="nil"/>
              <w:left w:val="nil"/>
              <w:bottom w:val="nil"/>
              <w:right w:val="nil"/>
            </w:tcBorders>
          </w:tcPr>
          <w:p w14:paraId="3D5389A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4619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1F31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0C6C9399" w14:textId="77777777" w:rsidTr="00015B88">
        <w:tc>
          <w:tcPr>
            <w:tcW w:w="2136" w:type="dxa"/>
            <w:tcBorders>
              <w:top w:val="nil"/>
              <w:left w:val="nil"/>
              <w:bottom w:val="nil"/>
              <w:right w:val="nil"/>
            </w:tcBorders>
          </w:tcPr>
          <w:p w14:paraId="3A37DD1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L7.HOS = HOG</w:t>
            </w:r>
          </w:p>
        </w:tc>
        <w:tc>
          <w:tcPr>
            <w:tcW w:w="1656" w:type="dxa"/>
            <w:tcBorders>
              <w:top w:val="nil"/>
              <w:left w:val="nil"/>
              <w:bottom w:val="nil"/>
              <w:right w:val="nil"/>
            </w:tcBorders>
          </w:tcPr>
          <w:p w14:paraId="0C2AC60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1.063</w:t>
            </w:r>
          </w:p>
        </w:tc>
        <w:tc>
          <w:tcPr>
            <w:tcW w:w="1656" w:type="dxa"/>
            <w:tcBorders>
              <w:top w:val="nil"/>
              <w:left w:val="nil"/>
              <w:bottom w:val="nil"/>
              <w:right w:val="nil"/>
            </w:tcBorders>
          </w:tcPr>
          <w:p w14:paraId="5FFAE2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-5.838</w:t>
            </w:r>
          </w:p>
        </w:tc>
      </w:tr>
      <w:tr w:rsidR="00201D4C" w:rsidRPr="008D48A5" w14:paraId="11F24F55" w14:textId="77777777" w:rsidTr="00015B88">
        <w:tc>
          <w:tcPr>
            <w:tcW w:w="2136" w:type="dxa"/>
            <w:tcBorders>
              <w:top w:val="nil"/>
              <w:left w:val="nil"/>
              <w:bottom w:val="nil"/>
              <w:right w:val="nil"/>
            </w:tcBorders>
          </w:tcPr>
          <w:p w14:paraId="3C66FBB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D2AE7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(0.44)</w:t>
            </w:r>
          </w:p>
        </w:tc>
        <w:tc>
          <w:tcPr>
            <w:tcW w:w="1656" w:type="dxa"/>
            <w:tcBorders>
              <w:top w:val="nil"/>
              <w:left w:val="nil"/>
              <w:bottom w:val="nil"/>
              <w:right w:val="nil"/>
            </w:tcBorders>
          </w:tcPr>
          <w:p w14:paraId="0E7BB3B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(-1.40)</w:t>
            </w:r>
          </w:p>
        </w:tc>
      </w:tr>
      <w:tr w:rsidR="00201D4C" w:rsidRPr="008D48A5" w14:paraId="2916812C" w14:textId="77777777" w:rsidTr="00015B88">
        <w:tc>
          <w:tcPr>
            <w:tcW w:w="2136" w:type="dxa"/>
            <w:tcBorders>
              <w:top w:val="nil"/>
              <w:left w:val="nil"/>
              <w:bottom w:val="nil"/>
              <w:right w:val="nil"/>
            </w:tcBorders>
          </w:tcPr>
          <w:p w14:paraId="17DA283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035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A613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BF6C5FE" w14:textId="77777777" w:rsidTr="00015B88">
        <w:tc>
          <w:tcPr>
            <w:tcW w:w="2136" w:type="dxa"/>
            <w:tcBorders>
              <w:top w:val="nil"/>
              <w:left w:val="nil"/>
              <w:bottom w:val="nil"/>
              <w:right w:val="nil"/>
            </w:tcBorders>
          </w:tcPr>
          <w:p w14:paraId="5F66362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L8.HOS = HOG</w:t>
            </w:r>
          </w:p>
        </w:tc>
        <w:tc>
          <w:tcPr>
            <w:tcW w:w="1656" w:type="dxa"/>
            <w:tcBorders>
              <w:top w:val="nil"/>
              <w:left w:val="nil"/>
              <w:bottom w:val="nil"/>
              <w:right w:val="nil"/>
            </w:tcBorders>
          </w:tcPr>
          <w:p w14:paraId="6F3910D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4.742</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7B49218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9.765</w:t>
            </w:r>
            <w:r w:rsidRPr="008D48A5">
              <w:rPr>
                <w:rFonts w:ascii="Times New Roman" w:hAnsi="Times New Roman" w:cs="Times New Roman"/>
                <w:sz w:val="16"/>
                <w:szCs w:val="16"/>
                <w:vertAlign w:val="superscript"/>
              </w:rPr>
              <w:t>**</w:t>
            </w:r>
          </w:p>
        </w:tc>
      </w:tr>
      <w:tr w:rsidR="00201D4C" w:rsidRPr="008D48A5" w14:paraId="5B4BAB21" w14:textId="77777777" w:rsidTr="00015B88">
        <w:tc>
          <w:tcPr>
            <w:tcW w:w="2136" w:type="dxa"/>
            <w:tcBorders>
              <w:top w:val="nil"/>
              <w:left w:val="nil"/>
              <w:bottom w:val="nil"/>
              <w:right w:val="nil"/>
            </w:tcBorders>
          </w:tcPr>
          <w:p w14:paraId="7516A1E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ED64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(2.22)</w:t>
            </w:r>
          </w:p>
        </w:tc>
        <w:tc>
          <w:tcPr>
            <w:tcW w:w="1656" w:type="dxa"/>
            <w:tcBorders>
              <w:top w:val="nil"/>
              <w:left w:val="nil"/>
              <w:bottom w:val="nil"/>
              <w:right w:val="nil"/>
            </w:tcBorders>
          </w:tcPr>
          <w:p w14:paraId="6B7FC2F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(2.95)</w:t>
            </w:r>
          </w:p>
        </w:tc>
      </w:tr>
      <w:tr w:rsidR="00201D4C" w:rsidRPr="008D48A5" w14:paraId="3E901FE0" w14:textId="77777777" w:rsidTr="00015B88">
        <w:tc>
          <w:tcPr>
            <w:tcW w:w="2136" w:type="dxa"/>
            <w:tcBorders>
              <w:top w:val="nil"/>
              <w:left w:val="nil"/>
              <w:bottom w:val="nil"/>
              <w:right w:val="nil"/>
            </w:tcBorders>
          </w:tcPr>
          <w:p w14:paraId="00F0F36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B549F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298D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70B9022" w14:textId="77777777" w:rsidTr="00015B88">
        <w:tc>
          <w:tcPr>
            <w:tcW w:w="2136" w:type="dxa"/>
            <w:tcBorders>
              <w:top w:val="nil"/>
              <w:left w:val="nil"/>
              <w:bottom w:val="nil"/>
              <w:right w:val="nil"/>
            </w:tcBorders>
          </w:tcPr>
          <w:p w14:paraId="3A23B7A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L9.HOS = HOG</w:t>
            </w:r>
          </w:p>
        </w:tc>
        <w:tc>
          <w:tcPr>
            <w:tcW w:w="1656" w:type="dxa"/>
            <w:tcBorders>
              <w:top w:val="nil"/>
              <w:left w:val="nil"/>
              <w:bottom w:val="nil"/>
              <w:right w:val="nil"/>
            </w:tcBorders>
          </w:tcPr>
          <w:p w14:paraId="0749755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-6.644</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28280F4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-5.949</w:t>
            </w:r>
            <w:r w:rsidRPr="008D48A5">
              <w:rPr>
                <w:rFonts w:ascii="Times New Roman" w:hAnsi="Times New Roman" w:cs="Times New Roman"/>
                <w:sz w:val="16"/>
                <w:szCs w:val="16"/>
                <w:vertAlign w:val="superscript"/>
              </w:rPr>
              <w:t>***</w:t>
            </w:r>
          </w:p>
        </w:tc>
      </w:tr>
      <w:tr w:rsidR="00201D4C" w:rsidRPr="008D48A5" w14:paraId="013F962C" w14:textId="77777777" w:rsidTr="00015B88">
        <w:tc>
          <w:tcPr>
            <w:tcW w:w="2136" w:type="dxa"/>
            <w:tcBorders>
              <w:top w:val="nil"/>
              <w:left w:val="nil"/>
              <w:bottom w:val="nil"/>
              <w:right w:val="nil"/>
            </w:tcBorders>
          </w:tcPr>
          <w:p w14:paraId="41A54F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D78D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(-3.51)</w:t>
            </w:r>
          </w:p>
        </w:tc>
        <w:tc>
          <w:tcPr>
            <w:tcW w:w="1656" w:type="dxa"/>
            <w:tcBorders>
              <w:top w:val="nil"/>
              <w:left w:val="nil"/>
              <w:bottom w:val="nil"/>
              <w:right w:val="nil"/>
            </w:tcBorders>
          </w:tcPr>
          <w:p w14:paraId="5151D78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(-3.98)</w:t>
            </w:r>
          </w:p>
        </w:tc>
      </w:tr>
      <w:tr w:rsidR="00201D4C" w:rsidRPr="008D48A5" w14:paraId="74A50F3A" w14:textId="77777777" w:rsidTr="00015B88">
        <w:tc>
          <w:tcPr>
            <w:tcW w:w="2136" w:type="dxa"/>
            <w:tcBorders>
              <w:top w:val="nil"/>
              <w:left w:val="nil"/>
              <w:bottom w:val="nil"/>
              <w:right w:val="nil"/>
            </w:tcBorders>
          </w:tcPr>
          <w:p w14:paraId="7F70B9C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4C09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C70F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44EA55C" w14:textId="77777777" w:rsidTr="00015B88">
        <w:tc>
          <w:tcPr>
            <w:tcW w:w="2136" w:type="dxa"/>
            <w:tcBorders>
              <w:top w:val="nil"/>
              <w:left w:val="nil"/>
              <w:bottom w:val="nil"/>
              <w:right w:val="nil"/>
            </w:tcBorders>
          </w:tcPr>
          <w:p w14:paraId="7B461AA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L10.HOS = HOG</w:t>
            </w:r>
          </w:p>
        </w:tc>
        <w:tc>
          <w:tcPr>
            <w:tcW w:w="1656" w:type="dxa"/>
            <w:tcBorders>
              <w:top w:val="nil"/>
              <w:left w:val="nil"/>
              <w:bottom w:val="nil"/>
              <w:right w:val="nil"/>
            </w:tcBorders>
          </w:tcPr>
          <w:p w14:paraId="4B7A73B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3.993</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33B6A3C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3.518</w:t>
            </w:r>
            <w:r w:rsidRPr="008D48A5">
              <w:rPr>
                <w:rFonts w:ascii="Times New Roman" w:hAnsi="Times New Roman" w:cs="Times New Roman"/>
                <w:sz w:val="16"/>
                <w:szCs w:val="16"/>
                <w:vertAlign w:val="superscript"/>
              </w:rPr>
              <w:t>**</w:t>
            </w:r>
          </w:p>
        </w:tc>
      </w:tr>
      <w:tr w:rsidR="00201D4C" w:rsidRPr="008D48A5" w14:paraId="611B5D06" w14:textId="77777777" w:rsidTr="00015B88">
        <w:tc>
          <w:tcPr>
            <w:tcW w:w="2136" w:type="dxa"/>
            <w:tcBorders>
              <w:top w:val="nil"/>
              <w:left w:val="nil"/>
              <w:bottom w:val="nil"/>
              <w:right w:val="nil"/>
            </w:tcBorders>
          </w:tcPr>
          <w:p w14:paraId="182A850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F1A4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(3.03)</w:t>
            </w:r>
          </w:p>
        </w:tc>
        <w:tc>
          <w:tcPr>
            <w:tcW w:w="1656" w:type="dxa"/>
            <w:tcBorders>
              <w:top w:val="nil"/>
              <w:left w:val="nil"/>
              <w:bottom w:val="nil"/>
              <w:right w:val="nil"/>
            </w:tcBorders>
          </w:tcPr>
          <w:p w14:paraId="39DF74A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(2.77)</w:t>
            </w:r>
          </w:p>
        </w:tc>
      </w:tr>
      <w:tr w:rsidR="00201D4C" w:rsidRPr="008D48A5" w14:paraId="258F1ED5" w14:textId="77777777" w:rsidTr="00015B88">
        <w:tc>
          <w:tcPr>
            <w:tcW w:w="2136" w:type="dxa"/>
            <w:tcBorders>
              <w:top w:val="nil"/>
              <w:left w:val="nil"/>
              <w:bottom w:val="nil"/>
              <w:right w:val="nil"/>
            </w:tcBorders>
          </w:tcPr>
          <w:p w14:paraId="71CC936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40E48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B51A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2AE89DE" w14:textId="77777777" w:rsidTr="00015B88">
        <w:tc>
          <w:tcPr>
            <w:tcW w:w="2136" w:type="dxa"/>
            <w:tcBorders>
              <w:top w:val="nil"/>
              <w:left w:val="nil"/>
              <w:bottom w:val="nil"/>
              <w:right w:val="nil"/>
            </w:tcBorders>
          </w:tcPr>
          <w:p w14:paraId="7E9EA6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D48A5">
              <w:rPr>
                <w:rFonts w:ascii="Times New Roman" w:hAnsi="Times New Roman" w:cs="Times New Roman"/>
                <w:sz w:val="16"/>
                <w:szCs w:val="16"/>
              </w:rPr>
              <w:t>L.De</w:t>
            </w:r>
            <w:proofErr w:type="spellEnd"/>
            <w:r w:rsidRPr="008D48A5">
              <w:rPr>
                <w:rFonts w:ascii="Times New Roman" w:hAnsi="Times New Roman" w:cs="Times New Roman"/>
                <w:sz w:val="16"/>
                <w:szCs w:val="16"/>
              </w:rPr>
              <w:t xml:space="preserve"> Jure CBI * HOS = HOG</w:t>
            </w:r>
          </w:p>
        </w:tc>
        <w:tc>
          <w:tcPr>
            <w:tcW w:w="1656" w:type="dxa"/>
            <w:tcBorders>
              <w:top w:val="nil"/>
              <w:left w:val="nil"/>
              <w:bottom w:val="nil"/>
              <w:right w:val="nil"/>
            </w:tcBorders>
          </w:tcPr>
          <w:p w14:paraId="276EDCC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3.190</w:t>
            </w:r>
          </w:p>
        </w:tc>
        <w:tc>
          <w:tcPr>
            <w:tcW w:w="1656" w:type="dxa"/>
            <w:tcBorders>
              <w:top w:val="nil"/>
              <w:left w:val="nil"/>
              <w:bottom w:val="nil"/>
              <w:right w:val="nil"/>
            </w:tcBorders>
          </w:tcPr>
          <w:p w14:paraId="6318828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2.248</w:t>
            </w:r>
          </w:p>
        </w:tc>
      </w:tr>
      <w:tr w:rsidR="00201D4C" w:rsidRPr="008D48A5" w14:paraId="0924C45D" w14:textId="77777777" w:rsidTr="00015B88">
        <w:tc>
          <w:tcPr>
            <w:tcW w:w="2136" w:type="dxa"/>
            <w:tcBorders>
              <w:top w:val="nil"/>
              <w:left w:val="nil"/>
              <w:bottom w:val="nil"/>
              <w:right w:val="nil"/>
            </w:tcBorders>
          </w:tcPr>
          <w:p w14:paraId="3CEBE62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EA7F6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(0.88)</w:t>
            </w:r>
          </w:p>
        </w:tc>
        <w:tc>
          <w:tcPr>
            <w:tcW w:w="1656" w:type="dxa"/>
            <w:tcBorders>
              <w:top w:val="nil"/>
              <w:left w:val="nil"/>
              <w:bottom w:val="nil"/>
              <w:right w:val="nil"/>
            </w:tcBorders>
          </w:tcPr>
          <w:p w14:paraId="7F27571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(0.48)</w:t>
            </w:r>
          </w:p>
        </w:tc>
      </w:tr>
      <w:tr w:rsidR="00201D4C" w:rsidRPr="008D48A5" w14:paraId="0998E49B" w14:textId="77777777" w:rsidTr="00015B88">
        <w:tc>
          <w:tcPr>
            <w:tcW w:w="2136" w:type="dxa"/>
            <w:tcBorders>
              <w:top w:val="nil"/>
              <w:left w:val="nil"/>
              <w:bottom w:val="nil"/>
              <w:right w:val="nil"/>
            </w:tcBorders>
          </w:tcPr>
          <w:p w14:paraId="628DD50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1BAE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B9E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79203FA" w14:textId="77777777" w:rsidTr="00015B88">
        <w:tc>
          <w:tcPr>
            <w:tcW w:w="2136" w:type="dxa"/>
            <w:tcBorders>
              <w:top w:val="nil"/>
              <w:left w:val="nil"/>
              <w:bottom w:val="nil"/>
              <w:right w:val="nil"/>
            </w:tcBorders>
          </w:tcPr>
          <w:p w14:paraId="4986B33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L2.De Jure CBI * HOS = HOG</w:t>
            </w:r>
          </w:p>
        </w:tc>
        <w:tc>
          <w:tcPr>
            <w:tcW w:w="1656" w:type="dxa"/>
            <w:tcBorders>
              <w:top w:val="nil"/>
              <w:left w:val="nil"/>
              <w:bottom w:val="nil"/>
              <w:right w:val="nil"/>
            </w:tcBorders>
          </w:tcPr>
          <w:p w14:paraId="4F9766C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-1.377</w:t>
            </w:r>
          </w:p>
        </w:tc>
        <w:tc>
          <w:tcPr>
            <w:tcW w:w="1656" w:type="dxa"/>
            <w:tcBorders>
              <w:top w:val="nil"/>
              <w:left w:val="nil"/>
              <w:bottom w:val="nil"/>
              <w:right w:val="nil"/>
            </w:tcBorders>
          </w:tcPr>
          <w:p w14:paraId="7E4ED9E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-4.215</w:t>
            </w:r>
          </w:p>
        </w:tc>
      </w:tr>
      <w:tr w:rsidR="00201D4C" w:rsidRPr="008D48A5" w14:paraId="3E336AB3" w14:textId="77777777" w:rsidTr="00015B88">
        <w:tc>
          <w:tcPr>
            <w:tcW w:w="2136" w:type="dxa"/>
            <w:tcBorders>
              <w:top w:val="nil"/>
              <w:left w:val="nil"/>
              <w:bottom w:val="nil"/>
              <w:right w:val="nil"/>
            </w:tcBorders>
          </w:tcPr>
          <w:p w14:paraId="47AF7AB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02AF3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(-0.44)</w:t>
            </w:r>
          </w:p>
        </w:tc>
        <w:tc>
          <w:tcPr>
            <w:tcW w:w="1656" w:type="dxa"/>
            <w:tcBorders>
              <w:top w:val="nil"/>
              <w:left w:val="nil"/>
              <w:bottom w:val="nil"/>
              <w:right w:val="nil"/>
            </w:tcBorders>
          </w:tcPr>
          <w:p w14:paraId="2C08C5C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(-1.22)</w:t>
            </w:r>
          </w:p>
        </w:tc>
      </w:tr>
      <w:tr w:rsidR="00201D4C" w:rsidRPr="008D48A5" w14:paraId="7763F85C" w14:textId="77777777" w:rsidTr="00015B88">
        <w:tc>
          <w:tcPr>
            <w:tcW w:w="2136" w:type="dxa"/>
            <w:tcBorders>
              <w:top w:val="nil"/>
              <w:left w:val="nil"/>
              <w:bottom w:val="nil"/>
              <w:right w:val="nil"/>
            </w:tcBorders>
          </w:tcPr>
          <w:p w14:paraId="55911EF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E67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E8E5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8ED09A1" w14:textId="77777777" w:rsidTr="00015B88">
        <w:tc>
          <w:tcPr>
            <w:tcW w:w="2136" w:type="dxa"/>
            <w:tcBorders>
              <w:top w:val="nil"/>
              <w:left w:val="nil"/>
              <w:bottom w:val="nil"/>
              <w:right w:val="nil"/>
            </w:tcBorders>
          </w:tcPr>
          <w:p w14:paraId="513BDB2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L3.De Jure CBI * HOS = HOG</w:t>
            </w:r>
          </w:p>
        </w:tc>
        <w:tc>
          <w:tcPr>
            <w:tcW w:w="1656" w:type="dxa"/>
            <w:tcBorders>
              <w:top w:val="nil"/>
              <w:left w:val="nil"/>
              <w:bottom w:val="nil"/>
              <w:right w:val="nil"/>
            </w:tcBorders>
          </w:tcPr>
          <w:p w14:paraId="00546AE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1.409</w:t>
            </w:r>
          </w:p>
        </w:tc>
        <w:tc>
          <w:tcPr>
            <w:tcW w:w="1656" w:type="dxa"/>
            <w:tcBorders>
              <w:top w:val="nil"/>
              <w:left w:val="nil"/>
              <w:bottom w:val="nil"/>
              <w:right w:val="nil"/>
            </w:tcBorders>
          </w:tcPr>
          <w:p w14:paraId="4196B93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0.664</w:t>
            </w:r>
          </w:p>
        </w:tc>
      </w:tr>
      <w:tr w:rsidR="00201D4C" w:rsidRPr="008D48A5" w14:paraId="2DEDEC50" w14:textId="77777777" w:rsidTr="00015B88">
        <w:tc>
          <w:tcPr>
            <w:tcW w:w="2136" w:type="dxa"/>
            <w:tcBorders>
              <w:top w:val="nil"/>
              <w:left w:val="nil"/>
              <w:bottom w:val="nil"/>
              <w:right w:val="nil"/>
            </w:tcBorders>
          </w:tcPr>
          <w:p w14:paraId="28972AE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548E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(0.46)</w:t>
            </w:r>
          </w:p>
        </w:tc>
        <w:tc>
          <w:tcPr>
            <w:tcW w:w="1656" w:type="dxa"/>
            <w:tcBorders>
              <w:top w:val="nil"/>
              <w:left w:val="nil"/>
              <w:bottom w:val="nil"/>
              <w:right w:val="nil"/>
            </w:tcBorders>
          </w:tcPr>
          <w:p w14:paraId="28EB5DA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(0.19)</w:t>
            </w:r>
          </w:p>
        </w:tc>
      </w:tr>
      <w:tr w:rsidR="00201D4C" w:rsidRPr="008D48A5" w14:paraId="4BC956F6" w14:textId="77777777" w:rsidTr="00015B88">
        <w:tc>
          <w:tcPr>
            <w:tcW w:w="2136" w:type="dxa"/>
            <w:tcBorders>
              <w:top w:val="nil"/>
              <w:left w:val="nil"/>
              <w:bottom w:val="nil"/>
              <w:right w:val="nil"/>
            </w:tcBorders>
          </w:tcPr>
          <w:p w14:paraId="1B8F8D4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BEEC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74A59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1208249" w14:textId="77777777" w:rsidTr="00015B88">
        <w:tc>
          <w:tcPr>
            <w:tcW w:w="2136" w:type="dxa"/>
            <w:tcBorders>
              <w:top w:val="nil"/>
              <w:left w:val="nil"/>
              <w:bottom w:val="nil"/>
              <w:right w:val="nil"/>
            </w:tcBorders>
          </w:tcPr>
          <w:p w14:paraId="061A0B7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L4.De Jure CBI * HOS = HOG</w:t>
            </w:r>
          </w:p>
        </w:tc>
        <w:tc>
          <w:tcPr>
            <w:tcW w:w="1656" w:type="dxa"/>
            <w:tcBorders>
              <w:top w:val="nil"/>
              <w:left w:val="nil"/>
              <w:bottom w:val="nil"/>
              <w:right w:val="nil"/>
            </w:tcBorders>
          </w:tcPr>
          <w:p w14:paraId="30367D8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-0.265</w:t>
            </w:r>
          </w:p>
        </w:tc>
        <w:tc>
          <w:tcPr>
            <w:tcW w:w="1656" w:type="dxa"/>
            <w:tcBorders>
              <w:top w:val="nil"/>
              <w:left w:val="nil"/>
              <w:bottom w:val="nil"/>
              <w:right w:val="nil"/>
            </w:tcBorders>
          </w:tcPr>
          <w:p w14:paraId="357A0E0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4.769</w:t>
            </w:r>
          </w:p>
        </w:tc>
      </w:tr>
      <w:tr w:rsidR="00201D4C" w:rsidRPr="008D48A5" w14:paraId="5168BD38" w14:textId="77777777" w:rsidTr="00015B88">
        <w:tc>
          <w:tcPr>
            <w:tcW w:w="2136" w:type="dxa"/>
            <w:tcBorders>
              <w:top w:val="nil"/>
              <w:left w:val="nil"/>
              <w:bottom w:val="nil"/>
              <w:right w:val="nil"/>
            </w:tcBorders>
          </w:tcPr>
          <w:p w14:paraId="4732F85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6F23C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w:t>
            </w:r>
          </w:p>
        </w:tc>
        <w:tc>
          <w:tcPr>
            <w:tcW w:w="1656" w:type="dxa"/>
            <w:tcBorders>
              <w:top w:val="nil"/>
              <w:left w:val="nil"/>
              <w:bottom w:val="nil"/>
              <w:right w:val="nil"/>
            </w:tcBorders>
          </w:tcPr>
          <w:p w14:paraId="07BCB69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(1.11)</w:t>
            </w:r>
          </w:p>
        </w:tc>
      </w:tr>
      <w:tr w:rsidR="00201D4C" w:rsidRPr="008D48A5" w14:paraId="4BDFB8F2" w14:textId="77777777" w:rsidTr="00015B88">
        <w:tc>
          <w:tcPr>
            <w:tcW w:w="2136" w:type="dxa"/>
            <w:tcBorders>
              <w:top w:val="nil"/>
              <w:left w:val="nil"/>
              <w:bottom w:val="nil"/>
              <w:right w:val="nil"/>
            </w:tcBorders>
          </w:tcPr>
          <w:p w14:paraId="3A2FFC7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5230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4D3CB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698003F" w14:textId="77777777" w:rsidTr="00015B88">
        <w:tc>
          <w:tcPr>
            <w:tcW w:w="2136" w:type="dxa"/>
            <w:tcBorders>
              <w:top w:val="nil"/>
              <w:left w:val="nil"/>
              <w:bottom w:val="nil"/>
              <w:right w:val="nil"/>
            </w:tcBorders>
          </w:tcPr>
          <w:p w14:paraId="60C6F7B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L5.De Jure CBI * HOS = HOG</w:t>
            </w:r>
          </w:p>
        </w:tc>
        <w:tc>
          <w:tcPr>
            <w:tcW w:w="1656" w:type="dxa"/>
            <w:tcBorders>
              <w:top w:val="nil"/>
              <w:left w:val="nil"/>
              <w:bottom w:val="nil"/>
              <w:right w:val="nil"/>
            </w:tcBorders>
          </w:tcPr>
          <w:p w14:paraId="4C197B6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4.941</w:t>
            </w:r>
          </w:p>
        </w:tc>
        <w:tc>
          <w:tcPr>
            <w:tcW w:w="1656" w:type="dxa"/>
            <w:tcBorders>
              <w:top w:val="nil"/>
              <w:left w:val="nil"/>
              <w:bottom w:val="nil"/>
              <w:right w:val="nil"/>
            </w:tcBorders>
          </w:tcPr>
          <w:p w14:paraId="08A0BF9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3.264</w:t>
            </w:r>
          </w:p>
        </w:tc>
      </w:tr>
      <w:tr w:rsidR="00201D4C" w:rsidRPr="008D48A5" w14:paraId="0C7414D0" w14:textId="77777777" w:rsidTr="00015B88">
        <w:tc>
          <w:tcPr>
            <w:tcW w:w="2136" w:type="dxa"/>
            <w:tcBorders>
              <w:top w:val="nil"/>
              <w:left w:val="nil"/>
              <w:bottom w:val="nil"/>
              <w:right w:val="nil"/>
            </w:tcBorders>
          </w:tcPr>
          <w:p w14:paraId="404E5C1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30755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(1.45)</w:t>
            </w:r>
          </w:p>
        </w:tc>
        <w:tc>
          <w:tcPr>
            <w:tcW w:w="1656" w:type="dxa"/>
            <w:tcBorders>
              <w:top w:val="nil"/>
              <w:left w:val="nil"/>
              <w:bottom w:val="nil"/>
              <w:right w:val="nil"/>
            </w:tcBorders>
          </w:tcPr>
          <w:p w14:paraId="7311616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(0.82)</w:t>
            </w:r>
          </w:p>
        </w:tc>
      </w:tr>
      <w:tr w:rsidR="00201D4C" w:rsidRPr="008D48A5" w14:paraId="5D2345EC" w14:textId="77777777" w:rsidTr="00015B88">
        <w:tc>
          <w:tcPr>
            <w:tcW w:w="2136" w:type="dxa"/>
            <w:tcBorders>
              <w:top w:val="nil"/>
              <w:left w:val="nil"/>
              <w:bottom w:val="nil"/>
              <w:right w:val="nil"/>
            </w:tcBorders>
          </w:tcPr>
          <w:p w14:paraId="5C4F24E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47E51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BC8F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EEB32BB" w14:textId="77777777" w:rsidTr="00015B88">
        <w:tc>
          <w:tcPr>
            <w:tcW w:w="2136" w:type="dxa"/>
            <w:tcBorders>
              <w:top w:val="nil"/>
              <w:left w:val="nil"/>
              <w:bottom w:val="nil"/>
              <w:right w:val="nil"/>
            </w:tcBorders>
          </w:tcPr>
          <w:p w14:paraId="2D3E581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L6.De Jure CBI * HOS = HOG</w:t>
            </w:r>
          </w:p>
        </w:tc>
        <w:tc>
          <w:tcPr>
            <w:tcW w:w="1656" w:type="dxa"/>
            <w:tcBorders>
              <w:top w:val="nil"/>
              <w:left w:val="nil"/>
              <w:bottom w:val="nil"/>
              <w:right w:val="nil"/>
            </w:tcBorders>
          </w:tcPr>
          <w:p w14:paraId="4BC6064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2.327</w:t>
            </w:r>
          </w:p>
        </w:tc>
        <w:tc>
          <w:tcPr>
            <w:tcW w:w="1656" w:type="dxa"/>
            <w:tcBorders>
              <w:top w:val="nil"/>
              <w:left w:val="nil"/>
              <w:bottom w:val="nil"/>
              <w:right w:val="nil"/>
            </w:tcBorders>
          </w:tcPr>
          <w:p w14:paraId="06ECAEA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-0.661</w:t>
            </w:r>
          </w:p>
        </w:tc>
      </w:tr>
      <w:tr w:rsidR="00201D4C" w:rsidRPr="008D48A5" w14:paraId="63B38A45" w14:textId="77777777" w:rsidTr="00015B88">
        <w:tc>
          <w:tcPr>
            <w:tcW w:w="2136" w:type="dxa"/>
            <w:tcBorders>
              <w:top w:val="nil"/>
              <w:left w:val="nil"/>
              <w:bottom w:val="nil"/>
              <w:right w:val="nil"/>
            </w:tcBorders>
          </w:tcPr>
          <w:p w14:paraId="1005EE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E51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(0.58)</w:t>
            </w:r>
          </w:p>
        </w:tc>
        <w:tc>
          <w:tcPr>
            <w:tcW w:w="1656" w:type="dxa"/>
            <w:tcBorders>
              <w:top w:val="nil"/>
              <w:left w:val="nil"/>
              <w:bottom w:val="nil"/>
              <w:right w:val="nil"/>
            </w:tcBorders>
          </w:tcPr>
          <w:p w14:paraId="2AAB410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w:t>
            </w:r>
          </w:p>
        </w:tc>
      </w:tr>
      <w:tr w:rsidR="00201D4C" w:rsidRPr="008D48A5" w14:paraId="6742D100" w14:textId="77777777" w:rsidTr="00015B88">
        <w:tc>
          <w:tcPr>
            <w:tcW w:w="2136" w:type="dxa"/>
            <w:tcBorders>
              <w:top w:val="nil"/>
              <w:left w:val="nil"/>
              <w:bottom w:val="nil"/>
              <w:right w:val="nil"/>
            </w:tcBorders>
          </w:tcPr>
          <w:p w14:paraId="79CC648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8E19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32216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78BB8EA" w14:textId="77777777" w:rsidTr="00015B88">
        <w:tc>
          <w:tcPr>
            <w:tcW w:w="2136" w:type="dxa"/>
            <w:tcBorders>
              <w:top w:val="nil"/>
              <w:left w:val="nil"/>
              <w:bottom w:val="nil"/>
              <w:right w:val="nil"/>
            </w:tcBorders>
          </w:tcPr>
          <w:p w14:paraId="0958DC9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L7.De Jure CBI * HOS = HOG</w:t>
            </w:r>
          </w:p>
        </w:tc>
        <w:tc>
          <w:tcPr>
            <w:tcW w:w="1656" w:type="dxa"/>
            <w:tcBorders>
              <w:top w:val="nil"/>
              <w:left w:val="nil"/>
              <w:bottom w:val="nil"/>
              <w:right w:val="nil"/>
            </w:tcBorders>
          </w:tcPr>
          <w:p w14:paraId="3112924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-0.902</w:t>
            </w:r>
          </w:p>
        </w:tc>
        <w:tc>
          <w:tcPr>
            <w:tcW w:w="1656" w:type="dxa"/>
            <w:tcBorders>
              <w:top w:val="nil"/>
              <w:left w:val="nil"/>
              <w:bottom w:val="nil"/>
              <w:right w:val="nil"/>
            </w:tcBorders>
          </w:tcPr>
          <w:p w14:paraId="30825AF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12.09</w:t>
            </w:r>
          </w:p>
        </w:tc>
      </w:tr>
      <w:tr w:rsidR="00201D4C" w:rsidRPr="008D48A5" w14:paraId="08C46AAD" w14:textId="77777777" w:rsidTr="00015B88">
        <w:tc>
          <w:tcPr>
            <w:tcW w:w="2136" w:type="dxa"/>
            <w:tcBorders>
              <w:top w:val="nil"/>
              <w:left w:val="nil"/>
              <w:bottom w:val="nil"/>
              <w:right w:val="nil"/>
            </w:tcBorders>
          </w:tcPr>
          <w:p w14:paraId="4641D00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D6B9D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(-0.18)</w:t>
            </w:r>
          </w:p>
        </w:tc>
        <w:tc>
          <w:tcPr>
            <w:tcW w:w="1656" w:type="dxa"/>
            <w:tcBorders>
              <w:top w:val="nil"/>
              <w:left w:val="nil"/>
              <w:bottom w:val="nil"/>
              <w:right w:val="nil"/>
            </w:tcBorders>
          </w:tcPr>
          <w:p w14:paraId="79A36AE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(1.56)</w:t>
            </w:r>
          </w:p>
        </w:tc>
      </w:tr>
      <w:tr w:rsidR="00201D4C" w:rsidRPr="008D48A5" w14:paraId="2E5615E4" w14:textId="77777777" w:rsidTr="00015B88">
        <w:tc>
          <w:tcPr>
            <w:tcW w:w="2136" w:type="dxa"/>
            <w:tcBorders>
              <w:top w:val="nil"/>
              <w:left w:val="nil"/>
              <w:bottom w:val="nil"/>
              <w:right w:val="nil"/>
            </w:tcBorders>
          </w:tcPr>
          <w:p w14:paraId="723D276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1E130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CCE7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BFFF4E0" w14:textId="77777777" w:rsidTr="00015B88">
        <w:tc>
          <w:tcPr>
            <w:tcW w:w="2136" w:type="dxa"/>
            <w:tcBorders>
              <w:top w:val="nil"/>
              <w:left w:val="nil"/>
              <w:bottom w:val="nil"/>
              <w:right w:val="nil"/>
            </w:tcBorders>
          </w:tcPr>
          <w:p w14:paraId="37928B9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L8.De Jure CBI * HOS = HOG</w:t>
            </w:r>
          </w:p>
        </w:tc>
        <w:tc>
          <w:tcPr>
            <w:tcW w:w="1656" w:type="dxa"/>
            <w:tcBorders>
              <w:top w:val="nil"/>
              <w:left w:val="nil"/>
              <w:bottom w:val="nil"/>
              <w:right w:val="nil"/>
            </w:tcBorders>
          </w:tcPr>
          <w:p w14:paraId="0C020FC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-11.45</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4624ED2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-25.79</w:t>
            </w:r>
            <w:r w:rsidRPr="008D48A5">
              <w:rPr>
                <w:rFonts w:ascii="Times New Roman" w:hAnsi="Times New Roman" w:cs="Times New Roman"/>
                <w:sz w:val="16"/>
                <w:szCs w:val="16"/>
                <w:vertAlign w:val="superscript"/>
              </w:rPr>
              <w:t>***</w:t>
            </w:r>
          </w:p>
        </w:tc>
      </w:tr>
      <w:tr w:rsidR="00201D4C" w:rsidRPr="008D48A5" w14:paraId="55523BA8" w14:textId="77777777" w:rsidTr="00015B88">
        <w:tc>
          <w:tcPr>
            <w:tcW w:w="2136" w:type="dxa"/>
            <w:tcBorders>
              <w:top w:val="nil"/>
              <w:left w:val="nil"/>
              <w:bottom w:val="nil"/>
              <w:right w:val="nil"/>
            </w:tcBorders>
          </w:tcPr>
          <w:p w14:paraId="4561F03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48783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(-2.46)</w:t>
            </w:r>
          </w:p>
        </w:tc>
        <w:tc>
          <w:tcPr>
            <w:tcW w:w="1656" w:type="dxa"/>
            <w:tcBorders>
              <w:top w:val="nil"/>
              <w:left w:val="nil"/>
              <w:bottom w:val="nil"/>
              <w:right w:val="nil"/>
            </w:tcBorders>
          </w:tcPr>
          <w:p w14:paraId="4C37DB5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(-3.53)</w:t>
            </w:r>
          </w:p>
        </w:tc>
      </w:tr>
      <w:tr w:rsidR="00201D4C" w:rsidRPr="008D48A5" w14:paraId="7CC1A9F3" w14:textId="77777777" w:rsidTr="00015B88">
        <w:tc>
          <w:tcPr>
            <w:tcW w:w="2136" w:type="dxa"/>
            <w:tcBorders>
              <w:top w:val="nil"/>
              <w:left w:val="nil"/>
              <w:bottom w:val="nil"/>
              <w:right w:val="nil"/>
            </w:tcBorders>
          </w:tcPr>
          <w:p w14:paraId="4EC774A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3BFC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701DB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863BE0" w14:textId="77777777" w:rsidTr="00015B88">
        <w:tc>
          <w:tcPr>
            <w:tcW w:w="2136" w:type="dxa"/>
            <w:tcBorders>
              <w:top w:val="nil"/>
              <w:left w:val="nil"/>
              <w:bottom w:val="nil"/>
              <w:right w:val="nil"/>
            </w:tcBorders>
          </w:tcPr>
          <w:p w14:paraId="2CA1B88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L9.De Jure CBI * HOS = HOG</w:t>
            </w:r>
          </w:p>
        </w:tc>
        <w:tc>
          <w:tcPr>
            <w:tcW w:w="1656" w:type="dxa"/>
            <w:tcBorders>
              <w:top w:val="nil"/>
              <w:left w:val="nil"/>
              <w:bottom w:val="nil"/>
              <w:right w:val="nil"/>
            </w:tcBorders>
          </w:tcPr>
          <w:p w14:paraId="5331DB0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15.42</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3AAB90C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12.36</w:t>
            </w:r>
            <w:r w:rsidRPr="008D48A5">
              <w:rPr>
                <w:rFonts w:ascii="Times New Roman" w:hAnsi="Times New Roman" w:cs="Times New Roman"/>
                <w:sz w:val="16"/>
                <w:szCs w:val="16"/>
                <w:vertAlign w:val="superscript"/>
              </w:rPr>
              <w:t>***</w:t>
            </w:r>
          </w:p>
        </w:tc>
      </w:tr>
      <w:tr w:rsidR="00201D4C" w:rsidRPr="008D48A5" w14:paraId="0C9429F6" w14:textId="77777777" w:rsidTr="00015B88">
        <w:tc>
          <w:tcPr>
            <w:tcW w:w="2136" w:type="dxa"/>
            <w:tcBorders>
              <w:top w:val="nil"/>
              <w:left w:val="nil"/>
              <w:bottom w:val="nil"/>
              <w:right w:val="nil"/>
            </w:tcBorders>
          </w:tcPr>
          <w:p w14:paraId="78B3CE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8150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(3.77)</w:t>
            </w:r>
          </w:p>
        </w:tc>
        <w:tc>
          <w:tcPr>
            <w:tcW w:w="1656" w:type="dxa"/>
            <w:tcBorders>
              <w:top w:val="nil"/>
              <w:left w:val="nil"/>
              <w:bottom w:val="nil"/>
              <w:right w:val="nil"/>
            </w:tcBorders>
          </w:tcPr>
          <w:p w14:paraId="27EC717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(3.57)</w:t>
            </w:r>
          </w:p>
        </w:tc>
      </w:tr>
      <w:tr w:rsidR="00201D4C" w:rsidRPr="008D48A5" w14:paraId="4772DCB6" w14:textId="77777777" w:rsidTr="00015B88">
        <w:tc>
          <w:tcPr>
            <w:tcW w:w="2136" w:type="dxa"/>
            <w:tcBorders>
              <w:top w:val="nil"/>
              <w:left w:val="nil"/>
              <w:bottom w:val="nil"/>
              <w:right w:val="nil"/>
            </w:tcBorders>
          </w:tcPr>
          <w:p w14:paraId="2B1A707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58BA7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5C35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2767577" w14:textId="77777777" w:rsidTr="00015B88">
        <w:tc>
          <w:tcPr>
            <w:tcW w:w="2136" w:type="dxa"/>
            <w:tcBorders>
              <w:top w:val="nil"/>
              <w:left w:val="nil"/>
              <w:bottom w:val="nil"/>
              <w:right w:val="nil"/>
            </w:tcBorders>
          </w:tcPr>
          <w:p w14:paraId="1C89FF3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L10.De Jure CBI * HOS = HOG</w:t>
            </w:r>
          </w:p>
        </w:tc>
        <w:tc>
          <w:tcPr>
            <w:tcW w:w="1656" w:type="dxa"/>
            <w:tcBorders>
              <w:top w:val="nil"/>
              <w:left w:val="nil"/>
              <w:bottom w:val="nil"/>
              <w:right w:val="nil"/>
            </w:tcBorders>
          </w:tcPr>
          <w:p w14:paraId="7510EC0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-9.649</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253C66F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-2.321</w:t>
            </w:r>
          </w:p>
        </w:tc>
      </w:tr>
      <w:tr w:rsidR="00201D4C" w:rsidRPr="008D48A5" w14:paraId="4A374AE6" w14:textId="77777777" w:rsidTr="00015B88">
        <w:tc>
          <w:tcPr>
            <w:tcW w:w="2136" w:type="dxa"/>
            <w:tcBorders>
              <w:top w:val="nil"/>
              <w:left w:val="nil"/>
              <w:bottom w:val="nil"/>
              <w:right w:val="nil"/>
            </w:tcBorders>
          </w:tcPr>
          <w:p w14:paraId="2585273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3EC37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(-3.68)</w:t>
            </w:r>
          </w:p>
        </w:tc>
        <w:tc>
          <w:tcPr>
            <w:tcW w:w="1656" w:type="dxa"/>
            <w:tcBorders>
              <w:top w:val="nil"/>
              <w:left w:val="nil"/>
              <w:bottom w:val="nil"/>
              <w:right w:val="nil"/>
            </w:tcBorders>
          </w:tcPr>
          <w:p w14:paraId="02DDC5E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(-0.99)</w:t>
            </w:r>
          </w:p>
        </w:tc>
      </w:tr>
      <w:tr w:rsidR="00201D4C" w:rsidRPr="008D48A5" w14:paraId="50DE507F" w14:textId="77777777" w:rsidTr="00015B88">
        <w:tc>
          <w:tcPr>
            <w:tcW w:w="2136" w:type="dxa"/>
            <w:tcBorders>
              <w:top w:val="nil"/>
              <w:left w:val="nil"/>
              <w:bottom w:val="nil"/>
              <w:right w:val="nil"/>
            </w:tcBorders>
          </w:tcPr>
          <w:p w14:paraId="4641493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365B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817B3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3478EAE" w14:textId="77777777" w:rsidTr="00015B88">
        <w:tc>
          <w:tcPr>
            <w:tcW w:w="2136" w:type="dxa"/>
            <w:tcBorders>
              <w:top w:val="nil"/>
              <w:left w:val="nil"/>
              <w:bottom w:val="nil"/>
              <w:right w:val="nil"/>
            </w:tcBorders>
          </w:tcPr>
          <w:p w14:paraId="7BC2EB7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8D48A5">
              <w:rPr>
                <w:rFonts w:ascii="Times New Roman" w:hAnsi="Times New Roman" w:cs="Times New Roman"/>
                <w:sz w:val="16"/>
                <w:szCs w:val="16"/>
              </w:rPr>
              <w:t>L.More</w:t>
            </w:r>
            <w:proofErr w:type="spellEnd"/>
            <w:r w:rsidRPr="008D48A5">
              <w:rPr>
                <w:rFonts w:ascii="Times New Roman" w:hAnsi="Times New Roman" w:cs="Times New Roman"/>
                <w:sz w:val="16"/>
                <w:szCs w:val="16"/>
              </w:rPr>
              <w:t xml:space="preserve"> Fixed Rate * HOS = </w:t>
            </w:r>
            <w:r w:rsidRPr="008D48A5">
              <w:rPr>
                <w:rFonts w:ascii="Times New Roman" w:hAnsi="Times New Roman" w:cs="Times New Roman"/>
                <w:sz w:val="16"/>
                <w:szCs w:val="16"/>
              </w:rPr>
              <w:lastRenderedPageBreak/>
              <w:t>HOG</w:t>
            </w:r>
          </w:p>
        </w:tc>
        <w:tc>
          <w:tcPr>
            <w:tcW w:w="1656" w:type="dxa"/>
            <w:tcBorders>
              <w:top w:val="nil"/>
              <w:left w:val="nil"/>
              <w:bottom w:val="nil"/>
              <w:right w:val="nil"/>
            </w:tcBorders>
          </w:tcPr>
          <w:p w14:paraId="7FCFC0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lastRenderedPageBreak/>
              <w:t>-0.156</w:t>
            </w:r>
          </w:p>
        </w:tc>
        <w:tc>
          <w:tcPr>
            <w:tcW w:w="1656" w:type="dxa"/>
            <w:tcBorders>
              <w:top w:val="nil"/>
              <w:left w:val="nil"/>
              <w:bottom w:val="nil"/>
              <w:right w:val="nil"/>
            </w:tcBorders>
          </w:tcPr>
          <w:p w14:paraId="60221FC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-0.0786</w:t>
            </w:r>
          </w:p>
        </w:tc>
      </w:tr>
      <w:tr w:rsidR="00201D4C" w:rsidRPr="008D48A5" w14:paraId="6AEAB6F3" w14:textId="77777777" w:rsidTr="00015B88">
        <w:tc>
          <w:tcPr>
            <w:tcW w:w="2136" w:type="dxa"/>
            <w:tcBorders>
              <w:top w:val="nil"/>
              <w:left w:val="nil"/>
              <w:bottom w:val="nil"/>
              <w:right w:val="nil"/>
            </w:tcBorders>
          </w:tcPr>
          <w:p w14:paraId="4B39A3D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5062B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(-1.21)</w:t>
            </w:r>
          </w:p>
        </w:tc>
        <w:tc>
          <w:tcPr>
            <w:tcW w:w="1656" w:type="dxa"/>
            <w:tcBorders>
              <w:top w:val="nil"/>
              <w:left w:val="nil"/>
              <w:bottom w:val="nil"/>
              <w:right w:val="nil"/>
            </w:tcBorders>
          </w:tcPr>
          <w:p w14:paraId="0FE9373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(-0.36)</w:t>
            </w:r>
          </w:p>
        </w:tc>
      </w:tr>
      <w:tr w:rsidR="00201D4C" w:rsidRPr="008D48A5" w14:paraId="4075DBAF" w14:textId="77777777" w:rsidTr="00015B88">
        <w:tc>
          <w:tcPr>
            <w:tcW w:w="2136" w:type="dxa"/>
            <w:tcBorders>
              <w:top w:val="nil"/>
              <w:left w:val="nil"/>
              <w:bottom w:val="nil"/>
              <w:right w:val="nil"/>
            </w:tcBorders>
          </w:tcPr>
          <w:p w14:paraId="497983D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4E05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DF841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7BAA600" w14:textId="77777777" w:rsidTr="00015B88">
        <w:tc>
          <w:tcPr>
            <w:tcW w:w="2136" w:type="dxa"/>
            <w:tcBorders>
              <w:top w:val="nil"/>
              <w:left w:val="nil"/>
              <w:bottom w:val="nil"/>
              <w:right w:val="nil"/>
            </w:tcBorders>
          </w:tcPr>
          <w:p w14:paraId="0479AE1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L2.More Fixed Rate * HOS = HOG</w:t>
            </w:r>
          </w:p>
        </w:tc>
        <w:tc>
          <w:tcPr>
            <w:tcW w:w="1656" w:type="dxa"/>
            <w:tcBorders>
              <w:top w:val="nil"/>
              <w:left w:val="nil"/>
              <w:bottom w:val="nil"/>
              <w:right w:val="nil"/>
            </w:tcBorders>
          </w:tcPr>
          <w:p w14:paraId="4B19057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0.0660</w:t>
            </w:r>
          </w:p>
        </w:tc>
        <w:tc>
          <w:tcPr>
            <w:tcW w:w="1656" w:type="dxa"/>
            <w:tcBorders>
              <w:top w:val="nil"/>
              <w:left w:val="nil"/>
              <w:bottom w:val="nil"/>
              <w:right w:val="nil"/>
            </w:tcBorders>
          </w:tcPr>
          <w:p w14:paraId="19F3A7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0.0107</w:t>
            </w:r>
          </w:p>
        </w:tc>
      </w:tr>
      <w:tr w:rsidR="00201D4C" w:rsidRPr="008D48A5" w14:paraId="405F4A1B" w14:textId="77777777" w:rsidTr="00015B88">
        <w:tc>
          <w:tcPr>
            <w:tcW w:w="2136" w:type="dxa"/>
            <w:tcBorders>
              <w:top w:val="nil"/>
              <w:left w:val="nil"/>
              <w:bottom w:val="nil"/>
              <w:right w:val="nil"/>
            </w:tcBorders>
          </w:tcPr>
          <w:p w14:paraId="0E7F196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FD6D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(0.56)</w:t>
            </w:r>
          </w:p>
        </w:tc>
        <w:tc>
          <w:tcPr>
            <w:tcW w:w="1656" w:type="dxa"/>
            <w:tcBorders>
              <w:top w:val="nil"/>
              <w:left w:val="nil"/>
              <w:bottom w:val="nil"/>
              <w:right w:val="nil"/>
            </w:tcBorders>
          </w:tcPr>
          <w:p w14:paraId="6167BAC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w:t>
            </w:r>
          </w:p>
        </w:tc>
      </w:tr>
      <w:tr w:rsidR="00201D4C" w:rsidRPr="008D48A5" w14:paraId="6FC68C31" w14:textId="77777777" w:rsidTr="00015B88">
        <w:tc>
          <w:tcPr>
            <w:tcW w:w="2136" w:type="dxa"/>
            <w:tcBorders>
              <w:top w:val="nil"/>
              <w:left w:val="nil"/>
              <w:bottom w:val="nil"/>
              <w:right w:val="nil"/>
            </w:tcBorders>
          </w:tcPr>
          <w:p w14:paraId="22AABE6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586CE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5FBA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6B97D0E" w14:textId="77777777" w:rsidTr="00015B88">
        <w:tc>
          <w:tcPr>
            <w:tcW w:w="2136" w:type="dxa"/>
            <w:tcBorders>
              <w:top w:val="nil"/>
              <w:left w:val="nil"/>
              <w:bottom w:val="nil"/>
              <w:right w:val="nil"/>
            </w:tcBorders>
          </w:tcPr>
          <w:p w14:paraId="2EFD147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L3.More Fixed Rate * HOS = HOG</w:t>
            </w:r>
          </w:p>
        </w:tc>
        <w:tc>
          <w:tcPr>
            <w:tcW w:w="1656" w:type="dxa"/>
            <w:tcBorders>
              <w:top w:val="nil"/>
              <w:left w:val="nil"/>
              <w:bottom w:val="nil"/>
              <w:right w:val="nil"/>
            </w:tcBorders>
          </w:tcPr>
          <w:p w14:paraId="3E06B2A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0.0634</w:t>
            </w:r>
          </w:p>
        </w:tc>
        <w:tc>
          <w:tcPr>
            <w:tcW w:w="1656" w:type="dxa"/>
            <w:tcBorders>
              <w:top w:val="nil"/>
              <w:left w:val="nil"/>
              <w:bottom w:val="nil"/>
              <w:right w:val="nil"/>
            </w:tcBorders>
          </w:tcPr>
          <w:p w14:paraId="21FFBA6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0.0564</w:t>
            </w:r>
          </w:p>
        </w:tc>
      </w:tr>
      <w:tr w:rsidR="00201D4C" w:rsidRPr="008D48A5" w14:paraId="69B46223" w14:textId="77777777" w:rsidTr="00015B88">
        <w:tc>
          <w:tcPr>
            <w:tcW w:w="2136" w:type="dxa"/>
            <w:tcBorders>
              <w:top w:val="nil"/>
              <w:left w:val="nil"/>
              <w:bottom w:val="nil"/>
              <w:right w:val="nil"/>
            </w:tcBorders>
          </w:tcPr>
          <w:p w14:paraId="74FF712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A3E02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(0.59)</w:t>
            </w:r>
          </w:p>
        </w:tc>
        <w:tc>
          <w:tcPr>
            <w:tcW w:w="1656" w:type="dxa"/>
            <w:tcBorders>
              <w:top w:val="nil"/>
              <w:left w:val="nil"/>
              <w:bottom w:val="nil"/>
              <w:right w:val="nil"/>
            </w:tcBorders>
          </w:tcPr>
          <w:p w14:paraId="57DBC21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(0.32)</w:t>
            </w:r>
          </w:p>
        </w:tc>
      </w:tr>
      <w:tr w:rsidR="00201D4C" w:rsidRPr="008D48A5" w14:paraId="7A52BEC1" w14:textId="77777777" w:rsidTr="00015B88">
        <w:tc>
          <w:tcPr>
            <w:tcW w:w="2136" w:type="dxa"/>
            <w:tcBorders>
              <w:top w:val="nil"/>
              <w:left w:val="nil"/>
              <w:bottom w:val="nil"/>
              <w:right w:val="nil"/>
            </w:tcBorders>
          </w:tcPr>
          <w:p w14:paraId="4825D57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B46F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5F556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C70CE86" w14:textId="77777777" w:rsidTr="00015B88">
        <w:tc>
          <w:tcPr>
            <w:tcW w:w="2136" w:type="dxa"/>
            <w:tcBorders>
              <w:top w:val="nil"/>
              <w:left w:val="nil"/>
              <w:bottom w:val="nil"/>
              <w:right w:val="nil"/>
            </w:tcBorders>
          </w:tcPr>
          <w:p w14:paraId="536CF04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L4.More Fixed Rate * HOS = HOG</w:t>
            </w:r>
          </w:p>
        </w:tc>
        <w:tc>
          <w:tcPr>
            <w:tcW w:w="1656" w:type="dxa"/>
            <w:tcBorders>
              <w:top w:val="nil"/>
              <w:left w:val="nil"/>
              <w:bottom w:val="nil"/>
              <w:right w:val="nil"/>
            </w:tcBorders>
          </w:tcPr>
          <w:p w14:paraId="154B429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-0.126</w:t>
            </w:r>
          </w:p>
        </w:tc>
        <w:tc>
          <w:tcPr>
            <w:tcW w:w="1656" w:type="dxa"/>
            <w:tcBorders>
              <w:top w:val="nil"/>
              <w:left w:val="nil"/>
              <w:bottom w:val="nil"/>
              <w:right w:val="nil"/>
            </w:tcBorders>
          </w:tcPr>
          <w:p w14:paraId="0346706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-0.0575</w:t>
            </w:r>
          </w:p>
        </w:tc>
      </w:tr>
      <w:tr w:rsidR="00201D4C" w:rsidRPr="008D48A5" w14:paraId="65E6E7FC" w14:textId="77777777" w:rsidTr="00015B88">
        <w:tc>
          <w:tcPr>
            <w:tcW w:w="2136" w:type="dxa"/>
            <w:tcBorders>
              <w:top w:val="nil"/>
              <w:left w:val="nil"/>
              <w:bottom w:val="nil"/>
              <w:right w:val="nil"/>
            </w:tcBorders>
          </w:tcPr>
          <w:p w14:paraId="4EAFB64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F0CC8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(-1.07)</w:t>
            </w:r>
          </w:p>
        </w:tc>
        <w:tc>
          <w:tcPr>
            <w:tcW w:w="1656" w:type="dxa"/>
            <w:tcBorders>
              <w:top w:val="nil"/>
              <w:left w:val="nil"/>
              <w:bottom w:val="nil"/>
              <w:right w:val="nil"/>
            </w:tcBorders>
          </w:tcPr>
          <w:p w14:paraId="41E4731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(-0.27)</w:t>
            </w:r>
          </w:p>
        </w:tc>
      </w:tr>
      <w:tr w:rsidR="00201D4C" w:rsidRPr="008D48A5" w14:paraId="67B3095B" w14:textId="77777777" w:rsidTr="00015B88">
        <w:tc>
          <w:tcPr>
            <w:tcW w:w="2136" w:type="dxa"/>
            <w:tcBorders>
              <w:top w:val="nil"/>
              <w:left w:val="nil"/>
              <w:bottom w:val="nil"/>
              <w:right w:val="nil"/>
            </w:tcBorders>
          </w:tcPr>
          <w:p w14:paraId="665E8BD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749B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2C0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FAC8194" w14:textId="77777777" w:rsidTr="00015B88">
        <w:tc>
          <w:tcPr>
            <w:tcW w:w="2136" w:type="dxa"/>
            <w:tcBorders>
              <w:top w:val="nil"/>
              <w:left w:val="nil"/>
              <w:bottom w:val="nil"/>
              <w:right w:val="nil"/>
            </w:tcBorders>
          </w:tcPr>
          <w:p w14:paraId="5A7AC96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L5.More Fixed Rate * HOS = HOG</w:t>
            </w:r>
          </w:p>
        </w:tc>
        <w:tc>
          <w:tcPr>
            <w:tcW w:w="1656" w:type="dxa"/>
            <w:tcBorders>
              <w:top w:val="nil"/>
              <w:left w:val="nil"/>
              <w:bottom w:val="nil"/>
              <w:right w:val="nil"/>
            </w:tcBorders>
          </w:tcPr>
          <w:p w14:paraId="338CD94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0.165</w:t>
            </w:r>
          </w:p>
        </w:tc>
        <w:tc>
          <w:tcPr>
            <w:tcW w:w="1656" w:type="dxa"/>
            <w:tcBorders>
              <w:top w:val="nil"/>
              <w:left w:val="nil"/>
              <w:bottom w:val="nil"/>
              <w:right w:val="nil"/>
            </w:tcBorders>
          </w:tcPr>
          <w:p w14:paraId="3D78F58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-0.110</w:t>
            </w:r>
          </w:p>
        </w:tc>
      </w:tr>
      <w:tr w:rsidR="00201D4C" w:rsidRPr="008D48A5" w14:paraId="3FF74F52" w14:textId="77777777" w:rsidTr="00015B88">
        <w:tc>
          <w:tcPr>
            <w:tcW w:w="2136" w:type="dxa"/>
            <w:tcBorders>
              <w:top w:val="nil"/>
              <w:left w:val="nil"/>
              <w:bottom w:val="nil"/>
              <w:right w:val="nil"/>
            </w:tcBorders>
          </w:tcPr>
          <w:p w14:paraId="57F3E72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79B9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(1.45)</w:t>
            </w:r>
          </w:p>
        </w:tc>
        <w:tc>
          <w:tcPr>
            <w:tcW w:w="1656" w:type="dxa"/>
            <w:tcBorders>
              <w:top w:val="nil"/>
              <w:left w:val="nil"/>
              <w:bottom w:val="nil"/>
              <w:right w:val="nil"/>
            </w:tcBorders>
          </w:tcPr>
          <w:p w14:paraId="301889D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(-0.55)</w:t>
            </w:r>
          </w:p>
        </w:tc>
      </w:tr>
      <w:tr w:rsidR="00201D4C" w:rsidRPr="008D48A5" w14:paraId="0AE27C83" w14:textId="77777777" w:rsidTr="00015B88">
        <w:tc>
          <w:tcPr>
            <w:tcW w:w="2136" w:type="dxa"/>
            <w:tcBorders>
              <w:top w:val="nil"/>
              <w:left w:val="nil"/>
              <w:bottom w:val="nil"/>
              <w:right w:val="nil"/>
            </w:tcBorders>
          </w:tcPr>
          <w:p w14:paraId="0DAAD0A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2BA8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9D70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03BB477C" w14:textId="77777777" w:rsidTr="00015B88">
        <w:tc>
          <w:tcPr>
            <w:tcW w:w="2136" w:type="dxa"/>
            <w:tcBorders>
              <w:top w:val="nil"/>
              <w:left w:val="nil"/>
              <w:bottom w:val="nil"/>
              <w:right w:val="nil"/>
            </w:tcBorders>
          </w:tcPr>
          <w:p w14:paraId="2DCF69F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L6.More Fixed Rate * HOS = HOG</w:t>
            </w:r>
          </w:p>
        </w:tc>
        <w:tc>
          <w:tcPr>
            <w:tcW w:w="1656" w:type="dxa"/>
            <w:tcBorders>
              <w:top w:val="nil"/>
              <w:left w:val="nil"/>
              <w:bottom w:val="nil"/>
              <w:right w:val="nil"/>
            </w:tcBorders>
          </w:tcPr>
          <w:p w14:paraId="0921AB7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-0.134</w:t>
            </w:r>
          </w:p>
        </w:tc>
        <w:tc>
          <w:tcPr>
            <w:tcW w:w="1656" w:type="dxa"/>
            <w:tcBorders>
              <w:top w:val="nil"/>
              <w:left w:val="nil"/>
              <w:bottom w:val="nil"/>
              <w:right w:val="nil"/>
            </w:tcBorders>
          </w:tcPr>
          <w:p w14:paraId="6BBB893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0.154</w:t>
            </w:r>
          </w:p>
        </w:tc>
      </w:tr>
      <w:tr w:rsidR="00201D4C" w:rsidRPr="008D48A5" w14:paraId="4677477C" w14:textId="77777777" w:rsidTr="00015B88">
        <w:tc>
          <w:tcPr>
            <w:tcW w:w="2136" w:type="dxa"/>
            <w:tcBorders>
              <w:top w:val="nil"/>
              <w:left w:val="nil"/>
              <w:bottom w:val="nil"/>
              <w:right w:val="nil"/>
            </w:tcBorders>
          </w:tcPr>
          <w:p w14:paraId="42B20F2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D14D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(-1.23)</w:t>
            </w:r>
          </w:p>
        </w:tc>
        <w:tc>
          <w:tcPr>
            <w:tcW w:w="1656" w:type="dxa"/>
            <w:tcBorders>
              <w:top w:val="nil"/>
              <w:left w:val="nil"/>
              <w:bottom w:val="nil"/>
              <w:right w:val="nil"/>
            </w:tcBorders>
          </w:tcPr>
          <w:p w14:paraId="5F15D16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(1.15)</w:t>
            </w:r>
          </w:p>
        </w:tc>
      </w:tr>
      <w:tr w:rsidR="00201D4C" w:rsidRPr="008D48A5" w14:paraId="14B1B536" w14:textId="77777777" w:rsidTr="00015B88">
        <w:tc>
          <w:tcPr>
            <w:tcW w:w="2136" w:type="dxa"/>
            <w:tcBorders>
              <w:top w:val="nil"/>
              <w:left w:val="nil"/>
              <w:bottom w:val="nil"/>
              <w:right w:val="nil"/>
            </w:tcBorders>
          </w:tcPr>
          <w:p w14:paraId="68FE475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4F3D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C0B6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53BCA7E" w14:textId="77777777" w:rsidTr="00015B88">
        <w:tc>
          <w:tcPr>
            <w:tcW w:w="2136" w:type="dxa"/>
            <w:tcBorders>
              <w:top w:val="nil"/>
              <w:left w:val="nil"/>
              <w:bottom w:val="nil"/>
              <w:right w:val="nil"/>
            </w:tcBorders>
          </w:tcPr>
          <w:p w14:paraId="00818B6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L7.More Fixed Rate * HOS = HOG</w:t>
            </w:r>
          </w:p>
        </w:tc>
        <w:tc>
          <w:tcPr>
            <w:tcW w:w="1656" w:type="dxa"/>
            <w:tcBorders>
              <w:top w:val="nil"/>
              <w:left w:val="nil"/>
              <w:bottom w:val="nil"/>
              <w:right w:val="nil"/>
            </w:tcBorders>
          </w:tcPr>
          <w:p w14:paraId="04CE678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-0.0467</w:t>
            </w:r>
          </w:p>
        </w:tc>
        <w:tc>
          <w:tcPr>
            <w:tcW w:w="1656" w:type="dxa"/>
            <w:tcBorders>
              <w:top w:val="nil"/>
              <w:left w:val="nil"/>
              <w:bottom w:val="nil"/>
              <w:right w:val="nil"/>
            </w:tcBorders>
          </w:tcPr>
          <w:p w14:paraId="7D678AB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-0.00562</w:t>
            </w:r>
          </w:p>
        </w:tc>
      </w:tr>
      <w:tr w:rsidR="00201D4C" w:rsidRPr="008D48A5" w14:paraId="054FD7D4" w14:textId="77777777" w:rsidTr="00015B88">
        <w:tc>
          <w:tcPr>
            <w:tcW w:w="2136" w:type="dxa"/>
            <w:tcBorders>
              <w:top w:val="nil"/>
              <w:left w:val="nil"/>
              <w:bottom w:val="nil"/>
              <w:right w:val="nil"/>
            </w:tcBorders>
          </w:tcPr>
          <w:p w14:paraId="71D4324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9A3E0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(-0.47)</w:t>
            </w:r>
          </w:p>
        </w:tc>
        <w:tc>
          <w:tcPr>
            <w:tcW w:w="1656" w:type="dxa"/>
            <w:tcBorders>
              <w:top w:val="nil"/>
              <w:left w:val="nil"/>
              <w:bottom w:val="nil"/>
              <w:right w:val="nil"/>
            </w:tcBorders>
          </w:tcPr>
          <w:p w14:paraId="5C49E01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w:t>
            </w:r>
          </w:p>
        </w:tc>
      </w:tr>
      <w:tr w:rsidR="00201D4C" w:rsidRPr="008D48A5" w14:paraId="139B1C5C" w14:textId="77777777" w:rsidTr="00015B88">
        <w:tc>
          <w:tcPr>
            <w:tcW w:w="2136" w:type="dxa"/>
            <w:tcBorders>
              <w:top w:val="nil"/>
              <w:left w:val="nil"/>
              <w:bottom w:val="nil"/>
              <w:right w:val="nil"/>
            </w:tcBorders>
          </w:tcPr>
          <w:p w14:paraId="6317A62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DDA3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A5F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622398A" w14:textId="77777777" w:rsidTr="00015B88">
        <w:tc>
          <w:tcPr>
            <w:tcW w:w="2136" w:type="dxa"/>
            <w:tcBorders>
              <w:top w:val="nil"/>
              <w:left w:val="nil"/>
              <w:bottom w:val="nil"/>
              <w:right w:val="nil"/>
            </w:tcBorders>
          </w:tcPr>
          <w:p w14:paraId="409BB61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L8.More Fixed Rate * HOS = HOG</w:t>
            </w:r>
          </w:p>
        </w:tc>
        <w:tc>
          <w:tcPr>
            <w:tcW w:w="1656" w:type="dxa"/>
            <w:tcBorders>
              <w:top w:val="nil"/>
              <w:left w:val="nil"/>
              <w:bottom w:val="nil"/>
              <w:right w:val="nil"/>
            </w:tcBorders>
          </w:tcPr>
          <w:p w14:paraId="30A53A7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0.0248</w:t>
            </w:r>
          </w:p>
        </w:tc>
        <w:tc>
          <w:tcPr>
            <w:tcW w:w="1656" w:type="dxa"/>
            <w:tcBorders>
              <w:top w:val="nil"/>
              <w:left w:val="nil"/>
              <w:bottom w:val="nil"/>
              <w:right w:val="nil"/>
            </w:tcBorders>
          </w:tcPr>
          <w:p w14:paraId="4DC0C43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0.107</w:t>
            </w:r>
          </w:p>
        </w:tc>
      </w:tr>
      <w:tr w:rsidR="00201D4C" w:rsidRPr="008D48A5" w14:paraId="20FDBDA0" w14:textId="77777777" w:rsidTr="00015B88">
        <w:tc>
          <w:tcPr>
            <w:tcW w:w="2136" w:type="dxa"/>
            <w:tcBorders>
              <w:top w:val="nil"/>
              <w:left w:val="nil"/>
              <w:bottom w:val="nil"/>
              <w:right w:val="nil"/>
            </w:tcBorders>
          </w:tcPr>
          <w:p w14:paraId="1A0661C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E14EC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(0.27)</w:t>
            </w:r>
          </w:p>
        </w:tc>
        <w:tc>
          <w:tcPr>
            <w:tcW w:w="1656" w:type="dxa"/>
            <w:tcBorders>
              <w:top w:val="nil"/>
              <w:left w:val="nil"/>
              <w:bottom w:val="nil"/>
              <w:right w:val="nil"/>
            </w:tcBorders>
          </w:tcPr>
          <w:p w14:paraId="3B98196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(0.98)</w:t>
            </w:r>
          </w:p>
        </w:tc>
      </w:tr>
      <w:tr w:rsidR="00201D4C" w:rsidRPr="008D48A5" w14:paraId="5F635685" w14:textId="77777777" w:rsidTr="00015B88">
        <w:tc>
          <w:tcPr>
            <w:tcW w:w="2136" w:type="dxa"/>
            <w:tcBorders>
              <w:top w:val="nil"/>
              <w:left w:val="nil"/>
              <w:bottom w:val="nil"/>
              <w:right w:val="nil"/>
            </w:tcBorders>
          </w:tcPr>
          <w:p w14:paraId="41605AA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825CA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893E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5511604" w14:textId="77777777" w:rsidTr="00015B88">
        <w:tc>
          <w:tcPr>
            <w:tcW w:w="2136" w:type="dxa"/>
            <w:tcBorders>
              <w:top w:val="nil"/>
              <w:left w:val="nil"/>
              <w:bottom w:val="nil"/>
              <w:right w:val="nil"/>
            </w:tcBorders>
          </w:tcPr>
          <w:p w14:paraId="00FB25A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L9.More Fixed Rate * HOS = HOG</w:t>
            </w:r>
          </w:p>
        </w:tc>
        <w:tc>
          <w:tcPr>
            <w:tcW w:w="1656" w:type="dxa"/>
            <w:tcBorders>
              <w:top w:val="nil"/>
              <w:left w:val="nil"/>
              <w:bottom w:val="nil"/>
              <w:right w:val="nil"/>
            </w:tcBorders>
          </w:tcPr>
          <w:p w14:paraId="3DDF47E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0.0602</w:t>
            </w:r>
          </w:p>
        </w:tc>
        <w:tc>
          <w:tcPr>
            <w:tcW w:w="1656" w:type="dxa"/>
            <w:tcBorders>
              <w:top w:val="nil"/>
              <w:left w:val="nil"/>
              <w:bottom w:val="nil"/>
              <w:right w:val="nil"/>
            </w:tcBorders>
          </w:tcPr>
          <w:p w14:paraId="39D5A45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-0.00124</w:t>
            </w:r>
          </w:p>
        </w:tc>
      </w:tr>
      <w:tr w:rsidR="00201D4C" w:rsidRPr="008D48A5" w14:paraId="37ACEF74" w14:textId="77777777" w:rsidTr="00015B88">
        <w:tc>
          <w:tcPr>
            <w:tcW w:w="2136" w:type="dxa"/>
            <w:tcBorders>
              <w:top w:val="nil"/>
              <w:left w:val="nil"/>
              <w:bottom w:val="nil"/>
              <w:right w:val="nil"/>
            </w:tcBorders>
          </w:tcPr>
          <w:p w14:paraId="32C6520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671D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(0.70)</w:t>
            </w:r>
          </w:p>
        </w:tc>
        <w:tc>
          <w:tcPr>
            <w:tcW w:w="1656" w:type="dxa"/>
            <w:tcBorders>
              <w:top w:val="nil"/>
              <w:left w:val="nil"/>
              <w:bottom w:val="nil"/>
              <w:right w:val="nil"/>
            </w:tcBorders>
          </w:tcPr>
          <w:p w14:paraId="128A635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w:t>
            </w:r>
          </w:p>
        </w:tc>
      </w:tr>
      <w:tr w:rsidR="00201D4C" w:rsidRPr="008D48A5" w14:paraId="7458201F" w14:textId="77777777" w:rsidTr="00015B88">
        <w:tc>
          <w:tcPr>
            <w:tcW w:w="2136" w:type="dxa"/>
            <w:tcBorders>
              <w:top w:val="nil"/>
              <w:left w:val="nil"/>
              <w:bottom w:val="nil"/>
              <w:right w:val="nil"/>
            </w:tcBorders>
          </w:tcPr>
          <w:p w14:paraId="006B083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27D07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7664C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BA2C136" w14:textId="77777777" w:rsidTr="00015B88">
        <w:tc>
          <w:tcPr>
            <w:tcW w:w="2136" w:type="dxa"/>
            <w:tcBorders>
              <w:top w:val="nil"/>
              <w:left w:val="nil"/>
              <w:bottom w:val="nil"/>
              <w:right w:val="nil"/>
            </w:tcBorders>
          </w:tcPr>
          <w:p w14:paraId="73D547C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L10.More Fixed Rate * HOS = HOG</w:t>
            </w:r>
          </w:p>
        </w:tc>
        <w:tc>
          <w:tcPr>
            <w:tcW w:w="1656" w:type="dxa"/>
            <w:tcBorders>
              <w:top w:val="nil"/>
              <w:left w:val="nil"/>
              <w:bottom w:val="nil"/>
              <w:right w:val="nil"/>
            </w:tcBorders>
          </w:tcPr>
          <w:p w14:paraId="582FD40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0.0158</w:t>
            </w:r>
          </w:p>
        </w:tc>
        <w:tc>
          <w:tcPr>
            <w:tcW w:w="1656" w:type="dxa"/>
            <w:tcBorders>
              <w:top w:val="nil"/>
              <w:left w:val="nil"/>
              <w:bottom w:val="nil"/>
              <w:right w:val="nil"/>
            </w:tcBorders>
          </w:tcPr>
          <w:p w14:paraId="3DE684B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-0.109</w:t>
            </w:r>
          </w:p>
        </w:tc>
      </w:tr>
      <w:tr w:rsidR="00201D4C" w:rsidRPr="008D48A5" w14:paraId="2B94313E" w14:textId="77777777" w:rsidTr="00015B88">
        <w:tc>
          <w:tcPr>
            <w:tcW w:w="2136" w:type="dxa"/>
            <w:tcBorders>
              <w:top w:val="nil"/>
              <w:left w:val="nil"/>
              <w:bottom w:val="nil"/>
              <w:right w:val="nil"/>
            </w:tcBorders>
          </w:tcPr>
          <w:p w14:paraId="2DDB22D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D44D1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(0.24)</w:t>
            </w:r>
          </w:p>
        </w:tc>
        <w:tc>
          <w:tcPr>
            <w:tcW w:w="1656" w:type="dxa"/>
            <w:tcBorders>
              <w:top w:val="nil"/>
              <w:left w:val="nil"/>
              <w:bottom w:val="nil"/>
              <w:right w:val="nil"/>
            </w:tcBorders>
          </w:tcPr>
          <w:p w14:paraId="4D9DA9D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(-0.98)</w:t>
            </w:r>
          </w:p>
        </w:tc>
      </w:tr>
      <w:tr w:rsidR="00201D4C" w:rsidRPr="008D48A5" w14:paraId="329358C5" w14:textId="77777777" w:rsidTr="00015B88">
        <w:tc>
          <w:tcPr>
            <w:tcW w:w="2136" w:type="dxa"/>
            <w:tcBorders>
              <w:top w:val="nil"/>
              <w:left w:val="nil"/>
              <w:bottom w:val="nil"/>
              <w:right w:val="nil"/>
            </w:tcBorders>
          </w:tcPr>
          <w:p w14:paraId="6F31EE9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9AF33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26A0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069887" w14:textId="77777777" w:rsidTr="00015B88">
        <w:tc>
          <w:tcPr>
            <w:tcW w:w="2136" w:type="dxa"/>
            <w:tcBorders>
              <w:top w:val="nil"/>
              <w:left w:val="nil"/>
              <w:bottom w:val="nil"/>
              <w:right w:val="nil"/>
            </w:tcBorders>
          </w:tcPr>
          <w:p w14:paraId="59C13BF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6526F1C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216918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1C435528" w14:textId="77777777" w:rsidTr="00015B88">
        <w:tc>
          <w:tcPr>
            <w:tcW w:w="2136" w:type="dxa"/>
            <w:tcBorders>
              <w:top w:val="nil"/>
              <w:left w:val="nil"/>
              <w:bottom w:val="nil"/>
              <w:right w:val="nil"/>
            </w:tcBorders>
          </w:tcPr>
          <w:p w14:paraId="581658D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5C371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8B9F2D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66B44B42" w14:textId="77777777" w:rsidTr="00015B88">
        <w:tc>
          <w:tcPr>
            <w:tcW w:w="2136" w:type="dxa"/>
            <w:tcBorders>
              <w:top w:val="single" w:sz="4" w:space="0" w:color="auto"/>
              <w:left w:val="nil"/>
              <w:bottom w:val="nil"/>
              <w:right w:val="nil"/>
            </w:tcBorders>
          </w:tcPr>
          <w:p w14:paraId="5E269EB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AA2F1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0CFA6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292FA636" w14:textId="77777777" w:rsidTr="00015B88">
        <w:tc>
          <w:tcPr>
            <w:tcW w:w="2136" w:type="dxa"/>
            <w:tcBorders>
              <w:top w:val="nil"/>
              <w:left w:val="nil"/>
              <w:bottom w:val="nil"/>
              <w:right w:val="nil"/>
            </w:tcBorders>
          </w:tcPr>
          <w:p w14:paraId="2DB81B8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0B053A9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0.827</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62A4F12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4.493</w:t>
            </w:r>
            <w:r w:rsidRPr="008D48A5">
              <w:rPr>
                <w:rFonts w:ascii="Times New Roman" w:hAnsi="Times New Roman" w:cs="Times New Roman"/>
                <w:sz w:val="16"/>
                <w:szCs w:val="16"/>
                <w:vertAlign w:val="superscript"/>
              </w:rPr>
              <w:t>***</w:t>
            </w:r>
          </w:p>
        </w:tc>
      </w:tr>
      <w:tr w:rsidR="00201D4C" w:rsidRPr="008D48A5" w14:paraId="084A4CCC" w14:textId="77777777" w:rsidTr="00015B88">
        <w:tc>
          <w:tcPr>
            <w:tcW w:w="2136" w:type="dxa"/>
            <w:tcBorders>
              <w:top w:val="nil"/>
              <w:left w:val="nil"/>
              <w:bottom w:val="nil"/>
              <w:right w:val="nil"/>
            </w:tcBorders>
          </w:tcPr>
          <w:p w14:paraId="240827D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EDC5E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(2.07)</w:t>
            </w:r>
          </w:p>
        </w:tc>
        <w:tc>
          <w:tcPr>
            <w:tcW w:w="1656" w:type="dxa"/>
            <w:tcBorders>
              <w:top w:val="nil"/>
              <w:left w:val="nil"/>
              <w:bottom w:val="nil"/>
              <w:right w:val="nil"/>
            </w:tcBorders>
          </w:tcPr>
          <w:p w14:paraId="27CE752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(6.46)</w:t>
            </w:r>
          </w:p>
        </w:tc>
      </w:tr>
      <w:tr w:rsidR="00201D4C" w:rsidRPr="008D48A5" w14:paraId="46228F79" w14:textId="77777777" w:rsidTr="00015B88">
        <w:tc>
          <w:tcPr>
            <w:tcW w:w="2136" w:type="dxa"/>
            <w:tcBorders>
              <w:top w:val="single" w:sz="4" w:space="0" w:color="auto"/>
              <w:left w:val="nil"/>
              <w:bottom w:val="nil"/>
              <w:right w:val="nil"/>
            </w:tcBorders>
          </w:tcPr>
          <w:p w14:paraId="2570DA0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568B63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D23A2B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2C7B5B4C" w14:textId="77777777" w:rsidTr="00015B88">
        <w:tc>
          <w:tcPr>
            <w:tcW w:w="2136" w:type="dxa"/>
            <w:tcBorders>
              <w:top w:val="nil"/>
              <w:left w:val="nil"/>
              <w:bottom w:val="nil"/>
              <w:right w:val="nil"/>
            </w:tcBorders>
          </w:tcPr>
          <w:p w14:paraId="36E6E00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522D93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1.268</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39772A9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5.092</w:t>
            </w:r>
            <w:r w:rsidRPr="008D48A5">
              <w:rPr>
                <w:rFonts w:ascii="Times New Roman" w:hAnsi="Times New Roman" w:cs="Times New Roman"/>
                <w:sz w:val="16"/>
                <w:szCs w:val="16"/>
                <w:vertAlign w:val="superscript"/>
              </w:rPr>
              <w:t>***</w:t>
            </w:r>
          </w:p>
        </w:tc>
      </w:tr>
      <w:tr w:rsidR="00201D4C" w:rsidRPr="008D48A5" w14:paraId="5B8BBB1D" w14:textId="77777777" w:rsidTr="00015B88">
        <w:tc>
          <w:tcPr>
            <w:tcW w:w="2136" w:type="dxa"/>
            <w:tcBorders>
              <w:top w:val="nil"/>
              <w:left w:val="nil"/>
              <w:bottom w:val="nil"/>
              <w:right w:val="nil"/>
            </w:tcBorders>
          </w:tcPr>
          <w:p w14:paraId="136A3BB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82A64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(3.11)</w:t>
            </w:r>
          </w:p>
        </w:tc>
        <w:tc>
          <w:tcPr>
            <w:tcW w:w="1656" w:type="dxa"/>
            <w:tcBorders>
              <w:top w:val="nil"/>
              <w:left w:val="nil"/>
              <w:bottom w:val="nil"/>
              <w:right w:val="nil"/>
            </w:tcBorders>
          </w:tcPr>
          <w:p w14:paraId="48323C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(7.33)</w:t>
            </w:r>
          </w:p>
        </w:tc>
      </w:tr>
      <w:tr w:rsidR="00201D4C" w:rsidRPr="008D48A5" w14:paraId="526B6ED1" w14:textId="77777777" w:rsidTr="00015B88">
        <w:tc>
          <w:tcPr>
            <w:tcW w:w="2136" w:type="dxa"/>
            <w:tcBorders>
              <w:top w:val="single" w:sz="4" w:space="0" w:color="auto"/>
              <w:left w:val="nil"/>
              <w:bottom w:val="nil"/>
              <w:right w:val="nil"/>
            </w:tcBorders>
          </w:tcPr>
          <w:p w14:paraId="1A962D7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0E59FCB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D4139A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78F67A81" w14:textId="77777777" w:rsidTr="00015B88">
        <w:tc>
          <w:tcPr>
            <w:tcW w:w="2136" w:type="dxa"/>
            <w:tcBorders>
              <w:top w:val="nil"/>
              <w:left w:val="nil"/>
              <w:bottom w:val="nil"/>
              <w:right w:val="nil"/>
            </w:tcBorders>
          </w:tcPr>
          <w:p w14:paraId="7E87237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21694AE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1.071</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5F6B475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1.740</w:t>
            </w:r>
            <w:r w:rsidRPr="008D48A5">
              <w:rPr>
                <w:rFonts w:ascii="Times New Roman" w:hAnsi="Times New Roman" w:cs="Times New Roman"/>
                <w:sz w:val="16"/>
                <w:szCs w:val="16"/>
                <w:vertAlign w:val="superscript"/>
              </w:rPr>
              <w:t>***</w:t>
            </w:r>
          </w:p>
        </w:tc>
      </w:tr>
      <w:tr w:rsidR="00201D4C" w:rsidRPr="008D48A5" w14:paraId="7314B2D1" w14:textId="77777777" w:rsidTr="00015B88">
        <w:tc>
          <w:tcPr>
            <w:tcW w:w="2136" w:type="dxa"/>
            <w:tcBorders>
              <w:top w:val="nil"/>
              <w:left w:val="nil"/>
              <w:bottom w:val="nil"/>
              <w:right w:val="nil"/>
            </w:tcBorders>
          </w:tcPr>
          <w:p w14:paraId="22C6AF4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403AB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(3.54)</w:t>
            </w:r>
          </w:p>
        </w:tc>
        <w:tc>
          <w:tcPr>
            <w:tcW w:w="1656" w:type="dxa"/>
            <w:tcBorders>
              <w:top w:val="nil"/>
              <w:left w:val="nil"/>
              <w:bottom w:val="nil"/>
              <w:right w:val="nil"/>
            </w:tcBorders>
          </w:tcPr>
          <w:p w14:paraId="2A18A61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(3.32)</w:t>
            </w:r>
          </w:p>
        </w:tc>
      </w:tr>
      <w:tr w:rsidR="00201D4C" w:rsidRPr="008D48A5" w14:paraId="49F2AFCE" w14:textId="77777777" w:rsidTr="00015B88">
        <w:tc>
          <w:tcPr>
            <w:tcW w:w="2136" w:type="dxa"/>
            <w:tcBorders>
              <w:top w:val="single" w:sz="4" w:space="0" w:color="auto"/>
              <w:left w:val="nil"/>
              <w:bottom w:val="nil"/>
              <w:right w:val="nil"/>
            </w:tcBorders>
          </w:tcPr>
          <w:p w14:paraId="7C1CFCC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w:t>
            </w:r>
          </w:p>
        </w:tc>
        <w:tc>
          <w:tcPr>
            <w:tcW w:w="1656" w:type="dxa"/>
            <w:tcBorders>
              <w:top w:val="single" w:sz="4" w:space="0" w:color="auto"/>
              <w:left w:val="nil"/>
              <w:bottom w:val="nil"/>
              <w:right w:val="nil"/>
            </w:tcBorders>
          </w:tcPr>
          <w:p w14:paraId="7F1B2E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0D398E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03FAB829" w14:textId="77777777" w:rsidTr="00015B88">
        <w:tc>
          <w:tcPr>
            <w:tcW w:w="2136" w:type="dxa"/>
            <w:tcBorders>
              <w:top w:val="nil"/>
              <w:left w:val="nil"/>
              <w:bottom w:val="nil"/>
              <w:right w:val="nil"/>
            </w:tcBorders>
          </w:tcPr>
          <w:p w14:paraId="7E4F608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lnsig2u</w:t>
            </w:r>
          </w:p>
        </w:tc>
        <w:tc>
          <w:tcPr>
            <w:tcW w:w="1656" w:type="dxa"/>
            <w:tcBorders>
              <w:top w:val="nil"/>
              <w:left w:val="nil"/>
              <w:bottom w:val="nil"/>
              <w:right w:val="nil"/>
            </w:tcBorders>
          </w:tcPr>
          <w:p w14:paraId="4636199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47FAE5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13B9988F" w14:textId="77777777" w:rsidTr="00015B88">
        <w:tc>
          <w:tcPr>
            <w:tcW w:w="2136" w:type="dxa"/>
            <w:tcBorders>
              <w:top w:val="nil"/>
              <w:left w:val="nil"/>
              <w:bottom w:val="single" w:sz="4" w:space="0" w:color="auto"/>
              <w:right w:val="nil"/>
            </w:tcBorders>
          </w:tcPr>
          <w:p w14:paraId="4477A7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D518E3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CC9E00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3ADD5480" w14:textId="77777777" w:rsidTr="00015B88">
        <w:tc>
          <w:tcPr>
            <w:tcW w:w="2136" w:type="dxa"/>
            <w:tcBorders>
              <w:top w:val="nil"/>
              <w:left w:val="nil"/>
              <w:bottom w:val="single" w:sz="4" w:space="0" w:color="auto"/>
              <w:right w:val="nil"/>
            </w:tcBorders>
          </w:tcPr>
          <w:p w14:paraId="521E5E5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21733B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968</w:t>
            </w:r>
          </w:p>
        </w:tc>
        <w:tc>
          <w:tcPr>
            <w:tcW w:w="1656" w:type="dxa"/>
            <w:tcBorders>
              <w:top w:val="nil"/>
              <w:left w:val="nil"/>
              <w:bottom w:val="single" w:sz="4" w:space="0" w:color="auto"/>
              <w:right w:val="nil"/>
            </w:tcBorders>
          </w:tcPr>
          <w:p w14:paraId="7F28893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968</w:t>
            </w:r>
          </w:p>
        </w:tc>
      </w:tr>
    </w:tbl>
    <w:p w14:paraId="57FF982D" w14:textId="77777777" w:rsidR="005D257B" w:rsidRPr="008D48A5" w:rsidRDefault="005D257B" w:rsidP="005D257B">
      <w:pPr>
        <w:widowControl w:val="0"/>
        <w:autoSpaceDE w:val="0"/>
        <w:autoSpaceDN w:val="0"/>
        <w:adjustRightInd w:val="0"/>
        <w:spacing w:after="0" w:line="240" w:lineRule="auto"/>
        <w:rPr>
          <w:rFonts w:ascii="Times New Roman" w:hAnsi="Times New Roman" w:cs="Times New Roman"/>
          <w:sz w:val="12"/>
          <w:szCs w:val="12"/>
        </w:rPr>
      </w:pPr>
      <w:r w:rsidRPr="008D48A5">
        <w:rPr>
          <w:rFonts w:ascii="Times New Roman" w:hAnsi="Times New Roman" w:cs="Times New Roman"/>
          <w:i/>
          <w:iCs/>
          <w:sz w:val="12"/>
          <w:szCs w:val="12"/>
        </w:rPr>
        <w:t>t</w:t>
      </w:r>
      <w:r w:rsidRPr="008D48A5">
        <w:rPr>
          <w:rFonts w:ascii="Times New Roman" w:hAnsi="Times New Roman" w:cs="Times New Roman"/>
          <w:sz w:val="12"/>
          <w:szCs w:val="12"/>
        </w:rPr>
        <w:t xml:space="preserve"> statistics in parentheses</w:t>
      </w:r>
    </w:p>
    <w:p w14:paraId="037DE2D9" w14:textId="77777777" w:rsidR="005D257B" w:rsidRPr="008D48A5" w:rsidRDefault="005D257B" w:rsidP="005D257B">
      <w:pPr>
        <w:widowControl w:val="0"/>
        <w:autoSpaceDE w:val="0"/>
        <w:autoSpaceDN w:val="0"/>
        <w:adjustRightInd w:val="0"/>
        <w:spacing w:after="0" w:line="240" w:lineRule="auto"/>
        <w:rPr>
          <w:rFonts w:ascii="Times New Roman" w:hAnsi="Times New Roman" w:cs="Times New Roman"/>
          <w:sz w:val="12"/>
          <w:szCs w:val="12"/>
        </w:rPr>
      </w:pPr>
      <w:r w:rsidRPr="008D48A5">
        <w:rPr>
          <w:rFonts w:ascii="Times New Roman" w:hAnsi="Times New Roman" w:cs="Times New Roman"/>
          <w:sz w:val="12"/>
          <w:szCs w:val="12"/>
          <w:vertAlign w:val="superscript"/>
        </w:rPr>
        <w:t>*</w:t>
      </w:r>
      <w:r w:rsidRPr="008D48A5">
        <w:rPr>
          <w:rFonts w:ascii="Times New Roman" w:hAnsi="Times New Roman" w:cs="Times New Roman"/>
          <w:sz w:val="12"/>
          <w:szCs w:val="12"/>
        </w:rPr>
        <w:t xml:space="preserve"> </w:t>
      </w:r>
      <w:r w:rsidRPr="008D48A5">
        <w:rPr>
          <w:rFonts w:ascii="Times New Roman" w:hAnsi="Times New Roman" w:cs="Times New Roman"/>
          <w:i/>
          <w:iCs/>
          <w:sz w:val="12"/>
          <w:szCs w:val="12"/>
        </w:rPr>
        <w:t>p</w:t>
      </w:r>
      <w:r w:rsidRPr="008D48A5">
        <w:rPr>
          <w:rFonts w:ascii="Times New Roman" w:hAnsi="Times New Roman" w:cs="Times New Roman"/>
          <w:sz w:val="12"/>
          <w:szCs w:val="12"/>
        </w:rPr>
        <w:t xml:space="preserve"> &lt; 0.05, </w:t>
      </w:r>
      <w:r w:rsidRPr="008D48A5">
        <w:rPr>
          <w:rFonts w:ascii="Times New Roman" w:hAnsi="Times New Roman" w:cs="Times New Roman"/>
          <w:sz w:val="12"/>
          <w:szCs w:val="12"/>
          <w:vertAlign w:val="superscript"/>
        </w:rPr>
        <w:t>**</w:t>
      </w:r>
      <w:r w:rsidRPr="008D48A5">
        <w:rPr>
          <w:rFonts w:ascii="Times New Roman" w:hAnsi="Times New Roman" w:cs="Times New Roman"/>
          <w:sz w:val="12"/>
          <w:szCs w:val="12"/>
        </w:rPr>
        <w:t xml:space="preserve"> </w:t>
      </w:r>
      <w:r w:rsidRPr="008D48A5">
        <w:rPr>
          <w:rFonts w:ascii="Times New Roman" w:hAnsi="Times New Roman" w:cs="Times New Roman"/>
          <w:i/>
          <w:iCs/>
          <w:sz w:val="12"/>
          <w:szCs w:val="12"/>
        </w:rPr>
        <w:t>p</w:t>
      </w:r>
      <w:r w:rsidRPr="008D48A5">
        <w:rPr>
          <w:rFonts w:ascii="Times New Roman" w:hAnsi="Times New Roman" w:cs="Times New Roman"/>
          <w:sz w:val="12"/>
          <w:szCs w:val="12"/>
        </w:rPr>
        <w:t xml:space="preserve"> &lt; 0.01, </w:t>
      </w:r>
      <w:r w:rsidRPr="008D48A5">
        <w:rPr>
          <w:rFonts w:ascii="Times New Roman" w:hAnsi="Times New Roman" w:cs="Times New Roman"/>
          <w:sz w:val="12"/>
          <w:szCs w:val="12"/>
          <w:vertAlign w:val="superscript"/>
        </w:rPr>
        <w:t>***</w:t>
      </w:r>
      <w:r w:rsidRPr="008D48A5">
        <w:rPr>
          <w:rFonts w:ascii="Times New Roman" w:hAnsi="Times New Roman" w:cs="Times New Roman"/>
          <w:sz w:val="12"/>
          <w:szCs w:val="12"/>
        </w:rPr>
        <w:t xml:space="preserve"> </w:t>
      </w:r>
      <w:r w:rsidRPr="008D48A5">
        <w:rPr>
          <w:rFonts w:ascii="Times New Roman" w:hAnsi="Times New Roman" w:cs="Times New Roman"/>
          <w:i/>
          <w:iCs/>
          <w:sz w:val="12"/>
          <w:szCs w:val="12"/>
        </w:rPr>
        <w:t>p</w:t>
      </w:r>
      <w:r w:rsidRPr="008D48A5">
        <w:rPr>
          <w:rFonts w:ascii="Times New Roman" w:hAnsi="Times New Roman" w:cs="Times New Roman"/>
          <w:sz w:val="12"/>
          <w:szCs w:val="12"/>
        </w:rPr>
        <w:t xml:space="preserve"> &lt; 0.001</w:t>
      </w:r>
    </w:p>
    <w:p w14:paraId="17079026" w14:textId="77777777" w:rsidR="003D27F5" w:rsidRDefault="003D27F5" w:rsidP="00DB7775"/>
    <w:p w14:paraId="104F2F5A" w14:textId="0E055C1E" w:rsidR="003D27F5" w:rsidRDefault="003D27F5" w:rsidP="00DB7775">
      <w:r>
        <w:t>De facto</w:t>
      </w:r>
    </w:p>
    <w:tbl>
      <w:tblPr>
        <w:tblW w:w="0" w:type="auto"/>
        <w:tblLayout w:type="fixed"/>
        <w:tblLook w:val="0000" w:firstRow="0" w:lastRow="0" w:firstColumn="0" w:lastColumn="0" w:noHBand="0" w:noVBand="0"/>
      </w:tblPr>
      <w:tblGrid>
        <w:gridCol w:w="2136"/>
        <w:gridCol w:w="1656"/>
        <w:gridCol w:w="1656"/>
      </w:tblGrid>
      <w:tr w:rsidR="00201D4C" w:rsidRPr="005F6C2E" w14:paraId="0545B227" w14:textId="77777777" w:rsidTr="00015B88">
        <w:tc>
          <w:tcPr>
            <w:tcW w:w="2136" w:type="dxa"/>
            <w:tcBorders>
              <w:top w:val="single" w:sz="4" w:space="0" w:color="auto"/>
              <w:left w:val="nil"/>
              <w:bottom w:val="nil"/>
              <w:right w:val="nil"/>
            </w:tcBorders>
          </w:tcPr>
          <w:p w14:paraId="26CAE01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0046C0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w:t>
            </w:r>
          </w:p>
        </w:tc>
        <w:tc>
          <w:tcPr>
            <w:tcW w:w="1656" w:type="dxa"/>
            <w:tcBorders>
              <w:top w:val="single" w:sz="4" w:space="0" w:color="auto"/>
              <w:left w:val="nil"/>
              <w:bottom w:val="nil"/>
              <w:right w:val="nil"/>
            </w:tcBorders>
          </w:tcPr>
          <w:p w14:paraId="54B080C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w:t>
            </w:r>
          </w:p>
        </w:tc>
      </w:tr>
      <w:tr w:rsidR="00201D4C" w:rsidRPr="005F6C2E" w14:paraId="27C27112" w14:textId="77777777" w:rsidTr="00015B88">
        <w:tc>
          <w:tcPr>
            <w:tcW w:w="2136" w:type="dxa"/>
            <w:tcBorders>
              <w:top w:val="nil"/>
              <w:left w:val="nil"/>
              <w:bottom w:val="nil"/>
              <w:right w:val="nil"/>
            </w:tcBorders>
          </w:tcPr>
          <w:p w14:paraId="5DD027C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3048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Head of Govt. Turnover</w:t>
            </w:r>
          </w:p>
        </w:tc>
        <w:tc>
          <w:tcPr>
            <w:tcW w:w="1656" w:type="dxa"/>
            <w:tcBorders>
              <w:top w:val="nil"/>
              <w:left w:val="nil"/>
              <w:bottom w:val="nil"/>
              <w:right w:val="nil"/>
            </w:tcBorders>
          </w:tcPr>
          <w:p w14:paraId="4421F6A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Head of State Turnover</w:t>
            </w:r>
          </w:p>
        </w:tc>
      </w:tr>
      <w:tr w:rsidR="00201D4C" w:rsidRPr="005F6C2E" w14:paraId="6DCF7F80" w14:textId="77777777" w:rsidTr="00015B88">
        <w:tc>
          <w:tcPr>
            <w:tcW w:w="2136" w:type="dxa"/>
            <w:tcBorders>
              <w:top w:val="single" w:sz="4" w:space="0" w:color="auto"/>
              <w:left w:val="nil"/>
              <w:bottom w:val="nil"/>
              <w:right w:val="nil"/>
            </w:tcBorders>
          </w:tcPr>
          <w:p w14:paraId="697878C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4DBE882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17AA89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75B04EA2" w14:textId="77777777" w:rsidTr="00015B88">
        <w:tc>
          <w:tcPr>
            <w:tcW w:w="2136" w:type="dxa"/>
            <w:tcBorders>
              <w:top w:val="nil"/>
              <w:left w:val="nil"/>
              <w:bottom w:val="nil"/>
              <w:right w:val="nil"/>
            </w:tcBorders>
          </w:tcPr>
          <w:p w14:paraId="4C5B4F9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609BB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-0.324</w:t>
            </w:r>
          </w:p>
        </w:tc>
        <w:tc>
          <w:tcPr>
            <w:tcW w:w="1656" w:type="dxa"/>
            <w:tcBorders>
              <w:top w:val="nil"/>
              <w:left w:val="nil"/>
              <w:bottom w:val="nil"/>
              <w:right w:val="nil"/>
            </w:tcBorders>
          </w:tcPr>
          <w:p w14:paraId="1E74E22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-0.370</w:t>
            </w:r>
          </w:p>
        </w:tc>
      </w:tr>
      <w:tr w:rsidR="00201D4C" w:rsidRPr="005F6C2E" w14:paraId="6FC94CC3" w14:textId="77777777" w:rsidTr="00015B88">
        <w:tc>
          <w:tcPr>
            <w:tcW w:w="2136" w:type="dxa"/>
            <w:tcBorders>
              <w:top w:val="nil"/>
              <w:left w:val="nil"/>
              <w:bottom w:val="nil"/>
              <w:right w:val="nil"/>
            </w:tcBorders>
          </w:tcPr>
          <w:p w14:paraId="07C5817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5236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(-1.19)</w:t>
            </w:r>
          </w:p>
        </w:tc>
        <w:tc>
          <w:tcPr>
            <w:tcW w:w="1656" w:type="dxa"/>
            <w:tcBorders>
              <w:top w:val="nil"/>
              <w:left w:val="nil"/>
              <w:bottom w:val="nil"/>
              <w:right w:val="nil"/>
            </w:tcBorders>
          </w:tcPr>
          <w:p w14:paraId="432CDAF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(-0.97)</w:t>
            </w:r>
          </w:p>
        </w:tc>
      </w:tr>
      <w:tr w:rsidR="00201D4C" w:rsidRPr="005F6C2E" w14:paraId="2F573EE7" w14:textId="77777777" w:rsidTr="00015B88">
        <w:tc>
          <w:tcPr>
            <w:tcW w:w="2136" w:type="dxa"/>
            <w:tcBorders>
              <w:top w:val="nil"/>
              <w:left w:val="nil"/>
              <w:bottom w:val="nil"/>
              <w:right w:val="nil"/>
            </w:tcBorders>
          </w:tcPr>
          <w:p w14:paraId="1892C8C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2C6DF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82FB5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21AFFE9" w14:textId="77777777" w:rsidTr="00015B88">
        <w:tc>
          <w:tcPr>
            <w:tcW w:w="2136" w:type="dxa"/>
            <w:tcBorders>
              <w:top w:val="nil"/>
              <w:left w:val="nil"/>
              <w:bottom w:val="nil"/>
              <w:right w:val="nil"/>
            </w:tcBorders>
          </w:tcPr>
          <w:p w14:paraId="4114EFE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lastRenderedPageBreak/>
              <w:t>Exchange Rate Classification (RR inverted, higher = more fixed)</w:t>
            </w:r>
          </w:p>
        </w:tc>
        <w:tc>
          <w:tcPr>
            <w:tcW w:w="1656" w:type="dxa"/>
            <w:tcBorders>
              <w:top w:val="nil"/>
              <w:left w:val="nil"/>
              <w:bottom w:val="nil"/>
              <w:right w:val="nil"/>
            </w:tcBorders>
          </w:tcPr>
          <w:p w14:paraId="5B44051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0.0574</w:t>
            </w:r>
          </w:p>
        </w:tc>
        <w:tc>
          <w:tcPr>
            <w:tcW w:w="1656" w:type="dxa"/>
            <w:tcBorders>
              <w:top w:val="nil"/>
              <w:left w:val="nil"/>
              <w:bottom w:val="nil"/>
              <w:right w:val="nil"/>
            </w:tcBorders>
          </w:tcPr>
          <w:p w14:paraId="5B837E6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0.0227</w:t>
            </w:r>
          </w:p>
        </w:tc>
      </w:tr>
      <w:tr w:rsidR="00201D4C" w:rsidRPr="005F6C2E" w14:paraId="4742C2B2" w14:textId="77777777" w:rsidTr="00015B88">
        <w:tc>
          <w:tcPr>
            <w:tcW w:w="2136" w:type="dxa"/>
            <w:tcBorders>
              <w:top w:val="nil"/>
              <w:left w:val="nil"/>
              <w:bottom w:val="nil"/>
              <w:right w:val="nil"/>
            </w:tcBorders>
          </w:tcPr>
          <w:p w14:paraId="10D8939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A3E58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(0.83)</w:t>
            </w:r>
          </w:p>
        </w:tc>
        <w:tc>
          <w:tcPr>
            <w:tcW w:w="1656" w:type="dxa"/>
            <w:tcBorders>
              <w:top w:val="nil"/>
              <w:left w:val="nil"/>
              <w:bottom w:val="nil"/>
              <w:right w:val="nil"/>
            </w:tcBorders>
          </w:tcPr>
          <w:p w14:paraId="2DA9FAD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(0.16)</w:t>
            </w:r>
          </w:p>
        </w:tc>
      </w:tr>
      <w:tr w:rsidR="00201D4C" w:rsidRPr="005F6C2E" w14:paraId="76991AFD" w14:textId="77777777" w:rsidTr="00015B88">
        <w:tc>
          <w:tcPr>
            <w:tcW w:w="2136" w:type="dxa"/>
            <w:tcBorders>
              <w:top w:val="nil"/>
              <w:left w:val="nil"/>
              <w:bottom w:val="nil"/>
              <w:right w:val="nil"/>
            </w:tcBorders>
          </w:tcPr>
          <w:p w14:paraId="6733FE5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B0D8A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75178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625AE1E" w14:textId="77777777" w:rsidTr="00015B88">
        <w:tc>
          <w:tcPr>
            <w:tcW w:w="2136" w:type="dxa"/>
            <w:tcBorders>
              <w:top w:val="nil"/>
              <w:left w:val="nil"/>
              <w:bottom w:val="nil"/>
              <w:right w:val="nil"/>
            </w:tcBorders>
          </w:tcPr>
          <w:p w14:paraId="6AAD4E7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HOS = HOG</w:t>
            </w:r>
          </w:p>
        </w:tc>
        <w:tc>
          <w:tcPr>
            <w:tcW w:w="1656" w:type="dxa"/>
            <w:tcBorders>
              <w:top w:val="nil"/>
              <w:left w:val="nil"/>
              <w:bottom w:val="nil"/>
              <w:right w:val="nil"/>
            </w:tcBorders>
          </w:tcPr>
          <w:p w14:paraId="15A86DD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-0.823</w:t>
            </w:r>
          </w:p>
        </w:tc>
        <w:tc>
          <w:tcPr>
            <w:tcW w:w="1656" w:type="dxa"/>
            <w:tcBorders>
              <w:top w:val="nil"/>
              <w:left w:val="nil"/>
              <w:bottom w:val="nil"/>
              <w:right w:val="nil"/>
            </w:tcBorders>
          </w:tcPr>
          <w:p w14:paraId="7989E06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2.397</w:t>
            </w:r>
          </w:p>
        </w:tc>
      </w:tr>
      <w:tr w:rsidR="00201D4C" w:rsidRPr="005F6C2E" w14:paraId="0026081A" w14:textId="77777777" w:rsidTr="00015B88">
        <w:tc>
          <w:tcPr>
            <w:tcW w:w="2136" w:type="dxa"/>
            <w:tcBorders>
              <w:top w:val="nil"/>
              <w:left w:val="nil"/>
              <w:bottom w:val="nil"/>
              <w:right w:val="nil"/>
            </w:tcBorders>
          </w:tcPr>
          <w:p w14:paraId="1E95A7C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51CF3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(-0.92)</w:t>
            </w:r>
          </w:p>
        </w:tc>
        <w:tc>
          <w:tcPr>
            <w:tcW w:w="1656" w:type="dxa"/>
            <w:tcBorders>
              <w:top w:val="nil"/>
              <w:left w:val="nil"/>
              <w:bottom w:val="nil"/>
              <w:right w:val="nil"/>
            </w:tcBorders>
          </w:tcPr>
          <w:p w14:paraId="53872F9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(1.31)</w:t>
            </w:r>
          </w:p>
        </w:tc>
      </w:tr>
      <w:tr w:rsidR="00201D4C" w:rsidRPr="005F6C2E" w14:paraId="02B4A372" w14:textId="77777777" w:rsidTr="00015B88">
        <w:tc>
          <w:tcPr>
            <w:tcW w:w="2136" w:type="dxa"/>
            <w:tcBorders>
              <w:top w:val="nil"/>
              <w:left w:val="nil"/>
              <w:bottom w:val="nil"/>
              <w:right w:val="nil"/>
            </w:tcBorders>
          </w:tcPr>
          <w:p w14:paraId="4E117F3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9926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818D1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522619C" w14:textId="77777777" w:rsidTr="00015B88">
        <w:tc>
          <w:tcPr>
            <w:tcW w:w="2136" w:type="dxa"/>
            <w:tcBorders>
              <w:top w:val="nil"/>
              <w:left w:val="nil"/>
              <w:bottom w:val="nil"/>
              <w:right w:val="nil"/>
            </w:tcBorders>
          </w:tcPr>
          <w:p w14:paraId="66EF0C7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De Facto CBI * HOS = HOG</w:t>
            </w:r>
          </w:p>
        </w:tc>
        <w:tc>
          <w:tcPr>
            <w:tcW w:w="1656" w:type="dxa"/>
            <w:tcBorders>
              <w:top w:val="nil"/>
              <w:left w:val="nil"/>
              <w:bottom w:val="nil"/>
              <w:right w:val="nil"/>
            </w:tcBorders>
          </w:tcPr>
          <w:p w14:paraId="7BBE89C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0.152</w:t>
            </w:r>
          </w:p>
        </w:tc>
        <w:tc>
          <w:tcPr>
            <w:tcW w:w="1656" w:type="dxa"/>
            <w:tcBorders>
              <w:top w:val="nil"/>
              <w:left w:val="nil"/>
              <w:bottom w:val="nil"/>
              <w:right w:val="nil"/>
            </w:tcBorders>
          </w:tcPr>
          <w:p w14:paraId="57B85F8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0.230</w:t>
            </w:r>
          </w:p>
        </w:tc>
      </w:tr>
      <w:tr w:rsidR="00201D4C" w:rsidRPr="005F6C2E" w14:paraId="638DEE6D" w14:textId="77777777" w:rsidTr="00015B88">
        <w:tc>
          <w:tcPr>
            <w:tcW w:w="2136" w:type="dxa"/>
            <w:tcBorders>
              <w:top w:val="nil"/>
              <w:left w:val="nil"/>
              <w:bottom w:val="nil"/>
              <w:right w:val="nil"/>
            </w:tcBorders>
          </w:tcPr>
          <w:p w14:paraId="4307A5B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E3E7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(0.37)</w:t>
            </w:r>
          </w:p>
        </w:tc>
        <w:tc>
          <w:tcPr>
            <w:tcW w:w="1656" w:type="dxa"/>
            <w:tcBorders>
              <w:top w:val="nil"/>
              <w:left w:val="nil"/>
              <w:bottom w:val="nil"/>
              <w:right w:val="nil"/>
            </w:tcBorders>
          </w:tcPr>
          <w:p w14:paraId="7B5F504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(0.47)</w:t>
            </w:r>
          </w:p>
        </w:tc>
      </w:tr>
      <w:tr w:rsidR="00201D4C" w:rsidRPr="005F6C2E" w14:paraId="2E1E8C0A" w14:textId="77777777" w:rsidTr="00015B88">
        <w:tc>
          <w:tcPr>
            <w:tcW w:w="2136" w:type="dxa"/>
            <w:tcBorders>
              <w:top w:val="nil"/>
              <w:left w:val="nil"/>
              <w:bottom w:val="nil"/>
              <w:right w:val="nil"/>
            </w:tcBorders>
          </w:tcPr>
          <w:p w14:paraId="5700AD3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027D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A5267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645D1BF8" w14:textId="77777777" w:rsidTr="00015B88">
        <w:tc>
          <w:tcPr>
            <w:tcW w:w="2136" w:type="dxa"/>
            <w:tcBorders>
              <w:top w:val="nil"/>
              <w:left w:val="nil"/>
              <w:bottom w:val="nil"/>
              <w:right w:val="nil"/>
            </w:tcBorders>
          </w:tcPr>
          <w:p w14:paraId="64EF201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More Fixed Rate * HOS = HOG</w:t>
            </w:r>
          </w:p>
        </w:tc>
        <w:tc>
          <w:tcPr>
            <w:tcW w:w="1656" w:type="dxa"/>
            <w:tcBorders>
              <w:top w:val="nil"/>
              <w:left w:val="nil"/>
              <w:bottom w:val="nil"/>
              <w:right w:val="nil"/>
            </w:tcBorders>
          </w:tcPr>
          <w:p w14:paraId="44B0107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-0.194</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3175735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-0.175</w:t>
            </w:r>
          </w:p>
        </w:tc>
      </w:tr>
      <w:tr w:rsidR="00201D4C" w:rsidRPr="005F6C2E" w14:paraId="3A5B2A95" w14:textId="77777777" w:rsidTr="00015B88">
        <w:tc>
          <w:tcPr>
            <w:tcW w:w="2136" w:type="dxa"/>
            <w:tcBorders>
              <w:top w:val="nil"/>
              <w:left w:val="nil"/>
              <w:bottom w:val="nil"/>
              <w:right w:val="nil"/>
            </w:tcBorders>
          </w:tcPr>
          <w:p w14:paraId="6306F8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14BF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(-2.26)</w:t>
            </w:r>
          </w:p>
        </w:tc>
        <w:tc>
          <w:tcPr>
            <w:tcW w:w="1656" w:type="dxa"/>
            <w:tcBorders>
              <w:top w:val="nil"/>
              <w:left w:val="nil"/>
              <w:bottom w:val="nil"/>
              <w:right w:val="nil"/>
            </w:tcBorders>
          </w:tcPr>
          <w:p w14:paraId="1E7C04F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(-1.14)</w:t>
            </w:r>
          </w:p>
        </w:tc>
      </w:tr>
      <w:tr w:rsidR="00201D4C" w:rsidRPr="005F6C2E" w14:paraId="4C005E36" w14:textId="77777777" w:rsidTr="00015B88">
        <w:tc>
          <w:tcPr>
            <w:tcW w:w="2136" w:type="dxa"/>
            <w:tcBorders>
              <w:top w:val="nil"/>
              <w:left w:val="nil"/>
              <w:bottom w:val="nil"/>
              <w:right w:val="nil"/>
            </w:tcBorders>
          </w:tcPr>
          <w:p w14:paraId="567D5E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54CA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A01D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ED40CD0" w14:textId="77777777" w:rsidTr="00015B88">
        <w:tc>
          <w:tcPr>
            <w:tcW w:w="2136" w:type="dxa"/>
            <w:tcBorders>
              <w:top w:val="nil"/>
              <w:left w:val="nil"/>
              <w:bottom w:val="nil"/>
              <w:right w:val="nil"/>
            </w:tcBorders>
          </w:tcPr>
          <w:p w14:paraId="452B13D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20A5BB6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-0.208</w:t>
            </w:r>
          </w:p>
        </w:tc>
        <w:tc>
          <w:tcPr>
            <w:tcW w:w="1656" w:type="dxa"/>
            <w:tcBorders>
              <w:top w:val="nil"/>
              <w:left w:val="nil"/>
              <w:bottom w:val="nil"/>
              <w:right w:val="nil"/>
            </w:tcBorders>
          </w:tcPr>
          <w:p w14:paraId="11127DF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0.0681</w:t>
            </w:r>
          </w:p>
        </w:tc>
      </w:tr>
      <w:tr w:rsidR="00201D4C" w:rsidRPr="005F6C2E" w14:paraId="03CA571C" w14:textId="77777777" w:rsidTr="00015B88">
        <w:tc>
          <w:tcPr>
            <w:tcW w:w="2136" w:type="dxa"/>
            <w:tcBorders>
              <w:top w:val="nil"/>
              <w:left w:val="nil"/>
              <w:bottom w:val="nil"/>
              <w:right w:val="nil"/>
            </w:tcBorders>
          </w:tcPr>
          <w:p w14:paraId="47FC5B4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45C8B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(-0.68)</w:t>
            </w:r>
          </w:p>
        </w:tc>
        <w:tc>
          <w:tcPr>
            <w:tcW w:w="1656" w:type="dxa"/>
            <w:tcBorders>
              <w:top w:val="nil"/>
              <w:left w:val="nil"/>
              <w:bottom w:val="nil"/>
              <w:right w:val="nil"/>
            </w:tcBorders>
          </w:tcPr>
          <w:p w14:paraId="0B3126B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5BD35060" w14:textId="77777777" w:rsidTr="00015B88">
        <w:tc>
          <w:tcPr>
            <w:tcW w:w="2136" w:type="dxa"/>
            <w:tcBorders>
              <w:top w:val="nil"/>
              <w:left w:val="nil"/>
              <w:bottom w:val="nil"/>
              <w:right w:val="nil"/>
            </w:tcBorders>
          </w:tcPr>
          <w:p w14:paraId="047C8E8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3FA0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4CA2F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E856109" w14:textId="77777777" w:rsidTr="00015B88">
        <w:tc>
          <w:tcPr>
            <w:tcW w:w="2136" w:type="dxa"/>
            <w:tcBorders>
              <w:top w:val="nil"/>
              <w:left w:val="nil"/>
              <w:bottom w:val="nil"/>
              <w:right w:val="nil"/>
            </w:tcBorders>
          </w:tcPr>
          <w:p w14:paraId="54BF550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4B2DEBC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0.0442</w:t>
            </w:r>
          </w:p>
        </w:tc>
        <w:tc>
          <w:tcPr>
            <w:tcW w:w="1656" w:type="dxa"/>
            <w:tcBorders>
              <w:top w:val="nil"/>
              <w:left w:val="nil"/>
              <w:bottom w:val="nil"/>
              <w:right w:val="nil"/>
            </w:tcBorders>
          </w:tcPr>
          <w:p w14:paraId="3BBBCD6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-0.552</w:t>
            </w:r>
          </w:p>
        </w:tc>
      </w:tr>
      <w:tr w:rsidR="00201D4C" w:rsidRPr="005F6C2E" w14:paraId="05A36139" w14:textId="77777777" w:rsidTr="00015B88">
        <w:tc>
          <w:tcPr>
            <w:tcW w:w="2136" w:type="dxa"/>
            <w:tcBorders>
              <w:top w:val="nil"/>
              <w:left w:val="nil"/>
              <w:bottom w:val="nil"/>
              <w:right w:val="nil"/>
            </w:tcBorders>
          </w:tcPr>
          <w:p w14:paraId="6DE8874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9EBE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(0.14)</w:t>
            </w:r>
          </w:p>
        </w:tc>
        <w:tc>
          <w:tcPr>
            <w:tcW w:w="1656" w:type="dxa"/>
            <w:tcBorders>
              <w:top w:val="nil"/>
              <w:left w:val="nil"/>
              <w:bottom w:val="nil"/>
              <w:right w:val="nil"/>
            </w:tcBorders>
          </w:tcPr>
          <w:p w14:paraId="07FB0F2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(-1.33)</w:t>
            </w:r>
          </w:p>
        </w:tc>
      </w:tr>
      <w:tr w:rsidR="00201D4C" w:rsidRPr="005F6C2E" w14:paraId="32FF3056" w14:textId="77777777" w:rsidTr="00015B88">
        <w:tc>
          <w:tcPr>
            <w:tcW w:w="2136" w:type="dxa"/>
            <w:tcBorders>
              <w:top w:val="nil"/>
              <w:left w:val="nil"/>
              <w:bottom w:val="nil"/>
              <w:right w:val="nil"/>
            </w:tcBorders>
          </w:tcPr>
          <w:p w14:paraId="67D5821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C0E3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EA62F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E6CB053" w14:textId="77777777" w:rsidTr="00015B88">
        <w:tc>
          <w:tcPr>
            <w:tcW w:w="2136" w:type="dxa"/>
            <w:tcBorders>
              <w:top w:val="nil"/>
              <w:left w:val="nil"/>
              <w:bottom w:val="nil"/>
              <w:right w:val="nil"/>
            </w:tcBorders>
          </w:tcPr>
          <w:p w14:paraId="02EE17A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030E4C4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-0.134</w:t>
            </w:r>
          </w:p>
        </w:tc>
        <w:tc>
          <w:tcPr>
            <w:tcW w:w="1656" w:type="dxa"/>
            <w:tcBorders>
              <w:top w:val="nil"/>
              <w:left w:val="nil"/>
              <w:bottom w:val="nil"/>
              <w:right w:val="nil"/>
            </w:tcBorders>
          </w:tcPr>
          <w:p w14:paraId="56919EE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-0.146</w:t>
            </w:r>
          </w:p>
        </w:tc>
      </w:tr>
      <w:tr w:rsidR="00201D4C" w:rsidRPr="005F6C2E" w14:paraId="5FE2CFAE" w14:textId="77777777" w:rsidTr="00015B88">
        <w:tc>
          <w:tcPr>
            <w:tcW w:w="2136" w:type="dxa"/>
            <w:tcBorders>
              <w:top w:val="nil"/>
              <w:left w:val="nil"/>
              <w:bottom w:val="nil"/>
              <w:right w:val="nil"/>
            </w:tcBorders>
          </w:tcPr>
          <w:p w14:paraId="6AB544C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1C845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(-0.47)</w:t>
            </w:r>
          </w:p>
        </w:tc>
        <w:tc>
          <w:tcPr>
            <w:tcW w:w="1656" w:type="dxa"/>
            <w:tcBorders>
              <w:top w:val="nil"/>
              <w:left w:val="nil"/>
              <w:bottom w:val="nil"/>
              <w:right w:val="nil"/>
            </w:tcBorders>
          </w:tcPr>
          <w:p w14:paraId="2C0D2B9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(-0.34)</w:t>
            </w:r>
          </w:p>
        </w:tc>
      </w:tr>
      <w:tr w:rsidR="00201D4C" w:rsidRPr="005F6C2E" w14:paraId="4DADBC52" w14:textId="77777777" w:rsidTr="00015B88">
        <w:tc>
          <w:tcPr>
            <w:tcW w:w="2136" w:type="dxa"/>
            <w:tcBorders>
              <w:top w:val="nil"/>
              <w:left w:val="nil"/>
              <w:bottom w:val="nil"/>
              <w:right w:val="nil"/>
            </w:tcBorders>
          </w:tcPr>
          <w:p w14:paraId="1B46287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8A55E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0EA3D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E63C27C" w14:textId="77777777" w:rsidTr="00015B88">
        <w:tc>
          <w:tcPr>
            <w:tcW w:w="2136" w:type="dxa"/>
            <w:tcBorders>
              <w:top w:val="nil"/>
              <w:left w:val="nil"/>
              <w:bottom w:val="nil"/>
              <w:right w:val="nil"/>
            </w:tcBorders>
          </w:tcPr>
          <w:p w14:paraId="1D1E84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36DDA06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0.311</w:t>
            </w:r>
          </w:p>
        </w:tc>
        <w:tc>
          <w:tcPr>
            <w:tcW w:w="1656" w:type="dxa"/>
            <w:tcBorders>
              <w:top w:val="nil"/>
              <w:left w:val="nil"/>
              <w:bottom w:val="nil"/>
              <w:right w:val="nil"/>
            </w:tcBorders>
          </w:tcPr>
          <w:p w14:paraId="6F60883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-0.00840</w:t>
            </w:r>
          </w:p>
        </w:tc>
      </w:tr>
      <w:tr w:rsidR="00201D4C" w:rsidRPr="005F6C2E" w14:paraId="5BA6DAF0" w14:textId="77777777" w:rsidTr="00015B88">
        <w:tc>
          <w:tcPr>
            <w:tcW w:w="2136" w:type="dxa"/>
            <w:tcBorders>
              <w:top w:val="nil"/>
              <w:left w:val="nil"/>
              <w:bottom w:val="nil"/>
              <w:right w:val="nil"/>
            </w:tcBorders>
          </w:tcPr>
          <w:p w14:paraId="1428EAD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5DAC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(0.94)</w:t>
            </w:r>
          </w:p>
        </w:tc>
        <w:tc>
          <w:tcPr>
            <w:tcW w:w="1656" w:type="dxa"/>
            <w:tcBorders>
              <w:top w:val="nil"/>
              <w:left w:val="nil"/>
              <w:bottom w:val="nil"/>
              <w:right w:val="nil"/>
            </w:tcBorders>
          </w:tcPr>
          <w:p w14:paraId="4166BF4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w:t>
            </w:r>
          </w:p>
        </w:tc>
      </w:tr>
      <w:tr w:rsidR="00201D4C" w:rsidRPr="005F6C2E" w14:paraId="0ED440A5" w14:textId="77777777" w:rsidTr="00015B88">
        <w:tc>
          <w:tcPr>
            <w:tcW w:w="2136" w:type="dxa"/>
            <w:tcBorders>
              <w:top w:val="nil"/>
              <w:left w:val="nil"/>
              <w:bottom w:val="nil"/>
              <w:right w:val="nil"/>
            </w:tcBorders>
          </w:tcPr>
          <w:p w14:paraId="2B2A03B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CD40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FD16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668AC47E" w14:textId="77777777" w:rsidTr="00015B88">
        <w:tc>
          <w:tcPr>
            <w:tcW w:w="2136" w:type="dxa"/>
            <w:tcBorders>
              <w:top w:val="nil"/>
              <w:left w:val="nil"/>
              <w:bottom w:val="nil"/>
              <w:right w:val="nil"/>
            </w:tcBorders>
          </w:tcPr>
          <w:p w14:paraId="7FC0C55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215EAA4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0.0936</w:t>
            </w:r>
          </w:p>
        </w:tc>
        <w:tc>
          <w:tcPr>
            <w:tcW w:w="1656" w:type="dxa"/>
            <w:tcBorders>
              <w:top w:val="nil"/>
              <w:left w:val="nil"/>
              <w:bottom w:val="nil"/>
              <w:right w:val="nil"/>
            </w:tcBorders>
          </w:tcPr>
          <w:p w14:paraId="47B7A8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-0.0711</w:t>
            </w:r>
          </w:p>
        </w:tc>
      </w:tr>
      <w:tr w:rsidR="00201D4C" w:rsidRPr="005F6C2E" w14:paraId="491715DB" w14:textId="77777777" w:rsidTr="00015B88">
        <w:tc>
          <w:tcPr>
            <w:tcW w:w="2136" w:type="dxa"/>
            <w:tcBorders>
              <w:top w:val="nil"/>
              <w:left w:val="nil"/>
              <w:bottom w:val="nil"/>
              <w:right w:val="nil"/>
            </w:tcBorders>
          </w:tcPr>
          <w:p w14:paraId="74A1103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7937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(0.27)</w:t>
            </w:r>
          </w:p>
        </w:tc>
        <w:tc>
          <w:tcPr>
            <w:tcW w:w="1656" w:type="dxa"/>
            <w:tcBorders>
              <w:top w:val="nil"/>
              <w:left w:val="nil"/>
              <w:bottom w:val="nil"/>
              <w:right w:val="nil"/>
            </w:tcBorders>
          </w:tcPr>
          <w:p w14:paraId="71E086A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57100587" w14:textId="77777777" w:rsidTr="00015B88">
        <w:tc>
          <w:tcPr>
            <w:tcW w:w="2136" w:type="dxa"/>
            <w:tcBorders>
              <w:top w:val="nil"/>
              <w:left w:val="nil"/>
              <w:bottom w:val="nil"/>
              <w:right w:val="nil"/>
            </w:tcBorders>
          </w:tcPr>
          <w:p w14:paraId="15AE592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E60B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2285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A9F9008" w14:textId="77777777" w:rsidTr="00015B88">
        <w:tc>
          <w:tcPr>
            <w:tcW w:w="2136" w:type="dxa"/>
            <w:tcBorders>
              <w:top w:val="nil"/>
              <w:left w:val="nil"/>
              <w:bottom w:val="nil"/>
              <w:right w:val="nil"/>
            </w:tcBorders>
          </w:tcPr>
          <w:p w14:paraId="1CB0F87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4C38C0B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0.0583</w:t>
            </w:r>
          </w:p>
        </w:tc>
        <w:tc>
          <w:tcPr>
            <w:tcW w:w="1656" w:type="dxa"/>
            <w:tcBorders>
              <w:top w:val="nil"/>
              <w:left w:val="nil"/>
              <w:bottom w:val="nil"/>
              <w:right w:val="nil"/>
            </w:tcBorders>
          </w:tcPr>
          <w:p w14:paraId="38457A3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0.116</w:t>
            </w:r>
          </w:p>
        </w:tc>
      </w:tr>
      <w:tr w:rsidR="00201D4C" w:rsidRPr="005F6C2E" w14:paraId="07B5102F" w14:textId="77777777" w:rsidTr="00015B88">
        <w:tc>
          <w:tcPr>
            <w:tcW w:w="2136" w:type="dxa"/>
            <w:tcBorders>
              <w:top w:val="nil"/>
              <w:left w:val="nil"/>
              <w:bottom w:val="nil"/>
              <w:right w:val="nil"/>
            </w:tcBorders>
          </w:tcPr>
          <w:p w14:paraId="7665419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362E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(0.21)</w:t>
            </w:r>
          </w:p>
        </w:tc>
        <w:tc>
          <w:tcPr>
            <w:tcW w:w="1656" w:type="dxa"/>
            <w:tcBorders>
              <w:top w:val="nil"/>
              <w:left w:val="nil"/>
              <w:bottom w:val="nil"/>
              <w:right w:val="nil"/>
            </w:tcBorders>
          </w:tcPr>
          <w:p w14:paraId="22451DC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(0.28)</w:t>
            </w:r>
          </w:p>
        </w:tc>
      </w:tr>
      <w:tr w:rsidR="00201D4C" w:rsidRPr="005F6C2E" w14:paraId="38258477" w14:textId="77777777" w:rsidTr="00015B88">
        <w:tc>
          <w:tcPr>
            <w:tcW w:w="2136" w:type="dxa"/>
            <w:tcBorders>
              <w:top w:val="nil"/>
              <w:left w:val="nil"/>
              <w:bottom w:val="nil"/>
              <w:right w:val="nil"/>
            </w:tcBorders>
          </w:tcPr>
          <w:p w14:paraId="483AA2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7DE63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F66D4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39B35C2" w14:textId="77777777" w:rsidTr="00015B88">
        <w:tc>
          <w:tcPr>
            <w:tcW w:w="2136" w:type="dxa"/>
            <w:tcBorders>
              <w:top w:val="nil"/>
              <w:left w:val="nil"/>
              <w:bottom w:val="nil"/>
              <w:right w:val="nil"/>
            </w:tcBorders>
          </w:tcPr>
          <w:p w14:paraId="1257AD6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48A4695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-0.408</w:t>
            </w:r>
          </w:p>
        </w:tc>
        <w:tc>
          <w:tcPr>
            <w:tcW w:w="1656" w:type="dxa"/>
            <w:tcBorders>
              <w:top w:val="nil"/>
              <w:left w:val="nil"/>
              <w:bottom w:val="nil"/>
              <w:right w:val="nil"/>
            </w:tcBorders>
          </w:tcPr>
          <w:p w14:paraId="666AF4E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0.877</w:t>
            </w:r>
          </w:p>
        </w:tc>
      </w:tr>
      <w:tr w:rsidR="00201D4C" w:rsidRPr="005F6C2E" w14:paraId="4B02F0BC" w14:textId="77777777" w:rsidTr="00015B88">
        <w:tc>
          <w:tcPr>
            <w:tcW w:w="2136" w:type="dxa"/>
            <w:tcBorders>
              <w:top w:val="nil"/>
              <w:left w:val="nil"/>
              <w:bottom w:val="nil"/>
              <w:right w:val="nil"/>
            </w:tcBorders>
          </w:tcPr>
          <w:p w14:paraId="146A2A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6534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(-1.36)</w:t>
            </w:r>
          </w:p>
        </w:tc>
        <w:tc>
          <w:tcPr>
            <w:tcW w:w="1656" w:type="dxa"/>
            <w:tcBorders>
              <w:top w:val="nil"/>
              <w:left w:val="nil"/>
              <w:bottom w:val="nil"/>
              <w:right w:val="nil"/>
            </w:tcBorders>
          </w:tcPr>
          <w:p w14:paraId="6A1562D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(1.83)</w:t>
            </w:r>
          </w:p>
        </w:tc>
      </w:tr>
      <w:tr w:rsidR="00201D4C" w:rsidRPr="005F6C2E" w14:paraId="770E9E5D" w14:textId="77777777" w:rsidTr="00015B88">
        <w:tc>
          <w:tcPr>
            <w:tcW w:w="2136" w:type="dxa"/>
            <w:tcBorders>
              <w:top w:val="nil"/>
              <w:left w:val="nil"/>
              <w:bottom w:val="nil"/>
              <w:right w:val="nil"/>
            </w:tcBorders>
          </w:tcPr>
          <w:p w14:paraId="4ADA3EF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EDF2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2B47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ABEE237" w14:textId="77777777" w:rsidTr="00015B88">
        <w:tc>
          <w:tcPr>
            <w:tcW w:w="2136" w:type="dxa"/>
            <w:tcBorders>
              <w:top w:val="nil"/>
              <w:left w:val="nil"/>
              <w:bottom w:val="nil"/>
              <w:right w:val="nil"/>
            </w:tcBorders>
          </w:tcPr>
          <w:p w14:paraId="06DE53E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1A45204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-0.156</w:t>
            </w:r>
          </w:p>
        </w:tc>
        <w:tc>
          <w:tcPr>
            <w:tcW w:w="1656" w:type="dxa"/>
            <w:tcBorders>
              <w:top w:val="nil"/>
              <w:left w:val="nil"/>
              <w:bottom w:val="nil"/>
              <w:right w:val="nil"/>
            </w:tcBorders>
          </w:tcPr>
          <w:p w14:paraId="68F4247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0.588</w:t>
            </w:r>
          </w:p>
        </w:tc>
      </w:tr>
      <w:tr w:rsidR="00201D4C" w:rsidRPr="005F6C2E" w14:paraId="77E6EEF1" w14:textId="77777777" w:rsidTr="00015B88">
        <w:tc>
          <w:tcPr>
            <w:tcW w:w="2136" w:type="dxa"/>
            <w:tcBorders>
              <w:top w:val="nil"/>
              <w:left w:val="nil"/>
              <w:bottom w:val="nil"/>
              <w:right w:val="nil"/>
            </w:tcBorders>
          </w:tcPr>
          <w:p w14:paraId="17F93C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97045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(-0.53)</w:t>
            </w:r>
          </w:p>
        </w:tc>
        <w:tc>
          <w:tcPr>
            <w:tcW w:w="1656" w:type="dxa"/>
            <w:tcBorders>
              <w:top w:val="nil"/>
              <w:left w:val="nil"/>
              <w:bottom w:val="nil"/>
              <w:right w:val="nil"/>
            </w:tcBorders>
          </w:tcPr>
          <w:p w14:paraId="6F8E450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(1.31)</w:t>
            </w:r>
          </w:p>
        </w:tc>
      </w:tr>
      <w:tr w:rsidR="00201D4C" w:rsidRPr="005F6C2E" w14:paraId="66EDCBD9" w14:textId="77777777" w:rsidTr="00015B88">
        <w:tc>
          <w:tcPr>
            <w:tcW w:w="2136" w:type="dxa"/>
            <w:tcBorders>
              <w:top w:val="nil"/>
              <w:left w:val="nil"/>
              <w:bottom w:val="nil"/>
              <w:right w:val="nil"/>
            </w:tcBorders>
          </w:tcPr>
          <w:p w14:paraId="71699BF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9256A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126C5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5B13054" w14:textId="77777777" w:rsidTr="00015B88">
        <w:tc>
          <w:tcPr>
            <w:tcW w:w="2136" w:type="dxa"/>
            <w:tcBorders>
              <w:top w:val="nil"/>
              <w:left w:val="nil"/>
              <w:bottom w:val="nil"/>
              <w:right w:val="nil"/>
            </w:tcBorders>
          </w:tcPr>
          <w:p w14:paraId="4BB241A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108CE3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0.498</w:t>
            </w:r>
          </w:p>
        </w:tc>
        <w:tc>
          <w:tcPr>
            <w:tcW w:w="1656" w:type="dxa"/>
            <w:tcBorders>
              <w:top w:val="nil"/>
              <w:left w:val="nil"/>
              <w:bottom w:val="nil"/>
              <w:right w:val="nil"/>
            </w:tcBorders>
          </w:tcPr>
          <w:p w14:paraId="07F0607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-0.202</w:t>
            </w:r>
          </w:p>
        </w:tc>
      </w:tr>
      <w:tr w:rsidR="00201D4C" w:rsidRPr="005F6C2E" w14:paraId="4F9A9993" w14:textId="77777777" w:rsidTr="00015B88">
        <w:tc>
          <w:tcPr>
            <w:tcW w:w="2136" w:type="dxa"/>
            <w:tcBorders>
              <w:top w:val="nil"/>
              <w:left w:val="nil"/>
              <w:bottom w:val="nil"/>
              <w:right w:val="nil"/>
            </w:tcBorders>
          </w:tcPr>
          <w:p w14:paraId="0997F8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8EB9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(1.48)</w:t>
            </w:r>
          </w:p>
        </w:tc>
        <w:tc>
          <w:tcPr>
            <w:tcW w:w="1656" w:type="dxa"/>
            <w:tcBorders>
              <w:top w:val="nil"/>
              <w:left w:val="nil"/>
              <w:bottom w:val="nil"/>
              <w:right w:val="nil"/>
            </w:tcBorders>
          </w:tcPr>
          <w:p w14:paraId="25136C8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(-0.50)</w:t>
            </w:r>
          </w:p>
        </w:tc>
      </w:tr>
      <w:tr w:rsidR="00201D4C" w:rsidRPr="005F6C2E" w14:paraId="33374EA5" w14:textId="77777777" w:rsidTr="00015B88">
        <w:tc>
          <w:tcPr>
            <w:tcW w:w="2136" w:type="dxa"/>
            <w:tcBorders>
              <w:top w:val="nil"/>
              <w:left w:val="nil"/>
              <w:bottom w:val="nil"/>
              <w:right w:val="nil"/>
            </w:tcBorders>
          </w:tcPr>
          <w:p w14:paraId="7902721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E0E14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3069A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B3F6E57" w14:textId="77777777" w:rsidTr="00015B88">
        <w:tc>
          <w:tcPr>
            <w:tcW w:w="2136" w:type="dxa"/>
            <w:tcBorders>
              <w:top w:val="nil"/>
              <w:left w:val="nil"/>
              <w:bottom w:val="nil"/>
              <w:right w:val="nil"/>
            </w:tcBorders>
          </w:tcPr>
          <w:p w14:paraId="6BD0D36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4549F5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0.0944</w:t>
            </w:r>
          </w:p>
        </w:tc>
        <w:tc>
          <w:tcPr>
            <w:tcW w:w="1656" w:type="dxa"/>
            <w:tcBorders>
              <w:top w:val="nil"/>
              <w:left w:val="nil"/>
              <w:bottom w:val="nil"/>
              <w:right w:val="nil"/>
            </w:tcBorders>
          </w:tcPr>
          <w:p w14:paraId="416F15A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-0.451</w:t>
            </w:r>
          </w:p>
        </w:tc>
      </w:tr>
      <w:tr w:rsidR="00201D4C" w:rsidRPr="005F6C2E" w14:paraId="718D07DE" w14:textId="77777777" w:rsidTr="00015B88">
        <w:tc>
          <w:tcPr>
            <w:tcW w:w="2136" w:type="dxa"/>
            <w:tcBorders>
              <w:top w:val="nil"/>
              <w:left w:val="nil"/>
              <w:bottom w:val="nil"/>
              <w:right w:val="nil"/>
            </w:tcBorders>
          </w:tcPr>
          <w:p w14:paraId="0B78C5F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4F5DB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(0.31)</w:t>
            </w:r>
          </w:p>
        </w:tc>
        <w:tc>
          <w:tcPr>
            <w:tcW w:w="1656" w:type="dxa"/>
            <w:tcBorders>
              <w:top w:val="nil"/>
              <w:left w:val="nil"/>
              <w:bottom w:val="nil"/>
              <w:right w:val="nil"/>
            </w:tcBorders>
          </w:tcPr>
          <w:p w14:paraId="06CAE5D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(-1.05)</w:t>
            </w:r>
          </w:p>
        </w:tc>
      </w:tr>
      <w:tr w:rsidR="00201D4C" w:rsidRPr="005F6C2E" w14:paraId="76285D84" w14:textId="77777777" w:rsidTr="00015B88">
        <w:tc>
          <w:tcPr>
            <w:tcW w:w="2136" w:type="dxa"/>
            <w:tcBorders>
              <w:top w:val="nil"/>
              <w:left w:val="nil"/>
              <w:bottom w:val="nil"/>
              <w:right w:val="nil"/>
            </w:tcBorders>
          </w:tcPr>
          <w:p w14:paraId="4A73BC5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0E519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C055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62A8DD1C" w14:textId="77777777" w:rsidTr="00015B88">
        <w:tc>
          <w:tcPr>
            <w:tcW w:w="2136" w:type="dxa"/>
            <w:tcBorders>
              <w:top w:val="nil"/>
              <w:left w:val="nil"/>
              <w:bottom w:val="nil"/>
              <w:right w:val="nil"/>
            </w:tcBorders>
          </w:tcPr>
          <w:p w14:paraId="05988F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F6C2E">
              <w:rPr>
                <w:rFonts w:ascii="Times New Roman" w:hAnsi="Times New Roman" w:cs="Times New Roman"/>
                <w:sz w:val="16"/>
                <w:szCs w:val="16"/>
              </w:rPr>
              <w:t>L.Exchange</w:t>
            </w:r>
            <w:proofErr w:type="spellEnd"/>
            <w:r w:rsidRPr="005F6C2E">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48BDA09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0.0379</w:t>
            </w:r>
          </w:p>
        </w:tc>
        <w:tc>
          <w:tcPr>
            <w:tcW w:w="1656" w:type="dxa"/>
            <w:tcBorders>
              <w:top w:val="nil"/>
              <w:left w:val="nil"/>
              <w:bottom w:val="nil"/>
              <w:right w:val="nil"/>
            </w:tcBorders>
          </w:tcPr>
          <w:p w14:paraId="2DC675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-0.0537</w:t>
            </w:r>
          </w:p>
        </w:tc>
      </w:tr>
      <w:tr w:rsidR="00201D4C" w:rsidRPr="005F6C2E" w14:paraId="32C115F6" w14:textId="77777777" w:rsidTr="00015B88">
        <w:tc>
          <w:tcPr>
            <w:tcW w:w="2136" w:type="dxa"/>
            <w:tcBorders>
              <w:top w:val="nil"/>
              <w:left w:val="nil"/>
              <w:bottom w:val="nil"/>
              <w:right w:val="nil"/>
            </w:tcBorders>
          </w:tcPr>
          <w:p w14:paraId="033777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E3EAC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(0.37)</w:t>
            </w:r>
          </w:p>
        </w:tc>
        <w:tc>
          <w:tcPr>
            <w:tcW w:w="1656" w:type="dxa"/>
            <w:tcBorders>
              <w:top w:val="nil"/>
              <w:left w:val="nil"/>
              <w:bottom w:val="nil"/>
              <w:right w:val="nil"/>
            </w:tcBorders>
          </w:tcPr>
          <w:p w14:paraId="1FB3216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w:t>
            </w:r>
          </w:p>
        </w:tc>
      </w:tr>
      <w:tr w:rsidR="00201D4C" w:rsidRPr="005F6C2E" w14:paraId="0508D39D" w14:textId="77777777" w:rsidTr="00015B88">
        <w:tc>
          <w:tcPr>
            <w:tcW w:w="2136" w:type="dxa"/>
            <w:tcBorders>
              <w:top w:val="nil"/>
              <w:left w:val="nil"/>
              <w:bottom w:val="nil"/>
              <w:right w:val="nil"/>
            </w:tcBorders>
          </w:tcPr>
          <w:p w14:paraId="3474415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FC025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3C6D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2D64C86" w14:textId="77777777" w:rsidTr="00015B88">
        <w:tc>
          <w:tcPr>
            <w:tcW w:w="2136" w:type="dxa"/>
            <w:tcBorders>
              <w:top w:val="nil"/>
              <w:left w:val="nil"/>
              <w:bottom w:val="nil"/>
              <w:right w:val="nil"/>
            </w:tcBorders>
          </w:tcPr>
          <w:p w14:paraId="3EAADD5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lastRenderedPageBreak/>
              <w:t>L2.Exchange Rate Classification (RR inverted, higher = more fixed)</w:t>
            </w:r>
          </w:p>
        </w:tc>
        <w:tc>
          <w:tcPr>
            <w:tcW w:w="1656" w:type="dxa"/>
            <w:tcBorders>
              <w:top w:val="nil"/>
              <w:left w:val="nil"/>
              <w:bottom w:val="nil"/>
              <w:right w:val="nil"/>
            </w:tcBorders>
          </w:tcPr>
          <w:p w14:paraId="3BF9378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-0.0830</w:t>
            </w:r>
          </w:p>
        </w:tc>
        <w:tc>
          <w:tcPr>
            <w:tcW w:w="1656" w:type="dxa"/>
            <w:tcBorders>
              <w:top w:val="nil"/>
              <w:left w:val="nil"/>
              <w:bottom w:val="nil"/>
              <w:right w:val="nil"/>
            </w:tcBorders>
          </w:tcPr>
          <w:p w14:paraId="62D329D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0.123</w:t>
            </w:r>
          </w:p>
        </w:tc>
      </w:tr>
      <w:tr w:rsidR="00201D4C" w:rsidRPr="005F6C2E" w14:paraId="3D75EA42" w14:textId="77777777" w:rsidTr="00015B88">
        <w:tc>
          <w:tcPr>
            <w:tcW w:w="2136" w:type="dxa"/>
            <w:tcBorders>
              <w:top w:val="nil"/>
              <w:left w:val="nil"/>
              <w:bottom w:val="nil"/>
              <w:right w:val="nil"/>
            </w:tcBorders>
          </w:tcPr>
          <w:p w14:paraId="4242756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E467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(-1.04)</w:t>
            </w:r>
          </w:p>
        </w:tc>
        <w:tc>
          <w:tcPr>
            <w:tcW w:w="1656" w:type="dxa"/>
            <w:tcBorders>
              <w:top w:val="nil"/>
              <w:left w:val="nil"/>
              <w:bottom w:val="nil"/>
              <w:right w:val="nil"/>
            </w:tcBorders>
          </w:tcPr>
          <w:p w14:paraId="7501DB2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(1.22)</w:t>
            </w:r>
          </w:p>
        </w:tc>
      </w:tr>
      <w:tr w:rsidR="00201D4C" w:rsidRPr="005F6C2E" w14:paraId="733FADF2" w14:textId="77777777" w:rsidTr="00015B88">
        <w:tc>
          <w:tcPr>
            <w:tcW w:w="2136" w:type="dxa"/>
            <w:tcBorders>
              <w:top w:val="nil"/>
              <w:left w:val="nil"/>
              <w:bottom w:val="nil"/>
              <w:right w:val="nil"/>
            </w:tcBorders>
          </w:tcPr>
          <w:p w14:paraId="6FA8C77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8B96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EDA5D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CA50D7E" w14:textId="77777777" w:rsidTr="00015B88">
        <w:tc>
          <w:tcPr>
            <w:tcW w:w="2136" w:type="dxa"/>
            <w:tcBorders>
              <w:top w:val="nil"/>
              <w:left w:val="nil"/>
              <w:bottom w:val="nil"/>
              <w:right w:val="nil"/>
            </w:tcBorders>
          </w:tcPr>
          <w:p w14:paraId="6D01236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5FB84EC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0.0254</w:t>
            </w:r>
          </w:p>
        </w:tc>
        <w:tc>
          <w:tcPr>
            <w:tcW w:w="1656" w:type="dxa"/>
            <w:tcBorders>
              <w:top w:val="nil"/>
              <w:left w:val="nil"/>
              <w:bottom w:val="nil"/>
              <w:right w:val="nil"/>
            </w:tcBorders>
          </w:tcPr>
          <w:p w14:paraId="3CB32E3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-0.00522</w:t>
            </w:r>
          </w:p>
        </w:tc>
      </w:tr>
      <w:tr w:rsidR="00201D4C" w:rsidRPr="005F6C2E" w14:paraId="4138970A" w14:textId="77777777" w:rsidTr="00015B88">
        <w:tc>
          <w:tcPr>
            <w:tcW w:w="2136" w:type="dxa"/>
            <w:tcBorders>
              <w:top w:val="nil"/>
              <w:left w:val="nil"/>
              <w:bottom w:val="nil"/>
              <w:right w:val="nil"/>
            </w:tcBorders>
          </w:tcPr>
          <w:p w14:paraId="7303676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A3937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(0.29)</w:t>
            </w:r>
          </w:p>
        </w:tc>
        <w:tc>
          <w:tcPr>
            <w:tcW w:w="1656" w:type="dxa"/>
            <w:tcBorders>
              <w:top w:val="nil"/>
              <w:left w:val="nil"/>
              <w:bottom w:val="nil"/>
              <w:right w:val="nil"/>
            </w:tcBorders>
          </w:tcPr>
          <w:p w14:paraId="725D388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w:t>
            </w:r>
          </w:p>
        </w:tc>
      </w:tr>
      <w:tr w:rsidR="00201D4C" w:rsidRPr="005F6C2E" w14:paraId="4D1A6728" w14:textId="77777777" w:rsidTr="00015B88">
        <w:tc>
          <w:tcPr>
            <w:tcW w:w="2136" w:type="dxa"/>
            <w:tcBorders>
              <w:top w:val="nil"/>
              <w:left w:val="nil"/>
              <w:bottom w:val="nil"/>
              <w:right w:val="nil"/>
            </w:tcBorders>
          </w:tcPr>
          <w:p w14:paraId="330742C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99DEE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A160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A76AEDC" w14:textId="77777777" w:rsidTr="00015B88">
        <w:tc>
          <w:tcPr>
            <w:tcW w:w="2136" w:type="dxa"/>
            <w:tcBorders>
              <w:top w:val="nil"/>
              <w:left w:val="nil"/>
              <w:bottom w:val="nil"/>
              <w:right w:val="nil"/>
            </w:tcBorders>
          </w:tcPr>
          <w:p w14:paraId="08F44DD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1F5BD3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-0.0199</w:t>
            </w:r>
          </w:p>
        </w:tc>
        <w:tc>
          <w:tcPr>
            <w:tcW w:w="1656" w:type="dxa"/>
            <w:tcBorders>
              <w:top w:val="nil"/>
              <w:left w:val="nil"/>
              <w:bottom w:val="nil"/>
              <w:right w:val="nil"/>
            </w:tcBorders>
          </w:tcPr>
          <w:p w14:paraId="20BD7E2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0.0167</w:t>
            </w:r>
          </w:p>
        </w:tc>
      </w:tr>
      <w:tr w:rsidR="00201D4C" w:rsidRPr="005F6C2E" w14:paraId="22CC2580" w14:textId="77777777" w:rsidTr="00015B88">
        <w:tc>
          <w:tcPr>
            <w:tcW w:w="2136" w:type="dxa"/>
            <w:tcBorders>
              <w:top w:val="nil"/>
              <w:left w:val="nil"/>
              <w:bottom w:val="nil"/>
              <w:right w:val="nil"/>
            </w:tcBorders>
          </w:tcPr>
          <w:p w14:paraId="061EE22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D6966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(-0.21)</w:t>
            </w:r>
          </w:p>
        </w:tc>
        <w:tc>
          <w:tcPr>
            <w:tcW w:w="1656" w:type="dxa"/>
            <w:tcBorders>
              <w:top w:val="nil"/>
              <w:left w:val="nil"/>
              <w:bottom w:val="nil"/>
              <w:right w:val="nil"/>
            </w:tcBorders>
          </w:tcPr>
          <w:p w14:paraId="6855F6D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(0.10)</w:t>
            </w:r>
          </w:p>
        </w:tc>
      </w:tr>
      <w:tr w:rsidR="00201D4C" w:rsidRPr="005F6C2E" w14:paraId="3C294644" w14:textId="77777777" w:rsidTr="00015B88">
        <w:tc>
          <w:tcPr>
            <w:tcW w:w="2136" w:type="dxa"/>
            <w:tcBorders>
              <w:top w:val="nil"/>
              <w:left w:val="nil"/>
              <w:bottom w:val="nil"/>
              <w:right w:val="nil"/>
            </w:tcBorders>
          </w:tcPr>
          <w:p w14:paraId="0CC76CC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3E60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B8F8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69E8A83" w14:textId="77777777" w:rsidTr="00015B88">
        <w:tc>
          <w:tcPr>
            <w:tcW w:w="2136" w:type="dxa"/>
            <w:tcBorders>
              <w:top w:val="nil"/>
              <w:left w:val="nil"/>
              <w:bottom w:val="nil"/>
              <w:right w:val="nil"/>
            </w:tcBorders>
          </w:tcPr>
          <w:p w14:paraId="167977F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4CFB3F3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-0.0208</w:t>
            </w:r>
          </w:p>
        </w:tc>
        <w:tc>
          <w:tcPr>
            <w:tcW w:w="1656" w:type="dxa"/>
            <w:tcBorders>
              <w:top w:val="nil"/>
              <w:left w:val="nil"/>
              <w:bottom w:val="nil"/>
              <w:right w:val="nil"/>
            </w:tcBorders>
          </w:tcPr>
          <w:p w14:paraId="5DB481E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0.147</w:t>
            </w:r>
          </w:p>
        </w:tc>
      </w:tr>
      <w:tr w:rsidR="00201D4C" w:rsidRPr="005F6C2E" w14:paraId="65235C69" w14:textId="77777777" w:rsidTr="00015B88">
        <w:tc>
          <w:tcPr>
            <w:tcW w:w="2136" w:type="dxa"/>
            <w:tcBorders>
              <w:top w:val="nil"/>
              <w:left w:val="nil"/>
              <w:bottom w:val="nil"/>
              <w:right w:val="nil"/>
            </w:tcBorders>
          </w:tcPr>
          <w:p w14:paraId="1B349C7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630F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(-0.24)</w:t>
            </w:r>
          </w:p>
        </w:tc>
        <w:tc>
          <w:tcPr>
            <w:tcW w:w="1656" w:type="dxa"/>
            <w:tcBorders>
              <w:top w:val="nil"/>
              <w:left w:val="nil"/>
              <w:bottom w:val="nil"/>
              <w:right w:val="nil"/>
            </w:tcBorders>
          </w:tcPr>
          <w:p w14:paraId="0F4F75F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(0.93)</w:t>
            </w:r>
          </w:p>
        </w:tc>
      </w:tr>
      <w:tr w:rsidR="00201D4C" w:rsidRPr="005F6C2E" w14:paraId="1CD1FA2B" w14:textId="77777777" w:rsidTr="00015B88">
        <w:tc>
          <w:tcPr>
            <w:tcW w:w="2136" w:type="dxa"/>
            <w:tcBorders>
              <w:top w:val="nil"/>
              <w:left w:val="nil"/>
              <w:bottom w:val="nil"/>
              <w:right w:val="nil"/>
            </w:tcBorders>
          </w:tcPr>
          <w:p w14:paraId="189D222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331AB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959AD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DB695E1" w14:textId="77777777" w:rsidTr="00015B88">
        <w:tc>
          <w:tcPr>
            <w:tcW w:w="2136" w:type="dxa"/>
            <w:tcBorders>
              <w:top w:val="nil"/>
              <w:left w:val="nil"/>
              <w:bottom w:val="nil"/>
              <w:right w:val="nil"/>
            </w:tcBorders>
          </w:tcPr>
          <w:p w14:paraId="3E76FC1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5B2E31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0.0875</w:t>
            </w:r>
          </w:p>
        </w:tc>
        <w:tc>
          <w:tcPr>
            <w:tcW w:w="1656" w:type="dxa"/>
            <w:tcBorders>
              <w:top w:val="nil"/>
              <w:left w:val="nil"/>
              <w:bottom w:val="nil"/>
              <w:right w:val="nil"/>
            </w:tcBorders>
          </w:tcPr>
          <w:p w14:paraId="6ABEBB2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-0.260</w:t>
            </w:r>
            <w:r w:rsidRPr="005F6C2E">
              <w:rPr>
                <w:rFonts w:ascii="Times New Roman" w:hAnsi="Times New Roman" w:cs="Times New Roman"/>
                <w:sz w:val="16"/>
                <w:szCs w:val="16"/>
                <w:vertAlign w:val="superscript"/>
              </w:rPr>
              <w:t>*</w:t>
            </w:r>
          </w:p>
        </w:tc>
      </w:tr>
      <w:tr w:rsidR="00201D4C" w:rsidRPr="005F6C2E" w14:paraId="751194AD" w14:textId="77777777" w:rsidTr="00015B88">
        <w:tc>
          <w:tcPr>
            <w:tcW w:w="2136" w:type="dxa"/>
            <w:tcBorders>
              <w:top w:val="nil"/>
              <w:left w:val="nil"/>
              <w:bottom w:val="nil"/>
              <w:right w:val="nil"/>
            </w:tcBorders>
          </w:tcPr>
          <w:p w14:paraId="70A0C40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D76C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(0.93)</w:t>
            </w:r>
          </w:p>
        </w:tc>
        <w:tc>
          <w:tcPr>
            <w:tcW w:w="1656" w:type="dxa"/>
            <w:tcBorders>
              <w:top w:val="nil"/>
              <w:left w:val="nil"/>
              <w:bottom w:val="nil"/>
              <w:right w:val="nil"/>
            </w:tcBorders>
          </w:tcPr>
          <w:p w14:paraId="681233D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(-2.12)</w:t>
            </w:r>
          </w:p>
        </w:tc>
      </w:tr>
      <w:tr w:rsidR="00201D4C" w:rsidRPr="005F6C2E" w14:paraId="45AEAAF9" w14:textId="77777777" w:rsidTr="00015B88">
        <w:tc>
          <w:tcPr>
            <w:tcW w:w="2136" w:type="dxa"/>
            <w:tcBorders>
              <w:top w:val="nil"/>
              <w:left w:val="nil"/>
              <w:bottom w:val="nil"/>
              <w:right w:val="nil"/>
            </w:tcBorders>
          </w:tcPr>
          <w:p w14:paraId="3E81995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E5BA5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2A538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C0A89FA" w14:textId="77777777" w:rsidTr="00015B88">
        <w:tc>
          <w:tcPr>
            <w:tcW w:w="2136" w:type="dxa"/>
            <w:tcBorders>
              <w:top w:val="nil"/>
              <w:left w:val="nil"/>
              <w:bottom w:val="nil"/>
              <w:right w:val="nil"/>
            </w:tcBorders>
          </w:tcPr>
          <w:p w14:paraId="58E1F4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6F7202E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0.0331</w:t>
            </w:r>
          </w:p>
        </w:tc>
        <w:tc>
          <w:tcPr>
            <w:tcW w:w="1656" w:type="dxa"/>
            <w:tcBorders>
              <w:top w:val="nil"/>
              <w:left w:val="nil"/>
              <w:bottom w:val="nil"/>
              <w:right w:val="nil"/>
            </w:tcBorders>
          </w:tcPr>
          <w:p w14:paraId="03E71A6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0.111</w:t>
            </w:r>
          </w:p>
        </w:tc>
      </w:tr>
      <w:tr w:rsidR="00201D4C" w:rsidRPr="005F6C2E" w14:paraId="56D0E08D" w14:textId="77777777" w:rsidTr="00015B88">
        <w:tc>
          <w:tcPr>
            <w:tcW w:w="2136" w:type="dxa"/>
            <w:tcBorders>
              <w:top w:val="nil"/>
              <w:left w:val="nil"/>
              <w:bottom w:val="nil"/>
              <w:right w:val="nil"/>
            </w:tcBorders>
          </w:tcPr>
          <w:p w14:paraId="1B5C2CD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2FFE1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(0.45)</w:t>
            </w:r>
          </w:p>
        </w:tc>
        <w:tc>
          <w:tcPr>
            <w:tcW w:w="1656" w:type="dxa"/>
            <w:tcBorders>
              <w:top w:val="nil"/>
              <w:left w:val="nil"/>
              <w:bottom w:val="nil"/>
              <w:right w:val="nil"/>
            </w:tcBorders>
          </w:tcPr>
          <w:p w14:paraId="5E3423C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(0.96)</w:t>
            </w:r>
          </w:p>
        </w:tc>
      </w:tr>
      <w:tr w:rsidR="00201D4C" w:rsidRPr="005F6C2E" w14:paraId="086FCF1D" w14:textId="77777777" w:rsidTr="00015B88">
        <w:tc>
          <w:tcPr>
            <w:tcW w:w="2136" w:type="dxa"/>
            <w:tcBorders>
              <w:top w:val="nil"/>
              <w:left w:val="nil"/>
              <w:bottom w:val="nil"/>
              <w:right w:val="nil"/>
            </w:tcBorders>
          </w:tcPr>
          <w:p w14:paraId="2643657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98D48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1D5B3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282733A" w14:textId="77777777" w:rsidTr="00015B88">
        <w:tc>
          <w:tcPr>
            <w:tcW w:w="2136" w:type="dxa"/>
            <w:tcBorders>
              <w:top w:val="nil"/>
              <w:left w:val="nil"/>
              <w:bottom w:val="nil"/>
              <w:right w:val="nil"/>
            </w:tcBorders>
          </w:tcPr>
          <w:p w14:paraId="44693EB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1497A84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-0.0537</w:t>
            </w:r>
          </w:p>
        </w:tc>
        <w:tc>
          <w:tcPr>
            <w:tcW w:w="1656" w:type="dxa"/>
            <w:tcBorders>
              <w:top w:val="nil"/>
              <w:left w:val="nil"/>
              <w:bottom w:val="nil"/>
              <w:right w:val="nil"/>
            </w:tcBorders>
          </w:tcPr>
          <w:p w14:paraId="191F95A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-0.0200</w:t>
            </w:r>
          </w:p>
        </w:tc>
      </w:tr>
      <w:tr w:rsidR="00201D4C" w:rsidRPr="005F6C2E" w14:paraId="35642169" w14:textId="77777777" w:rsidTr="00015B88">
        <w:tc>
          <w:tcPr>
            <w:tcW w:w="2136" w:type="dxa"/>
            <w:tcBorders>
              <w:top w:val="nil"/>
              <w:left w:val="nil"/>
              <w:bottom w:val="nil"/>
              <w:right w:val="nil"/>
            </w:tcBorders>
          </w:tcPr>
          <w:p w14:paraId="118B7E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BFC0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(-0.76)</w:t>
            </w:r>
          </w:p>
        </w:tc>
        <w:tc>
          <w:tcPr>
            <w:tcW w:w="1656" w:type="dxa"/>
            <w:tcBorders>
              <w:top w:val="nil"/>
              <w:left w:val="nil"/>
              <w:bottom w:val="nil"/>
              <w:right w:val="nil"/>
            </w:tcBorders>
          </w:tcPr>
          <w:p w14:paraId="284F661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w:t>
            </w:r>
          </w:p>
        </w:tc>
      </w:tr>
      <w:tr w:rsidR="00201D4C" w:rsidRPr="005F6C2E" w14:paraId="0D6B1C16" w14:textId="77777777" w:rsidTr="00015B88">
        <w:tc>
          <w:tcPr>
            <w:tcW w:w="2136" w:type="dxa"/>
            <w:tcBorders>
              <w:top w:val="nil"/>
              <w:left w:val="nil"/>
              <w:bottom w:val="nil"/>
              <w:right w:val="nil"/>
            </w:tcBorders>
          </w:tcPr>
          <w:p w14:paraId="5D627A5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FBE9C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43EAB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151874D" w14:textId="77777777" w:rsidTr="00015B88">
        <w:tc>
          <w:tcPr>
            <w:tcW w:w="2136" w:type="dxa"/>
            <w:tcBorders>
              <w:top w:val="nil"/>
              <w:left w:val="nil"/>
              <w:bottom w:val="nil"/>
              <w:right w:val="nil"/>
            </w:tcBorders>
          </w:tcPr>
          <w:p w14:paraId="6121301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513FA43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-0.0343</w:t>
            </w:r>
          </w:p>
        </w:tc>
        <w:tc>
          <w:tcPr>
            <w:tcW w:w="1656" w:type="dxa"/>
            <w:tcBorders>
              <w:top w:val="nil"/>
              <w:left w:val="nil"/>
              <w:bottom w:val="nil"/>
              <w:right w:val="nil"/>
            </w:tcBorders>
          </w:tcPr>
          <w:p w14:paraId="118CEB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-0.0460</w:t>
            </w:r>
          </w:p>
        </w:tc>
      </w:tr>
      <w:tr w:rsidR="00201D4C" w:rsidRPr="005F6C2E" w14:paraId="73E1B55D" w14:textId="77777777" w:rsidTr="00015B88">
        <w:tc>
          <w:tcPr>
            <w:tcW w:w="2136" w:type="dxa"/>
            <w:tcBorders>
              <w:top w:val="nil"/>
              <w:left w:val="nil"/>
              <w:bottom w:val="nil"/>
              <w:right w:val="nil"/>
            </w:tcBorders>
          </w:tcPr>
          <w:p w14:paraId="1FC0508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DEA77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(-0.44)</w:t>
            </w:r>
          </w:p>
        </w:tc>
        <w:tc>
          <w:tcPr>
            <w:tcW w:w="1656" w:type="dxa"/>
            <w:tcBorders>
              <w:top w:val="nil"/>
              <w:left w:val="nil"/>
              <w:bottom w:val="nil"/>
              <w:right w:val="nil"/>
            </w:tcBorders>
          </w:tcPr>
          <w:p w14:paraId="0BCC025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(-0.51)</w:t>
            </w:r>
          </w:p>
        </w:tc>
      </w:tr>
      <w:tr w:rsidR="00201D4C" w:rsidRPr="005F6C2E" w14:paraId="3D2ECAC2" w14:textId="77777777" w:rsidTr="00015B88">
        <w:tc>
          <w:tcPr>
            <w:tcW w:w="2136" w:type="dxa"/>
            <w:tcBorders>
              <w:top w:val="nil"/>
              <w:left w:val="nil"/>
              <w:bottom w:val="nil"/>
              <w:right w:val="nil"/>
            </w:tcBorders>
          </w:tcPr>
          <w:p w14:paraId="34F79C2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2E8F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482EC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1056A2F" w14:textId="77777777" w:rsidTr="00015B88">
        <w:tc>
          <w:tcPr>
            <w:tcW w:w="2136" w:type="dxa"/>
            <w:tcBorders>
              <w:top w:val="nil"/>
              <w:left w:val="nil"/>
              <w:bottom w:val="nil"/>
              <w:right w:val="nil"/>
            </w:tcBorders>
          </w:tcPr>
          <w:p w14:paraId="472538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79FB907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-0.0124</w:t>
            </w:r>
          </w:p>
        </w:tc>
        <w:tc>
          <w:tcPr>
            <w:tcW w:w="1656" w:type="dxa"/>
            <w:tcBorders>
              <w:top w:val="nil"/>
              <w:left w:val="nil"/>
              <w:bottom w:val="nil"/>
              <w:right w:val="nil"/>
            </w:tcBorders>
          </w:tcPr>
          <w:p w14:paraId="42E24D1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0.0449</w:t>
            </w:r>
          </w:p>
        </w:tc>
      </w:tr>
      <w:tr w:rsidR="00201D4C" w:rsidRPr="005F6C2E" w14:paraId="12248BAE" w14:textId="77777777" w:rsidTr="00015B88">
        <w:tc>
          <w:tcPr>
            <w:tcW w:w="2136" w:type="dxa"/>
            <w:tcBorders>
              <w:top w:val="nil"/>
              <w:left w:val="nil"/>
              <w:bottom w:val="nil"/>
              <w:right w:val="nil"/>
            </w:tcBorders>
          </w:tcPr>
          <w:p w14:paraId="37C7514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5360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w:t>
            </w:r>
          </w:p>
        </w:tc>
        <w:tc>
          <w:tcPr>
            <w:tcW w:w="1656" w:type="dxa"/>
            <w:tcBorders>
              <w:top w:val="nil"/>
              <w:left w:val="nil"/>
              <w:bottom w:val="nil"/>
              <w:right w:val="nil"/>
            </w:tcBorders>
          </w:tcPr>
          <w:p w14:paraId="3577923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(0.44)</w:t>
            </w:r>
          </w:p>
        </w:tc>
      </w:tr>
      <w:tr w:rsidR="00201D4C" w:rsidRPr="005F6C2E" w14:paraId="5A14647B" w14:textId="77777777" w:rsidTr="00015B88">
        <w:tc>
          <w:tcPr>
            <w:tcW w:w="2136" w:type="dxa"/>
            <w:tcBorders>
              <w:top w:val="nil"/>
              <w:left w:val="nil"/>
              <w:bottom w:val="nil"/>
              <w:right w:val="nil"/>
            </w:tcBorders>
          </w:tcPr>
          <w:p w14:paraId="1F0F487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5B9DD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C2820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AE6F687" w14:textId="77777777" w:rsidTr="00015B88">
        <w:tc>
          <w:tcPr>
            <w:tcW w:w="2136" w:type="dxa"/>
            <w:tcBorders>
              <w:top w:val="nil"/>
              <w:left w:val="nil"/>
              <w:bottom w:val="nil"/>
              <w:right w:val="nil"/>
            </w:tcBorders>
          </w:tcPr>
          <w:p w14:paraId="5B5F9C2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L.HOS = HOG</w:t>
            </w:r>
          </w:p>
        </w:tc>
        <w:tc>
          <w:tcPr>
            <w:tcW w:w="1656" w:type="dxa"/>
            <w:tcBorders>
              <w:top w:val="nil"/>
              <w:left w:val="nil"/>
              <w:bottom w:val="nil"/>
              <w:right w:val="nil"/>
            </w:tcBorders>
          </w:tcPr>
          <w:p w14:paraId="7DF632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-1.372</w:t>
            </w:r>
          </w:p>
        </w:tc>
        <w:tc>
          <w:tcPr>
            <w:tcW w:w="1656" w:type="dxa"/>
            <w:tcBorders>
              <w:top w:val="nil"/>
              <w:left w:val="nil"/>
              <w:bottom w:val="nil"/>
              <w:right w:val="nil"/>
            </w:tcBorders>
          </w:tcPr>
          <w:p w14:paraId="690F4EA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-1.434</w:t>
            </w:r>
          </w:p>
        </w:tc>
      </w:tr>
      <w:tr w:rsidR="00201D4C" w:rsidRPr="005F6C2E" w14:paraId="0460710B" w14:textId="77777777" w:rsidTr="00015B88">
        <w:tc>
          <w:tcPr>
            <w:tcW w:w="2136" w:type="dxa"/>
            <w:tcBorders>
              <w:top w:val="nil"/>
              <w:left w:val="nil"/>
              <w:bottom w:val="nil"/>
              <w:right w:val="nil"/>
            </w:tcBorders>
          </w:tcPr>
          <w:p w14:paraId="798C70A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C9DDA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(-0.99)</w:t>
            </w:r>
          </w:p>
        </w:tc>
        <w:tc>
          <w:tcPr>
            <w:tcW w:w="1656" w:type="dxa"/>
            <w:tcBorders>
              <w:top w:val="nil"/>
              <w:left w:val="nil"/>
              <w:bottom w:val="nil"/>
              <w:right w:val="nil"/>
            </w:tcBorders>
          </w:tcPr>
          <w:p w14:paraId="2A49319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(-0.74)</w:t>
            </w:r>
          </w:p>
        </w:tc>
      </w:tr>
      <w:tr w:rsidR="00201D4C" w:rsidRPr="005F6C2E" w14:paraId="77214C1F" w14:textId="77777777" w:rsidTr="00015B88">
        <w:tc>
          <w:tcPr>
            <w:tcW w:w="2136" w:type="dxa"/>
            <w:tcBorders>
              <w:top w:val="nil"/>
              <w:left w:val="nil"/>
              <w:bottom w:val="nil"/>
              <w:right w:val="nil"/>
            </w:tcBorders>
          </w:tcPr>
          <w:p w14:paraId="02DD5BB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3144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FCC6A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53FA370" w14:textId="77777777" w:rsidTr="00015B88">
        <w:tc>
          <w:tcPr>
            <w:tcW w:w="2136" w:type="dxa"/>
            <w:tcBorders>
              <w:top w:val="nil"/>
              <w:left w:val="nil"/>
              <w:bottom w:val="nil"/>
              <w:right w:val="nil"/>
            </w:tcBorders>
          </w:tcPr>
          <w:p w14:paraId="53722FE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L2.HOS = HOG</w:t>
            </w:r>
          </w:p>
        </w:tc>
        <w:tc>
          <w:tcPr>
            <w:tcW w:w="1656" w:type="dxa"/>
            <w:tcBorders>
              <w:top w:val="nil"/>
              <w:left w:val="nil"/>
              <w:bottom w:val="nil"/>
              <w:right w:val="nil"/>
            </w:tcBorders>
          </w:tcPr>
          <w:p w14:paraId="5EA5A23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0.383</w:t>
            </w:r>
          </w:p>
        </w:tc>
        <w:tc>
          <w:tcPr>
            <w:tcW w:w="1656" w:type="dxa"/>
            <w:tcBorders>
              <w:top w:val="nil"/>
              <w:left w:val="nil"/>
              <w:bottom w:val="nil"/>
              <w:right w:val="nil"/>
            </w:tcBorders>
          </w:tcPr>
          <w:p w14:paraId="134DE3C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0.398</w:t>
            </w:r>
          </w:p>
        </w:tc>
      </w:tr>
      <w:tr w:rsidR="00201D4C" w:rsidRPr="005F6C2E" w14:paraId="192D3EDB" w14:textId="77777777" w:rsidTr="00015B88">
        <w:tc>
          <w:tcPr>
            <w:tcW w:w="2136" w:type="dxa"/>
            <w:tcBorders>
              <w:top w:val="nil"/>
              <w:left w:val="nil"/>
              <w:bottom w:val="nil"/>
              <w:right w:val="nil"/>
            </w:tcBorders>
          </w:tcPr>
          <w:p w14:paraId="456DBB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C3F5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(0.31)</w:t>
            </w:r>
          </w:p>
        </w:tc>
        <w:tc>
          <w:tcPr>
            <w:tcW w:w="1656" w:type="dxa"/>
            <w:tcBorders>
              <w:top w:val="nil"/>
              <w:left w:val="nil"/>
              <w:bottom w:val="nil"/>
              <w:right w:val="nil"/>
            </w:tcBorders>
          </w:tcPr>
          <w:p w14:paraId="01A6F88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w:t>
            </w:r>
          </w:p>
        </w:tc>
      </w:tr>
      <w:tr w:rsidR="00201D4C" w:rsidRPr="005F6C2E" w14:paraId="2C384357" w14:textId="77777777" w:rsidTr="00015B88">
        <w:tc>
          <w:tcPr>
            <w:tcW w:w="2136" w:type="dxa"/>
            <w:tcBorders>
              <w:top w:val="nil"/>
              <w:left w:val="nil"/>
              <w:bottom w:val="nil"/>
              <w:right w:val="nil"/>
            </w:tcBorders>
          </w:tcPr>
          <w:p w14:paraId="77D124E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80DD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B7904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B9DE9BD" w14:textId="77777777" w:rsidTr="00015B88">
        <w:tc>
          <w:tcPr>
            <w:tcW w:w="2136" w:type="dxa"/>
            <w:tcBorders>
              <w:top w:val="nil"/>
              <w:left w:val="nil"/>
              <w:bottom w:val="nil"/>
              <w:right w:val="nil"/>
            </w:tcBorders>
          </w:tcPr>
          <w:p w14:paraId="057C18A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L3.HOS = HOG</w:t>
            </w:r>
          </w:p>
        </w:tc>
        <w:tc>
          <w:tcPr>
            <w:tcW w:w="1656" w:type="dxa"/>
            <w:tcBorders>
              <w:top w:val="nil"/>
              <w:left w:val="nil"/>
              <w:bottom w:val="nil"/>
              <w:right w:val="nil"/>
            </w:tcBorders>
          </w:tcPr>
          <w:p w14:paraId="04CA936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3.147</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6A860DB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1.631</w:t>
            </w:r>
          </w:p>
        </w:tc>
      </w:tr>
      <w:tr w:rsidR="00201D4C" w:rsidRPr="005F6C2E" w14:paraId="340B99BE" w14:textId="77777777" w:rsidTr="00015B88">
        <w:tc>
          <w:tcPr>
            <w:tcW w:w="2136" w:type="dxa"/>
            <w:tcBorders>
              <w:top w:val="nil"/>
              <w:left w:val="nil"/>
              <w:bottom w:val="nil"/>
              <w:right w:val="nil"/>
            </w:tcBorders>
          </w:tcPr>
          <w:p w14:paraId="041CD7B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C827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(2.61)</w:t>
            </w:r>
          </w:p>
        </w:tc>
        <w:tc>
          <w:tcPr>
            <w:tcW w:w="1656" w:type="dxa"/>
            <w:tcBorders>
              <w:top w:val="nil"/>
              <w:left w:val="nil"/>
              <w:bottom w:val="nil"/>
              <w:right w:val="nil"/>
            </w:tcBorders>
          </w:tcPr>
          <w:p w14:paraId="6674DF4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(0.85)</w:t>
            </w:r>
          </w:p>
        </w:tc>
      </w:tr>
      <w:tr w:rsidR="00201D4C" w:rsidRPr="005F6C2E" w14:paraId="34EFB82F" w14:textId="77777777" w:rsidTr="00015B88">
        <w:tc>
          <w:tcPr>
            <w:tcW w:w="2136" w:type="dxa"/>
            <w:tcBorders>
              <w:top w:val="nil"/>
              <w:left w:val="nil"/>
              <w:bottom w:val="nil"/>
              <w:right w:val="nil"/>
            </w:tcBorders>
          </w:tcPr>
          <w:p w14:paraId="3C15CA9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08ED8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D072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E0195C3" w14:textId="77777777" w:rsidTr="00015B88">
        <w:tc>
          <w:tcPr>
            <w:tcW w:w="2136" w:type="dxa"/>
            <w:tcBorders>
              <w:top w:val="nil"/>
              <w:left w:val="nil"/>
              <w:bottom w:val="nil"/>
              <w:right w:val="nil"/>
            </w:tcBorders>
          </w:tcPr>
          <w:p w14:paraId="6B79C06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L4.HOS = HOG</w:t>
            </w:r>
          </w:p>
        </w:tc>
        <w:tc>
          <w:tcPr>
            <w:tcW w:w="1656" w:type="dxa"/>
            <w:tcBorders>
              <w:top w:val="nil"/>
              <w:left w:val="nil"/>
              <w:bottom w:val="nil"/>
              <w:right w:val="nil"/>
            </w:tcBorders>
          </w:tcPr>
          <w:p w14:paraId="38D8541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-1.170</w:t>
            </w:r>
          </w:p>
        </w:tc>
        <w:tc>
          <w:tcPr>
            <w:tcW w:w="1656" w:type="dxa"/>
            <w:tcBorders>
              <w:top w:val="nil"/>
              <w:left w:val="nil"/>
              <w:bottom w:val="nil"/>
              <w:right w:val="nil"/>
            </w:tcBorders>
          </w:tcPr>
          <w:p w14:paraId="5E1F4FB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-2.275</w:t>
            </w:r>
          </w:p>
        </w:tc>
      </w:tr>
      <w:tr w:rsidR="00201D4C" w:rsidRPr="005F6C2E" w14:paraId="533A214C" w14:textId="77777777" w:rsidTr="00015B88">
        <w:tc>
          <w:tcPr>
            <w:tcW w:w="2136" w:type="dxa"/>
            <w:tcBorders>
              <w:top w:val="nil"/>
              <w:left w:val="nil"/>
              <w:bottom w:val="nil"/>
              <w:right w:val="nil"/>
            </w:tcBorders>
          </w:tcPr>
          <w:p w14:paraId="3DDB23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ED87D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(-0.81)</w:t>
            </w:r>
          </w:p>
        </w:tc>
        <w:tc>
          <w:tcPr>
            <w:tcW w:w="1656" w:type="dxa"/>
            <w:tcBorders>
              <w:top w:val="nil"/>
              <w:left w:val="nil"/>
              <w:bottom w:val="nil"/>
              <w:right w:val="nil"/>
            </w:tcBorders>
          </w:tcPr>
          <w:p w14:paraId="25803E1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(-1.07)</w:t>
            </w:r>
          </w:p>
        </w:tc>
      </w:tr>
      <w:tr w:rsidR="00201D4C" w:rsidRPr="005F6C2E" w14:paraId="581422DC" w14:textId="77777777" w:rsidTr="00015B88">
        <w:tc>
          <w:tcPr>
            <w:tcW w:w="2136" w:type="dxa"/>
            <w:tcBorders>
              <w:top w:val="nil"/>
              <w:left w:val="nil"/>
              <w:bottom w:val="nil"/>
              <w:right w:val="nil"/>
            </w:tcBorders>
          </w:tcPr>
          <w:p w14:paraId="781C52D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A435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D308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D6AC03C" w14:textId="77777777" w:rsidTr="00015B88">
        <w:tc>
          <w:tcPr>
            <w:tcW w:w="2136" w:type="dxa"/>
            <w:tcBorders>
              <w:top w:val="nil"/>
              <w:left w:val="nil"/>
              <w:bottom w:val="nil"/>
              <w:right w:val="nil"/>
            </w:tcBorders>
          </w:tcPr>
          <w:p w14:paraId="178A3E6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L5.HOS = HOG</w:t>
            </w:r>
          </w:p>
        </w:tc>
        <w:tc>
          <w:tcPr>
            <w:tcW w:w="1656" w:type="dxa"/>
            <w:tcBorders>
              <w:top w:val="nil"/>
              <w:left w:val="nil"/>
              <w:bottom w:val="nil"/>
              <w:right w:val="nil"/>
            </w:tcBorders>
          </w:tcPr>
          <w:p w14:paraId="2D89695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0.281</w:t>
            </w:r>
          </w:p>
        </w:tc>
        <w:tc>
          <w:tcPr>
            <w:tcW w:w="1656" w:type="dxa"/>
            <w:tcBorders>
              <w:top w:val="nil"/>
              <w:left w:val="nil"/>
              <w:bottom w:val="nil"/>
              <w:right w:val="nil"/>
            </w:tcBorders>
          </w:tcPr>
          <w:p w14:paraId="0B99DE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3.072</w:t>
            </w:r>
          </w:p>
        </w:tc>
      </w:tr>
      <w:tr w:rsidR="00201D4C" w:rsidRPr="005F6C2E" w14:paraId="780EC788" w14:textId="77777777" w:rsidTr="00015B88">
        <w:tc>
          <w:tcPr>
            <w:tcW w:w="2136" w:type="dxa"/>
            <w:tcBorders>
              <w:top w:val="nil"/>
              <w:left w:val="nil"/>
              <w:bottom w:val="nil"/>
              <w:right w:val="nil"/>
            </w:tcBorders>
          </w:tcPr>
          <w:p w14:paraId="135DA4C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86234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w:t>
            </w:r>
          </w:p>
        </w:tc>
        <w:tc>
          <w:tcPr>
            <w:tcW w:w="1656" w:type="dxa"/>
            <w:tcBorders>
              <w:top w:val="nil"/>
              <w:left w:val="nil"/>
              <w:bottom w:val="nil"/>
              <w:right w:val="nil"/>
            </w:tcBorders>
          </w:tcPr>
          <w:p w14:paraId="570355B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(1.39)</w:t>
            </w:r>
          </w:p>
        </w:tc>
      </w:tr>
      <w:tr w:rsidR="00201D4C" w:rsidRPr="005F6C2E" w14:paraId="4194FD6E" w14:textId="77777777" w:rsidTr="00015B88">
        <w:tc>
          <w:tcPr>
            <w:tcW w:w="2136" w:type="dxa"/>
            <w:tcBorders>
              <w:top w:val="nil"/>
              <w:left w:val="nil"/>
              <w:bottom w:val="nil"/>
              <w:right w:val="nil"/>
            </w:tcBorders>
          </w:tcPr>
          <w:p w14:paraId="6A09A23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A020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04C08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876F5B3" w14:textId="77777777" w:rsidTr="00015B88">
        <w:tc>
          <w:tcPr>
            <w:tcW w:w="2136" w:type="dxa"/>
            <w:tcBorders>
              <w:top w:val="nil"/>
              <w:left w:val="nil"/>
              <w:bottom w:val="nil"/>
              <w:right w:val="nil"/>
            </w:tcBorders>
          </w:tcPr>
          <w:p w14:paraId="0BCB4E1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L6.HOS = HOG</w:t>
            </w:r>
          </w:p>
        </w:tc>
        <w:tc>
          <w:tcPr>
            <w:tcW w:w="1656" w:type="dxa"/>
            <w:tcBorders>
              <w:top w:val="nil"/>
              <w:left w:val="nil"/>
              <w:bottom w:val="nil"/>
              <w:right w:val="nil"/>
            </w:tcBorders>
          </w:tcPr>
          <w:p w14:paraId="117F75C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1.032</w:t>
            </w:r>
          </w:p>
        </w:tc>
        <w:tc>
          <w:tcPr>
            <w:tcW w:w="1656" w:type="dxa"/>
            <w:tcBorders>
              <w:top w:val="nil"/>
              <w:left w:val="nil"/>
              <w:bottom w:val="nil"/>
              <w:right w:val="nil"/>
            </w:tcBorders>
          </w:tcPr>
          <w:p w14:paraId="61D5968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-1.656</w:t>
            </w:r>
          </w:p>
        </w:tc>
      </w:tr>
      <w:tr w:rsidR="00201D4C" w:rsidRPr="005F6C2E" w14:paraId="7551F212" w14:textId="77777777" w:rsidTr="00015B88">
        <w:tc>
          <w:tcPr>
            <w:tcW w:w="2136" w:type="dxa"/>
            <w:tcBorders>
              <w:top w:val="nil"/>
              <w:left w:val="nil"/>
              <w:bottom w:val="nil"/>
              <w:right w:val="nil"/>
            </w:tcBorders>
          </w:tcPr>
          <w:p w14:paraId="06BCD9C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FB639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(0.76)</w:t>
            </w:r>
          </w:p>
        </w:tc>
        <w:tc>
          <w:tcPr>
            <w:tcW w:w="1656" w:type="dxa"/>
            <w:tcBorders>
              <w:top w:val="nil"/>
              <w:left w:val="nil"/>
              <w:bottom w:val="nil"/>
              <w:right w:val="nil"/>
            </w:tcBorders>
          </w:tcPr>
          <w:p w14:paraId="682939F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(-1.19)</w:t>
            </w:r>
          </w:p>
        </w:tc>
      </w:tr>
      <w:tr w:rsidR="00201D4C" w:rsidRPr="005F6C2E" w14:paraId="1E145F4C" w14:textId="77777777" w:rsidTr="00015B88">
        <w:tc>
          <w:tcPr>
            <w:tcW w:w="2136" w:type="dxa"/>
            <w:tcBorders>
              <w:top w:val="nil"/>
              <w:left w:val="nil"/>
              <w:bottom w:val="nil"/>
              <w:right w:val="nil"/>
            </w:tcBorders>
          </w:tcPr>
          <w:p w14:paraId="63C0805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887B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B1F7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720DD7A" w14:textId="77777777" w:rsidTr="00015B88">
        <w:tc>
          <w:tcPr>
            <w:tcW w:w="2136" w:type="dxa"/>
            <w:tcBorders>
              <w:top w:val="nil"/>
              <w:left w:val="nil"/>
              <w:bottom w:val="nil"/>
              <w:right w:val="nil"/>
            </w:tcBorders>
          </w:tcPr>
          <w:p w14:paraId="0E989C6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L7.HOS = HOG</w:t>
            </w:r>
          </w:p>
        </w:tc>
        <w:tc>
          <w:tcPr>
            <w:tcW w:w="1656" w:type="dxa"/>
            <w:tcBorders>
              <w:top w:val="nil"/>
              <w:left w:val="nil"/>
              <w:bottom w:val="nil"/>
              <w:right w:val="nil"/>
            </w:tcBorders>
          </w:tcPr>
          <w:p w14:paraId="0FB52BA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-1.013</w:t>
            </w:r>
          </w:p>
        </w:tc>
        <w:tc>
          <w:tcPr>
            <w:tcW w:w="1656" w:type="dxa"/>
            <w:tcBorders>
              <w:top w:val="nil"/>
              <w:left w:val="nil"/>
              <w:bottom w:val="nil"/>
              <w:right w:val="nil"/>
            </w:tcBorders>
          </w:tcPr>
          <w:p w14:paraId="345898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1.161</w:t>
            </w:r>
          </w:p>
        </w:tc>
      </w:tr>
      <w:tr w:rsidR="00201D4C" w:rsidRPr="005F6C2E" w14:paraId="0B77F35F" w14:textId="77777777" w:rsidTr="00015B88">
        <w:tc>
          <w:tcPr>
            <w:tcW w:w="2136" w:type="dxa"/>
            <w:tcBorders>
              <w:top w:val="nil"/>
              <w:left w:val="nil"/>
              <w:bottom w:val="nil"/>
              <w:right w:val="nil"/>
            </w:tcBorders>
          </w:tcPr>
          <w:p w14:paraId="12DD39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78BD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(-0.82)</w:t>
            </w:r>
          </w:p>
        </w:tc>
        <w:tc>
          <w:tcPr>
            <w:tcW w:w="1656" w:type="dxa"/>
            <w:tcBorders>
              <w:top w:val="nil"/>
              <w:left w:val="nil"/>
              <w:bottom w:val="nil"/>
              <w:right w:val="nil"/>
            </w:tcBorders>
          </w:tcPr>
          <w:p w14:paraId="0CEC0F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(0.51)</w:t>
            </w:r>
          </w:p>
        </w:tc>
      </w:tr>
      <w:tr w:rsidR="00201D4C" w:rsidRPr="005F6C2E" w14:paraId="34F52CA9" w14:textId="77777777" w:rsidTr="00015B88">
        <w:tc>
          <w:tcPr>
            <w:tcW w:w="2136" w:type="dxa"/>
            <w:tcBorders>
              <w:top w:val="nil"/>
              <w:left w:val="nil"/>
              <w:bottom w:val="nil"/>
              <w:right w:val="nil"/>
            </w:tcBorders>
          </w:tcPr>
          <w:p w14:paraId="13C0283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4130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EC060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E50E96B" w14:textId="77777777" w:rsidTr="00015B88">
        <w:tc>
          <w:tcPr>
            <w:tcW w:w="2136" w:type="dxa"/>
            <w:tcBorders>
              <w:top w:val="nil"/>
              <w:left w:val="nil"/>
              <w:bottom w:val="nil"/>
              <w:right w:val="nil"/>
            </w:tcBorders>
          </w:tcPr>
          <w:p w14:paraId="3CBF188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L8.HOS = HOG</w:t>
            </w:r>
          </w:p>
        </w:tc>
        <w:tc>
          <w:tcPr>
            <w:tcW w:w="1656" w:type="dxa"/>
            <w:tcBorders>
              <w:top w:val="nil"/>
              <w:left w:val="nil"/>
              <w:bottom w:val="nil"/>
              <w:right w:val="nil"/>
            </w:tcBorders>
          </w:tcPr>
          <w:p w14:paraId="0A1CB15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0.150</w:t>
            </w:r>
          </w:p>
        </w:tc>
        <w:tc>
          <w:tcPr>
            <w:tcW w:w="1656" w:type="dxa"/>
            <w:tcBorders>
              <w:top w:val="nil"/>
              <w:left w:val="nil"/>
              <w:bottom w:val="nil"/>
              <w:right w:val="nil"/>
            </w:tcBorders>
          </w:tcPr>
          <w:p w14:paraId="09CAFB5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-0.693</w:t>
            </w:r>
          </w:p>
        </w:tc>
      </w:tr>
      <w:tr w:rsidR="00201D4C" w:rsidRPr="005F6C2E" w14:paraId="369A377A" w14:textId="77777777" w:rsidTr="00015B88">
        <w:tc>
          <w:tcPr>
            <w:tcW w:w="2136" w:type="dxa"/>
            <w:tcBorders>
              <w:top w:val="nil"/>
              <w:left w:val="nil"/>
              <w:bottom w:val="nil"/>
              <w:right w:val="nil"/>
            </w:tcBorders>
          </w:tcPr>
          <w:p w14:paraId="71176C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0717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w:t>
            </w:r>
          </w:p>
        </w:tc>
        <w:tc>
          <w:tcPr>
            <w:tcW w:w="1656" w:type="dxa"/>
            <w:tcBorders>
              <w:top w:val="nil"/>
              <w:left w:val="nil"/>
              <w:bottom w:val="nil"/>
              <w:right w:val="nil"/>
            </w:tcBorders>
          </w:tcPr>
          <w:p w14:paraId="4DFE26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(-0.36)</w:t>
            </w:r>
          </w:p>
        </w:tc>
      </w:tr>
      <w:tr w:rsidR="00201D4C" w:rsidRPr="005F6C2E" w14:paraId="2E6E7399" w14:textId="77777777" w:rsidTr="00015B88">
        <w:tc>
          <w:tcPr>
            <w:tcW w:w="2136" w:type="dxa"/>
            <w:tcBorders>
              <w:top w:val="nil"/>
              <w:left w:val="nil"/>
              <w:bottom w:val="nil"/>
              <w:right w:val="nil"/>
            </w:tcBorders>
          </w:tcPr>
          <w:p w14:paraId="554F08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0AE30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3610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89DFC58" w14:textId="77777777" w:rsidTr="00015B88">
        <w:tc>
          <w:tcPr>
            <w:tcW w:w="2136" w:type="dxa"/>
            <w:tcBorders>
              <w:top w:val="nil"/>
              <w:left w:val="nil"/>
              <w:bottom w:val="nil"/>
              <w:right w:val="nil"/>
            </w:tcBorders>
          </w:tcPr>
          <w:p w14:paraId="5E5586E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L9.HOS = HOG</w:t>
            </w:r>
          </w:p>
        </w:tc>
        <w:tc>
          <w:tcPr>
            <w:tcW w:w="1656" w:type="dxa"/>
            <w:tcBorders>
              <w:top w:val="nil"/>
              <w:left w:val="nil"/>
              <w:bottom w:val="nil"/>
              <w:right w:val="nil"/>
            </w:tcBorders>
          </w:tcPr>
          <w:p w14:paraId="122623D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0.173</w:t>
            </w:r>
          </w:p>
        </w:tc>
        <w:tc>
          <w:tcPr>
            <w:tcW w:w="1656" w:type="dxa"/>
            <w:tcBorders>
              <w:top w:val="nil"/>
              <w:left w:val="nil"/>
              <w:bottom w:val="nil"/>
              <w:right w:val="nil"/>
            </w:tcBorders>
          </w:tcPr>
          <w:p w14:paraId="5C39BE9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-0.244</w:t>
            </w:r>
          </w:p>
        </w:tc>
      </w:tr>
      <w:tr w:rsidR="00201D4C" w:rsidRPr="005F6C2E" w14:paraId="71AFC0C0" w14:textId="77777777" w:rsidTr="00015B88">
        <w:tc>
          <w:tcPr>
            <w:tcW w:w="2136" w:type="dxa"/>
            <w:tcBorders>
              <w:top w:val="nil"/>
              <w:left w:val="nil"/>
              <w:bottom w:val="nil"/>
              <w:right w:val="nil"/>
            </w:tcBorders>
          </w:tcPr>
          <w:p w14:paraId="5FE6A15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8A40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c>
          <w:tcPr>
            <w:tcW w:w="1656" w:type="dxa"/>
            <w:tcBorders>
              <w:top w:val="nil"/>
              <w:left w:val="nil"/>
              <w:bottom w:val="nil"/>
              <w:right w:val="nil"/>
            </w:tcBorders>
          </w:tcPr>
          <w:p w14:paraId="0549927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(-0.25)</w:t>
            </w:r>
          </w:p>
        </w:tc>
      </w:tr>
      <w:tr w:rsidR="00201D4C" w:rsidRPr="005F6C2E" w14:paraId="2CFB7426" w14:textId="77777777" w:rsidTr="00015B88">
        <w:tc>
          <w:tcPr>
            <w:tcW w:w="2136" w:type="dxa"/>
            <w:tcBorders>
              <w:top w:val="nil"/>
              <w:left w:val="nil"/>
              <w:bottom w:val="nil"/>
              <w:right w:val="nil"/>
            </w:tcBorders>
          </w:tcPr>
          <w:p w14:paraId="7E8273E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4F2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CED9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4AB4F71" w14:textId="77777777" w:rsidTr="00015B88">
        <w:tc>
          <w:tcPr>
            <w:tcW w:w="2136" w:type="dxa"/>
            <w:tcBorders>
              <w:top w:val="nil"/>
              <w:left w:val="nil"/>
              <w:bottom w:val="nil"/>
              <w:right w:val="nil"/>
            </w:tcBorders>
          </w:tcPr>
          <w:p w14:paraId="45A38F2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L10.HOS = HOG</w:t>
            </w:r>
          </w:p>
        </w:tc>
        <w:tc>
          <w:tcPr>
            <w:tcW w:w="1656" w:type="dxa"/>
            <w:tcBorders>
              <w:top w:val="nil"/>
              <w:left w:val="nil"/>
              <w:bottom w:val="nil"/>
              <w:right w:val="nil"/>
            </w:tcBorders>
          </w:tcPr>
          <w:p w14:paraId="2EB696B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1.141</w:t>
            </w:r>
          </w:p>
        </w:tc>
        <w:tc>
          <w:tcPr>
            <w:tcW w:w="1656" w:type="dxa"/>
            <w:tcBorders>
              <w:top w:val="nil"/>
              <w:left w:val="nil"/>
              <w:bottom w:val="nil"/>
              <w:right w:val="nil"/>
            </w:tcBorders>
          </w:tcPr>
          <w:p w14:paraId="2DC1C1E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1.534</w:t>
            </w:r>
          </w:p>
        </w:tc>
      </w:tr>
      <w:tr w:rsidR="00201D4C" w:rsidRPr="005F6C2E" w14:paraId="6719C5CE" w14:textId="77777777" w:rsidTr="00015B88">
        <w:tc>
          <w:tcPr>
            <w:tcW w:w="2136" w:type="dxa"/>
            <w:tcBorders>
              <w:top w:val="nil"/>
              <w:left w:val="nil"/>
              <w:bottom w:val="nil"/>
              <w:right w:val="nil"/>
            </w:tcBorders>
          </w:tcPr>
          <w:p w14:paraId="0B135C3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4C23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(1.30)</w:t>
            </w:r>
          </w:p>
        </w:tc>
        <w:tc>
          <w:tcPr>
            <w:tcW w:w="1656" w:type="dxa"/>
            <w:tcBorders>
              <w:top w:val="nil"/>
              <w:left w:val="nil"/>
              <w:bottom w:val="nil"/>
              <w:right w:val="nil"/>
            </w:tcBorders>
          </w:tcPr>
          <w:p w14:paraId="175B2F2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(1.34)</w:t>
            </w:r>
          </w:p>
        </w:tc>
      </w:tr>
      <w:tr w:rsidR="00201D4C" w:rsidRPr="005F6C2E" w14:paraId="20D54EE7" w14:textId="77777777" w:rsidTr="00015B88">
        <w:tc>
          <w:tcPr>
            <w:tcW w:w="2136" w:type="dxa"/>
            <w:tcBorders>
              <w:top w:val="nil"/>
              <w:left w:val="nil"/>
              <w:bottom w:val="nil"/>
              <w:right w:val="nil"/>
            </w:tcBorders>
          </w:tcPr>
          <w:p w14:paraId="62C65E6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217FB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CB26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7E52576" w14:textId="77777777" w:rsidTr="00015B88">
        <w:tc>
          <w:tcPr>
            <w:tcW w:w="2136" w:type="dxa"/>
            <w:tcBorders>
              <w:top w:val="nil"/>
              <w:left w:val="nil"/>
              <w:bottom w:val="nil"/>
              <w:right w:val="nil"/>
            </w:tcBorders>
          </w:tcPr>
          <w:p w14:paraId="3240BF5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F6C2E">
              <w:rPr>
                <w:rFonts w:ascii="Times New Roman" w:hAnsi="Times New Roman" w:cs="Times New Roman"/>
                <w:sz w:val="16"/>
                <w:szCs w:val="16"/>
              </w:rPr>
              <w:t>L.De</w:t>
            </w:r>
            <w:proofErr w:type="spellEnd"/>
            <w:r w:rsidRPr="005F6C2E">
              <w:rPr>
                <w:rFonts w:ascii="Times New Roman" w:hAnsi="Times New Roman" w:cs="Times New Roman"/>
                <w:sz w:val="16"/>
                <w:szCs w:val="16"/>
              </w:rPr>
              <w:t xml:space="preserve"> Facto CBI * HOS = HOG</w:t>
            </w:r>
          </w:p>
        </w:tc>
        <w:tc>
          <w:tcPr>
            <w:tcW w:w="1656" w:type="dxa"/>
            <w:tcBorders>
              <w:top w:val="nil"/>
              <w:left w:val="nil"/>
              <w:bottom w:val="nil"/>
              <w:right w:val="nil"/>
            </w:tcBorders>
          </w:tcPr>
          <w:p w14:paraId="78FA75F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0.609</w:t>
            </w:r>
          </w:p>
        </w:tc>
        <w:tc>
          <w:tcPr>
            <w:tcW w:w="1656" w:type="dxa"/>
            <w:tcBorders>
              <w:top w:val="nil"/>
              <w:left w:val="nil"/>
              <w:bottom w:val="nil"/>
              <w:right w:val="nil"/>
            </w:tcBorders>
          </w:tcPr>
          <w:p w14:paraId="3B8CE93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0.429</w:t>
            </w:r>
          </w:p>
        </w:tc>
      </w:tr>
      <w:tr w:rsidR="00201D4C" w:rsidRPr="005F6C2E" w14:paraId="57A20F79" w14:textId="77777777" w:rsidTr="00015B88">
        <w:tc>
          <w:tcPr>
            <w:tcW w:w="2136" w:type="dxa"/>
            <w:tcBorders>
              <w:top w:val="nil"/>
              <w:left w:val="nil"/>
              <w:bottom w:val="nil"/>
              <w:right w:val="nil"/>
            </w:tcBorders>
          </w:tcPr>
          <w:p w14:paraId="6CDAF2B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9F127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(1.60)</w:t>
            </w:r>
          </w:p>
        </w:tc>
        <w:tc>
          <w:tcPr>
            <w:tcW w:w="1656" w:type="dxa"/>
            <w:tcBorders>
              <w:top w:val="nil"/>
              <w:left w:val="nil"/>
              <w:bottom w:val="nil"/>
              <w:right w:val="nil"/>
            </w:tcBorders>
          </w:tcPr>
          <w:p w14:paraId="3F93C53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(0.71)</w:t>
            </w:r>
          </w:p>
        </w:tc>
      </w:tr>
      <w:tr w:rsidR="00201D4C" w:rsidRPr="005F6C2E" w14:paraId="7146227B" w14:textId="77777777" w:rsidTr="00015B88">
        <w:tc>
          <w:tcPr>
            <w:tcW w:w="2136" w:type="dxa"/>
            <w:tcBorders>
              <w:top w:val="nil"/>
              <w:left w:val="nil"/>
              <w:bottom w:val="nil"/>
              <w:right w:val="nil"/>
            </w:tcBorders>
          </w:tcPr>
          <w:p w14:paraId="7F3883E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9F55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B4CC3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0FD6C76" w14:textId="77777777" w:rsidTr="00015B88">
        <w:tc>
          <w:tcPr>
            <w:tcW w:w="2136" w:type="dxa"/>
            <w:tcBorders>
              <w:top w:val="nil"/>
              <w:left w:val="nil"/>
              <w:bottom w:val="nil"/>
              <w:right w:val="nil"/>
            </w:tcBorders>
          </w:tcPr>
          <w:p w14:paraId="2AA5BE0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L2.De Facto CBI * HOS = HOG</w:t>
            </w:r>
          </w:p>
        </w:tc>
        <w:tc>
          <w:tcPr>
            <w:tcW w:w="1656" w:type="dxa"/>
            <w:tcBorders>
              <w:top w:val="nil"/>
              <w:left w:val="nil"/>
              <w:bottom w:val="nil"/>
              <w:right w:val="nil"/>
            </w:tcBorders>
          </w:tcPr>
          <w:p w14:paraId="3377B10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-0.443</w:t>
            </w:r>
          </w:p>
        </w:tc>
        <w:tc>
          <w:tcPr>
            <w:tcW w:w="1656" w:type="dxa"/>
            <w:tcBorders>
              <w:top w:val="nil"/>
              <w:left w:val="nil"/>
              <w:bottom w:val="nil"/>
              <w:right w:val="nil"/>
            </w:tcBorders>
          </w:tcPr>
          <w:p w14:paraId="11CFA3B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0.159</w:t>
            </w:r>
          </w:p>
        </w:tc>
      </w:tr>
      <w:tr w:rsidR="00201D4C" w:rsidRPr="005F6C2E" w14:paraId="6F88E82A" w14:textId="77777777" w:rsidTr="00015B88">
        <w:tc>
          <w:tcPr>
            <w:tcW w:w="2136" w:type="dxa"/>
            <w:tcBorders>
              <w:top w:val="nil"/>
              <w:left w:val="nil"/>
              <w:bottom w:val="nil"/>
              <w:right w:val="nil"/>
            </w:tcBorders>
          </w:tcPr>
          <w:p w14:paraId="2536C5D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0437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(-1.08)</w:t>
            </w:r>
          </w:p>
        </w:tc>
        <w:tc>
          <w:tcPr>
            <w:tcW w:w="1656" w:type="dxa"/>
            <w:tcBorders>
              <w:top w:val="nil"/>
              <w:left w:val="nil"/>
              <w:bottom w:val="nil"/>
              <w:right w:val="nil"/>
            </w:tcBorders>
          </w:tcPr>
          <w:p w14:paraId="3F39D45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w:t>
            </w:r>
          </w:p>
        </w:tc>
      </w:tr>
      <w:tr w:rsidR="00201D4C" w:rsidRPr="005F6C2E" w14:paraId="5CD53479" w14:textId="77777777" w:rsidTr="00015B88">
        <w:tc>
          <w:tcPr>
            <w:tcW w:w="2136" w:type="dxa"/>
            <w:tcBorders>
              <w:top w:val="nil"/>
              <w:left w:val="nil"/>
              <w:bottom w:val="nil"/>
              <w:right w:val="nil"/>
            </w:tcBorders>
          </w:tcPr>
          <w:p w14:paraId="723F903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D4D1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D3A94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EAE89A4" w14:textId="77777777" w:rsidTr="00015B88">
        <w:tc>
          <w:tcPr>
            <w:tcW w:w="2136" w:type="dxa"/>
            <w:tcBorders>
              <w:top w:val="nil"/>
              <w:left w:val="nil"/>
              <w:bottom w:val="nil"/>
              <w:right w:val="nil"/>
            </w:tcBorders>
          </w:tcPr>
          <w:p w14:paraId="7A4ADF7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L3.De Facto CBI * HOS = HOG</w:t>
            </w:r>
          </w:p>
        </w:tc>
        <w:tc>
          <w:tcPr>
            <w:tcW w:w="1656" w:type="dxa"/>
            <w:tcBorders>
              <w:top w:val="nil"/>
              <w:left w:val="nil"/>
              <w:bottom w:val="nil"/>
              <w:right w:val="nil"/>
            </w:tcBorders>
          </w:tcPr>
          <w:p w14:paraId="256CE74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-0.00445</w:t>
            </w:r>
          </w:p>
        </w:tc>
        <w:tc>
          <w:tcPr>
            <w:tcW w:w="1656" w:type="dxa"/>
            <w:tcBorders>
              <w:top w:val="nil"/>
              <w:left w:val="nil"/>
              <w:bottom w:val="nil"/>
              <w:right w:val="nil"/>
            </w:tcBorders>
          </w:tcPr>
          <w:p w14:paraId="5DF238A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0.0893</w:t>
            </w:r>
          </w:p>
        </w:tc>
      </w:tr>
      <w:tr w:rsidR="00201D4C" w:rsidRPr="005F6C2E" w14:paraId="334C4D69" w14:textId="77777777" w:rsidTr="00015B88">
        <w:tc>
          <w:tcPr>
            <w:tcW w:w="2136" w:type="dxa"/>
            <w:tcBorders>
              <w:top w:val="nil"/>
              <w:left w:val="nil"/>
              <w:bottom w:val="nil"/>
              <w:right w:val="nil"/>
            </w:tcBorders>
          </w:tcPr>
          <w:p w14:paraId="68E351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B24F4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w:t>
            </w:r>
          </w:p>
        </w:tc>
        <w:tc>
          <w:tcPr>
            <w:tcW w:w="1656" w:type="dxa"/>
            <w:tcBorders>
              <w:top w:val="nil"/>
              <w:left w:val="nil"/>
              <w:bottom w:val="nil"/>
              <w:right w:val="nil"/>
            </w:tcBorders>
          </w:tcPr>
          <w:p w14:paraId="1A978CD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(0.17)</w:t>
            </w:r>
          </w:p>
        </w:tc>
      </w:tr>
      <w:tr w:rsidR="00201D4C" w:rsidRPr="005F6C2E" w14:paraId="0F412255" w14:textId="77777777" w:rsidTr="00015B88">
        <w:tc>
          <w:tcPr>
            <w:tcW w:w="2136" w:type="dxa"/>
            <w:tcBorders>
              <w:top w:val="nil"/>
              <w:left w:val="nil"/>
              <w:bottom w:val="nil"/>
              <w:right w:val="nil"/>
            </w:tcBorders>
          </w:tcPr>
          <w:p w14:paraId="1142748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7D78D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92D95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B7910C8" w14:textId="77777777" w:rsidTr="00015B88">
        <w:tc>
          <w:tcPr>
            <w:tcW w:w="2136" w:type="dxa"/>
            <w:tcBorders>
              <w:top w:val="nil"/>
              <w:left w:val="nil"/>
              <w:bottom w:val="nil"/>
              <w:right w:val="nil"/>
            </w:tcBorders>
          </w:tcPr>
          <w:p w14:paraId="50CEC85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L4.De Facto CBI * HOS = HOG</w:t>
            </w:r>
          </w:p>
        </w:tc>
        <w:tc>
          <w:tcPr>
            <w:tcW w:w="1656" w:type="dxa"/>
            <w:tcBorders>
              <w:top w:val="nil"/>
              <w:left w:val="nil"/>
              <w:bottom w:val="nil"/>
              <w:right w:val="nil"/>
            </w:tcBorders>
          </w:tcPr>
          <w:p w14:paraId="27E83A3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-0.223</w:t>
            </w:r>
          </w:p>
        </w:tc>
        <w:tc>
          <w:tcPr>
            <w:tcW w:w="1656" w:type="dxa"/>
            <w:tcBorders>
              <w:top w:val="nil"/>
              <w:left w:val="nil"/>
              <w:bottom w:val="nil"/>
              <w:right w:val="nil"/>
            </w:tcBorders>
          </w:tcPr>
          <w:p w14:paraId="130E724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0.115</w:t>
            </w:r>
          </w:p>
        </w:tc>
      </w:tr>
      <w:tr w:rsidR="00201D4C" w:rsidRPr="005F6C2E" w14:paraId="43A4CFF0" w14:textId="77777777" w:rsidTr="00015B88">
        <w:tc>
          <w:tcPr>
            <w:tcW w:w="2136" w:type="dxa"/>
            <w:tcBorders>
              <w:top w:val="nil"/>
              <w:left w:val="nil"/>
              <w:bottom w:val="nil"/>
              <w:right w:val="nil"/>
            </w:tcBorders>
          </w:tcPr>
          <w:p w14:paraId="3E8576F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319EF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(-0.47)</w:t>
            </w:r>
          </w:p>
        </w:tc>
        <w:tc>
          <w:tcPr>
            <w:tcW w:w="1656" w:type="dxa"/>
            <w:tcBorders>
              <w:top w:val="nil"/>
              <w:left w:val="nil"/>
              <w:bottom w:val="nil"/>
              <w:right w:val="nil"/>
            </w:tcBorders>
          </w:tcPr>
          <w:p w14:paraId="07AB931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(0.22)</w:t>
            </w:r>
          </w:p>
        </w:tc>
      </w:tr>
      <w:tr w:rsidR="00201D4C" w:rsidRPr="005F6C2E" w14:paraId="49B2D327" w14:textId="77777777" w:rsidTr="00015B88">
        <w:tc>
          <w:tcPr>
            <w:tcW w:w="2136" w:type="dxa"/>
            <w:tcBorders>
              <w:top w:val="nil"/>
              <w:left w:val="nil"/>
              <w:bottom w:val="nil"/>
              <w:right w:val="nil"/>
            </w:tcBorders>
          </w:tcPr>
          <w:p w14:paraId="24C9FC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F83E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8295C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364AC19" w14:textId="77777777" w:rsidTr="00015B88">
        <w:tc>
          <w:tcPr>
            <w:tcW w:w="2136" w:type="dxa"/>
            <w:tcBorders>
              <w:top w:val="nil"/>
              <w:left w:val="nil"/>
              <w:bottom w:val="nil"/>
              <w:right w:val="nil"/>
            </w:tcBorders>
          </w:tcPr>
          <w:p w14:paraId="6C5B6E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L5.De Facto CBI * HOS = HOG</w:t>
            </w:r>
          </w:p>
        </w:tc>
        <w:tc>
          <w:tcPr>
            <w:tcW w:w="1656" w:type="dxa"/>
            <w:tcBorders>
              <w:top w:val="nil"/>
              <w:left w:val="nil"/>
              <w:bottom w:val="nil"/>
              <w:right w:val="nil"/>
            </w:tcBorders>
          </w:tcPr>
          <w:p w14:paraId="0AB12E0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-0.218</w:t>
            </w:r>
          </w:p>
        </w:tc>
        <w:tc>
          <w:tcPr>
            <w:tcW w:w="1656" w:type="dxa"/>
            <w:tcBorders>
              <w:top w:val="nil"/>
              <w:left w:val="nil"/>
              <w:bottom w:val="nil"/>
              <w:right w:val="nil"/>
            </w:tcBorders>
          </w:tcPr>
          <w:p w14:paraId="4A3F73E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-0.235</w:t>
            </w:r>
          </w:p>
        </w:tc>
      </w:tr>
      <w:tr w:rsidR="00201D4C" w:rsidRPr="005F6C2E" w14:paraId="5F2F4FF5" w14:textId="77777777" w:rsidTr="00015B88">
        <w:tc>
          <w:tcPr>
            <w:tcW w:w="2136" w:type="dxa"/>
            <w:tcBorders>
              <w:top w:val="nil"/>
              <w:left w:val="nil"/>
              <w:bottom w:val="nil"/>
              <w:right w:val="nil"/>
            </w:tcBorders>
          </w:tcPr>
          <w:p w14:paraId="482AFD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44FC2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(-0.49)</w:t>
            </w:r>
          </w:p>
        </w:tc>
        <w:tc>
          <w:tcPr>
            <w:tcW w:w="1656" w:type="dxa"/>
            <w:tcBorders>
              <w:top w:val="nil"/>
              <w:left w:val="nil"/>
              <w:bottom w:val="nil"/>
              <w:right w:val="nil"/>
            </w:tcBorders>
          </w:tcPr>
          <w:p w14:paraId="5589EA9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(-0.42)</w:t>
            </w:r>
          </w:p>
        </w:tc>
      </w:tr>
      <w:tr w:rsidR="00201D4C" w:rsidRPr="005F6C2E" w14:paraId="75195B2F" w14:textId="77777777" w:rsidTr="00015B88">
        <w:tc>
          <w:tcPr>
            <w:tcW w:w="2136" w:type="dxa"/>
            <w:tcBorders>
              <w:top w:val="nil"/>
              <w:left w:val="nil"/>
              <w:bottom w:val="nil"/>
              <w:right w:val="nil"/>
            </w:tcBorders>
          </w:tcPr>
          <w:p w14:paraId="351B62B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A6D1D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CDB46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5974627" w14:textId="77777777" w:rsidTr="00015B88">
        <w:tc>
          <w:tcPr>
            <w:tcW w:w="2136" w:type="dxa"/>
            <w:tcBorders>
              <w:top w:val="nil"/>
              <w:left w:val="nil"/>
              <w:bottom w:val="nil"/>
              <w:right w:val="nil"/>
            </w:tcBorders>
          </w:tcPr>
          <w:p w14:paraId="68CC221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L6.De Facto CBI * HOS = HOG</w:t>
            </w:r>
          </w:p>
        </w:tc>
        <w:tc>
          <w:tcPr>
            <w:tcW w:w="1656" w:type="dxa"/>
            <w:tcBorders>
              <w:top w:val="nil"/>
              <w:left w:val="nil"/>
              <w:bottom w:val="nil"/>
              <w:right w:val="nil"/>
            </w:tcBorders>
          </w:tcPr>
          <w:p w14:paraId="7A43DA1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-0.594</w:t>
            </w:r>
          </w:p>
        </w:tc>
        <w:tc>
          <w:tcPr>
            <w:tcW w:w="1656" w:type="dxa"/>
            <w:tcBorders>
              <w:top w:val="nil"/>
              <w:left w:val="nil"/>
              <w:bottom w:val="nil"/>
              <w:right w:val="nil"/>
            </w:tcBorders>
          </w:tcPr>
          <w:p w14:paraId="18127E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-0.513</w:t>
            </w:r>
          </w:p>
        </w:tc>
      </w:tr>
      <w:tr w:rsidR="00201D4C" w:rsidRPr="005F6C2E" w14:paraId="072475FF" w14:textId="77777777" w:rsidTr="00015B88">
        <w:tc>
          <w:tcPr>
            <w:tcW w:w="2136" w:type="dxa"/>
            <w:tcBorders>
              <w:top w:val="nil"/>
              <w:left w:val="nil"/>
              <w:bottom w:val="nil"/>
              <w:right w:val="nil"/>
            </w:tcBorders>
          </w:tcPr>
          <w:p w14:paraId="476B3C8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EED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(-1.55)</w:t>
            </w:r>
          </w:p>
        </w:tc>
        <w:tc>
          <w:tcPr>
            <w:tcW w:w="1656" w:type="dxa"/>
            <w:tcBorders>
              <w:top w:val="nil"/>
              <w:left w:val="nil"/>
              <w:bottom w:val="nil"/>
              <w:right w:val="nil"/>
            </w:tcBorders>
          </w:tcPr>
          <w:p w14:paraId="09DBC0C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(-1.02)</w:t>
            </w:r>
          </w:p>
        </w:tc>
      </w:tr>
      <w:tr w:rsidR="00201D4C" w:rsidRPr="005F6C2E" w14:paraId="07386AFD" w14:textId="77777777" w:rsidTr="00015B88">
        <w:tc>
          <w:tcPr>
            <w:tcW w:w="2136" w:type="dxa"/>
            <w:tcBorders>
              <w:top w:val="nil"/>
              <w:left w:val="nil"/>
              <w:bottom w:val="nil"/>
              <w:right w:val="nil"/>
            </w:tcBorders>
          </w:tcPr>
          <w:p w14:paraId="1CCF63B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30760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C1C7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141200F" w14:textId="77777777" w:rsidTr="00015B88">
        <w:tc>
          <w:tcPr>
            <w:tcW w:w="2136" w:type="dxa"/>
            <w:tcBorders>
              <w:top w:val="nil"/>
              <w:left w:val="nil"/>
              <w:bottom w:val="nil"/>
              <w:right w:val="nil"/>
            </w:tcBorders>
          </w:tcPr>
          <w:p w14:paraId="1A6D28A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L7.De Facto CBI * HOS = HOG</w:t>
            </w:r>
          </w:p>
        </w:tc>
        <w:tc>
          <w:tcPr>
            <w:tcW w:w="1656" w:type="dxa"/>
            <w:tcBorders>
              <w:top w:val="nil"/>
              <w:left w:val="nil"/>
              <w:bottom w:val="nil"/>
              <w:right w:val="nil"/>
            </w:tcBorders>
          </w:tcPr>
          <w:p w14:paraId="68BE5A9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0.635</w:t>
            </w:r>
          </w:p>
        </w:tc>
        <w:tc>
          <w:tcPr>
            <w:tcW w:w="1656" w:type="dxa"/>
            <w:tcBorders>
              <w:top w:val="nil"/>
              <w:left w:val="nil"/>
              <w:bottom w:val="nil"/>
              <w:right w:val="nil"/>
            </w:tcBorders>
          </w:tcPr>
          <w:p w14:paraId="69A6930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-0.665</w:t>
            </w:r>
          </w:p>
        </w:tc>
      </w:tr>
      <w:tr w:rsidR="00201D4C" w:rsidRPr="005F6C2E" w14:paraId="5162D806" w14:textId="77777777" w:rsidTr="00015B88">
        <w:tc>
          <w:tcPr>
            <w:tcW w:w="2136" w:type="dxa"/>
            <w:tcBorders>
              <w:top w:val="nil"/>
              <w:left w:val="nil"/>
              <w:bottom w:val="nil"/>
              <w:right w:val="nil"/>
            </w:tcBorders>
          </w:tcPr>
          <w:p w14:paraId="3A779C1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B0F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(1.61)</w:t>
            </w:r>
          </w:p>
        </w:tc>
        <w:tc>
          <w:tcPr>
            <w:tcW w:w="1656" w:type="dxa"/>
            <w:tcBorders>
              <w:top w:val="nil"/>
              <w:left w:val="nil"/>
              <w:bottom w:val="nil"/>
              <w:right w:val="nil"/>
            </w:tcBorders>
          </w:tcPr>
          <w:p w14:paraId="5291641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(-1.20)</w:t>
            </w:r>
          </w:p>
        </w:tc>
      </w:tr>
      <w:tr w:rsidR="00201D4C" w:rsidRPr="005F6C2E" w14:paraId="23AC6869" w14:textId="77777777" w:rsidTr="00015B88">
        <w:tc>
          <w:tcPr>
            <w:tcW w:w="2136" w:type="dxa"/>
            <w:tcBorders>
              <w:top w:val="nil"/>
              <w:left w:val="nil"/>
              <w:bottom w:val="nil"/>
              <w:right w:val="nil"/>
            </w:tcBorders>
          </w:tcPr>
          <w:p w14:paraId="58063BB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2CC32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77E7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A460D5E" w14:textId="77777777" w:rsidTr="00015B88">
        <w:tc>
          <w:tcPr>
            <w:tcW w:w="2136" w:type="dxa"/>
            <w:tcBorders>
              <w:top w:val="nil"/>
              <w:left w:val="nil"/>
              <w:bottom w:val="nil"/>
              <w:right w:val="nil"/>
            </w:tcBorders>
          </w:tcPr>
          <w:p w14:paraId="282E536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L8.De Facto CBI * HOS = HOG</w:t>
            </w:r>
          </w:p>
        </w:tc>
        <w:tc>
          <w:tcPr>
            <w:tcW w:w="1656" w:type="dxa"/>
            <w:tcBorders>
              <w:top w:val="nil"/>
              <w:left w:val="nil"/>
              <w:bottom w:val="nil"/>
              <w:right w:val="nil"/>
            </w:tcBorders>
          </w:tcPr>
          <w:p w14:paraId="1443107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0.613</w:t>
            </w:r>
          </w:p>
        </w:tc>
        <w:tc>
          <w:tcPr>
            <w:tcW w:w="1656" w:type="dxa"/>
            <w:tcBorders>
              <w:top w:val="nil"/>
              <w:left w:val="nil"/>
              <w:bottom w:val="nil"/>
              <w:right w:val="nil"/>
            </w:tcBorders>
          </w:tcPr>
          <w:p w14:paraId="6BDB112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0.0852</w:t>
            </w:r>
          </w:p>
        </w:tc>
      </w:tr>
      <w:tr w:rsidR="00201D4C" w:rsidRPr="005F6C2E" w14:paraId="2DCD6A01" w14:textId="77777777" w:rsidTr="00015B88">
        <w:tc>
          <w:tcPr>
            <w:tcW w:w="2136" w:type="dxa"/>
            <w:tcBorders>
              <w:top w:val="nil"/>
              <w:left w:val="nil"/>
              <w:bottom w:val="nil"/>
              <w:right w:val="nil"/>
            </w:tcBorders>
          </w:tcPr>
          <w:p w14:paraId="0C7B89F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68B9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(1.42)</w:t>
            </w:r>
          </w:p>
        </w:tc>
        <w:tc>
          <w:tcPr>
            <w:tcW w:w="1656" w:type="dxa"/>
            <w:tcBorders>
              <w:top w:val="nil"/>
              <w:left w:val="nil"/>
              <w:bottom w:val="nil"/>
              <w:right w:val="nil"/>
            </w:tcBorders>
          </w:tcPr>
          <w:p w14:paraId="1E92C5C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6E749BAC" w14:textId="77777777" w:rsidTr="00015B88">
        <w:tc>
          <w:tcPr>
            <w:tcW w:w="2136" w:type="dxa"/>
            <w:tcBorders>
              <w:top w:val="nil"/>
              <w:left w:val="nil"/>
              <w:bottom w:val="nil"/>
              <w:right w:val="nil"/>
            </w:tcBorders>
          </w:tcPr>
          <w:p w14:paraId="3C6868F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8F222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1DC68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497F4F2" w14:textId="77777777" w:rsidTr="00015B88">
        <w:tc>
          <w:tcPr>
            <w:tcW w:w="2136" w:type="dxa"/>
            <w:tcBorders>
              <w:top w:val="nil"/>
              <w:left w:val="nil"/>
              <w:bottom w:val="nil"/>
              <w:right w:val="nil"/>
            </w:tcBorders>
          </w:tcPr>
          <w:p w14:paraId="0A850B4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L9.De Facto CBI * HOS = HOG</w:t>
            </w:r>
          </w:p>
        </w:tc>
        <w:tc>
          <w:tcPr>
            <w:tcW w:w="1656" w:type="dxa"/>
            <w:tcBorders>
              <w:top w:val="nil"/>
              <w:left w:val="nil"/>
              <w:bottom w:val="nil"/>
              <w:right w:val="nil"/>
            </w:tcBorders>
          </w:tcPr>
          <w:p w14:paraId="2D0E449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-1.333</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176A054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-0.607</w:t>
            </w:r>
          </w:p>
        </w:tc>
      </w:tr>
      <w:tr w:rsidR="00201D4C" w:rsidRPr="005F6C2E" w14:paraId="694EAD4B" w14:textId="77777777" w:rsidTr="00015B88">
        <w:tc>
          <w:tcPr>
            <w:tcW w:w="2136" w:type="dxa"/>
            <w:tcBorders>
              <w:top w:val="nil"/>
              <w:left w:val="nil"/>
              <w:bottom w:val="nil"/>
              <w:right w:val="nil"/>
            </w:tcBorders>
          </w:tcPr>
          <w:p w14:paraId="049CD0F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0960A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(-2.80)</w:t>
            </w:r>
          </w:p>
        </w:tc>
        <w:tc>
          <w:tcPr>
            <w:tcW w:w="1656" w:type="dxa"/>
            <w:tcBorders>
              <w:top w:val="nil"/>
              <w:left w:val="nil"/>
              <w:bottom w:val="nil"/>
              <w:right w:val="nil"/>
            </w:tcBorders>
          </w:tcPr>
          <w:p w14:paraId="75CEE1F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(-1.18)</w:t>
            </w:r>
          </w:p>
        </w:tc>
      </w:tr>
      <w:tr w:rsidR="00201D4C" w:rsidRPr="005F6C2E" w14:paraId="5BC2B196" w14:textId="77777777" w:rsidTr="00015B88">
        <w:tc>
          <w:tcPr>
            <w:tcW w:w="2136" w:type="dxa"/>
            <w:tcBorders>
              <w:top w:val="nil"/>
              <w:left w:val="nil"/>
              <w:bottom w:val="nil"/>
              <w:right w:val="nil"/>
            </w:tcBorders>
          </w:tcPr>
          <w:p w14:paraId="0A5B132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FA912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E0F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7C97104" w14:textId="77777777" w:rsidTr="00015B88">
        <w:tc>
          <w:tcPr>
            <w:tcW w:w="2136" w:type="dxa"/>
            <w:tcBorders>
              <w:top w:val="nil"/>
              <w:left w:val="nil"/>
              <w:bottom w:val="nil"/>
              <w:right w:val="nil"/>
            </w:tcBorders>
          </w:tcPr>
          <w:p w14:paraId="5723A2A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L10.De Facto CBI * HOS = HOG</w:t>
            </w:r>
          </w:p>
        </w:tc>
        <w:tc>
          <w:tcPr>
            <w:tcW w:w="1656" w:type="dxa"/>
            <w:tcBorders>
              <w:top w:val="nil"/>
              <w:left w:val="nil"/>
              <w:bottom w:val="nil"/>
              <w:right w:val="nil"/>
            </w:tcBorders>
          </w:tcPr>
          <w:p w14:paraId="0D24C93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-0.686</w:t>
            </w:r>
          </w:p>
        </w:tc>
        <w:tc>
          <w:tcPr>
            <w:tcW w:w="1656" w:type="dxa"/>
            <w:tcBorders>
              <w:top w:val="nil"/>
              <w:left w:val="nil"/>
              <w:bottom w:val="nil"/>
              <w:right w:val="nil"/>
            </w:tcBorders>
          </w:tcPr>
          <w:p w14:paraId="57486BA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-0.129</w:t>
            </w:r>
          </w:p>
        </w:tc>
      </w:tr>
      <w:tr w:rsidR="00201D4C" w:rsidRPr="005F6C2E" w14:paraId="15335B5A" w14:textId="77777777" w:rsidTr="00015B88">
        <w:tc>
          <w:tcPr>
            <w:tcW w:w="2136" w:type="dxa"/>
            <w:tcBorders>
              <w:top w:val="nil"/>
              <w:left w:val="nil"/>
              <w:bottom w:val="nil"/>
              <w:right w:val="nil"/>
            </w:tcBorders>
          </w:tcPr>
          <w:p w14:paraId="56015C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FCC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(-1.44)</w:t>
            </w:r>
          </w:p>
        </w:tc>
        <w:tc>
          <w:tcPr>
            <w:tcW w:w="1656" w:type="dxa"/>
            <w:tcBorders>
              <w:top w:val="nil"/>
              <w:left w:val="nil"/>
              <w:bottom w:val="nil"/>
              <w:right w:val="nil"/>
            </w:tcBorders>
          </w:tcPr>
          <w:p w14:paraId="63A81B3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w:t>
            </w:r>
          </w:p>
        </w:tc>
      </w:tr>
      <w:tr w:rsidR="00201D4C" w:rsidRPr="005F6C2E" w14:paraId="68E8C6E6" w14:textId="77777777" w:rsidTr="00015B88">
        <w:tc>
          <w:tcPr>
            <w:tcW w:w="2136" w:type="dxa"/>
            <w:tcBorders>
              <w:top w:val="nil"/>
              <w:left w:val="nil"/>
              <w:bottom w:val="nil"/>
              <w:right w:val="nil"/>
            </w:tcBorders>
          </w:tcPr>
          <w:p w14:paraId="6E44356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C29D7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FDCA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670175A" w14:textId="77777777" w:rsidTr="00015B88">
        <w:tc>
          <w:tcPr>
            <w:tcW w:w="2136" w:type="dxa"/>
            <w:tcBorders>
              <w:top w:val="nil"/>
              <w:left w:val="nil"/>
              <w:bottom w:val="nil"/>
              <w:right w:val="nil"/>
            </w:tcBorders>
          </w:tcPr>
          <w:p w14:paraId="45235F7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F6C2E">
              <w:rPr>
                <w:rFonts w:ascii="Times New Roman" w:hAnsi="Times New Roman" w:cs="Times New Roman"/>
                <w:sz w:val="16"/>
                <w:szCs w:val="16"/>
              </w:rPr>
              <w:t>L.More</w:t>
            </w:r>
            <w:proofErr w:type="spellEnd"/>
            <w:r w:rsidRPr="005F6C2E">
              <w:rPr>
                <w:rFonts w:ascii="Times New Roman" w:hAnsi="Times New Roman" w:cs="Times New Roman"/>
                <w:sz w:val="16"/>
                <w:szCs w:val="16"/>
              </w:rPr>
              <w:t xml:space="preserve"> Fixed Rate * HOS = HOG</w:t>
            </w:r>
          </w:p>
        </w:tc>
        <w:tc>
          <w:tcPr>
            <w:tcW w:w="1656" w:type="dxa"/>
            <w:tcBorders>
              <w:top w:val="nil"/>
              <w:left w:val="nil"/>
              <w:bottom w:val="nil"/>
              <w:right w:val="nil"/>
            </w:tcBorders>
          </w:tcPr>
          <w:p w14:paraId="7912200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0.0314</w:t>
            </w:r>
          </w:p>
        </w:tc>
        <w:tc>
          <w:tcPr>
            <w:tcW w:w="1656" w:type="dxa"/>
            <w:tcBorders>
              <w:top w:val="nil"/>
              <w:left w:val="nil"/>
              <w:bottom w:val="nil"/>
              <w:right w:val="nil"/>
            </w:tcBorders>
          </w:tcPr>
          <w:p w14:paraId="4762ED6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0.158</w:t>
            </w:r>
          </w:p>
        </w:tc>
      </w:tr>
      <w:tr w:rsidR="00201D4C" w:rsidRPr="005F6C2E" w14:paraId="635E1FD0" w14:textId="77777777" w:rsidTr="00015B88">
        <w:tc>
          <w:tcPr>
            <w:tcW w:w="2136" w:type="dxa"/>
            <w:tcBorders>
              <w:top w:val="nil"/>
              <w:left w:val="nil"/>
              <w:bottom w:val="nil"/>
              <w:right w:val="nil"/>
            </w:tcBorders>
          </w:tcPr>
          <w:p w14:paraId="453CDB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D5E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(0.26)</w:t>
            </w:r>
          </w:p>
        </w:tc>
        <w:tc>
          <w:tcPr>
            <w:tcW w:w="1656" w:type="dxa"/>
            <w:tcBorders>
              <w:top w:val="nil"/>
              <w:left w:val="nil"/>
              <w:bottom w:val="nil"/>
              <w:right w:val="nil"/>
            </w:tcBorders>
          </w:tcPr>
          <w:p w14:paraId="5DCF99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(0.88)</w:t>
            </w:r>
          </w:p>
        </w:tc>
      </w:tr>
      <w:tr w:rsidR="00201D4C" w:rsidRPr="005F6C2E" w14:paraId="572A7FDD" w14:textId="77777777" w:rsidTr="00015B88">
        <w:tc>
          <w:tcPr>
            <w:tcW w:w="2136" w:type="dxa"/>
            <w:tcBorders>
              <w:top w:val="nil"/>
              <w:left w:val="nil"/>
              <w:bottom w:val="nil"/>
              <w:right w:val="nil"/>
            </w:tcBorders>
          </w:tcPr>
          <w:p w14:paraId="2CF7566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AF0E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B8CA4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C88A592" w14:textId="77777777" w:rsidTr="00015B88">
        <w:tc>
          <w:tcPr>
            <w:tcW w:w="2136" w:type="dxa"/>
            <w:tcBorders>
              <w:top w:val="nil"/>
              <w:left w:val="nil"/>
              <w:bottom w:val="nil"/>
              <w:right w:val="nil"/>
            </w:tcBorders>
          </w:tcPr>
          <w:p w14:paraId="1478273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L2.More Fixed Rate * HOS = HOG</w:t>
            </w:r>
          </w:p>
        </w:tc>
        <w:tc>
          <w:tcPr>
            <w:tcW w:w="1656" w:type="dxa"/>
            <w:tcBorders>
              <w:top w:val="nil"/>
              <w:left w:val="nil"/>
              <w:bottom w:val="nil"/>
              <w:right w:val="nil"/>
            </w:tcBorders>
          </w:tcPr>
          <w:p w14:paraId="6084377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0.0567</w:t>
            </w:r>
          </w:p>
        </w:tc>
        <w:tc>
          <w:tcPr>
            <w:tcW w:w="1656" w:type="dxa"/>
            <w:tcBorders>
              <w:top w:val="nil"/>
              <w:left w:val="nil"/>
              <w:bottom w:val="nil"/>
              <w:right w:val="nil"/>
            </w:tcBorders>
          </w:tcPr>
          <w:p w14:paraId="4B51116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-0.195</w:t>
            </w:r>
          </w:p>
        </w:tc>
      </w:tr>
      <w:tr w:rsidR="00201D4C" w:rsidRPr="005F6C2E" w14:paraId="3600E7CF" w14:textId="77777777" w:rsidTr="00015B88">
        <w:tc>
          <w:tcPr>
            <w:tcW w:w="2136" w:type="dxa"/>
            <w:tcBorders>
              <w:top w:val="nil"/>
              <w:left w:val="nil"/>
              <w:bottom w:val="nil"/>
              <w:right w:val="nil"/>
            </w:tcBorders>
          </w:tcPr>
          <w:p w14:paraId="414494E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0301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(0.55)</w:t>
            </w:r>
          </w:p>
        </w:tc>
        <w:tc>
          <w:tcPr>
            <w:tcW w:w="1656" w:type="dxa"/>
            <w:tcBorders>
              <w:top w:val="nil"/>
              <w:left w:val="nil"/>
              <w:bottom w:val="nil"/>
              <w:right w:val="nil"/>
            </w:tcBorders>
          </w:tcPr>
          <w:p w14:paraId="2B12A11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(-1.65)</w:t>
            </w:r>
          </w:p>
        </w:tc>
      </w:tr>
      <w:tr w:rsidR="00201D4C" w:rsidRPr="005F6C2E" w14:paraId="37E1D511" w14:textId="77777777" w:rsidTr="00015B88">
        <w:tc>
          <w:tcPr>
            <w:tcW w:w="2136" w:type="dxa"/>
            <w:tcBorders>
              <w:top w:val="nil"/>
              <w:left w:val="nil"/>
              <w:bottom w:val="nil"/>
              <w:right w:val="nil"/>
            </w:tcBorders>
          </w:tcPr>
          <w:p w14:paraId="5BC9D23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92053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DEA6C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59A5495" w14:textId="77777777" w:rsidTr="00015B88">
        <w:tc>
          <w:tcPr>
            <w:tcW w:w="2136" w:type="dxa"/>
            <w:tcBorders>
              <w:top w:val="nil"/>
              <w:left w:val="nil"/>
              <w:bottom w:val="nil"/>
              <w:right w:val="nil"/>
            </w:tcBorders>
          </w:tcPr>
          <w:p w14:paraId="6DB7B40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L3.More Fixed Rate * HOS = HOG</w:t>
            </w:r>
          </w:p>
        </w:tc>
        <w:tc>
          <w:tcPr>
            <w:tcW w:w="1656" w:type="dxa"/>
            <w:tcBorders>
              <w:top w:val="nil"/>
              <w:left w:val="nil"/>
              <w:bottom w:val="nil"/>
              <w:right w:val="nil"/>
            </w:tcBorders>
          </w:tcPr>
          <w:p w14:paraId="3B8376D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-0.0400</w:t>
            </w:r>
          </w:p>
        </w:tc>
        <w:tc>
          <w:tcPr>
            <w:tcW w:w="1656" w:type="dxa"/>
            <w:tcBorders>
              <w:top w:val="nil"/>
              <w:left w:val="nil"/>
              <w:bottom w:val="nil"/>
              <w:right w:val="nil"/>
            </w:tcBorders>
          </w:tcPr>
          <w:p w14:paraId="3D731CC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-0.0399</w:t>
            </w:r>
          </w:p>
        </w:tc>
      </w:tr>
      <w:tr w:rsidR="00201D4C" w:rsidRPr="005F6C2E" w14:paraId="580AD236" w14:textId="77777777" w:rsidTr="00015B88">
        <w:tc>
          <w:tcPr>
            <w:tcW w:w="2136" w:type="dxa"/>
            <w:tcBorders>
              <w:top w:val="nil"/>
              <w:left w:val="nil"/>
              <w:bottom w:val="nil"/>
              <w:right w:val="nil"/>
            </w:tcBorders>
          </w:tcPr>
          <w:p w14:paraId="2CABA7E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61A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(-0.41)</w:t>
            </w:r>
          </w:p>
        </w:tc>
        <w:tc>
          <w:tcPr>
            <w:tcW w:w="1656" w:type="dxa"/>
            <w:tcBorders>
              <w:top w:val="nil"/>
              <w:left w:val="nil"/>
              <w:bottom w:val="nil"/>
              <w:right w:val="nil"/>
            </w:tcBorders>
          </w:tcPr>
          <w:p w14:paraId="1233F33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(-0.27)</w:t>
            </w:r>
          </w:p>
        </w:tc>
      </w:tr>
      <w:tr w:rsidR="00201D4C" w:rsidRPr="005F6C2E" w14:paraId="64EC23D5" w14:textId="77777777" w:rsidTr="00015B88">
        <w:tc>
          <w:tcPr>
            <w:tcW w:w="2136" w:type="dxa"/>
            <w:tcBorders>
              <w:top w:val="nil"/>
              <w:left w:val="nil"/>
              <w:bottom w:val="nil"/>
              <w:right w:val="nil"/>
            </w:tcBorders>
          </w:tcPr>
          <w:p w14:paraId="322F34A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334F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2F8B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0982264" w14:textId="77777777" w:rsidTr="00015B88">
        <w:tc>
          <w:tcPr>
            <w:tcW w:w="2136" w:type="dxa"/>
            <w:tcBorders>
              <w:top w:val="nil"/>
              <w:left w:val="nil"/>
              <w:bottom w:val="nil"/>
              <w:right w:val="nil"/>
            </w:tcBorders>
          </w:tcPr>
          <w:p w14:paraId="522798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L4.More Fixed Rate * HOS = HOG</w:t>
            </w:r>
          </w:p>
        </w:tc>
        <w:tc>
          <w:tcPr>
            <w:tcW w:w="1656" w:type="dxa"/>
            <w:tcBorders>
              <w:top w:val="nil"/>
              <w:left w:val="nil"/>
              <w:bottom w:val="nil"/>
              <w:right w:val="nil"/>
            </w:tcBorders>
          </w:tcPr>
          <w:p w14:paraId="5416B10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0.114</w:t>
            </w:r>
          </w:p>
        </w:tc>
        <w:tc>
          <w:tcPr>
            <w:tcW w:w="1656" w:type="dxa"/>
            <w:tcBorders>
              <w:top w:val="nil"/>
              <w:left w:val="nil"/>
              <w:bottom w:val="nil"/>
              <w:right w:val="nil"/>
            </w:tcBorders>
          </w:tcPr>
          <w:p w14:paraId="0591316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0.112</w:t>
            </w:r>
          </w:p>
        </w:tc>
      </w:tr>
      <w:tr w:rsidR="00201D4C" w:rsidRPr="005F6C2E" w14:paraId="5D2A4657" w14:textId="77777777" w:rsidTr="00015B88">
        <w:tc>
          <w:tcPr>
            <w:tcW w:w="2136" w:type="dxa"/>
            <w:tcBorders>
              <w:top w:val="nil"/>
              <w:left w:val="nil"/>
              <w:bottom w:val="nil"/>
              <w:right w:val="nil"/>
            </w:tcBorders>
          </w:tcPr>
          <w:p w14:paraId="276C244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7A7D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(1.06)</w:t>
            </w:r>
          </w:p>
        </w:tc>
        <w:tc>
          <w:tcPr>
            <w:tcW w:w="1656" w:type="dxa"/>
            <w:tcBorders>
              <w:top w:val="nil"/>
              <w:left w:val="nil"/>
              <w:bottom w:val="nil"/>
              <w:right w:val="nil"/>
            </w:tcBorders>
          </w:tcPr>
          <w:p w14:paraId="72AF590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(0.67)</w:t>
            </w:r>
          </w:p>
        </w:tc>
      </w:tr>
      <w:tr w:rsidR="00201D4C" w:rsidRPr="005F6C2E" w14:paraId="64C64161" w14:textId="77777777" w:rsidTr="00015B88">
        <w:tc>
          <w:tcPr>
            <w:tcW w:w="2136" w:type="dxa"/>
            <w:tcBorders>
              <w:top w:val="nil"/>
              <w:left w:val="nil"/>
              <w:bottom w:val="nil"/>
              <w:right w:val="nil"/>
            </w:tcBorders>
          </w:tcPr>
          <w:p w14:paraId="39D95E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FEFE1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6FA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9CFE4E5" w14:textId="77777777" w:rsidTr="00015B88">
        <w:tc>
          <w:tcPr>
            <w:tcW w:w="2136" w:type="dxa"/>
            <w:tcBorders>
              <w:top w:val="nil"/>
              <w:left w:val="nil"/>
              <w:bottom w:val="nil"/>
              <w:right w:val="nil"/>
            </w:tcBorders>
          </w:tcPr>
          <w:p w14:paraId="24C70A6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L5.More Fixed Rate * HOS = HOG</w:t>
            </w:r>
          </w:p>
        </w:tc>
        <w:tc>
          <w:tcPr>
            <w:tcW w:w="1656" w:type="dxa"/>
            <w:tcBorders>
              <w:top w:val="nil"/>
              <w:left w:val="nil"/>
              <w:bottom w:val="nil"/>
              <w:right w:val="nil"/>
            </w:tcBorders>
          </w:tcPr>
          <w:p w14:paraId="02E77F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-0.0122</w:t>
            </w:r>
          </w:p>
        </w:tc>
        <w:tc>
          <w:tcPr>
            <w:tcW w:w="1656" w:type="dxa"/>
            <w:tcBorders>
              <w:top w:val="nil"/>
              <w:left w:val="nil"/>
              <w:bottom w:val="nil"/>
              <w:right w:val="nil"/>
            </w:tcBorders>
          </w:tcPr>
          <w:p w14:paraId="0603757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-0.201</w:t>
            </w:r>
          </w:p>
        </w:tc>
      </w:tr>
      <w:tr w:rsidR="00201D4C" w:rsidRPr="005F6C2E" w14:paraId="486BC3D6" w14:textId="77777777" w:rsidTr="00015B88">
        <w:tc>
          <w:tcPr>
            <w:tcW w:w="2136" w:type="dxa"/>
            <w:tcBorders>
              <w:top w:val="nil"/>
              <w:left w:val="nil"/>
              <w:bottom w:val="nil"/>
              <w:right w:val="nil"/>
            </w:tcBorders>
          </w:tcPr>
          <w:p w14:paraId="778CFAC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7CCEF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w:t>
            </w:r>
          </w:p>
        </w:tc>
        <w:tc>
          <w:tcPr>
            <w:tcW w:w="1656" w:type="dxa"/>
            <w:tcBorders>
              <w:top w:val="nil"/>
              <w:left w:val="nil"/>
              <w:bottom w:val="nil"/>
              <w:right w:val="nil"/>
            </w:tcBorders>
          </w:tcPr>
          <w:p w14:paraId="2D1C1E7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(-1.24)</w:t>
            </w:r>
          </w:p>
        </w:tc>
      </w:tr>
      <w:tr w:rsidR="00201D4C" w:rsidRPr="005F6C2E" w14:paraId="004C1EB3" w14:textId="77777777" w:rsidTr="00015B88">
        <w:tc>
          <w:tcPr>
            <w:tcW w:w="2136" w:type="dxa"/>
            <w:tcBorders>
              <w:top w:val="nil"/>
              <w:left w:val="nil"/>
              <w:bottom w:val="nil"/>
              <w:right w:val="nil"/>
            </w:tcBorders>
          </w:tcPr>
          <w:p w14:paraId="6944CE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E2AB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79C10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78C163F" w14:textId="77777777" w:rsidTr="00015B88">
        <w:tc>
          <w:tcPr>
            <w:tcW w:w="2136" w:type="dxa"/>
            <w:tcBorders>
              <w:top w:val="nil"/>
              <w:left w:val="nil"/>
              <w:bottom w:val="nil"/>
              <w:right w:val="nil"/>
            </w:tcBorders>
          </w:tcPr>
          <w:p w14:paraId="034271F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L6.More Fixed Rate * HOS = HOG</w:t>
            </w:r>
          </w:p>
        </w:tc>
        <w:tc>
          <w:tcPr>
            <w:tcW w:w="1656" w:type="dxa"/>
            <w:tcBorders>
              <w:top w:val="nil"/>
              <w:left w:val="nil"/>
              <w:bottom w:val="nil"/>
              <w:right w:val="nil"/>
            </w:tcBorders>
          </w:tcPr>
          <w:p w14:paraId="271B391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-0.197</w:t>
            </w:r>
          </w:p>
        </w:tc>
        <w:tc>
          <w:tcPr>
            <w:tcW w:w="1656" w:type="dxa"/>
            <w:tcBorders>
              <w:top w:val="nil"/>
              <w:left w:val="nil"/>
              <w:bottom w:val="nil"/>
              <w:right w:val="nil"/>
            </w:tcBorders>
          </w:tcPr>
          <w:p w14:paraId="5A6A3B8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0.202</w:t>
            </w:r>
          </w:p>
        </w:tc>
      </w:tr>
      <w:tr w:rsidR="00201D4C" w:rsidRPr="005F6C2E" w14:paraId="1C2A7909" w14:textId="77777777" w:rsidTr="00015B88">
        <w:tc>
          <w:tcPr>
            <w:tcW w:w="2136" w:type="dxa"/>
            <w:tcBorders>
              <w:top w:val="nil"/>
              <w:left w:val="nil"/>
              <w:bottom w:val="nil"/>
              <w:right w:val="nil"/>
            </w:tcBorders>
          </w:tcPr>
          <w:p w14:paraId="643E38D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774A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(-1.77)</w:t>
            </w:r>
          </w:p>
        </w:tc>
        <w:tc>
          <w:tcPr>
            <w:tcW w:w="1656" w:type="dxa"/>
            <w:tcBorders>
              <w:top w:val="nil"/>
              <w:left w:val="nil"/>
              <w:bottom w:val="nil"/>
              <w:right w:val="nil"/>
            </w:tcBorders>
          </w:tcPr>
          <w:p w14:paraId="18E348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(1.69)</w:t>
            </w:r>
          </w:p>
        </w:tc>
      </w:tr>
      <w:tr w:rsidR="00201D4C" w:rsidRPr="005F6C2E" w14:paraId="0DF9B2CA" w14:textId="77777777" w:rsidTr="00015B88">
        <w:tc>
          <w:tcPr>
            <w:tcW w:w="2136" w:type="dxa"/>
            <w:tcBorders>
              <w:top w:val="nil"/>
              <w:left w:val="nil"/>
              <w:bottom w:val="nil"/>
              <w:right w:val="nil"/>
            </w:tcBorders>
          </w:tcPr>
          <w:p w14:paraId="247221D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816B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BF80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B7DC5A2" w14:textId="77777777" w:rsidTr="00015B88">
        <w:tc>
          <w:tcPr>
            <w:tcW w:w="2136" w:type="dxa"/>
            <w:tcBorders>
              <w:top w:val="nil"/>
              <w:left w:val="nil"/>
              <w:bottom w:val="nil"/>
              <w:right w:val="nil"/>
            </w:tcBorders>
          </w:tcPr>
          <w:p w14:paraId="3F4CA60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 xml:space="preserve">L7.More Fixed Rate * HOS = </w:t>
            </w:r>
            <w:r w:rsidRPr="005F6C2E">
              <w:rPr>
                <w:rFonts w:ascii="Times New Roman" w:hAnsi="Times New Roman" w:cs="Times New Roman"/>
                <w:sz w:val="16"/>
                <w:szCs w:val="16"/>
              </w:rPr>
              <w:lastRenderedPageBreak/>
              <w:t>HOG</w:t>
            </w:r>
          </w:p>
        </w:tc>
        <w:tc>
          <w:tcPr>
            <w:tcW w:w="1656" w:type="dxa"/>
            <w:tcBorders>
              <w:top w:val="nil"/>
              <w:left w:val="nil"/>
              <w:bottom w:val="nil"/>
              <w:right w:val="nil"/>
            </w:tcBorders>
          </w:tcPr>
          <w:p w14:paraId="7A895E2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lastRenderedPageBreak/>
              <w:t>0.0376</w:t>
            </w:r>
          </w:p>
        </w:tc>
        <w:tc>
          <w:tcPr>
            <w:tcW w:w="1656" w:type="dxa"/>
            <w:tcBorders>
              <w:top w:val="nil"/>
              <w:left w:val="nil"/>
              <w:bottom w:val="nil"/>
              <w:right w:val="nil"/>
            </w:tcBorders>
          </w:tcPr>
          <w:p w14:paraId="02EE370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-0.0141</w:t>
            </w:r>
          </w:p>
        </w:tc>
      </w:tr>
      <w:tr w:rsidR="00201D4C" w:rsidRPr="005F6C2E" w14:paraId="7A587622" w14:textId="77777777" w:rsidTr="00015B88">
        <w:tc>
          <w:tcPr>
            <w:tcW w:w="2136" w:type="dxa"/>
            <w:tcBorders>
              <w:top w:val="nil"/>
              <w:left w:val="nil"/>
              <w:bottom w:val="nil"/>
              <w:right w:val="nil"/>
            </w:tcBorders>
          </w:tcPr>
          <w:p w14:paraId="4313A2B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572EC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(0.35)</w:t>
            </w:r>
          </w:p>
        </w:tc>
        <w:tc>
          <w:tcPr>
            <w:tcW w:w="1656" w:type="dxa"/>
            <w:tcBorders>
              <w:top w:val="nil"/>
              <w:left w:val="nil"/>
              <w:bottom w:val="nil"/>
              <w:right w:val="nil"/>
            </w:tcBorders>
          </w:tcPr>
          <w:p w14:paraId="22AA38B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(-0.10)</w:t>
            </w:r>
          </w:p>
        </w:tc>
      </w:tr>
      <w:tr w:rsidR="00201D4C" w:rsidRPr="005F6C2E" w14:paraId="2C40DA07" w14:textId="77777777" w:rsidTr="00015B88">
        <w:tc>
          <w:tcPr>
            <w:tcW w:w="2136" w:type="dxa"/>
            <w:tcBorders>
              <w:top w:val="nil"/>
              <w:left w:val="nil"/>
              <w:bottom w:val="nil"/>
              <w:right w:val="nil"/>
            </w:tcBorders>
          </w:tcPr>
          <w:p w14:paraId="2EB8DF6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5F564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7E80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02CCEBC" w14:textId="77777777" w:rsidTr="00015B88">
        <w:tc>
          <w:tcPr>
            <w:tcW w:w="2136" w:type="dxa"/>
            <w:tcBorders>
              <w:top w:val="nil"/>
              <w:left w:val="nil"/>
              <w:bottom w:val="nil"/>
              <w:right w:val="nil"/>
            </w:tcBorders>
          </w:tcPr>
          <w:p w14:paraId="4EF90B9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L8.More Fixed Rate * HOS = HOG</w:t>
            </w:r>
          </w:p>
        </w:tc>
        <w:tc>
          <w:tcPr>
            <w:tcW w:w="1656" w:type="dxa"/>
            <w:tcBorders>
              <w:top w:val="nil"/>
              <w:left w:val="nil"/>
              <w:bottom w:val="nil"/>
              <w:right w:val="nil"/>
            </w:tcBorders>
          </w:tcPr>
          <w:p w14:paraId="433DAF6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0.0549</w:t>
            </w:r>
          </w:p>
        </w:tc>
        <w:tc>
          <w:tcPr>
            <w:tcW w:w="1656" w:type="dxa"/>
            <w:tcBorders>
              <w:top w:val="nil"/>
              <w:left w:val="nil"/>
              <w:bottom w:val="nil"/>
              <w:right w:val="nil"/>
            </w:tcBorders>
          </w:tcPr>
          <w:p w14:paraId="307E508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0.0165</w:t>
            </w:r>
          </w:p>
        </w:tc>
      </w:tr>
      <w:tr w:rsidR="00201D4C" w:rsidRPr="005F6C2E" w14:paraId="46249531" w14:textId="77777777" w:rsidTr="00015B88">
        <w:tc>
          <w:tcPr>
            <w:tcW w:w="2136" w:type="dxa"/>
            <w:tcBorders>
              <w:top w:val="nil"/>
              <w:left w:val="nil"/>
              <w:bottom w:val="nil"/>
              <w:right w:val="nil"/>
            </w:tcBorders>
          </w:tcPr>
          <w:p w14:paraId="5203AF6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CE99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(0.58)</w:t>
            </w:r>
          </w:p>
        </w:tc>
        <w:tc>
          <w:tcPr>
            <w:tcW w:w="1656" w:type="dxa"/>
            <w:tcBorders>
              <w:top w:val="nil"/>
              <w:left w:val="nil"/>
              <w:bottom w:val="nil"/>
              <w:right w:val="nil"/>
            </w:tcBorders>
          </w:tcPr>
          <w:p w14:paraId="574A590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3C198648" w14:textId="77777777" w:rsidTr="00015B88">
        <w:tc>
          <w:tcPr>
            <w:tcW w:w="2136" w:type="dxa"/>
            <w:tcBorders>
              <w:top w:val="nil"/>
              <w:left w:val="nil"/>
              <w:bottom w:val="nil"/>
              <w:right w:val="nil"/>
            </w:tcBorders>
          </w:tcPr>
          <w:p w14:paraId="047C624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3F43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4CF6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956545E" w14:textId="77777777" w:rsidTr="00015B88">
        <w:tc>
          <w:tcPr>
            <w:tcW w:w="2136" w:type="dxa"/>
            <w:tcBorders>
              <w:top w:val="nil"/>
              <w:left w:val="nil"/>
              <w:bottom w:val="nil"/>
              <w:right w:val="nil"/>
            </w:tcBorders>
          </w:tcPr>
          <w:p w14:paraId="3A413A8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L9.More Fixed Rate * HOS = HOG</w:t>
            </w:r>
          </w:p>
        </w:tc>
        <w:tc>
          <w:tcPr>
            <w:tcW w:w="1656" w:type="dxa"/>
            <w:tcBorders>
              <w:top w:val="nil"/>
              <w:left w:val="nil"/>
              <w:bottom w:val="nil"/>
              <w:right w:val="nil"/>
            </w:tcBorders>
          </w:tcPr>
          <w:p w14:paraId="736FBDC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0.0707</w:t>
            </w:r>
          </w:p>
        </w:tc>
        <w:tc>
          <w:tcPr>
            <w:tcW w:w="1656" w:type="dxa"/>
            <w:tcBorders>
              <w:top w:val="nil"/>
              <w:left w:val="nil"/>
              <w:bottom w:val="nil"/>
              <w:right w:val="nil"/>
            </w:tcBorders>
          </w:tcPr>
          <w:p w14:paraId="20D0B95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0.0448</w:t>
            </w:r>
          </w:p>
        </w:tc>
      </w:tr>
      <w:tr w:rsidR="00201D4C" w:rsidRPr="005F6C2E" w14:paraId="4862210D" w14:textId="77777777" w:rsidTr="00015B88">
        <w:tc>
          <w:tcPr>
            <w:tcW w:w="2136" w:type="dxa"/>
            <w:tcBorders>
              <w:top w:val="nil"/>
              <w:left w:val="nil"/>
              <w:bottom w:val="nil"/>
              <w:right w:val="nil"/>
            </w:tcBorders>
          </w:tcPr>
          <w:p w14:paraId="3FEF60C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147A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(0.75)</w:t>
            </w:r>
          </w:p>
        </w:tc>
        <w:tc>
          <w:tcPr>
            <w:tcW w:w="1656" w:type="dxa"/>
            <w:tcBorders>
              <w:top w:val="nil"/>
              <w:left w:val="nil"/>
              <w:bottom w:val="nil"/>
              <w:right w:val="nil"/>
            </w:tcBorders>
          </w:tcPr>
          <w:p w14:paraId="7807A2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(0.42)</w:t>
            </w:r>
          </w:p>
        </w:tc>
      </w:tr>
      <w:tr w:rsidR="00201D4C" w:rsidRPr="005F6C2E" w14:paraId="2EE16F60" w14:textId="77777777" w:rsidTr="00015B88">
        <w:tc>
          <w:tcPr>
            <w:tcW w:w="2136" w:type="dxa"/>
            <w:tcBorders>
              <w:top w:val="nil"/>
              <w:left w:val="nil"/>
              <w:bottom w:val="nil"/>
              <w:right w:val="nil"/>
            </w:tcBorders>
          </w:tcPr>
          <w:p w14:paraId="779AD37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AED9E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EAB8A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94D2C11" w14:textId="77777777" w:rsidTr="00015B88">
        <w:tc>
          <w:tcPr>
            <w:tcW w:w="2136" w:type="dxa"/>
            <w:tcBorders>
              <w:top w:val="nil"/>
              <w:left w:val="nil"/>
              <w:bottom w:val="nil"/>
              <w:right w:val="nil"/>
            </w:tcBorders>
          </w:tcPr>
          <w:p w14:paraId="197A7A7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L10.More Fixed Rate * HOS = HOG</w:t>
            </w:r>
          </w:p>
        </w:tc>
        <w:tc>
          <w:tcPr>
            <w:tcW w:w="1656" w:type="dxa"/>
            <w:tcBorders>
              <w:top w:val="nil"/>
              <w:left w:val="nil"/>
              <w:bottom w:val="nil"/>
              <w:right w:val="nil"/>
            </w:tcBorders>
          </w:tcPr>
          <w:p w14:paraId="0AB7D5E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-0.0160</w:t>
            </w:r>
          </w:p>
        </w:tc>
        <w:tc>
          <w:tcPr>
            <w:tcW w:w="1656" w:type="dxa"/>
            <w:tcBorders>
              <w:top w:val="nil"/>
              <w:left w:val="nil"/>
              <w:bottom w:val="nil"/>
              <w:right w:val="nil"/>
            </w:tcBorders>
          </w:tcPr>
          <w:p w14:paraId="4995059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-0.0937</w:t>
            </w:r>
          </w:p>
        </w:tc>
      </w:tr>
      <w:tr w:rsidR="00201D4C" w:rsidRPr="005F6C2E" w14:paraId="6A6927B8" w14:textId="77777777" w:rsidTr="00015B88">
        <w:tc>
          <w:tcPr>
            <w:tcW w:w="2136" w:type="dxa"/>
            <w:tcBorders>
              <w:top w:val="nil"/>
              <w:left w:val="nil"/>
              <w:bottom w:val="nil"/>
              <w:right w:val="nil"/>
            </w:tcBorders>
          </w:tcPr>
          <w:p w14:paraId="30A0751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A042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w:t>
            </w:r>
          </w:p>
        </w:tc>
        <w:tc>
          <w:tcPr>
            <w:tcW w:w="1656" w:type="dxa"/>
            <w:tcBorders>
              <w:top w:val="nil"/>
              <w:left w:val="nil"/>
              <w:bottom w:val="nil"/>
              <w:right w:val="nil"/>
            </w:tcBorders>
          </w:tcPr>
          <w:p w14:paraId="793DF02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(-0.88)</w:t>
            </w:r>
          </w:p>
        </w:tc>
      </w:tr>
      <w:tr w:rsidR="00201D4C" w:rsidRPr="005F6C2E" w14:paraId="725A76C1" w14:textId="77777777" w:rsidTr="00015B88">
        <w:tc>
          <w:tcPr>
            <w:tcW w:w="2136" w:type="dxa"/>
            <w:tcBorders>
              <w:top w:val="nil"/>
              <w:left w:val="nil"/>
              <w:bottom w:val="nil"/>
              <w:right w:val="nil"/>
            </w:tcBorders>
          </w:tcPr>
          <w:p w14:paraId="5F25AB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41035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2986C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AAEE7AC" w14:textId="77777777" w:rsidTr="00015B88">
        <w:tc>
          <w:tcPr>
            <w:tcW w:w="2136" w:type="dxa"/>
            <w:tcBorders>
              <w:top w:val="nil"/>
              <w:left w:val="nil"/>
              <w:bottom w:val="nil"/>
              <w:right w:val="nil"/>
            </w:tcBorders>
          </w:tcPr>
          <w:p w14:paraId="138AB20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4ADD011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B7F0EC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42792E72" w14:textId="77777777" w:rsidTr="00015B88">
        <w:tc>
          <w:tcPr>
            <w:tcW w:w="2136" w:type="dxa"/>
            <w:tcBorders>
              <w:top w:val="nil"/>
              <w:left w:val="nil"/>
              <w:bottom w:val="nil"/>
              <w:right w:val="nil"/>
            </w:tcBorders>
          </w:tcPr>
          <w:p w14:paraId="02FAAB0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FAA1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DAE2FC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0EAAFA56" w14:textId="77777777" w:rsidTr="00015B88">
        <w:tc>
          <w:tcPr>
            <w:tcW w:w="2136" w:type="dxa"/>
            <w:tcBorders>
              <w:top w:val="single" w:sz="4" w:space="0" w:color="auto"/>
              <w:left w:val="nil"/>
              <w:bottom w:val="nil"/>
              <w:right w:val="nil"/>
            </w:tcBorders>
          </w:tcPr>
          <w:p w14:paraId="3DF796B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5E5DD95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1690B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4BF1D17E" w14:textId="77777777" w:rsidTr="00015B88">
        <w:tc>
          <w:tcPr>
            <w:tcW w:w="2136" w:type="dxa"/>
            <w:tcBorders>
              <w:top w:val="nil"/>
              <w:left w:val="nil"/>
              <w:bottom w:val="nil"/>
              <w:right w:val="nil"/>
            </w:tcBorders>
          </w:tcPr>
          <w:p w14:paraId="50525D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02DEBFA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0.620</w:t>
            </w:r>
          </w:p>
        </w:tc>
        <w:tc>
          <w:tcPr>
            <w:tcW w:w="1656" w:type="dxa"/>
            <w:tcBorders>
              <w:top w:val="nil"/>
              <w:left w:val="nil"/>
              <w:bottom w:val="nil"/>
              <w:right w:val="nil"/>
            </w:tcBorders>
          </w:tcPr>
          <w:p w14:paraId="366B658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2.911</w:t>
            </w:r>
            <w:r w:rsidRPr="005F6C2E">
              <w:rPr>
                <w:rFonts w:ascii="Times New Roman" w:hAnsi="Times New Roman" w:cs="Times New Roman"/>
                <w:sz w:val="16"/>
                <w:szCs w:val="16"/>
                <w:vertAlign w:val="superscript"/>
              </w:rPr>
              <w:t>*</w:t>
            </w:r>
          </w:p>
        </w:tc>
      </w:tr>
      <w:tr w:rsidR="00201D4C" w:rsidRPr="005F6C2E" w14:paraId="06427A63" w14:textId="77777777" w:rsidTr="00015B88">
        <w:tc>
          <w:tcPr>
            <w:tcW w:w="2136" w:type="dxa"/>
            <w:tcBorders>
              <w:top w:val="nil"/>
              <w:left w:val="nil"/>
              <w:bottom w:val="nil"/>
              <w:right w:val="nil"/>
            </w:tcBorders>
          </w:tcPr>
          <w:p w14:paraId="16FEA7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7C22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(0.60)</w:t>
            </w:r>
          </w:p>
        </w:tc>
        <w:tc>
          <w:tcPr>
            <w:tcW w:w="1656" w:type="dxa"/>
            <w:tcBorders>
              <w:top w:val="nil"/>
              <w:left w:val="nil"/>
              <w:bottom w:val="nil"/>
              <w:right w:val="nil"/>
            </w:tcBorders>
          </w:tcPr>
          <w:p w14:paraId="075F4C5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(2.35)</w:t>
            </w:r>
          </w:p>
        </w:tc>
      </w:tr>
      <w:tr w:rsidR="00201D4C" w:rsidRPr="005F6C2E" w14:paraId="1BE7CA8E" w14:textId="77777777" w:rsidTr="00015B88">
        <w:tc>
          <w:tcPr>
            <w:tcW w:w="2136" w:type="dxa"/>
            <w:tcBorders>
              <w:top w:val="single" w:sz="4" w:space="0" w:color="auto"/>
              <w:left w:val="nil"/>
              <w:bottom w:val="nil"/>
              <w:right w:val="nil"/>
            </w:tcBorders>
          </w:tcPr>
          <w:p w14:paraId="3F5DCDE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CB0072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0E676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33881F42" w14:textId="77777777" w:rsidTr="00015B88">
        <w:tc>
          <w:tcPr>
            <w:tcW w:w="2136" w:type="dxa"/>
            <w:tcBorders>
              <w:top w:val="nil"/>
              <w:left w:val="nil"/>
              <w:bottom w:val="nil"/>
              <w:right w:val="nil"/>
            </w:tcBorders>
          </w:tcPr>
          <w:p w14:paraId="26526A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42C5C99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1.071</w:t>
            </w:r>
          </w:p>
        </w:tc>
        <w:tc>
          <w:tcPr>
            <w:tcW w:w="1656" w:type="dxa"/>
            <w:tcBorders>
              <w:top w:val="nil"/>
              <w:left w:val="nil"/>
              <w:bottom w:val="nil"/>
              <w:right w:val="nil"/>
            </w:tcBorders>
          </w:tcPr>
          <w:p w14:paraId="38D3A51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3.476</w:t>
            </w:r>
            <w:r w:rsidRPr="005F6C2E">
              <w:rPr>
                <w:rFonts w:ascii="Times New Roman" w:hAnsi="Times New Roman" w:cs="Times New Roman"/>
                <w:sz w:val="16"/>
                <w:szCs w:val="16"/>
                <w:vertAlign w:val="superscript"/>
              </w:rPr>
              <w:t>**</w:t>
            </w:r>
          </w:p>
        </w:tc>
      </w:tr>
      <w:tr w:rsidR="00201D4C" w:rsidRPr="005F6C2E" w14:paraId="4ACAEFF8" w14:textId="77777777" w:rsidTr="00015B88">
        <w:tc>
          <w:tcPr>
            <w:tcW w:w="2136" w:type="dxa"/>
            <w:tcBorders>
              <w:top w:val="nil"/>
              <w:left w:val="nil"/>
              <w:bottom w:val="nil"/>
              <w:right w:val="nil"/>
            </w:tcBorders>
          </w:tcPr>
          <w:p w14:paraId="0823FA2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404F1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(1.04)</w:t>
            </w:r>
          </w:p>
        </w:tc>
        <w:tc>
          <w:tcPr>
            <w:tcW w:w="1656" w:type="dxa"/>
            <w:tcBorders>
              <w:top w:val="nil"/>
              <w:left w:val="nil"/>
              <w:bottom w:val="nil"/>
              <w:right w:val="nil"/>
            </w:tcBorders>
          </w:tcPr>
          <w:p w14:paraId="2927ADB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(2.79)</w:t>
            </w:r>
          </w:p>
        </w:tc>
      </w:tr>
      <w:tr w:rsidR="00201D4C" w:rsidRPr="005F6C2E" w14:paraId="1D255FA2" w14:textId="77777777" w:rsidTr="00015B88">
        <w:tc>
          <w:tcPr>
            <w:tcW w:w="2136" w:type="dxa"/>
            <w:tcBorders>
              <w:top w:val="single" w:sz="4" w:space="0" w:color="auto"/>
              <w:left w:val="nil"/>
              <w:bottom w:val="nil"/>
              <w:right w:val="nil"/>
            </w:tcBorders>
          </w:tcPr>
          <w:p w14:paraId="6664DEA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46BE732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3555C4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03E62894" w14:textId="77777777" w:rsidTr="00015B88">
        <w:tc>
          <w:tcPr>
            <w:tcW w:w="2136" w:type="dxa"/>
            <w:tcBorders>
              <w:top w:val="nil"/>
              <w:left w:val="nil"/>
              <w:bottom w:val="nil"/>
              <w:right w:val="nil"/>
            </w:tcBorders>
          </w:tcPr>
          <w:p w14:paraId="3DD285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5058231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1.026</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60470DE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1.742</w:t>
            </w:r>
            <w:r w:rsidRPr="005F6C2E">
              <w:rPr>
                <w:rFonts w:ascii="Times New Roman" w:hAnsi="Times New Roman" w:cs="Times New Roman"/>
                <w:sz w:val="16"/>
                <w:szCs w:val="16"/>
                <w:vertAlign w:val="superscript"/>
              </w:rPr>
              <w:t>***</w:t>
            </w:r>
          </w:p>
        </w:tc>
      </w:tr>
      <w:tr w:rsidR="00201D4C" w:rsidRPr="005F6C2E" w14:paraId="0D1DCC14" w14:textId="77777777" w:rsidTr="00015B88">
        <w:tc>
          <w:tcPr>
            <w:tcW w:w="2136" w:type="dxa"/>
            <w:tcBorders>
              <w:top w:val="nil"/>
              <w:left w:val="nil"/>
              <w:bottom w:val="nil"/>
              <w:right w:val="nil"/>
            </w:tcBorders>
          </w:tcPr>
          <w:p w14:paraId="2FAF56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E01E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(3.41)</w:t>
            </w:r>
          </w:p>
        </w:tc>
        <w:tc>
          <w:tcPr>
            <w:tcW w:w="1656" w:type="dxa"/>
            <w:tcBorders>
              <w:top w:val="nil"/>
              <w:left w:val="nil"/>
              <w:bottom w:val="nil"/>
              <w:right w:val="nil"/>
            </w:tcBorders>
          </w:tcPr>
          <w:p w14:paraId="06EC4E3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(3.50)</w:t>
            </w:r>
          </w:p>
        </w:tc>
      </w:tr>
      <w:tr w:rsidR="00201D4C" w:rsidRPr="005F6C2E" w14:paraId="0C3705FE" w14:textId="77777777" w:rsidTr="00015B88">
        <w:tc>
          <w:tcPr>
            <w:tcW w:w="2136" w:type="dxa"/>
            <w:tcBorders>
              <w:top w:val="single" w:sz="4" w:space="0" w:color="auto"/>
              <w:left w:val="nil"/>
              <w:bottom w:val="nil"/>
              <w:right w:val="nil"/>
            </w:tcBorders>
          </w:tcPr>
          <w:p w14:paraId="4B2AC83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w:t>
            </w:r>
          </w:p>
        </w:tc>
        <w:tc>
          <w:tcPr>
            <w:tcW w:w="1656" w:type="dxa"/>
            <w:tcBorders>
              <w:top w:val="single" w:sz="4" w:space="0" w:color="auto"/>
              <w:left w:val="nil"/>
              <w:bottom w:val="nil"/>
              <w:right w:val="nil"/>
            </w:tcBorders>
          </w:tcPr>
          <w:p w14:paraId="43500BF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0E7299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3EB7A616" w14:textId="77777777" w:rsidTr="00015B88">
        <w:tc>
          <w:tcPr>
            <w:tcW w:w="2136" w:type="dxa"/>
            <w:tcBorders>
              <w:top w:val="nil"/>
              <w:left w:val="nil"/>
              <w:bottom w:val="nil"/>
              <w:right w:val="nil"/>
            </w:tcBorders>
          </w:tcPr>
          <w:p w14:paraId="35ED953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lnsig2u</w:t>
            </w:r>
          </w:p>
        </w:tc>
        <w:tc>
          <w:tcPr>
            <w:tcW w:w="1656" w:type="dxa"/>
            <w:tcBorders>
              <w:top w:val="nil"/>
              <w:left w:val="nil"/>
              <w:bottom w:val="nil"/>
              <w:right w:val="nil"/>
            </w:tcBorders>
          </w:tcPr>
          <w:p w14:paraId="76819AA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51692F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48C5C7F9" w14:textId="77777777" w:rsidTr="00015B88">
        <w:tc>
          <w:tcPr>
            <w:tcW w:w="2136" w:type="dxa"/>
            <w:tcBorders>
              <w:top w:val="nil"/>
              <w:left w:val="nil"/>
              <w:bottom w:val="single" w:sz="4" w:space="0" w:color="auto"/>
              <w:right w:val="nil"/>
            </w:tcBorders>
          </w:tcPr>
          <w:p w14:paraId="266B602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053861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1F4AF6D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1B997715" w14:textId="77777777" w:rsidTr="00015B88">
        <w:tc>
          <w:tcPr>
            <w:tcW w:w="2136" w:type="dxa"/>
            <w:tcBorders>
              <w:top w:val="nil"/>
              <w:left w:val="nil"/>
              <w:bottom w:val="single" w:sz="4" w:space="0" w:color="auto"/>
              <w:right w:val="nil"/>
            </w:tcBorders>
          </w:tcPr>
          <w:p w14:paraId="66956A6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D20E90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1157</w:t>
            </w:r>
          </w:p>
        </w:tc>
        <w:tc>
          <w:tcPr>
            <w:tcW w:w="1656" w:type="dxa"/>
            <w:tcBorders>
              <w:top w:val="nil"/>
              <w:left w:val="nil"/>
              <w:bottom w:val="single" w:sz="4" w:space="0" w:color="auto"/>
              <w:right w:val="nil"/>
            </w:tcBorders>
          </w:tcPr>
          <w:p w14:paraId="4298C76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1158</w:t>
            </w:r>
          </w:p>
        </w:tc>
      </w:tr>
    </w:tbl>
    <w:p w14:paraId="697A2603" w14:textId="77777777" w:rsidR="008622C5" w:rsidRPr="005F6C2E" w:rsidRDefault="008622C5" w:rsidP="008622C5">
      <w:pPr>
        <w:widowControl w:val="0"/>
        <w:autoSpaceDE w:val="0"/>
        <w:autoSpaceDN w:val="0"/>
        <w:adjustRightInd w:val="0"/>
        <w:spacing w:after="0" w:line="240" w:lineRule="auto"/>
        <w:rPr>
          <w:rFonts w:ascii="Times New Roman" w:hAnsi="Times New Roman" w:cs="Times New Roman"/>
          <w:sz w:val="12"/>
          <w:szCs w:val="12"/>
        </w:rPr>
      </w:pPr>
      <w:r w:rsidRPr="005F6C2E">
        <w:rPr>
          <w:rFonts w:ascii="Times New Roman" w:hAnsi="Times New Roman" w:cs="Times New Roman"/>
          <w:i/>
          <w:iCs/>
          <w:sz w:val="12"/>
          <w:szCs w:val="12"/>
        </w:rPr>
        <w:t>t</w:t>
      </w:r>
      <w:r w:rsidRPr="005F6C2E">
        <w:rPr>
          <w:rFonts w:ascii="Times New Roman" w:hAnsi="Times New Roman" w:cs="Times New Roman"/>
          <w:sz w:val="12"/>
          <w:szCs w:val="12"/>
        </w:rPr>
        <w:t xml:space="preserve"> statistics in parentheses</w:t>
      </w:r>
    </w:p>
    <w:p w14:paraId="0E112293" w14:textId="77777777" w:rsidR="008622C5" w:rsidRPr="005F6C2E" w:rsidRDefault="008622C5" w:rsidP="008622C5">
      <w:pPr>
        <w:widowControl w:val="0"/>
        <w:autoSpaceDE w:val="0"/>
        <w:autoSpaceDN w:val="0"/>
        <w:adjustRightInd w:val="0"/>
        <w:spacing w:after="0" w:line="240" w:lineRule="auto"/>
        <w:rPr>
          <w:rFonts w:ascii="Times New Roman" w:hAnsi="Times New Roman" w:cs="Times New Roman"/>
          <w:sz w:val="12"/>
          <w:szCs w:val="12"/>
        </w:rPr>
      </w:pPr>
      <w:r w:rsidRPr="005F6C2E">
        <w:rPr>
          <w:rFonts w:ascii="Times New Roman" w:hAnsi="Times New Roman" w:cs="Times New Roman"/>
          <w:sz w:val="12"/>
          <w:szCs w:val="12"/>
          <w:vertAlign w:val="superscript"/>
        </w:rPr>
        <w:t>*</w:t>
      </w:r>
      <w:r w:rsidRPr="005F6C2E">
        <w:rPr>
          <w:rFonts w:ascii="Times New Roman" w:hAnsi="Times New Roman" w:cs="Times New Roman"/>
          <w:sz w:val="12"/>
          <w:szCs w:val="12"/>
        </w:rPr>
        <w:t xml:space="preserve"> </w:t>
      </w:r>
      <w:r w:rsidRPr="005F6C2E">
        <w:rPr>
          <w:rFonts w:ascii="Times New Roman" w:hAnsi="Times New Roman" w:cs="Times New Roman"/>
          <w:i/>
          <w:iCs/>
          <w:sz w:val="12"/>
          <w:szCs w:val="12"/>
        </w:rPr>
        <w:t>p</w:t>
      </w:r>
      <w:r w:rsidRPr="005F6C2E">
        <w:rPr>
          <w:rFonts w:ascii="Times New Roman" w:hAnsi="Times New Roman" w:cs="Times New Roman"/>
          <w:sz w:val="12"/>
          <w:szCs w:val="12"/>
        </w:rPr>
        <w:t xml:space="preserve"> &lt; 0.05, </w:t>
      </w:r>
      <w:r w:rsidRPr="005F6C2E">
        <w:rPr>
          <w:rFonts w:ascii="Times New Roman" w:hAnsi="Times New Roman" w:cs="Times New Roman"/>
          <w:sz w:val="12"/>
          <w:szCs w:val="12"/>
          <w:vertAlign w:val="superscript"/>
        </w:rPr>
        <w:t>**</w:t>
      </w:r>
      <w:r w:rsidRPr="005F6C2E">
        <w:rPr>
          <w:rFonts w:ascii="Times New Roman" w:hAnsi="Times New Roman" w:cs="Times New Roman"/>
          <w:sz w:val="12"/>
          <w:szCs w:val="12"/>
        </w:rPr>
        <w:t xml:space="preserve"> </w:t>
      </w:r>
      <w:r w:rsidRPr="005F6C2E">
        <w:rPr>
          <w:rFonts w:ascii="Times New Roman" w:hAnsi="Times New Roman" w:cs="Times New Roman"/>
          <w:i/>
          <w:iCs/>
          <w:sz w:val="12"/>
          <w:szCs w:val="12"/>
        </w:rPr>
        <w:t>p</w:t>
      </w:r>
      <w:r w:rsidRPr="005F6C2E">
        <w:rPr>
          <w:rFonts w:ascii="Times New Roman" w:hAnsi="Times New Roman" w:cs="Times New Roman"/>
          <w:sz w:val="12"/>
          <w:szCs w:val="12"/>
        </w:rPr>
        <w:t xml:space="preserve"> &lt; 0.01, </w:t>
      </w:r>
      <w:r w:rsidRPr="005F6C2E">
        <w:rPr>
          <w:rFonts w:ascii="Times New Roman" w:hAnsi="Times New Roman" w:cs="Times New Roman"/>
          <w:sz w:val="12"/>
          <w:szCs w:val="12"/>
          <w:vertAlign w:val="superscript"/>
        </w:rPr>
        <w:t>***</w:t>
      </w:r>
      <w:r w:rsidRPr="005F6C2E">
        <w:rPr>
          <w:rFonts w:ascii="Times New Roman" w:hAnsi="Times New Roman" w:cs="Times New Roman"/>
          <w:sz w:val="12"/>
          <w:szCs w:val="12"/>
        </w:rPr>
        <w:t xml:space="preserve"> </w:t>
      </w:r>
      <w:r w:rsidRPr="005F6C2E">
        <w:rPr>
          <w:rFonts w:ascii="Times New Roman" w:hAnsi="Times New Roman" w:cs="Times New Roman"/>
          <w:i/>
          <w:iCs/>
          <w:sz w:val="12"/>
          <w:szCs w:val="12"/>
        </w:rPr>
        <w:t>p</w:t>
      </w:r>
      <w:r w:rsidRPr="005F6C2E">
        <w:rPr>
          <w:rFonts w:ascii="Times New Roman" w:hAnsi="Times New Roman" w:cs="Times New Roman"/>
          <w:sz w:val="12"/>
          <w:szCs w:val="12"/>
        </w:rPr>
        <w:t xml:space="preserve"> &lt; 0.001</w:t>
      </w:r>
    </w:p>
    <w:p w14:paraId="090C8DB7" w14:textId="77777777" w:rsidR="003D27F5" w:rsidRPr="007A2B6A" w:rsidRDefault="003D27F5" w:rsidP="00DB7775"/>
    <w:p w14:paraId="523F8846" w14:textId="6563680E" w:rsidR="00DB7775" w:rsidRPr="005A1D2F" w:rsidRDefault="00C75D55" w:rsidP="00DB7775">
      <w:r w:rsidRPr="005A1D2F">
        <w:t>Table A2</w:t>
      </w:r>
      <w:r w:rsidR="00A002D9" w:rsidRPr="005A1D2F">
        <w:t>1</w:t>
      </w:r>
      <w:r w:rsidRPr="005A1D2F">
        <w:t xml:space="preserve">: </w:t>
      </w:r>
      <w:r w:rsidR="00DB7775" w:rsidRPr="005A1D2F">
        <w:t xml:space="preserve">Lower chamber legislates in practice </w:t>
      </w:r>
      <w:r w:rsidRPr="005A1D2F">
        <w:t>(</w:t>
      </w:r>
      <w:r w:rsidR="00DB7775" w:rsidRPr="005A1D2F">
        <w:t>v2lglegplo</w:t>
      </w:r>
      <w:r w:rsidRPr="005A1D2F">
        <w:t>)</w:t>
      </w:r>
    </w:p>
    <w:tbl>
      <w:tblPr>
        <w:tblW w:w="0" w:type="auto"/>
        <w:tblLayout w:type="fixed"/>
        <w:tblLook w:val="0000" w:firstRow="0" w:lastRow="0" w:firstColumn="0" w:lastColumn="0" w:noHBand="0" w:noVBand="0"/>
      </w:tblPr>
      <w:tblGrid>
        <w:gridCol w:w="2136"/>
        <w:gridCol w:w="1656"/>
      </w:tblGrid>
      <w:tr w:rsidR="008A5F49" w14:paraId="62E6803A" w14:textId="77777777" w:rsidTr="00F16287">
        <w:tc>
          <w:tcPr>
            <w:tcW w:w="2136" w:type="dxa"/>
            <w:tcBorders>
              <w:top w:val="single" w:sz="4" w:space="0" w:color="auto"/>
              <w:left w:val="nil"/>
              <w:bottom w:val="nil"/>
              <w:right w:val="nil"/>
            </w:tcBorders>
          </w:tcPr>
          <w:p w14:paraId="39AE934C"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7955929D" w14:textId="77777777" w:rsidR="008A5F49" w:rsidRDefault="008A5F49"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A5F49" w14:paraId="0AC19BC4" w14:textId="77777777" w:rsidTr="00F16287">
        <w:tc>
          <w:tcPr>
            <w:tcW w:w="2136" w:type="dxa"/>
            <w:tcBorders>
              <w:top w:val="nil"/>
              <w:left w:val="nil"/>
              <w:bottom w:val="nil"/>
              <w:right w:val="nil"/>
            </w:tcBorders>
          </w:tcPr>
          <w:p w14:paraId="3FD22030"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B29B996" w14:textId="77777777" w:rsidR="008A5F49" w:rsidRDefault="008A5F49"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r>
      <w:tr w:rsidR="008A5F49" w14:paraId="05E9CE09" w14:textId="77777777" w:rsidTr="00F16287">
        <w:tc>
          <w:tcPr>
            <w:tcW w:w="2136" w:type="dxa"/>
            <w:tcBorders>
              <w:top w:val="single" w:sz="4" w:space="0" w:color="auto"/>
              <w:left w:val="nil"/>
              <w:bottom w:val="nil"/>
              <w:right w:val="nil"/>
            </w:tcBorders>
          </w:tcPr>
          <w:p w14:paraId="408173D0" w14:textId="77777777" w:rsidR="008A5F49" w:rsidRPr="008A5F49" w:rsidRDefault="008A5F49" w:rsidP="00F16287">
            <w:pPr>
              <w:widowControl w:val="0"/>
              <w:autoSpaceDE w:val="0"/>
              <w:autoSpaceDN w:val="0"/>
              <w:adjustRightInd w:val="0"/>
              <w:spacing w:after="0" w:line="240" w:lineRule="auto"/>
              <w:rPr>
                <w:rFonts w:ascii="Times New Roman" w:hAnsi="Times New Roman" w:cs="Times New Roman"/>
                <w:sz w:val="24"/>
                <w:szCs w:val="24"/>
                <w:lang w:val="fr-BE"/>
              </w:rPr>
            </w:pPr>
            <w:r w:rsidRPr="008A5F49">
              <w:rPr>
                <w:rFonts w:ascii="Times New Roman" w:hAnsi="Times New Roman" w:cs="Times New Roman"/>
                <w:sz w:val="24"/>
                <w:szCs w:val="24"/>
                <w:lang w:val="fr-BE"/>
              </w:rPr>
              <w:t>De Jure CBI (CNW Index)</w:t>
            </w:r>
          </w:p>
        </w:tc>
        <w:tc>
          <w:tcPr>
            <w:tcW w:w="1656" w:type="dxa"/>
            <w:tcBorders>
              <w:top w:val="single" w:sz="4" w:space="0" w:color="auto"/>
              <w:left w:val="nil"/>
              <w:bottom w:val="nil"/>
              <w:right w:val="nil"/>
            </w:tcBorders>
          </w:tcPr>
          <w:p w14:paraId="4144C296" w14:textId="77777777" w:rsidR="008A5F49" w:rsidRDefault="008A5F49"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0.260</w:t>
            </w:r>
          </w:p>
        </w:tc>
      </w:tr>
      <w:tr w:rsidR="008A5F49" w14:paraId="1BCE6A87" w14:textId="77777777" w:rsidTr="00F16287">
        <w:tc>
          <w:tcPr>
            <w:tcW w:w="2136" w:type="dxa"/>
            <w:tcBorders>
              <w:top w:val="nil"/>
              <w:left w:val="nil"/>
              <w:bottom w:val="nil"/>
              <w:right w:val="nil"/>
            </w:tcBorders>
          </w:tcPr>
          <w:p w14:paraId="7591E511"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90DA70C" w14:textId="77777777" w:rsidR="008A5F49" w:rsidRDefault="008A5F49"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(1.07)</w:t>
            </w:r>
          </w:p>
        </w:tc>
      </w:tr>
      <w:tr w:rsidR="008A5F49" w14:paraId="2AB5F806" w14:textId="77777777" w:rsidTr="00F16287">
        <w:tc>
          <w:tcPr>
            <w:tcW w:w="2136" w:type="dxa"/>
            <w:tcBorders>
              <w:top w:val="nil"/>
              <w:left w:val="nil"/>
              <w:bottom w:val="nil"/>
              <w:right w:val="nil"/>
            </w:tcBorders>
          </w:tcPr>
          <w:p w14:paraId="58D97790"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9CCA3D5"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p>
        </w:tc>
      </w:tr>
      <w:tr w:rsidR="008A5F49" w14:paraId="223D5D57" w14:textId="77777777" w:rsidTr="00F16287">
        <w:tc>
          <w:tcPr>
            <w:tcW w:w="2136" w:type="dxa"/>
            <w:tcBorders>
              <w:top w:val="nil"/>
              <w:left w:val="nil"/>
              <w:bottom w:val="nil"/>
              <w:right w:val="nil"/>
            </w:tcBorders>
          </w:tcPr>
          <w:p w14:paraId="21F8C943"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Legislative Efficacy</w:t>
            </w:r>
          </w:p>
        </w:tc>
        <w:tc>
          <w:tcPr>
            <w:tcW w:w="1656" w:type="dxa"/>
            <w:tcBorders>
              <w:top w:val="nil"/>
              <w:left w:val="nil"/>
              <w:bottom w:val="nil"/>
              <w:right w:val="nil"/>
            </w:tcBorders>
          </w:tcPr>
          <w:p w14:paraId="604DC2F7" w14:textId="77777777" w:rsidR="008A5F49" w:rsidRDefault="008A5F49"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0.0948</w:t>
            </w:r>
          </w:p>
        </w:tc>
      </w:tr>
      <w:tr w:rsidR="008A5F49" w14:paraId="71142110" w14:textId="77777777" w:rsidTr="00F16287">
        <w:tc>
          <w:tcPr>
            <w:tcW w:w="2136" w:type="dxa"/>
            <w:tcBorders>
              <w:top w:val="nil"/>
              <w:left w:val="nil"/>
              <w:bottom w:val="nil"/>
              <w:right w:val="nil"/>
            </w:tcBorders>
          </w:tcPr>
          <w:p w14:paraId="2732A3C1"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CC0F216" w14:textId="77777777" w:rsidR="008A5F49" w:rsidRDefault="008A5F49"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(0.79)</w:t>
            </w:r>
          </w:p>
        </w:tc>
      </w:tr>
      <w:tr w:rsidR="008A5F49" w14:paraId="370F0166" w14:textId="77777777" w:rsidTr="00F16287">
        <w:tc>
          <w:tcPr>
            <w:tcW w:w="2136" w:type="dxa"/>
            <w:tcBorders>
              <w:top w:val="nil"/>
              <w:left w:val="nil"/>
              <w:bottom w:val="nil"/>
              <w:right w:val="nil"/>
            </w:tcBorders>
          </w:tcPr>
          <w:p w14:paraId="2C45524F"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A735EF6"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p>
        </w:tc>
      </w:tr>
      <w:tr w:rsidR="008A5F49" w14:paraId="6A801B5A" w14:textId="77777777" w:rsidTr="00F16287">
        <w:tc>
          <w:tcPr>
            <w:tcW w:w="2136" w:type="dxa"/>
            <w:tcBorders>
              <w:top w:val="nil"/>
              <w:left w:val="nil"/>
              <w:bottom w:val="nil"/>
              <w:right w:val="nil"/>
            </w:tcBorders>
          </w:tcPr>
          <w:p w14:paraId="55B56D9C" w14:textId="01ED8EE9"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 Jure CBI (CNW Index) </w:t>
            </w:r>
            <w:r w:rsidR="00351740">
              <w:rPr>
                <w:rFonts w:ascii="Times New Roman" w:hAnsi="Times New Roman" w:cs="Times New Roman"/>
                <w:sz w:val="24"/>
                <w:szCs w:val="24"/>
              </w:rPr>
              <w:t xml:space="preserve">* </w:t>
            </w:r>
            <w:r>
              <w:rPr>
                <w:rFonts w:ascii="Times New Roman" w:hAnsi="Times New Roman" w:cs="Times New Roman"/>
                <w:sz w:val="24"/>
                <w:szCs w:val="24"/>
              </w:rPr>
              <w:t>Legislative Efficacy</w:t>
            </w:r>
          </w:p>
        </w:tc>
        <w:tc>
          <w:tcPr>
            <w:tcW w:w="1656" w:type="dxa"/>
            <w:tcBorders>
              <w:top w:val="nil"/>
              <w:left w:val="nil"/>
              <w:bottom w:val="nil"/>
              <w:right w:val="nil"/>
            </w:tcBorders>
          </w:tcPr>
          <w:p w14:paraId="2C3AE56C" w14:textId="77777777" w:rsidR="008A5F49" w:rsidRDefault="008A5F49"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0.0429</w:t>
            </w:r>
          </w:p>
        </w:tc>
      </w:tr>
      <w:tr w:rsidR="008A5F49" w14:paraId="117DC2D7" w14:textId="77777777" w:rsidTr="00F16287">
        <w:tc>
          <w:tcPr>
            <w:tcW w:w="2136" w:type="dxa"/>
            <w:tcBorders>
              <w:top w:val="nil"/>
              <w:left w:val="nil"/>
              <w:bottom w:val="nil"/>
              <w:right w:val="nil"/>
            </w:tcBorders>
          </w:tcPr>
          <w:p w14:paraId="4FA63199"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5C9959F" w14:textId="77777777" w:rsidR="008A5F49" w:rsidRDefault="008A5F49"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r>
      <w:tr w:rsidR="008A5F49" w14:paraId="722B64C5" w14:textId="77777777" w:rsidTr="00F16287">
        <w:tc>
          <w:tcPr>
            <w:tcW w:w="2136" w:type="dxa"/>
            <w:tcBorders>
              <w:top w:val="nil"/>
              <w:left w:val="nil"/>
              <w:bottom w:val="nil"/>
              <w:right w:val="nil"/>
            </w:tcBorders>
          </w:tcPr>
          <w:p w14:paraId="20A86FEC"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8DA84F3"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p>
        </w:tc>
      </w:tr>
      <w:tr w:rsidR="008A5F49" w14:paraId="198AC6CD" w14:textId="77777777" w:rsidTr="00F16287">
        <w:tc>
          <w:tcPr>
            <w:tcW w:w="2136" w:type="dxa"/>
            <w:tcBorders>
              <w:top w:val="nil"/>
              <w:left w:val="nil"/>
              <w:bottom w:val="nil"/>
              <w:right w:val="nil"/>
            </w:tcBorders>
          </w:tcPr>
          <w:p w14:paraId="05C5DB92"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12852936" w14:textId="77777777" w:rsidR="008A5F49" w:rsidRDefault="008A5F49"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-0.00932</w:t>
            </w:r>
          </w:p>
        </w:tc>
      </w:tr>
      <w:tr w:rsidR="008A5F49" w14:paraId="5A905981" w14:textId="77777777" w:rsidTr="00F16287">
        <w:tc>
          <w:tcPr>
            <w:tcW w:w="2136" w:type="dxa"/>
            <w:tcBorders>
              <w:top w:val="nil"/>
              <w:left w:val="nil"/>
              <w:bottom w:val="nil"/>
              <w:right w:val="nil"/>
            </w:tcBorders>
          </w:tcPr>
          <w:p w14:paraId="7BF95334"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6F9DC97" w14:textId="77777777" w:rsidR="008A5F49" w:rsidRDefault="008A5F49"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8A5F49" w14:paraId="23792978" w14:textId="77777777" w:rsidTr="00F16287">
        <w:tc>
          <w:tcPr>
            <w:tcW w:w="2136" w:type="dxa"/>
            <w:tcBorders>
              <w:top w:val="nil"/>
              <w:left w:val="nil"/>
              <w:bottom w:val="nil"/>
              <w:right w:val="nil"/>
            </w:tcBorders>
          </w:tcPr>
          <w:p w14:paraId="6EC6A318"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56BCBE0"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p>
        </w:tc>
      </w:tr>
      <w:tr w:rsidR="008A5F49" w14:paraId="4DB49854" w14:textId="77777777" w:rsidTr="00F16287">
        <w:tc>
          <w:tcPr>
            <w:tcW w:w="2136" w:type="dxa"/>
            <w:tcBorders>
              <w:top w:val="nil"/>
              <w:left w:val="nil"/>
              <w:bottom w:val="nil"/>
              <w:right w:val="nil"/>
            </w:tcBorders>
          </w:tcPr>
          <w:p w14:paraId="2883297A" w14:textId="0C8A090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Exchange Rate Classification (RR inverted, higher = more fixed) </w:t>
            </w:r>
            <w:r w:rsidR="00351740">
              <w:rPr>
                <w:rFonts w:ascii="Times New Roman" w:hAnsi="Times New Roman" w:cs="Times New Roman"/>
                <w:sz w:val="24"/>
                <w:szCs w:val="24"/>
              </w:rPr>
              <w:t>*</w:t>
            </w:r>
            <w:r>
              <w:rPr>
                <w:rFonts w:ascii="Times New Roman" w:hAnsi="Times New Roman" w:cs="Times New Roman"/>
                <w:sz w:val="24"/>
                <w:szCs w:val="24"/>
              </w:rPr>
              <w:t xml:space="preserve"> Legislative Efficacy</w:t>
            </w:r>
          </w:p>
        </w:tc>
        <w:tc>
          <w:tcPr>
            <w:tcW w:w="1656" w:type="dxa"/>
            <w:tcBorders>
              <w:top w:val="nil"/>
              <w:left w:val="nil"/>
              <w:bottom w:val="nil"/>
              <w:right w:val="nil"/>
            </w:tcBorders>
          </w:tcPr>
          <w:p w14:paraId="4ADAF9F9" w14:textId="77777777" w:rsidR="008A5F49" w:rsidRDefault="008A5F49"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0.00652</w:t>
            </w:r>
          </w:p>
        </w:tc>
      </w:tr>
      <w:tr w:rsidR="008A5F49" w14:paraId="2012953B" w14:textId="77777777" w:rsidTr="00F16287">
        <w:tc>
          <w:tcPr>
            <w:tcW w:w="2136" w:type="dxa"/>
            <w:tcBorders>
              <w:top w:val="nil"/>
              <w:left w:val="nil"/>
              <w:bottom w:val="nil"/>
              <w:right w:val="nil"/>
            </w:tcBorders>
          </w:tcPr>
          <w:p w14:paraId="2444A44F"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86043B6" w14:textId="77777777" w:rsidR="008A5F49" w:rsidRDefault="008A5F49"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(0.91)</w:t>
            </w:r>
          </w:p>
        </w:tc>
      </w:tr>
      <w:tr w:rsidR="008A5F49" w14:paraId="0E1CF232" w14:textId="77777777" w:rsidTr="00F16287">
        <w:tc>
          <w:tcPr>
            <w:tcW w:w="2136" w:type="dxa"/>
            <w:tcBorders>
              <w:top w:val="nil"/>
              <w:left w:val="nil"/>
              <w:bottom w:val="nil"/>
              <w:right w:val="nil"/>
            </w:tcBorders>
          </w:tcPr>
          <w:p w14:paraId="03F3B282"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713CFF0"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p>
        </w:tc>
      </w:tr>
      <w:tr w:rsidR="008A5F49" w14:paraId="5CB6377A" w14:textId="77777777" w:rsidTr="00F16287">
        <w:tc>
          <w:tcPr>
            <w:tcW w:w="2136" w:type="dxa"/>
            <w:tcBorders>
              <w:top w:val="nil"/>
              <w:left w:val="nil"/>
              <w:bottom w:val="nil"/>
              <w:right w:val="nil"/>
            </w:tcBorders>
          </w:tcPr>
          <w:p w14:paraId="07843100"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75586F64" w14:textId="77777777" w:rsidR="008A5F49" w:rsidRDefault="008A5F49"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0.519</w:t>
            </w:r>
            <w:r>
              <w:rPr>
                <w:rFonts w:ascii="Times New Roman" w:hAnsi="Times New Roman" w:cs="Times New Roman"/>
                <w:sz w:val="24"/>
                <w:szCs w:val="24"/>
                <w:vertAlign w:val="superscript"/>
              </w:rPr>
              <w:t>***</w:t>
            </w:r>
          </w:p>
        </w:tc>
      </w:tr>
      <w:tr w:rsidR="008A5F49" w14:paraId="3AD34BF3" w14:textId="77777777" w:rsidTr="00F16287">
        <w:tc>
          <w:tcPr>
            <w:tcW w:w="2136" w:type="dxa"/>
            <w:tcBorders>
              <w:top w:val="nil"/>
              <w:left w:val="nil"/>
              <w:bottom w:val="single" w:sz="4" w:space="0" w:color="auto"/>
              <w:right w:val="nil"/>
            </w:tcBorders>
          </w:tcPr>
          <w:p w14:paraId="557B2FBE"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71E35F7E" w14:textId="77777777" w:rsidR="008A5F49" w:rsidRDefault="008A5F49"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(3.76)</w:t>
            </w:r>
          </w:p>
        </w:tc>
      </w:tr>
      <w:tr w:rsidR="008A5F49" w14:paraId="35F54AA7" w14:textId="77777777" w:rsidTr="00F16287">
        <w:tc>
          <w:tcPr>
            <w:tcW w:w="2136" w:type="dxa"/>
            <w:tcBorders>
              <w:top w:val="nil"/>
              <w:left w:val="nil"/>
              <w:bottom w:val="single" w:sz="4" w:space="0" w:color="auto"/>
              <w:right w:val="nil"/>
            </w:tcBorders>
          </w:tcPr>
          <w:p w14:paraId="571587C3" w14:textId="77777777" w:rsidR="008A5F49" w:rsidRDefault="008A5F49"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70061F8D" w14:textId="77777777" w:rsidR="008A5F49" w:rsidRDefault="008A5F49"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1113</w:t>
            </w:r>
          </w:p>
        </w:tc>
      </w:tr>
    </w:tbl>
    <w:p w14:paraId="1E3DA7D6" w14:textId="77777777" w:rsidR="00DB7775" w:rsidRDefault="00DB7775" w:rsidP="00DB777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 xml:space="preserve"> statistics in parentheses</w:t>
      </w:r>
    </w:p>
    <w:p w14:paraId="3E5C74F0" w14:textId="77777777" w:rsidR="008A5F49" w:rsidRDefault="00DB7775" w:rsidP="008A5F49">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sz w:val="20"/>
          <w:szCs w:val="20"/>
        </w:rPr>
        <w:t>p</w:t>
      </w:r>
      <w:r>
        <w:rPr>
          <w:rFonts w:ascii="Times New Roman" w:hAnsi="Times New Roman" w:cs="Times New Roman"/>
          <w:sz w:val="20"/>
          <w:szCs w:val="20"/>
        </w:rPr>
        <w:t xml:space="preserve"> &lt; 0.001</w:t>
      </w:r>
    </w:p>
    <w:p w14:paraId="087F63E1" w14:textId="12E5C1DD" w:rsidR="009114F5" w:rsidRDefault="009114F5" w:rsidP="00417D9D">
      <w:pPr>
        <w:widowControl w:val="0"/>
        <w:autoSpaceDE w:val="0"/>
        <w:autoSpaceDN w:val="0"/>
        <w:adjustRightInd w:val="0"/>
        <w:spacing w:after="0" w:line="240" w:lineRule="auto"/>
        <w:rPr>
          <w:rFonts w:ascii="Times New Roman" w:hAnsi="Times New Roman"/>
          <w:sz w:val="18"/>
          <w:szCs w:val="18"/>
          <w:lang w:val="en-GB"/>
        </w:rPr>
      </w:pPr>
    </w:p>
    <w:tbl>
      <w:tblPr>
        <w:tblW w:w="0" w:type="auto"/>
        <w:tblLayout w:type="fixed"/>
        <w:tblLook w:val="0000" w:firstRow="0" w:lastRow="0" w:firstColumn="0" w:lastColumn="0" w:noHBand="0" w:noVBand="0"/>
      </w:tblPr>
      <w:tblGrid>
        <w:gridCol w:w="2136"/>
        <w:gridCol w:w="1656"/>
      </w:tblGrid>
      <w:tr w:rsidR="001F3A7A" w14:paraId="6A77707C" w14:textId="77777777" w:rsidTr="00F16287">
        <w:tc>
          <w:tcPr>
            <w:tcW w:w="2136" w:type="dxa"/>
            <w:tcBorders>
              <w:top w:val="single" w:sz="4" w:space="0" w:color="auto"/>
              <w:left w:val="nil"/>
              <w:bottom w:val="nil"/>
              <w:right w:val="nil"/>
            </w:tcBorders>
          </w:tcPr>
          <w:p w14:paraId="3EA7CA24"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single" w:sz="4" w:space="0" w:color="auto"/>
              <w:left w:val="nil"/>
              <w:bottom w:val="nil"/>
              <w:right w:val="nil"/>
            </w:tcBorders>
          </w:tcPr>
          <w:p w14:paraId="46028A10" w14:textId="77777777" w:rsidR="001F3A7A" w:rsidRDefault="001F3A7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1F3A7A" w14:paraId="0C77A404" w14:textId="77777777" w:rsidTr="00F16287">
        <w:tc>
          <w:tcPr>
            <w:tcW w:w="2136" w:type="dxa"/>
            <w:tcBorders>
              <w:top w:val="nil"/>
              <w:left w:val="nil"/>
              <w:bottom w:val="nil"/>
              <w:right w:val="nil"/>
            </w:tcBorders>
          </w:tcPr>
          <w:p w14:paraId="03233BBD"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9B76A58" w14:textId="77777777" w:rsidR="001F3A7A" w:rsidRDefault="001F3A7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Lower House Turnover</w:t>
            </w:r>
          </w:p>
        </w:tc>
      </w:tr>
      <w:tr w:rsidR="001F3A7A" w14:paraId="41BD0F0B" w14:textId="77777777" w:rsidTr="00F16287">
        <w:tc>
          <w:tcPr>
            <w:tcW w:w="2136" w:type="dxa"/>
            <w:tcBorders>
              <w:top w:val="nil"/>
              <w:left w:val="nil"/>
              <w:bottom w:val="nil"/>
              <w:right w:val="nil"/>
            </w:tcBorders>
          </w:tcPr>
          <w:p w14:paraId="1C21E420"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5B3956A0"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p>
        </w:tc>
      </w:tr>
      <w:tr w:rsidR="001F3A7A" w14:paraId="36DC5584" w14:textId="77777777" w:rsidTr="00F16287">
        <w:tc>
          <w:tcPr>
            <w:tcW w:w="2136" w:type="dxa"/>
            <w:tcBorders>
              <w:top w:val="nil"/>
              <w:left w:val="nil"/>
              <w:bottom w:val="nil"/>
              <w:right w:val="nil"/>
            </w:tcBorders>
          </w:tcPr>
          <w:p w14:paraId="0CF6E773" w14:textId="3C979316"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p>
        </w:tc>
        <w:tc>
          <w:tcPr>
            <w:tcW w:w="1656" w:type="dxa"/>
            <w:tcBorders>
              <w:top w:val="nil"/>
              <w:left w:val="nil"/>
              <w:bottom w:val="nil"/>
              <w:right w:val="nil"/>
            </w:tcBorders>
          </w:tcPr>
          <w:p w14:paraId="7719E112" w14:textId="77777777" w:rsidR="001F3A7A" w:rsidRDefault="001F3A7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-0.218</w:t>
            </w:r>
            <w:r>
              <w:rPr>
                <w:rFonts w:ascii="Times New Roman" w:hAnsi="Times New Roman" w:cs="Times New Roman"/>
                <w:sz w:val="24"/>
                <w:szCs w:val="24"/>
                <w:vertAlign w:val="superscript"/>
              </w:rPr>
              <w:t>*</w:t>
            </w:r>
          </w:p>
        </w:tc>
      </w:tr>
      <w:tr w:rsidR="001F3A7A" w14:paraId="0D529D3D" w14:textId="77777777" w:rsidTr="00F16287">
        <w:tc>
          <w:tcPr>
            <w:tcW w:w="2136" w:type="dxa"/>
            <w:tcBorders>
              <w:top w:val="nil"/>
              <w:left w:val="nil"/>
              <w:bottom w:val="nil"/>
              <w:right w:val="nil"/>
            </w:tcBorders>
          </w:tcPr>
          <w:p w14:paraId="3DC98B09"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77E7A930" w14:textId="77777777" w:rsidR="001F3A7A" w:rsidRDefault="001F3A7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(-2.47)</w:t>
            </w:r>
          </w:p>
        </w:tc>
      </w:tr>
      <w:tr w:rsidR="001F3A7A" w14:paraId="0828488B" w14:textId="77777777" w:rsidTr="00F16287">
        <w:tc>
          <w:tcPr>
            <w:tcW w:w="2136" w:type="dxa"/>
            <w:tcBorders>
              <w:top w:val="nil"/>
              <w:left w:val="nil"/>
              <w:bottom w:val="nil"/>
              <w:right w:val="nil"/>
            </w:tcBorders>
          </w:tcPr>
          <w:p w14:paraId="3566D7F2"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45772DE3"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p>
        </w:tc>
      </w:tr>
      <w:tr w:rsidR="001F3A7A" w14:paraId="1E054EC3" w14:textId="77777777" w:rsidTr="00F16287">
        <w:tc>
          <w:tcPr>
            <w:tcW w:w="2136" w:type="dxa"/>
            <w:tcBorders>
              <w:top w:val="nil"/>
              <w:left w:val="nil"/>
              <w:bottom w:val="nil"/>
              <w:right w:val="nil"/>
            </w:tcBorders>
          </w:tcPr>
          <w:p w14:paraId="0C739F44"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Legislative Efficacy</w:t>
            </w:r>
          </w:p>
        </w:tc>
        <w:tc>
          <w:tcPr>
            <w:tcW w:w="1656" w:type="dxa"/>
            <w:tcBorders>
              <w:top w:val="nil"/>
              <w:left w:val="nil"/>
              <w:bottom w:val="nil"/>
              <w:right w:val="nil"/>
            </w:tcBorders>
          </w:tcPr>
          <w:p w14:paraId="4AB1B1F8" w14:textId="77777777" w:rsidR="001F3A7A" w:rsidRDefault="001F3A7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0.0780</w:t>
            </w:r>
          </w:p>
        </w:tc>
      </w:tr>
      <w:tr w:rsidR="001F3A7A" w14:paraId="1CDA7264" w14:textId="77777777" w:rsidTr="00F16287">
        <w:tc>
          <w:tcPr>
            <w:tcW w:w="2136" w:type="dxa"/>
            <w:tcBorders>
              <w:top w:val="nil"/>
              <w:left w:val="nil"/>
              <w:bottom w:val="nil"/>
              <w:right w:val="nil"/>
            </w:tcBorders>
          </w:tcPr>
          <w:p w14:paraId="4CAB563F"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64188CB2" w14:textId="77777777" w:rsidR="001F3A7A" w:rsidRDefault="001F3A7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(0.83)</w:t>
            </w:r>
          </w:p>
        </w:tc>
      </w:tr>
      <w:tr w:rsidR="001F3A7A" w14:paraId="7AEB5B1A" w14:textId="77777777" w:rsidTr="00F16287">
        <w:tc>
          <w:tcPr>
            <w:tcW w:w="2136" w:type="dxa"/>
            <w:tcBorders>
              <w:top w:val="nil"/>
              <w:left w:val="nil"/>
              <w:bottom w:val="nil"/>
              <w:right w:val="nil"/>
            </w:tcBorders>
          </w:tcPr>
          <w:p w14:paraId="0363251F"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D93D1FC"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p>
        </w:tc>
      </w:tr>
      <w:tr w:rsidR="001F3A7A" w14:paraId="5A25396C" w14:textId="77777777" w:rsidTr="00F16287">
        <w:tc>
          <w:tcPr>
            <w:tcW w:w="2136" w:type="dxa"/>
            <w:tcBorders>
              <w:top w:val="nil"/>
              <w:left w:val="nil"/>
              <w:bottom w:val="nil"/>
              <w:right w:val="nil"/>
            </w:tcBorders>
          </w:tcPr>
          <w:p w14:paraId="20BF3D05" w14:textId="58F1ED5E"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(Lack of) Irregular CB Governor Turnover (higher = more de facto CBI)</w:t>
            </w:r>
            <w:r w:rsidR="001849A1">
              <w:rPr>
                <w:rFonts w:ascii="Times New Roman" w:hAnsi="Times New Roman" w:cs="Times New Roman"/>
                <w:sz w:val="24"/>
                <w:szCs w:val="24"/>
              </w:rPr>
              <w:t xml:space="preserve"> *</w:t>
            </w:r>
            <w:r>
              <w:rPr>
                <w:rFonts w:ascii="Times New Roman" w:hAnsi="Times New Roman" w:cs="Times New Roman"/>
                <w:sz w:val="24"/>
                <w:szCs w:val="24"/>
              </w:rPr>
              <w:t xml:space="preserve"> Legislative Efficacy</w:t>
            </w:r>
          </w:p>
        </w:tc>
        <w:tc>
          <w:tcPr>
            <w:tcW w:w="1656" w:type="dxa"/>
            <w:tcBorders>
              <w:top w:val="nil"/>
              <w:left w:val="nil"/>
              <w:bottom w:val="nil"/>
              <w:right w:val="nil"/>
            </w:tcBorders>
          </w:tcPr>
          <w:p w14:paraId="6394AFB2" w14:textId="77777777" w:rsidR="001F3A7A" w:rsidRDefault="001F3A7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0.0134</w:t>
            </w:r>
          </w:p>
        </w:tc>
      </w:tr>
      <w:tr w:rsidR="001F3A7A" w14:paraId="2323F980" w14:textId="77777777" w:rsidTr="00F16287">
        <w:tc>
          <w:tcPr>
            <w:tcW w:w="2136" w:type="dxa"/>
            <w:tcBorders>
              <w:top w:val="nil"/>
              <w:left w:val="nil"/>
              <w:bottom w:val="nil"/>
              <w:right w:val="nil"/>
            </w:tcBorders>
          </w:tcPr>
          <w:p w14:paraId="6118C471"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0E350596" w14:textId="77777777" w:rsidR="001F3A7A" w:rsidRDefault="001F3A7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w:t>
            </w:r>
          </w:p>
        </w:tc>
      </w:tr>
      <w:tr w:rsidR="001F3A7A" w14:paraId="7AB817A4" w14:textId="77777777" w:rsidTr="00F16287">
        <w:tc>
          <w:tcPr>
            <w:tcW w:w="2136" w:type="dxa"/>
            <w:tcBorders>
              <w:top w:val="nil"/>
              <w:left w:val="nil"/>
              <w:bottom w:val="nil"/>
              <w:right w:val="nil"/>
            </w:tcBorders>
          </w:tcPr>
          <w:p w14:paraId="36276B35"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148A394"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p>
        </w:tc>
      </w:tr>
      <w:tr w:rsidR="001F3A7A" w14:paraId="577362EE" w14:textId="77777777" w:rsidTr="00F16287">
        <w:tc>
          <w:tcPr>
            <w:tcW w:w="2136" w:type="dxa"/>
            <w:tcBorders>
              <w:top w:val="nil"/>
              <w:left w:val="nil"/>
              <w:bottom w:val="nil"/>
              <w:right w:val="nil"/>
            </w:tcBorders>
          </w:tcPr>
          <w:p w14:paraId="036FD53C"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Exchange Rate Classification (RR inverted, higher = more fixed)</w:t>
            </w:r>
          </w:p>
        </w:tc>
        <w:tc>
          <w:tcPr>
            <w:tcW w:w="1656" w:type="dxa"/>
            <w:tcBorders>
              <w:top w:val="nil"/>
              <w:left w:val="nil"/>
              <w:bottom w:val="nil"/>
              <w:right w:val="nil"/>
            </w:tcBorders>
          </w:tcPr>
          <w:p w14:paraId="74540C93" w14:textId="77777777" w:rsidR="001F3A7A" w:rsidRDefault="001F3A7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-0.000275</w:t>
            </w:r>
          </w:p>
        </w:tc>
      </w:tr>
      <w:tr w:rsidR="001F3A7A" w14:paraId="4CDE4796" w14:textId="77777777" w:rsidTr="00F16287">
        <w:tc>
          <w:tcPr>
            <w:tcW w:w="2136" w:type="dxa"/>
            <w:tcBorders>
              <w:top w:val="nil"/>
              <w:left w:val="nil"/>
              <w:bottom w:val="nil"/>
              <w:right w:val="nil"/>
            </w:tcBorders>
          </w:tcPr>
          <w:p w14:paraId="00A7244C"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728374D" w14:textId="77777777" w:rsidR="001F3A7A" w:rsidRDefault="001F3A7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r>
      <w:tr w:rsidR="001F3A7A" w14:paraId="5BE2BF9F" w14:textId="77777777" w:rsidTr="00F16287">
        <w:tc>
          <w:tcPr>
            <w:tcW w:w="2136" w:type="dxa"/>
            <w:tcBorders>
              <w:top w:val="nil"/>
              <w:left w:val="nil"/>
              <w:bottom w:val="nil"/>
              <w:right w:val="nil"/>
            </w:tcBorders>
          </w:tcPr>
          <w:p w14:paraId="2F467E53"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3E68F744"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p>
        </w:tc>
      </w:tr>
      <w:tr w:rsidR="001F3A7A" w14:paraId="1CF3EF4D" w14:textId="77777777" w:rsidTr="00F16287">
        <w:tc>
          <w:tcPr>
            <w:tcW w:w="2136" w:type="dxa"/>
            <w:tcBorders>
              <w:top w:val="nil"/>
              <w:left w:val="nil"/>
              <w:bottom w:val="nil"/>
              <w:right w:val="nil"/>
            </w:tcBorders>
          </w:tcPr>
          <w:p w14:paraId="24DE2163"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Exchange Rate Classification (RR inverted, higher = more fixed) # </w:t>
            </w:r>
            <w:r>
              <w:rPr>
                <w:rFonts w:ascii="Times New Roman" w:hAnsi="Times New Roman" w:cs="Times New Roman"/>
                <w:sz w:val="24"/>
                <w:szCs w:val="24"/>
              </w:rPr>
              <w:lastRenderedPageBreak/>
              <w:t>Legislative Efficacy</w:t>
            </w:r>
          </w:p>
        </w:tc>
        <w:tc>
          <w:tcPr>
            <w:tcW w:w="1656" w:type="dxa"/>
            <w:tcBorders>
              <w:top w:val="nil"/>
              <w:left w:val="nil"/>
              <w:bottom w:val="nil"/>
              <w:right w:val="nil"/>
            </w:tcBorders>
          </w:tcPr>
          <w:p w14:paraId="78B398A5" w14:textId="77777777" w:rsidR="001F3A7A" w:rsidRDefault="001F3A7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0.00715</w:t>
            </w:r>
          </w:p>
        </w:tc>
      </w:tr>
      <w:tr w:rsidR="001F3A7A" w14:paraId="3D8F6082" w14:textId="77777777" w:rsidTr="00F16287">
        <w:tc>
          <w:tcPr>
            <w:tcW w:w="2136" w:type="dxa"/>
            <w:tcBorders>
              <w:top w:val="nil"/>
              <w:left w:val="nil"/>
              <w:bottom w:val="nil"/>
              <w:right w:val="nil"/>
            </w:tcBorders>
          </w:tcPr>
          <w:p w14:paraId="55300C1A"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2F4D24F4" w14:textId="77777777" w:rsidR="001F3A7A" w:rsidRDefault="001F3A7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1F3A7A" w14:paraId="00EE7AE6" w14:textId="77777777" w:rsidTr="00F16287">
        <w:tc>
          <w:tcPr>
            <w:tcW w:w="2136" w:type="dxa"/>
            <w:tcBorders>
              <w:top w:val="nil"/>
              <w:left w:val="nil"/>
              <w:bottom w:val="nil"/>
              <w:right w:val="nil"/>
            </w:tcBorders>
          </w:tcPr>
          <w:p w14:paraId="40763A16"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nil"/>
              <w:right w:val="nil"/>
            </w:tcBorders>
          </w:tcPr>
          <w:p w14:paraId="129F3630"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p>
        </w:tc>
      </w:tr>
      <w:tr w:rsidR="001F3A7A" w14:paraId="2F151FF1" w14:textId="77777777" w:rsidTr="00F16287">
        <w:tc>
          <w:tcPr>
            <w:tcW w:w="2136" w:type="dxa"/>
            <w:tcBorders>
              <w:top w:val="nil"/>
              <w:left w:val="nil"/>
              <w:bottom w:val="nil"/>
              <w:right w:val="nil"/>
            </w:tcBorders>
          </w:tcPr>
          <w:p w14:paraId="57ED8A84"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656" w:type="dxa"/>
            <w:tcBorders>
              <w:top w:val="nil"/>
              <w:left w:val="nil"/>
              <w:bottom w:val="nil"/>
              <w:right w:val="nil"/>
            </w:tcBorders>
          </w:tcPr>
          <w:p w14:paraId="4EE7D64D" w14:textId="77777777" w:rsidR="001F3A7A" w:rsidRDefault="001F3A7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0.814</w:t>
            </w:r>
            <w:r>
              <w:rPr>
                <w:rFonts w:ascii="Times New Roman" w:hAnsi="Times New Roman" w:cs="Times New Roman"/>
                <w:sz w:val="24"/>
                <w:szCs w:val="24"/>
                <w:vertAlign w:val="superscript"/>
              </w:rPr>
              <w:t>***</w:t>
            </w:r>
          </w:p>
        </w:tc>
      </w:tr>
      <w:tr w:rsidR="001F3A7A" w14:paraId="0FFD8F99" w14:textId="77777777" w:rsidTr="00F16287">
        <w:tc>
          <w:tcPr>
            <w:tcW w:w="2136" w:type="dxa"/>
            <w:tcBorders>
              <w:top w:val="nil"/>
              <w:left w:val="nil"/>
              <w:bottom w:val="single" w:sz="4" w:space="0" w:color="auto"/>
              <w:right w:val="nil"/>
            </w:tcBorders>
          </w:tcPr>
          <w:p w14:paraId="58771D77"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p>
        </w:tc>
        <w:tc>
          <w:tcPr>
            <w:tcW w:w="1656" w:type="dxa"/>
            <w:tcBorders>
              <w:top w:val="nil"/>
              <w:left w:val="nil"/>
              <w:bottom w:val="single" w:sz="4" w:space="0" w:color="auto"/>
              <w:right w:val="nil"/>
            </w:tcBorders>
          </w:tcPr>
          <w:p w14:paraId="6CB251EB" w14:textId="77777777" w:rsidR="001F3A7A" w:rsidRDefault="001F3A7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(7.61)</w:t>
            </w:r>
          </w:p>
        </w:tc>
      </w:tr>
      <w:tr w:rsidR="001F3A7A" w14:paraId="2AABFB97" w14:textId="77777777" w:rsidTr="00F16287">
        <w:tc>
          <w:tcPr>
            <w:tcW w:w="2136" w:type="dxa"/>
            <w:tcBorders>
              <w:top w:val="nil"/>
              <w:left w:val="nil"/>
              <w:bottom w:val="single" w:sz="4" w:space="0" w:color="auto"/>
              <w:right w:val="nil"/>
            </w:tcBorders>
          </w:tcPr>
          <w:p w14:paraId="0D7A915D" w14:textId="77777777" w:rsidR="001F3A7A" w:rsidRDefault="001F3A7A" w:rsidP="00F16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656" w:type="dxa"/>
            <w:tcBorders>
              <w:top w:val="nil"/>
              <w:left w:val="nil"/>
              <w:bottom w:val="single" w:sz="4" w:space="0" w:color="auto"/>
              <w:right w:val="nil"/>
            </w:tcBorders>
          </w:tcPr>
          <w:p w14:paraId="322759C7" w14:textId="77777777" w:rsidR="001F3A7A" w:rsidRDefault="001F3A7A" w:rsidP="00F1628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1299</w:t>
            </w:r>
          </w:p>
        </w:tc>
      </w:tr>
    </w:tbl>
    <w:p w14:paraId="22DF9098" w14:textId="77777777" w:rsidR="001F3A7A" w:rsidRDefault="001F3A7A" w:rsidP="001F3A7A">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t</w:t>
      </w:r>
      <w:r>
        <w:rPr>
          <w:rFonts w:ascii="Times New Roman" w:hAnsi="Times New Roman" w:cs="Times New Roman"/>
          <w:sz w:val="20"/>
          <w:szCs w:val="20"/>
        </w:rPr>
        <w:t xml:space="preserve"> statistics in parentheses</w:t>
      </w:r>
    </w:p>
    <w:p w14:paraId="134AFBBA" w14:textId="7D0E611A" w:rsidR="009114F5" w:rsidRDefault="001F3A7A" w:rsidP="00417D9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2BB02280" w14:textId="1F284C50" w:rsidR="00783E87" w:rsidRDefault="00783E87" w:rsidP="00417D9D">
      <w:pPr>
        <w:widowControl w:val="0"/>
        <w:autoSpaceDE w:val="0"/>
        <w:autoSpaceDN w:val="0"/>
        <w:adjustRightInd w:val="0"/>
        <w:spacing w:after="0" w:line="240" w:lineRule="auto"/>
        <w:rPr>
          <w:rFonts w:ascii="Times New Roman" w:hAnsi="Times New Roman" w:cs="Times New Roman"/>
          <w:sz w:val="20"/>
          <w:szCs w:val="20"/>
        </w:rPr>
      </w:pPr>
    </w:p>
    <w:p w14:paraId="68045B4C" w14:textId="57F91C94" w:rsidR="00783E87" w:rsidRDefault="00783E87" w:rsidP="00783E87">
      <w:r>
        <w:t>Lags</w:t>
      </w:r>
    </w:p>
    <w:p w14:paraId="0ACA2D64" w14:textId="6CE10D5F" w:rsidR="00783E87" w:rsidRDefault="00783E87" w:rsidP="00783E87">
      <w:r>
        <w:t>Linear</w:t>
      </w:r>
    </w:p>
    <w:p w14:paraId="10CAE9BB" w14:textId="015A9217" w:rsidR="00783E87" w:rsidRDefault="00783E87" w:rsidP="00783E87">
      <w:r>
        <w:t>DJ</w:t>
      </w:r>
    </w:p>
    <w:tbl>
      <w:tblPr>
        <w:tblW w:w="0" w:type="auto"/>
        <w:tblLayout w:type="fixed"/>
        <w:tblLook w:val="0000" w:firstRow="0" w:lastRow="0" w:firstColumn="0" w:lastColumn="0" w:noHBand="0" w:noVBand="0"/>
      </w:tblPr>
      <w:tblGrid>
        <w:gridCol w:w="2136"/>
        <w:gridCol w:w="1656"/>
      </w:tblGrid>
      <w:tr w:rsidR="00201D4C" w:rsidRPr="00902830" w14:paraId="6B1EA09D" w14:textId="77777777" w:rsidTr="00015B88">
        <w:tc>
          <w:tcPr>
            <w:tcW w:w="2136" w:type="dxa"/>
            <w:tcBorders>
              <w:top w:val="single" w:sz="4" w:space="0" w:color="auto"/>
              <w:left w:val="nil"/>
              <w:bottom w:val="nil"/>
              <w:right w:val="nil"/>
            </w:tcBorders>
          </w:tcPr>
          <w:p w14:paraId="2F74E6D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5917BDD" w14:textId="37D1C56F"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902830" w14:paraId="0AF19788" w14:textId="77777777" w:rsidTr="00015B88">
        <w:tc>
          <w:tcPr>
            <w:tcW w:w="2136" w:type="dxa"/>
            <w:tcBorders>
              <w:top w:val="nil"/>
              <w:left w:val="nil"/>
              <w:bottom w:val="nil"/>
              <w:right w:val="nil"/>
            </w:tcBorders>
          </w:tcPr>
          <w:p w14:paraId="110497B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E4D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Lower House Turnover</w:t>
            </w:r>
          </w:p>
        </w:tc>
      </w:tr>
      <w:tr w:rsidR="00201D4C" w:rsidRPr="00902830" w14:paraId="1C36E506" w14:textId="77777777" w:rsidTr="00015B88">
        <w:tc>
          <w:tcPr>
            <w:tcW w:w="2136" w:type="dxa"/>
            <w:tcBorders>
              <w:top w:val="single" w:sz="4" w:space="0" w:color="auto"/>
              <w:left w:val="nil"/>
              <w:bottom w:val="nil"/>
              <w:right w:val="nil"/>
            </w:tcBorders>
          </w:tcPr>
          <w:p w14:paraId="714EE44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0834CB8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2.084</w:t>
            </w:r>
            <w:r w:rsidRPr="00902830">
              <w:rPr>
                <w:rFonts w:ascii="Times New Roman" w:hAnsi="Times New Roman" w:cs="Times New Roman"/>
                <w:sz w:val="16"/>
                <w:szCs w:val="16"/>
                <w:vertAlign w:val="superscript"/>
              </w:rPr>
              <w:t>***</w:t>
            </w:r>
          </w:p>
        </w:tc>
      </w:tr>
      <w:tr w:rsidR="00201D4C" w:rsidRPr="00902830" w14:paraId="69F82619" w14:textId="77777777" w:rsidTr="00015B88">
        <w:tc>
          <w:tcPr>
            <w:tcW w:w="2136" w:type="dxa"/>
            <w:tcBorders>
              <w:top w:val="nil"/>
              <w:left w:val="nil"/>
              <w:bottom w:val="nil"/>
              <w:right w:val="nil"/>
            </w:tcBorders>
          </w:tcPr>
          <w:p w14:paraId="00FCE00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DDC62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(3.65)</w:t>
            </w:r>
          </w:p>
        </w:tc>
      </w:tr>
      <w:tr w:rsidR="00201D4C" w:rsidRPr="00902830" w14:paraId="0D1E0D41" w14:textId="77777777" w:rsidTr="00015B88">
        <w:tc>
          <w:tcPr>
            <w:tcW w:w="2136" w:type="dxa"/>
            <w:tcBorders>
              <w:top w:val="nil"/>
              <w:left w:val="nil"/>
              <w:bottom w:val="nil"/>
              <w:right w:val="nil"/>
            </w:tcBorders>
          </w:tcPr>
          <w:p w14:paraId="6FDA76B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4698D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B0EC4C8" w14:textId="77777777" w:rsidTr="00015B88">
        <w:tc>
          <w:tcPr>
            <w:tcW w:w="2136" w:type="dxa"/>
            <w:tcBorders>
              <w:top w:val="nil"/>
              <w:left w:val="nil"/>
              <w:bottom w:val="nil"/>
              <w:right w:val="nil"/>
            </w:tcBorders>
          </w:tcPr>
          <w:p w14:paraId="54EF3C7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44B8C7E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-0.00812</w:t>
            </w:r>
          </w:p>
        </w:tc>
      </w:tr>
      <w:tr w:rsidR="00201D4C" w:rsidRPr="00902830" w14:paraId="0517FB10" w14:textId="77777777" w:rsidTr="00015B88">
        <w:tc>
          <w:tcPr>
            <w:tcW w:w="2136" w:type="dxa"/>
            <w:tcBorders>
              <w:top w:val="nil"/>
              <w:left w:val="nil"/>
              <w:bottom w:val="nil"/>
              <w:right w:val="nil"/>
            </w:tcBorders>
          </w:tcPr>
          <w:p w14:paraId="409FF72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F15A83"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(-0.24)</w:t>
            </w:r>
          </w:p>
        </w:tc>
      </w:tr>
      <w:tr w:rsidR="00201D4C" w:rsidRPr="00902830" w14:paraId="1C956C06" w14:textId="77777777" w:rsidTr="00015B88">
        <w:tc>
          <w:tcPr>
            <w:tcW w:w="2136" w:type="dxa"/>
            <w:tcBorders>
              <w:top w:val="nil"/>
              <w:left w:val="nil"/>
              <w:bottom w:val="nil"/>
              <w:right w:val="nil"/>
            </w:tcBorders>
          </w:tcPr>
          <w:p w14:paraId="04074D7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5B130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B36B590" w14:textId="77777777" w:rsidTr="00015B88">
        <w:tc>
          <w:tcPr>
            <w:tcW w:w="2136" w:type="dxa"/>
            <w:tcBorders>
              <w:top w:val="nil"/>
              <w:left w:val="nil"/>
              <w:bottom w:val="nil"/>
              <w:right w:val="nil"/>
            </w:tcBorders>
          </w:tcPr>
          <w:p w14:paraId="2B5DDD6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Legislative Efficacy</w:t>
            </w:r>
          </w:p>
        </w:tc>
        <w:tc>
          <w:tcPr>
            <w:tcW w:w="1656" w:type="dxa"/>
            <w:tcBorders>
              <w:top w:val="nil"/>
              <w:left w:val="nil"/>
              <w:bottom w:val="nil"/>
              <w:right w:val="nil"/>
            </w:tcBorders>
          </w:tcPr>
          <w:p w14:paraId="4B19ECC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0.873</w:t>
            </w:r>
            <w:r w:rsidRPr="00902830">
              <w:rPr>
                <w:rFonts w:ascii="Times New Roman" w:hAnsi="Times New Roman" w:cs="Times New Roman"/>
                <w:sz w:val="16"/>
                <w:szCs w:val="16"/>
                <w:vertAlign w:val="superscript"/>
              </w:rPr>
              <w:t>***</w:t>
            </w:r>
          </w:p>
        </w:tc>
      </w:tr>
      <w:tr w:rsidR="00201D4C" w:rsidRPr="00902830" w14:paraId="7A1E122D" w14:textId="77777777" w:rsidTr="00015B88">
        <w:tc>
          <w:tcPr>
            <w:tcW w:w="2136" w:type="dxa"/>
            <w:tcBorders>
              <w:top w:val="nil"/>
              <w:left w:val="nil"/>
              <w:bottom w:val="nil"/>
              <w:right w:val="nil"/>
            </w:tcBorders>
          </w:tcPr>
          <w:p w14:paraId="4CE01F4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7345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(3.64)</w:t>
            </w:r>
          </w:p>
        </w:tc>
      </w:tr>
      <w:tr w:rsidR="00201D4C" w:rsidRPr="00902830" w14:paraId="3E4F4CED" w14:textId="77777777" w:rsidTr="00015B88">
        <w:tc>
          <w:tcPr>
            <w:tcW w:w="2136" w:type="dxa"/>
            <w:tcBorders>
              <w:top w:val="nil"/>
              <w:left w:val="nil"/>
              <w:bottom w:val="nil"/>
              <w:right w:val="nil"/>
            </w:tcBorders>
          </w:tcPr>
          <w:p w14:paraId="6EAC4AC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A7E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6EF7517" w14:textId="77777777" w:rsidTr="00015B88">
        <w:tc>
          <w:tcPr>
            <w:tcW w:w="2136" w:type="dxa"/>
            <w:tcBorders>
              <w:top w:val="nil"/>
              <w:left w:val="nil"/>
              <w:bottom w:val="nil"/>
              <w:right w:val="nil"/>
            </w:tcBorders>
          </w:tcPr>
          <w:p w14:paraId="0346EAC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De Jure CBI * Lower House Legislates in Practice</w:t>
            </w:r>
          </w:p>
        </w:tc>
        <w:tc>
          <w:tcPr>
            <w:tcW w:w="1656" w:type="dxa"/>
            <w:tcBorders>
              <w:top w:val="nil"/>
              <w:left w:val="nil"/>
              <w:bottom w:val="nil"/>
              <w:right w:val="nil"/>
            </w:tcBorders>
          </w:tcPr>
          <w:p w14:paraId="006C6B5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-1.079</w:t>
            </w:r>
            <w:r w:rsidRPr="00902830">
              <w:rPr>
                <w:rFonts w:ascii="Times New Roman" w:hAnsi="Times New Roman" w:cs="Times New Roman"/>
                <w:sz w:val="16"/>
                <w:szCs w:val="16"/>
                <w:vertAlign w:val="superscript"/>
              </w:rPr>
              <w:t>*</w:t>
            </w:r>
          </w:p>
        </w:tc>
      </w:tr>
      <w:tr w:rsidR="00201D4C" w:rsidRPr="00902830" w14:paraId="5DA7727E" w14:textId="77777777" w:rsidTr="00015B88">
        <w:tc>
          <w:tcPr>
            <w:tcW w:w="2136" w:type="dxa"/>
            <w:tcBorders>
              <w:top w:val="nil"/>
              <w:left w:val="nil"/>
              <w:bottom w:val="nil"/>
              <w:right w:val="nil"/>
            </w:tcBorders>
          </w:tcPr>
          <w:p w14:paraId="2B6BAE5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C3A0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(-2.40)</w:t>
            </w:r>
          </w:p>
        </w:tc>
      </w:tr>
      <w:tr w:rsidR="00201D4C" w:rsidRPr="00902830" w14:paraId="6DF0B8E1" w14:textId="77777777" w:rsidTr="00015B88">
        <w:tc>
          <w:tcPr>
            <w:tcW w:w="2136" w:type="dxa"/>
            <w:tcBorders>
              <w:top w:val="nil"/>
              <w:left w:val="nil"/>
              <w:bottom w:val="nil"/>
              <w:right w:val="nil"/>
            </w:tcBorders>
          </w:tcPr>
          <w:p w14:paraId="7BE0242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B08BA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86124D2" w14:textId="77777777" w:rsidTr="00015B88">
        <w:tc>
          <w:tcPr>
            <w:tcW w:w="2136" w:type="dxa"/>
            <w:tcBorders>
              <w:top w:val="nil"/>
              <w:left w:val="nil"/>
              <w:bottom w:val="nil"/>
              <w:right w:val="nil"/>
            </w:tcBorders>
          </w:tcPr>
          <w:p w14:paraId="46F18D8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65B8B6B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-0.0130</w:t>
            </w:r>
          </w:p>
        </w:tc>
      </w:tr>
      <w:tr w:rsidR="00201D4C" w:rsidRPr="00902830" w14:paraId="6E06C02B" w14:textId="77777777" w:rsidTr="00015B88">
        <w:tc>
          <w:tcPr>
            <w:tcW w:w="2136" w:type="dxa"/>
            <w:tcBorders>
              <w:top w:val="nil"/>
              <w:left w:val="nil"/>
              <w:bottom w:val="nil"/>
              <w:right w:val="nil"/>
            </w:tcBorders>
          </w:tcPr>
          <w:p w14:paraId="61CE5DB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EEB8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(-0.63)</w:t>
            </w:r>
          </w:p>
        </w:tc>
      </w:tr>
      <w:tr w:rsidR="00201D4C" w:rsidRPr="00902830" w14:paraId="3ADA3C14" w14:textId="77777777" w:rsidTr="00015B88">
        <w:tc>
          <w:tcPr>
            <w:tcW w:w="2136" w:type="dxa"/>
            <w:tcBorders>
              <w:top w:val="nil"/>
              <w:left w:val="nil"/>
              <w:bottom w:val="nil"/>
              <w:right w:val="nil"/>
            </w:tcBorders>
          </w:tcPr>
          <w:p w14:paraId="140715B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D90D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F07F723" w14:textId="77777777" w:rsidTr="00015B88">
        <w:tc>
          <w:tcPr>
            <w:tcW w:w="2136" w:type="dxa"/>
            <w:tcBorders>
              <w:top w:val="nil"/>
              <w:left w:val="nil"/>
              <w:bottom w:val="nil"/>
              <w:right w:val="nil"/>
            </w:tcBorders>
          </w:tcPr>
          <w:p w14:paraId="613F953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902830">
              <w:rPr>
                <w:rFonts w:ascii="Times New Roman" w:hAnsi="Times New Roman" w:cs="Times New Roman"/>
                <w:sz w:val="16"/>
                <w:szCs w:val="16"/>
              </w:rPr>
              <w:t>L.De</w:t>
            </w:r>
            <w:proofErr w:type="spellEnd"/>
            <w:r w:rsidRPr="00902830">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1377222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-1.554</w:t>
            </w:r>
          </w:p>
        </w:tc>
      </w:tr>
      <w:tr w:rsidR="00201D4C" w:rsidRPr="00902830" w14:paraId="6D14DE50" w14:textId="77777777" w:rsidTr="00015B88">
        <w:tc>
          <w:tcPr>
            <w:tcW w:w="2136" w:type="dxa"/>
            <w:tcBorders>
              <w:top w:val="nil"/>
              <w:left w:val="nil"/>
              <w:bottom w:val="nil"/>
              <w:right w:val="nil"/>
            </w:tcBorders>
          </w:tcPr>
          <w:p w14:paraId="2FA0D9E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F8EE9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(-1.75)</w:t>
            </w:r>
          </w:p>
        </w:tc>
      </w:tr>
      <w:tr w:rsidR="00201D4C" w:rsidRPr="00902830" w14:paraId="40497F44" w14:textId="77777777" w:rsidTr="00015B88">
        <w:tc>
          <w:tcPr>
            <w:tcW w:w="2136" w:type="dxa"/>
            <w:tcBorders>
              <w:top w:val="nil"/>
              <w:left w:val="nil"/>
              <w:bottom w:val="nil"/>
              <w:right w:val="nil"/>
            </w:tcBorders>
          </w:tcPr>
          <w:p w14:paraId="54A1A47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F9F91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5CA19C4F" w14:textId="77777777" w:rsidTr="00015B88">
        <w:tc>
          <w:tcPr>
            <w:tcW w:w="2136" w:type="dxa"/>
            <w:tcBorders>
              <w:top w:val="nil"/>
              <w:left w:val="nil"/>
              <w:bottom w:val="nil"/>
              <w:right w:val="nil"/>
            </w:tcBorders>
          </w:tcPr>
          <w:p w14:paraId="5EA41CE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L2.De Jure CBI (CNW Index)</w:t>
            </w:r>
          </w:p>
        </w:tc>
        <w:tc>
          <w:tcPr>
            <w:tcW w:w="1656" w:type="dxa"/>
            <w:tcBorders>
              <w:top w:val="nil"/>
              <w:left w:val="nil"/>
              <w:bottom w:val="nil"/>
              <w:right w:val="nil"/>
            </w:tcBorders>
          </w:tcPr>
          <w:p w14:paraId="245A2A4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0.0929</w:t>
            </w:r>
          </w:p>
        </w:tc>
      </w:tr>
      <w:tr w:rsidR="00201D4C" w:rsidRPr="00902830" w14:paraId="67F22F0A" w14:textId="77777777" w:rsidTr="00015B88">
        <w:tc>
          <w:tcPr>
            <w:tcW w:w="2136" w:type="dxa"/>
            <w:tcBorders>
              <w:top w:val="nil"/>
              <w:left w:val="nil"/>
              <w:bottom w:val="nil"/>
              <w:right w:val="nil"/>
            </w:tcBorders>
          </w:tcPr>
          <w:p w14:paraId="3EF67A4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5F3AC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(0.10)</w:t>
            </w:r>
          </w:p>
        </w:tc>
      </w:tr>
      <w:tr w:rsidR="00201D4C" w:rsidRPr="00902830" w14:paraId="4CEA82E7" w14:textId="77777777" w:rsidTr="00015B88">
        <w:tc>
          <w:tcPr>
            <w:tcW w:w="2136" w:type="dxa"/>
            <w:tcBorders>
              <w:top w:val="nil"/>
              <w:left w:val="nil"/>
              <w:bottom w:val="nil"/>
              <w:right w:val="nil"/>
            </w:tcBorders>
          </w:tcPr>
          <w:p w14:paraId="510385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1744E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9E71B0E" w14:textId="77777777" w:rsidTr="00015B88">
        <w:tc>
          <w:tcPr>
            <w:tcW w:w="2136" w:type="dxa"/>
            <w:tcBorders>
              <w:top w:val="nil"/>
              <w:left w:val="nil"/>
              <w:bottom w:val="nil"/>
              <w:right w:val="nil"/>
            </w:tcBorders>
          </w:tcPr>
          <w:p w14:paraId="5BACBCD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L3.De Jure CBI (CNW Index)</w:t>
            </w:r>
          </w:p>
        </w:tc>
        <w:tc>
          <w:tcPr>
            <w:tcW w:w="1656" w:type="dxa"/>
            <w:tcBorders>
              <w:top w:val="nil"/>
              <w:left w:val="nil"/>
              <w:bottom w:val="nil"/>
              <w:right w:val="nil"/>
            </w:tcBorders>
          </w:tcPr>
          <w:p w14:paraId="0E70A26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-0.855</w:t>
            </w:r>
          </w:p>
        </w:tc>
      </w:tr>
      <w:tr w:rsidR="00201D4C" w:rsidRPr="00902830" w14:paraId="1A56E24F" w14:textId="77777777" w:rsidTr="00015B88">
        <w:tc>
          <w:tcPr>
            <w:tcW w:w="2136" w:type="dxa"/>
            <w:tcBorders>
              <w:top w:val="nil"/>
              <w:left w:val="nil"/>
              <w:bottom w:val="nil"/>
              <w:right w:val="nil"/>
            </w:tcBorders>
          </w:tcPr>
          <w:p w14:paraId="0205990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F358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(-1.00)</w:t>
            </w:r>
          </w:p>
        </w:tc>
      </w:tr>
      <w:tr w:rsidR="00201D4C" w:rsidRPr="00902830" w14:paraId="11923732" w14:textId="77777777" w:rsidTr="00015B88">
        <w:tc>
          <w:tcPr>
            <w:tcW w:w="2136" w:type="dxa"/>
            <w:tcBorders>
              <w:top w:val="nil"/>
              <w:left w:val="nil"/>
              <w:bottom w:val="nil"/>
              <w:right w:val="nil"/>
            </w:tcBorders>
          </w:tcPr>
          <w:p w14:paraId="1234AF1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4561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C554243" w14:textId="77777777" w:rsidTr="00015B88">
        <w:tc>
          <w:tcPr>
            <w:tcW w:w="2136" w:type="dxa"/>
            <w:tcBorders>
              <w:top w:val="nil"/>
              <w:left w:val="nil"/>
              <w:bottom w:val="nil"/>
              <w:right w:val="nil"/>
            </w:tcBorders>
          </w:tcPr>
          <w:p w14:paraId="315C26D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L4.De Jure CBI (CNW Index)</w:t>
            </w:r>
          </w:p>
        </w:tc>
        <w:tc>
          <w:tcPr>
            <w:tcW w:w="1656" w:type="dxa"/>
            <w:tcBorders>
              <w:top w:val="nil"/>
              <w:left w:val="nil"/>
              <w:bottom w:val="nil"/>
              <w:right w:val="nil"/>
            </w:tcBorders>
          </w:tcPr>
          <w:p w14:paraId="4D121B3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1.343</w:t>
            </w:r>
          </w:p>
        </w:tc>
      </w:tr>
      <w:tr w:rsidR="00201D4C" w:rsidRPr="00902830" w14:paraId="4A215CA5" w14:textId="77777777" w:rsidTr="00015B88">
        <w:tc>
          <w:tcPr>
            <w:tcW w:w="2136" w:type="dxa"/>
            <w:tcBorders>
              <w:top w:val="nil"/>
              <w:left w:val="nil"/>
              <w:bottom w:val="nil"/>
              <w:right w:val="nil"/>
            </w:tcBorders>
          </w:tcPr>
          <w:p w14:paraId="5DDBC00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090F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(0.97)</w:t>
            </w:r>
          </w:p>
        </w:tc>
      </w:tr>
      <w:tr w:rsidR="00201D4C" w:rsidRPr="00902830" w14:paraId="3CB5B7A6" w14:textId="77777777" w:rsidTr="00015B88">
        <w:tc>
          <w:tcPr>
            <w:tcW w:w="2136" w:type="dxa"/>
            <w:tcBorders>
              <w:top w:val="nil"/>
              <w:left w:val="nil"/>
              <w:bottom w:val="nil"/>
              <w:right w:val="nil"/>
            </w:tcBorders>
          </w:tcPr>
          <w:p w14:paraId="7CEC0E1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8311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48BFE30" w14:textId="77777777" w:rsidTr="00015B88">
        <w:tc>
          <w:tcPr>
            <w:tcW w:w="2136" w:type="dxa"/>
            <w:tcBorders>
              <w:top w:val="nil"/>
              <w:left w:val="nil"/>
              <w:bottom w:val="nil"/>
              <w:right w:val="nil"/>
            </w:tcBorders>
          </w:tcPr>
          <w:p w14:paraId="2253281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L5.De Jure CBI (CNW Index)</w:t>
            </w:r>
          </w:p>
        </w:tc>
        <w:tc>
          <w:tcPr>
            <w:tcW w:w="1656" w:type="dxa"/>
            <w:tcBorders>
              <w:top w:val="nil"/>
              <w:left w:val="nil"/>
              <w:bottom w:val="nil"/>
              <w:right w:val="nil"/>
            </w:tcBorders>
          </w:tcPr>
          <w:p w14:paraId="4EF2AA1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0.690</w:t>
            </w:r>
          </w:p>
        </w:tc>
      </w:tr>
      <w:tr w:rsidR="00201D4C" w:rsidRPr="00902830" w14:paraId="09758B25" w14:textId="77777777" w:rsidTr="00015B88">
        <w:tc>
          <w:tcPr>
            <w:tcW w:w="2136" w:type="dxa"/>
            <w:tcBorders>
              <w:top w:val="nil"/>
              <w:left w:val="nil"/>
              <w:bottom w:val="nil"/>
              <w:right w:val="nil"/>
            </w:tcBorders>
          </w:tcPr>
          <w:p w14:paraId="59A3433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763D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(0.54)</w:t>
            </w:r>
          </w:p>
        </w:tc>
      </w:tr>
      <w:tr w:rsidR="00201D4C" w:rsidRPr="00902830" w14:paraId="30392775" w14:textId="77777777" w:rsidTr="00015B88">
        <w:tc>
          <w:tcPr>
            <w:tcW w:w="2136" w:type="dxa"/>
            <w:tcBorders>
              <w:top w:val="nil"/>
              <w:left w:val="nil"/>
              <w:bottom w:val="nil"/>
              <w:right w:val="nil"/>
            </w:tcBorders>
          </w:tcPr>
          <w:p w14:paraId="7D67C3A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B88A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0DB0CC0" w14:textId="77777777" w:rsidTr="00015B88">
        <w:tc>
          <w:tcPr>
            <w:tcW w:w="2136" w:type="dxa"/>
            <w:tcBorders>
              <w:top w:val="nil"/>
              <w:left w:val="nil"/>
              <w:bottom w:val="nil"/>
              <w:right w:val="nil"/>
            </w:tcBorders>
          </w:tcPr>
          <w:p w14:paraId="1BAB8CA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L6.De Jure CBI (CNW Index)</w:t>
            </w:r>
          </w:p>
        </w:tc>
        <w:tc>
          <w:tcPr>
            <w:tcW w:w="1656" w:type="dxa"/>
            <w:tcBorders>
              <w:top w:val="nil"/>
              <w:left w:val="nil"/>
              <w:bottom w:val="nil"/>
              <w:right w:val="nil"/>
            </w:tcBorders>
          </w:tcPr>
          <w:p w14:paraId="68CCEC7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-2.084</w:t>
            </w:r>
            <w:r w:rsidRPr="00902830">
              <w:rPr>
                <w:rFonts w:ascii="Times New Roman" w:hAnsi="Times New Roman" w:cs="Times New Roman"/>
                <w:sz w:val="16"/>
                <w:szCs w:val="16"/>
                <w:vertAlign w:val="superscript"/>
              </w:rPr>
              <w:t>*</w:t>
            </w:r>
          </w:p>
        </w:tc>
      </w:tr>
      <w:tr w:rsidR="00201D4C" w:rsidRPr="00902830" w14:paraId="476CF276" w14:textId="77777777" w:rsidTr="00015B88">
        <w:tc>
          <w:tcPr>
            <w:tcW w:w="2136" w:type="dxa"/>
            <w:tcBorders>
              <w:top w:val="nil"/>
              <w:left w:val="nil"/>
              <w:bottom w:val="nil"/>
              <w:right w:val="nil"/>
            </w:tcBorders>
          </w:tcPr>
          <w:p w14:paraId="6E84D5B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FC732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(-2.21)</w:t>
            </w:r>
          </w:p>
        </w:tc>
      </w:tr>
      <w:tr w:rsidR="00201D4C" w:rsidRPr="00902830" w14:paraId="03007C26" w14:textId="77777777" w:rsidTr="00015B88">
        <w:tc>
          <w:tcPr>
            <w:tcW w:w="2136" w:type="dxa"/>
            <w:tcBorders>
              <w:top w:val="nil"/>
              <w:left w:val="nil"/>
              <w:bottom w:val="nil"/>
              <w:right w:val="nil"/>
            </w:tcBorders>
          </w:tcPr>
          <w:p w14:paraId="399E855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BE39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FC8B52A" w14:textId="77777777" w:rsidTr="00015B88">
        <w:tc>
          <w:tcPr>
            <w:tcW w:w="2136" w:type="dxa"/>
            <w:tcBorders>
              <w:top w:val="nil"/>
              <w:left w:val="nil"/>
              <w:bottom w:val="nil"/>
              <w:right w:val="nil"/>
            </w:tcBorders>
          </w:tcPr>
          <w:p w14:paraId="44A75D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L7.De Jure CBI (CNW Index)</w:t>
            </w:r>
          </w:p>
        </w:tc>
        <w:tc>
          <w:tcPr>
            <w:tcW w:w="1656" w:type="dxa"/>
            <w:tcBorders>
              <w:top w:val="nil"/>
              <w:left w:val="nil"/>
              <w:bottom w:val="nil"/>
              <w:right w:val="nil"/>
            </w:tcBorders>
          </w:tcPr>
          <w:p w14:paraId="4BD933F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1.066</w:t>
            </w:r>
          </w:p>
        </w:tc>
      </w:tr>
      <w:tr w:rsidR="00201D4C" w:rsidRPr="00902830" w14:paraId="772BCED5" w14:textId="77777777" w:rsidTr="00015B88">
        <w:tc>
          <w:tcPr>
            <w:tcW w:w="2136" w:type="dxa"/>
            <w:tcBorders>
              <w:top w:val="nil"/>
              <w:left w:val="nil"/>
              <w:bottom w:val="nil"/>
              <w:right w:val="nil"/>
            </w:tcBorders>
          </w:tcPr>
          <w:p w14:paraId="11DAE5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E7FA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(0.89)</w:t>
            </w:r>
          </w:p>
        </w:tc>
      </w:tr>
      <w:tr w:rsidR="00201D4C" w:rsidRPr="00902830" w14:paraId="367E90F8" w14:textId="77777777" w:rsidTr="00015B88">
        <w:tc>
          <w:tcPr>
            <w:tcW w:w="2136" w:type="dxa"/>
            <w:tcBorders>
              <w:top w:val="nil"/>
              <w:left w:val="nil"/>
              <w:bottom w:val="nil"/>
              <w:right w:val="nil"/>
            </w:tcBorders>
          </w:tcPr>
          <w:p w14:paraId="66AAA97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D7F41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892531B" w14:textId="77777777" w:rsidTr="00015B88">
        <w:tc>
          <w:tcPr>
            <w:tcW w:w="2136" w:type="dxa"/>
            <w:tcBorders>
              <w:top w:val="nil"/>
              <w:left w:val="nil"/>
              <w:bottom w:val="nil"/>
              <w:right w:val="nil"/>
            </w:tcBorders>
          </w:tcPr>
          <w:p w14:paraId="308C488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L8.De Jure CBI (CNW Index)</w:t>
            </w:r>
          </w:p>
        </w:tc>
        <w:tc>
          <w:tcPr>
            <w:tcW w:w="1656" w:type="dxa"/>
            <w:tcBorders>
              <w:top w:val="nil"/>
              <w:left w:val="nil"/>
              <w:bottom w:val="nil"/>
              <w:right w:val="nil"/>
            </w:tcBorders>
          </w:tcPr>
          <w:p w14:paraId="572AF87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0.534</w:t>
            </w:r>
          </w:p>
        </w:tc>
      </w:tr>
      <w:tr w:rsidR="00201D4C" w:rsidRPr="00902830" w14:paraId="32F1160A" w14:textId="77777777" w:rsidTr="00015B88">
        <w:tc>
          <w:tcPr>
            <w:tcW w:w="2136" w:type="dxa"/>
            <w:tcBorders>
              <w:top w:val="nil"/>
              <w:left w:val="nil"/>
              <w:bottom w:val="nil"/>
              <w:right w:val="nil"/>
            </w:tcBorders>
          </w:tcPr>
          <w:p w14:paraId="508B24B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8BBE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(0.45)</w:t>
            </w:r>
          </w:p>
        </w:tc>
      </w:tr>
      <w:tr w:rsidR="00201D4C" w:rsidRPr="00902830" w14:paraId="1E088DE3" w14:textId="77777777" w:rsidTr="00015B88">
        <w:tc>
          <w:tcPr>
            <w:tcW w:w="2136" w:type="dxa"/>
            <w:tcBorders>
              <w:top w:val="nil"/>
              <w:left w:val="nil"/>
              <w:bottom w:val="nil"/>
              <w:right w:val="nil"/>
            </w:tcBorders>
          </w:tcPr>
          <w:p w14:paraId="65E7455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9FA7F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2498261" w14:textId="77777777" w:rsidTr="00015B88">
        <w:tc>
          <w:tcPr>
            <w:tcW w:w="2136" w:type="dxa"/>
            <w:tcBorders>
              <w:top w:val="nil"/>
              <w:left w:val="nil"/>
              <w:bottom w:val="nil"/>
              <w:right w:val="nil"/>
            </w:tcBorders>
          </w:tcPr>
          <w:p w14:paraId="4938114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L9.De Jure CBI (CNW Index)</w:t>
            </w:r>
          </w:p>
        </w:tc>
        <w:tc>
          <w:tcPr>
            <w:tcW w:w="1656" w:type="dxa"/>
            <w:tcBorders>
              <w:top w:val="nil"/>
              <w:left w:val="nil"/>
              <w:bottom w:val="nil"/>
              <w:right w:val="nil"/>
            </w:tcBorders>
          </w:tcPr>
          <w:p w14:paraId="6BEB8FE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-1.374</w:t>
            </w:r>
          </w:p>
        </w:tc>
      </w:tr>
      <w:tr w:rsidR="00201D4C" w:rsidRPr="00902830" w14:paraId="7AA6F57E" w14:textId="77777777" w:rsidTr="00015B88">
        <w:tc>
          <w:tcPr>
            <w:tcW w:w="2136" w:type="dxa"/>
            <w:tcBorders>
              <w:top w:val="nil"/>
              <w:left w:val="nil"/>
              <w:bottom w:val="nil"/>
              <w:right w:val="nil"/>
            </w:tcBorders>
          </w:tcPr>
          <w:p w14:paraId="491B88D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E563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(-1.58)</w:t>
            </w:r>
          </w:p>
        </w:tc>
      </w:tr>
      <w:tr w:rsidR="00201D4C" w:rsidRPr="00902830" w14:paraId="79DEB2C9" w14:textId="77777777" w:rsidTr="00015B88">
        <w:tc>
          <w:tcPr>
            <w:tcW w:w="2136" w:type="dxa"/>
            <w:tcBorders>
              <w:top w:val="nil"/>
              <w:left w:val="nil"/>
              <w:bottom w:val="nil"/>
              <w:right w:val="nil"/>
            </w:tcBorders>
          </w:tcPr>
          <w:p w14:paraId="7224DAC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58880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4E06C52" w14:textId="77777777" w:rsidTr="00015B88">
        <w:tc>
          <w:tcPr>
            <w:tcW w:w="2136" w:type="dxa"/>
            <w:tcBorders>
              <w:top w:val="nil"/>
              <w:left w:val="nil"/>
              <w:bottom w:val="nil"/>
              <w:right w:val="nil"/>
            </w:tcBorders>
          </w:tcPr>
          <w:p w14:paraId="6F7DB4E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L10.De Jure CBI (CNW Index)</w:t>
            </w:r>
          </w:p>
        </w:tc>
        <w:tc>
          <w:tcPr>
            <w:tcW w:w="1656" w:type="dxa"/>
            <w:tcBorders>
              <w:top w:val="nil"/>
              <w:left w:val="nil"/>
              <w:bottom w:val="nil"/>
              <w:right w:val="nil"/>
            </w:tcBorders>
          </w:tcPr>
          <w:p w14:paraId="510BAAA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0.521</w:t>
            </w:r>
          </w:p>
        </w:tc>
      </w:tr>
      <w:tr w:rsidR="00201D4C" w:rsidRPr="00902830" w14:paraId="7BD52CD8" w14:textId="77777777" w:rsidTr="00015B88">
        <w:tc>
          <w:tcPr>
            <w:tcW w:w="2136" w:type="dxa"/>
            <w:tcBorders>
              <w:top w:val="nil"/>
              <w:left w:val="nil"/>
              <w:bottom w:val="nil"/>
              <w:right w:val="nil"/>
            </w:tcBorders>
          </w:tcPr>
          <w:p w14:paraId="60A87AD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A26F2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(0.83)</w:t>
            </w:r>
          </w:p>
        </w:tc>
      </w:tr>
      <w:tr w:rsidR="00201D4C" w:rsidRPr="00902830" w14:paraId="3D73412F" w14:textId="77777777" w:rsidTr="00015B88">
        <w:tc>
          <w:tcPr>
            <w:tcW w:w="2136" w:type="dxa"/>
            <w:tcBorders>
              <w:top w:val="nil"/>
              <w:left w:val="nil"/>
              <w:bottom w:val="nil"/>
              <w:right w:val="nil"/>
            </w:tcBorders>
          </w:tcPr>
          <w:p w14:paraId="3C26680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DD8EF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5AE57CB" w14:textId="77777777" w:rsidTr="00015B88">
        <w:tc>
          <w:tcPr>
            <w:tcW w:w="2136" w:type="dxa"/>
            <w:tcBorders>
              <w:top w:val="nil"/>
              <w:left w:val="nil"/>
              <w:bottom w:val="nil"/>
              <w:right w:val="nil"/>
            </w:tcBorders>
          </w:tcPr>
          <w:p w14:paraId="099881C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902830">
              <w:rPr>
                <w:rFonts w:ascii="Times New Roman" w:hAnsi="Times New Roman" w:cs="Times New Roman"/>
                <w:sz w:val="16"/>
                <w:szCs w:val="16"/>
              </w:rPr>
              <w:t>L.Exchange</w:t>
            </w:r>
            <w:proofErr w:type="spellEnd"/>
            <w:r w:rsidRPr="00902830">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0EBF4C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0.0278</w:t>
            </w:r>
          </w:p>
        </w:tc>
      </w:tr>
      <w:tr w:rsidR="00201D4C" w:rsidRPr="00902830" w14:paraId="7101B65C" w14:textId="77777777" w:rsidTr="00015B88">
        <w:tc>
          <w:tcPr>
            <w:tcW w:w="2136" w:type="dxa"/>
            <w:tcBorders>
              <w:top w:val="nil"/>
              <w:left w:val="nil"/>
              <w:bottom w:val="nil"/>
              <w:right w:val="nil"/>
            </w:tcBorders>
          </w:tcPr>
          <w:p w14:paraId="0C6AB1C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AFFC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(0.76)</w:t>
            </w:r>
          </w:p>
        </w:tc>
      </w:tr>
      <w:tr w:rsidR="00201D4C" w:rsidRPr="00902830" w14:paraId="53863765" w14:textId="77777777" w:rsidTr="00015B88">
        <w:tc>
          <w:tcPr>
            <w:tcW w:w="2136" w:type="dxa"/>
            <w:tcBorders>
              <w:top w:val="nil"/>
              <w:left w:val="nil"/>
              <w:bottom w:val="nil"/>
              <w:right w:val="nil"/>
            </w:tcBorders>
          </w:tcPr>
          <w:p w14:paraId="69BDCDC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C7F8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5D2F4CEE" w14:textId="77777777" w:rsidTr="00015B88">
        <w:tc>
          <w:tcPr>
            <w:tcW w:w="2136" w:type="dxa"/>
            <w:tcBorders>
              <w:top w:val="nil"/>
              <w:left w:val="nil"/>
              <w:bottom w:val="nil"/>
              <w:right w:val="nil"/>
            </w:tcBorders>
          </w:tcPr>
          <w:p w14:paraId="5F08035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58E8D14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-0.00790</w:t>
            </w:r>
          </w:p>
        </w:tc>
      </w:tr>
      <w:tr w:rsidR="00201D4C" w:rsidRPr="00902830" w14:paraId="44F3BAAA" w14:textId="77777777" w:rsidTr="00015B88">
        <w:tc>
          <w:tcPr>
            <w:tcW w:w="2136" w:type="dxa"/>
            <w:tcBorders>
              <w:top w:val="nil"/>
              <w:left w:val="nil"/>
              <w:bottom w:val="nil"/>
              <w:right w:val="nil"/>
            </w:tcBorders>
          </w:tcPr>
          <w:p w14:paraId="7AA72D6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1B88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(-0.25)</w:t>
            </w:r>
          </w:p>
        </w:tc>
      </w:tr>
      <w:tr w:rsidR="00201D4C" w:rsidRPr="00902830" w14:paraId="19F97B38" w14:textId="77777777" w:rsidTr="00015B88">
        <w:tc>
          <w:tcPr>
            <w:tcW w:w="2136" w:type="dxa"/>
            <w:tcBorders>
              <w:top w:val="nil"/>
              <w:left w:val="nil"/>
              <w:bottom w:val="nil"/>
              <w:right w:val="nil"/>
            </w:tcBorders>
          </w:tcPr>
          <w:p w14:paraId="554CE2F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9487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1326D23" w14:textId="77777777" w:rsidTr="00015B88">
        <w:tc>
          <w:tcPr>
            <w:tcW w:w="2136" w:type="dxa"/>
            <w:tcBorders>
              <w:top w:val="nil"/>
              <w:left w:val="nil"/>
              <w:bottom w:val="nil"/>
              <w:right w:val="nil"/>
            </w:tcBorders>
          </w:tcPr>
          <w:p w14:paraId="12F8C3E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46D2F5F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0.0496</w:t>
            </w:r>
          </w:p>
        </w:tc>
      </w:tr>
      <w:tr w:rsidR="00201D4C" w:rsidRPr="00902830" w14:paraId="0D949DC1" w14:textId="77777777" w:rsidTr="00015B88">
        <w:tc>
          <w:tcPr>
            <w:tcW w:w="2136" w:type="dxa"/>
            <w:tcBorders>
              <w:top w:val="nil"/>
              <w:left w:val="nil"/>
              <w:bottom w:val="nil"/>
              <w:right w:val="nil"/>
            </w:tcBorders>
          </w:tcPr>
          <w:p w14:paraId="5691A15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62F79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(1.10)</w:t>
            </w:r>
          </w:p>
        </w:tc>
      </w:tr>
      <w:tr w:rsidR="00201D4C" w:rsidRPr="00902830" w14:paraId="56B9EF25" w14:textId="77777777" w:rsidTr="00015B88">
        <w:tc>
          <w:tcPr>
            <w:tcW w:w="2136" w:type="dxa"/>
            <w:tcBorders>
              <w:top w:val="nil"/>
              <w:left w:val="nil"/>
              <w:bottom w:val="nil"/>
              <w:right w:val="nil"/>
            </w:tcBorders>
          </w:tcPr>
          <w:p w14:paraId="1974A8A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BCEC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4A05A718" w14:textId="77777777" w:rsidTr="00015B88">
        <w:tc>
          <w:tcPr>
            <w:tcW w:w="2136" w:type="dxa"/>
            <w:tcBorders>
              <w:top w:val="nil"/>
              <w:left w:val="nil"/>
              <w:bottom w:val="nil"/>
              <w:right w:val="nil"/>
            </w:tcBorders>
          </w:tcPr>
          <w:p w14:paraId="361847B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3B5F1EC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-0.0993</w:t>
            </w:r>
            <w:r w:rsidRPr="00902830">
              <w:rPr>
                <w:rFonts w:ascii="Times New Roman" w:hAnsi="Times New Roman" w:cs="Times New Roman"/>
                <w:sz w:val="16"/>
                <w:szCs w:val="16"/>
                <w:vertAlign w:val="superscript"/>
              </w:rPr>
              <w:t>*</w:t>
            </w:r>
          </w:p>
        </w:tc>
      </w:tr>
      <w:tr w:rsidR="00201D4C" w:rsidRPr="00902830" w14:paraId="56F9BD88" w14:textId="77777777" w:rsidTr="00015B88">
        <w:tc>
          <w:tcPr>
            <w:tcW w:w="2136" w:type="dxa"/>
            <w:tcBorders>
              <w:top w:val="nil"/>
              <w:left w:val="nil"/>
              <w:bottom w:val="nil"/>
              <w:right w:val="nil"/>
            </w:tcBorders>
          </w:tcPr>
          <w:p w14:paraId="55E8297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057A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(-2.28)</w:t>
            </w:r>
          </w:p>
        </w:tc>
      </w:tr>
      <w:tr w:rsidR="00201D4C" w:rsidRPr="00902830" w14:paraId="1ED4F169" w14:textId="77777777" w:rsidTr="00015B88">
        <w:tc>
          <w:tcPr>
            <w:tcW w:w="2136" w:type="dxa"/>
            <w:tcBorders>
              <w:top w:val="nil"/>
              <w:left w:val="nil"/>
              <w:bottom w:val="nil"/>
              <w:right w:val="nil"/>
            </w:tcBorders>
          </w:tcPr>
          <w:p w14:paraId="45E8DC0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2D728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B3F3F6B" w14:textId="77777777" w:rsidTr="00015B88">
        <w:tc>
          <w:tcPr>
            <w:tcW w:w="2136" w:type="dxa"/>
            <w:tcBorders>
              <w:top w:val="nil"/>
              <w:left w:val="nil"/>
              <w:bottom w:val="nil"/>
              <w:right w:val="nil"/>
            </w:tcBorders>
          </w:tcPr>
          <w:p w14:paraId="6A3E0A0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5028770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0.0587</w:t>
            </w:r>
          </w:p>
        </w:tc>
      </w:tr>
      <w:tr w:rsidR="00201D4C" w:rsidRPr="00902830" w14:paraId="4F3D88E6" w14:textId="77777777" w:rsidTr="00015B88">
        <w:tc>
          <w:tcPr>
            <w:tcW w:w="2136" w:type="dxa"/>
            <w:tcBorders>
              <w:top w:val="nil"/>
              <w:left w:val="nil"/>
              <w:bottom w:val="nil"/>
              <w:right w:val="nil"/>
            </w:tcBorders>
          </w:tcPr>
          <w:p w14:paraId="7470E0A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735AE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(1.34)</w:t>
            </w:r>
          </w:p>
        </w:tc>
      </w:tr>
      <w:tr w:rsidR="00201D4C" w:rsidRPr="00902830" w14:paraId="25E73E3B" w14:textId="77777777" w:rsidTr="00015B88">
        <w:tc>
          <w:tcPr>
            <w:tcW w:w="2136" w:type="dxa"/>
            <w:tcBorders>
              <w:top w:val="nil"/>
              <w:left w:val="nil"/>
              <w:bottom w:val="nil"/>
              <w:right w:val="nil"/>
            </w:tcBorders>
          </w:tcPr>
          <w:p w14:paraId="06B9BEC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A512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8D3BF91" w14:textId="77777777" w:rsidTr="00015B88">
        <w:tc>
          <w:tcPr>
            <w:tcW w:w="2136" w:type="dxa"/>
            <w:tcBorders>
              <w:top w:val="nil"/>
              <w:left w:val="nil"/>
              <w:bottom w:val="nil"/>
              <w:right w:val="nil"/>
            </w:tcBorders>
          </w:tcPr>
          <w:p w14:paraId="334B303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3A808CE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-0.00547</w:t>
            </w:r>
          </w:p>
        </w:tc>
      </w:tr>
      <w:tr w:rsidR="00201D4C" w:rsidRPr="00902830" w14:paraId="6C806584" w14:textId="77777777" w:rsidTr="00015B88">
        <w:tc>
          <w:tcPr>
            <w:tcW w:w="2136" w:type="dxa"/>
            <w:tcBorders>
              <w:top w:val="nil"/>
              <w:left w:val="nil"/>
              <w:bottom w:val="nil"/>
              <w:right w:val="nil"/>
            </w:tcBorders>
          </w:tcPr>
          <w:p w14:paraId="0E68D16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A9B9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(-0.20)</w:t>
            </w:r>
          </w:p>
        </w:tc>
      </w:tr>
      <w:tr w:rsidR="00201D4C" w:rsidRPr="00902830" w14:paraId="32227748" w14:textId="77777777" w:rsidTr="00015B88">
        <w:tc>
          <w:tcPr>
            <w:tcW w:w="2136" w:type="dxa"/>
            <w:tcBorders>
              <w:top w:val="nil"/>
              <w:left w:val="nil"/>
              <w:bottom w:val="nil"/>
              <w:right w:val="nil"/>
            </w:tcBorders>
          </w:tcPr>
          <w:p w14:paraId="14C3656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18DB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7FEE33E" w14:textId="77777777" w:rsidTr="00015B88">
        <w:tc>
          <w:tcPr>
            <w:tcW w:w="2136" w:type="dxa"/>
            <w:tcBorders>
              <w:top w:val="nil"/>
              <w:left w:val="nil"/>
              <w:bottom w:val="nil"/>
              <w:right w:val="nil"/>
            </w:tcBorders>
          </w:tcPr>
          <w:p w14:paraId="6F46E22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4AB2E54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0.0436</w:t>
            </w:r>
            <w:r w:rsidRPr="00902830">
              <w:rPr>
                <w:rFonts w:ascii="Times New Roman" w:hAnsi="Times New Roman" w:cs="Times New Roman"/>
                <w:sz w:val="16"/>
                <w:szCs w:val="16"/>
                <w:vertAlign w:val="superscript"/>
              </w:rPr>
              <w:t>*</w:t>
            </w:r>
          </w:p>
        </w:tc>
      </w:tr>
      <w:tr w:rsidR="00201D4C" w:rsidRPr="00902830" w14:paraId="5CA226B7" w14:textId="77777777" w:rsidTr="00015B88">
        <w:tc>
          <w:tcPr>
            <w:tcW w:w="2136" w:type="dxa"/>
            <w:tcBorders>
              <w:top w:val="nil"/>
              <w:left w:val="nil"/>
              <w:bottom w:val="nil"/>
              <w:right w:val="nil"/>
            </w:tcBorders>
          </w:tcPr>
          <w:p w14:paraId="786081A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DB56B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(2.07)</w:t>
            </w:r>
          </w:p>
        </w:tc>
      </w:tr>
      <w:tr w:rsidR="00201D4C" w:rsidRPr="00902830" w14:paraId="1AF8E02F" w14:textId="77777777" w:rsidTr="00015B88">
        <w:tc>
          <w:tcPr>
            <w:tcW w:w="2136" w:type="dxa"/>
            <w:tcBorders>
              <w:top w:val="nil"/>
              <w:left w:val="nil"/>
              <w:bottom w:val="nil"/>
              <w:right w:val="nil"/>
            </w:tcBorders>
          </w:tcPr>
          <w:p w14:paraId="53B4316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D13FE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7EDA1B2" w14:textId="77777777" w:rsidTr="00015B88">
        <w:tc>
          <w:tcPr>
            <w:tcW w:w="2136" w:type="dxa"/>
            <w:tcBorders>
              <w:top w:val="nil"/>
              <w:left w:val="nil"/>
              <w:bottom w:val="nil"/>
              <w:right w:val="nil"/>
            </w:tcBorders>
          </w:tcPr>
          <w:p w14:paraId="58BD3C5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3C98AD2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-0.0158</w:t>
            </w:r>
          </w:p>
        </w:tc>
      </w:tr>
      <w:tr w:rsidR="00201D4C" w:rsidRPr="00902830" w14:paraId="5290C81F" w14:textId="77777777" w:rsidTr="00015B88">
        <w:tc>
          <w:tcPr>
            <w:tcW w:w="2136" w:type="dxa"/>
            <w:tcBorders>
              <w:top w:val="nil"/>
              <w:left w:val="nil"/>
              <w:bottom w:val="nil"/>
              <w:right w:val="nil"/>
            </w:tcBorders>
          </w:tcPr>
          <w:p w14:paraId="1260E0B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0B70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(-0.55)</w:t>
            </w:r>
          </w:p>
        </w:tc>
      </w:tr>
      <w:tr w:rsidR="00201D4C" w:rsidRPr="00902830" w14:paraId="2CEF3238" w14:textId="77777777" w:rsidTr="00015B88">
        <w:tc>
          <w:tcPr>
            <w:tcW w:w="2136" w:type="dxa"/>
            <w:tcBorders>
              <w:top w:val="nil"/>
              <w:left w:val="nil"/>
              <w:bottom w:val="nil"/>
              <w:right w:val="nil"/>
            </w:tcBorders>
          </w:tcPr>
          <w:p w14:paraId="175A236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EF52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03E4535" w14:textId="77777777" w:rsidTr="00015B88">
        <w:tc>
          <w:tcPr>
            <w:tcW w:w="2136" w:type="dxa"/>
            <w:tcBorders>
              <w:top w:val="nil"/>
              <w:left w:val="nil"/>
              <w:bottom w:val="nil"/>
              <w:right w:val="nil"/>
            </w:tcBorders>
          </w:tcPr>
          <w:p w14:paraId="6F664F4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0ECAD58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-0.0419</w:t>
            </w:r>
          </w:p>
        </w:tc>
      </w:tr>
      <w:tr w:rsidR="00201D4C" w:rsidRPr="00902830" w14:paraId="24F5A954" w14:textId="77777777" w:rsidTr="00015B88">
        <w:tc>
          <w:tcPr>
            <w:tcW w:w="2136" w:type="dxa"/>
            <w:tcBorders>
              <w:top w:val="nil"/>
              <w:left w:val="nil"/>
              <w:bottom w:val="nil"/>
              <w:right w:val="nil"/>
            </w:tcBorders>
          </w:tcPr>
          <w:p w14:paraId="3FF1AA1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CC50D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(-1.70)</w:t>
            </w:r>
          </w:p>
        </w:tc>
      </w:tr>
      <w:tr w:rsidR="00201D4C" w:rsidRPr="00902830" w14:paraId="308B7575" w14:textId="77777777" w:rsidTr="00015B88">
        <w:tc>
          <w:tcPr>
            <w:tcW w:w="2136" w:type="dxa"/>
            <w:tcBorders>
              <w:top w:val="nil"/>
              <w:left w:val="nil"/>
              <w:bottom w:val="nil"/>
              <w:right w:val="nil"/>
            </w:tcBorders>
          </w:tcPr>
          <w:p w14:paraId="7F6DD1C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B9346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E0FA4B8" w14:textId="77777777" w:rsidTr="00015B88">
        <w:tc>
          <w:tcPr>
            <w:tcW w:w="2136" w:type="dxa"/>
            <w:tcBorders>
              <w:top w:val="nil"/>
              <w:left w:val="nil"/>
              <w:bottom w:val="nil"/>
              <w:right w:val="nil"/>
            </w:tcBorders>
          </w:tcPr>
          <w:p w14:paraId="7125DC5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7459295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0.0321</w:t>
            </w:r>
          </w:p>
        </w:tc>
      </w:tr>
      <w:tr w:rsidR="00201D4C" w:rsidRPr="00902830" w14:paraId="5D557287" w14:textId="77777777" w:rsidTr="00015B88">
        <w:tc>
          <w:tcPr>
            <w:tcW w:w="2136" w:type="dxa"/>
            <w:tcBorders>
              <w:top w:val="nil"/>
              <w:left w:val="nil"/>
              <w:bottom w:val="nil"/>
              <w:right w:val="nil"/>
            </w:tcBorders>
          </w:tcPr>
          <w:p w14:paraId="092ED69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5E51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(1.69)</w:t>
            </w:r>
          </w:p>
        </w:tc>
      </w:tr>
      <w:tr w:rsidR="00201D4C" w:rsidRPr="00902830" w14:paraId="31438C6B" w14:textId="77777777" w:rsidTr="00015B88">
        <w:tc>
          <w:tcPr>
            <w:tcW w:w="2136" w:type="dxa"/>
            <w:tcBorders>
              <w:top w:val="nil"/>
              <w:left w:val="nil"/>
              <w:bottom w:val="nil"/>
              <w:right w:val="nil"/>
            </w:tcBorders>
          </w:tcPr>
          <w:p w14:paraId="32179DF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BF4A2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F885737" w14:textId="77777777" w:rsidTr="00015B88">
        <w:tc>
          <w:tcPr>
            <w:tcW w:w="2136" w:type="dxa"/>
            <w:tcBorders>
              <w:top w:val="nil"/>
              <w:left w:val="nil"/>
              <w:bottom w:val="nil"/>
              <w:right w:val="nil"/>
            </w:tcBorders>
          </w:tcPr>
          <w:p w14:paraId="076EA70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902830">
              <w:rPr>
                <w:rFonts w:ascii="Times New Roman" w:hAnsi="Times New Roman" w:cs="Times New Roman"/>
                <w:sz w:val="16"/>
                <w:szCs w:val="16"/>
              </w:rPr>
              <w:t>L.Legislative</w:t>
            </w:r>
            <w:proofErr w:type="spellEnd"/>
            <w:r w:rsidRPr="00902830">
              <w:rPr>
                <w:rFonts w:ascii="Times New Roman" w:hAnsi="Times New Roman" w:cs="Times New Roman"/>
                <w:sz w:val="16"/>
                <w:szCs w:val="16"/>
              </w:rPr>
              <w:t xml:space="preserve"> Efficacy</w:t>
            </w:r>
          </w:p>
        </w:tc>
        <w:tc>
          <w:tcPr>
            <w:tcW w:w="1656" w:type="dxa"/>
            <w:tcBorders>
              <w:top w:val="nil"/>
              <w:left w:val="nil"/>
              <w:bottom w:val="nil"/>
              <w:right w:val="nil"/>
            </w:tcBorders>
          </w:tcPr>
          <w:p w14:paraId="2624251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-0.00134</w:t>
            </w:r>
          </w:p>
        </w:tc>
      </w:tr>
      <w:tr w:rsidR="00201D4C" w:rsidRPr="00902830" w14:paraId="5D603F08" w14:textId="77777777" w:rsidTr="00015B88">
        <w:tc>
          <w:tcPr>
            <w:tcW w:w="2136" w:type="dxa"/>
            <w:tcBorders>
              <w:top w:val="nil"/>
              <w:left w:val="nil"/>
              <w:bottom w:val="nil"/>
              <w:right w:val="nil"/>
            </w:tcBorders>
          </w:tcPr>
          <w:p w14:paraId="7C8688A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C7476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w:t>
            </w:r>
          </w:p>
        </w:tc>
      </w:tr>
      <w:tr w:rsidR="00201D4C" w:rsidRPr="00902830" w14:paraId="440ED379" w14:textId="77777777" w:rsidTr="00015B88">
        <w:tc>
          <w:tcPr>
            <w:tcW w:w="2136" w:type="dxa"/>
            <w:tcBorders>
              <w:top w:val="nil"/>
              <w:left w:val="nil"/>
              <w:bottom w:val="nil"/>
              <w:right w:val="nil"/>
            </w:tcBorders>
          </w:tcPr>
          <w:p w14:paraId="505F07B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6633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256C9F9" w14:textId="77777777" w:rsidTr="00015B88">
        <w:tc>
          <w:tcPr>
            <w:tcW w:w="2136" w:type="dxa"/>
            <w:tcBorders>
              <w:top w:val="nil"/>
              <w:left w:val="nil"/>
              <w:bottom w:val="nil"/>
              <w:right w:val="nil"/>
            </w:tcBorders>
          </w:tcPr>
          <w:p w14:paraId="07D3B04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L2.Legislative Efficacy</w:t>
            </w:r>
          </w:p>
        </w:tc>
        <w:tc>
          <w:tcPr>
            <w:tcW w:w="1656" w:type="dxa"/>
            <w:tcBorders>
              <w:top w:val="nil"/>
              <w:left w:val="nil"/>
              <w:bottom w:val="nil"/>
              <w:right w:val="nil"/>
            </w:tcBorders>
          </w:tcPr>
          <w:p w14:paraId="644B2E1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-0.275</w:t>
            </w:r>
          </w:p>
        </w:tc>
      </w:tr>
      <w:tr w:rsidR="00201D4C" w:rsidRPr="00902830" w14:paraId="585A01E5" w14:textId="77777777" w:rsidTr="00015B88">
        <w:tc>
          <w:tcPr>
            <w:tcW w:w="2136" w:type="dxa"/>
            <w:tcBorders>
              <w:top w:val="nil"/>
              <w:left w:val="nil"/>
              <w:bottom w:val="nil"/>
              <w:right w:val="nil"/>
            </w:tcBorders>
          </w:tcPr>
          <w:p w14:paraId="268F124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33499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(-0.67)</w:t>
            </w:r>
          </w:p>
        </w:tc>
      </w:tr>
      <w:tr w:rsidR="00201D4C" w:rsidRPr="00902830" w14:paraId="6CB2A4F3" w14:textId="77777777" w:rsidTr="00015B88">
        <w:tc>
          <w:tcPr>
            <w:tcW w:w="2136" w:type="dxa"/>
            <w:tcBorders>
              <w:top w:val="nil"/>
              <w:left w:val="nil"/>
              <w:bottom w:val="nil"/>
              <w:right w:val="nil"/>
            </w:tcBorders>
          </w:tcPr>
          <w:p w14:paraId="100791B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A58DE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F4D79C0" w14:textId="77777777" w:rsidTr="00015B88">
        <w:tc>
          <w:tcPr>
            <w:tcW w:w="2136" w:type="dxa"/>
            <w:tcBorders>
              <w:top w:val="nil"/>
              <w:left w:val="nil"/>
              <w:bottom w:val="nil"/>
              <w:right w:val="nil"/>
            </w:tcBorders>
          </w:tcPr>
          <w:p w14:paraId="1C6EF12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L3.Legislative Efficacy</w:t>
            </w:r>
          </w:p>
        </w:tc>
        <w:tc>
          <w:tcPr>
            <w:tcW w:w="1656" w:type="dxa"/>
            <w:tcBorders>
              <w:top w:val="nil"/>
              <w:left w:val="nil"/>
              <w:bottom w:val="nil"/>
              <w:right w:val="nil"/>
            </w:tcBorders>
          </w:tcPr>
          <w:p w14:paraId="41BFF1C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0.264</w:t>
            </w:r>
          </w:p>
        </w:tc>
      </w:tr>
      <w:tr w:rsidR="00201D4C" w:rsidRPr="00902830" w14:paraId="70869B61" w14:textId="77777777" w:rsidTr="00015B88">
        <w:tc>
          <w:tcPr>
            <w:tcW w:w="2136" w:type="dxa"/>
            <w:tcBorders>
              <w:top w:val="nil"/>
              <w:left w:val="nil"/>
              <w:bottom w:val="nil"/>
              <w:right w:val="nil"/>
            </w:tcBorders>
          </w:tcPr>
          <w:p w14:paraId="2A44663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892D0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(0.51)</w:t>
            </w:r>
          </w:p>
        </w:tc>
      </w:tr>
      <w:tr w:rsidR="00201D4C" w:rsidRPr="00902830" w14:paraId="7DA89364" w14:textId="77777777" w:rsidTr="00015B88">
        <w:tc>
          <w:tcPr>
            <w:tcW w:w="2136" w:type="dxa"/>
            <w:tcBorders>
              <w:top w:val="nil"/>
              <w:left w:val="nil"/>
              <w:bottom w:val="nil"/>
              <w:right w:val="nil"/>
            </w:tcBorders>
          </w:tcPr>
          <w:p w14:paraId="7703D76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98A4B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03CF0B1" w14:textId="77777777" w:rsidTr="00015B88">
        <w:tc>
          <w:tcPr>
            <w:tcW w:w="2136" w:type="dxa"/>
            <w:tcBorders>
              <w:top w:val="nil"/>
              <w:left w:val="nil"/>
              <w:bottom w:val="nil"/>
              <w:right w:val="nil"/>
            </w:tcBorders>
          </w:tcPr>
          <w:p w14:paraId="472B5BD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L4.Legislative Efficacy</w:t>
            </w:r>
          </w:p>
        </w:tc>
        <w:tc>
          <w:tcPr>
            <w:tcW w:w="1656" w:type="dxa"/>
            <w:tcBorders>
              <w:top w:val="nil"/>
              <w:left w:val="nil"/>
              <w:bottom w:val="nil"/>
              <w:right w:val="nil"/>
            </w:tcBorders>
          </w:tcPr>
          <w:p w14:paraId="352C285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-0.294</w:t>
            </w:r>
          </w:p>
        </w:tc>
      </w:tr>
      <w:tr w:rsidR="00201D4C" w:rsidRPr="00902830" w14:paraId="5DC2CC36" w14:textId="77777777" w:rsidTr="00015B88">
        <w:tc>
          <w:tcPr>
            <w:tcW w:w="2136" w:type="dxa"/>
            <w:tcBorders>
              <w:top w:val="nil"/>
              <w:left w:val="nil"/>
              <w:bottom w:val="nil"/>
              <w:right w:val="nil"/>
            </w:tcBorders>
          </w:tcPr>
          <w:p w14:paraId="6CEA9C5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30F11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(-0.56)</w:t>
            </w:r>
          </w:p>
        </w:tc>
      </w:tr>
      <w:tr w:rsidR="00201D4C" w:rsidRPr="00902830" w14:paraId="25935239" w14:textId="77777777" w:rsidTr="00015B88">
        <w:tc>
          <w:tcPr>
            <w:tcW w:w="2136" w:type="dxa"/>
            <w:tcBorders>
              <w:top w:val="nil"/>
              <w:left w:val="nil"/>
              <w:bottom w:val="nil"/>
              <w:right w:val="nil"/>
            </w:tcBorders>
          </w:tcPr>
          <w:p w14:paraId="1521219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52D6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F9AA408" w14:textId="77777777" w:rsidTr="00015B88">
        <w:tc>
          <w:tcPr>
            <w:tcW w:w="2136" w:type="dxa"/>
            <w:tcBorders>
              <w:top w:val="nil"/>
              <w:left w:val="nil"/>
              <w:bottom w:val="nil"/>
              <w:right w:val="nil"/>
            </w:tcBorders>
          </w:tcPr>
          <w:p w14:paraId="1FC6175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L5.Legislative Efficacy</w:t>
            </w:r>
          </w:p>
        </w:tc>
        <w:tc>
          <w:tcPr>
            <w:tcW w:w="1656" w:type="dxa"/>
            <w:tcBorders>
              <w:top w:val="nil"/>
              <w:left w:val="nil"/>
              <w:bottom w:val="nil"/>
              <w:right w:val="nil"/>
            </w:tcBorders>
          </w:tcPr>
          <w:p w14:paraId="3864657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0.254</w:t>
            </w:r>
          </w:p>
        </w:tc>
      </w:tr>
      <w:tr w:rsidR="00201D4C" w:rsidRPr="00902830" w14:paraId="07750B62" w14:textId="77777777" w:rsidTr="00015B88">
        <w:tc>
          <w:tcPr>
            <w:tcW w:w="2136" w:type="dxa"/>
            <w:tcBorders>
              <w:top w:val="nil"/>
              <w:left w:val="nil"/>
              <w:bottom w:val="nil"/>
              <w:right w:val="nil"/>
            </w:tcBorders>
          </w:tcPr>
          <w:p w14:paraId="6A93CCB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A5223"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(0.66)</w:t>
            </w:r>
          </w:p>
        </w:tc>
      </w:tr>
      <w:tr w:rsidR="00201D4C" w:rsidRPr="00902830" w14:paraId="4C6487A4" w14:textId="77777777" w:rsidTr="00015B88">
        <w:tc>
          <w:tcPr>
            <w:tcW w:w="2136" w:type="dxa"/>
            <w:tcBorders>
              <w:top w:val="nil"/>
              <w:left w:val="nil"/>
              <w:bottom w:val="nil"/>
              <w:right w:val="nil"/>
            </w:tcBorders>
          </w:tcPr>
          <w:p w14:paraId="3042503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235C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1800B85" w14:textId="77777777" w:rsidTr="00015B88">
        <w:tc>
          <w:tcPr>
            <w:tcW w:w="2136" w:type="dxa"/>
            <w:tcBorders>
              <w:top w:val="nil"/>
              <w:left w:val="nil"/>
              <w:bottom w:val="nil"/>
              <w:right w:val="nil"/>
            </w:tcBorders>
          </w:tcPr>
          <w:p w14:paraId="47B478B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L6.Legislative Efficacy</w:t>
            </w:r>
          </w:p>
        </w:tc>
        <w:tc>
          <w:tcPr>
            <w:tcW w:w="1656" w:type="dxa"/>
            <w:tcBorders>
              <w:top w:val="nil"/>
              <w:left w:val="nil"/>
              <w:bottom w:val="nil"/>
              <w:right w:val="nil"/>
            </w:tcBorders>
          </w:tcPr>
          <w:p w14:paraId="0C296E9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-0.930</w:t>
            </w:r>
          </w:p>
        </w:tc>
      </w:tr>
      <w:tr w:rsidR="00201D4C" w:rsidRPr="00902830" w14:paraId="421606B0" w14:textId="77777777" w:rsidTr="00015B88">
        <w:tc>
          <w:tcPr>
            <w:tcW w:w="2136" w:type="dxa"/>
            <w:tcBorders>
              <w:top w:val="nil"/>
              <w:left w:val="nil"/>
              <w:bottom w:val="nil"/>
              <w:right w:val="nil"/>
            </w:tcBorders>
          </w:tcPr>
          <w:p w14:paraId="78469E3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B50A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(-1.57)</w:t>
            </w:r>
          </w:p>
        </w:tc>
      </w:tr>
      <w:tr w:rsidR="00201D4C" w:rsidRPr="00902830" w14:paraId="7BDB474C" w14:textId="77777777" w:rsidTr="00015B88">
        <w:tc>
          <w:tcPr>
            <w:tcW w:w="2136" w:type="dxa"/>
            <w:tcBorders>
              <w:top w:val="nil"/>
              <w:left w:val="nil"/>
              <w:bottom w:val="nil"/>
              <w:right w:val="nil"/>
            </w:tcBorders>
          </w:tcPr>
          <w:p w14:paraId="620B759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85FD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CCB767D" w14:textId="77777777" w:rsidTr="00015B88">
        <w:tc>
          <w:tcPr>
            <w:tcW w:w="2136" w:type="dxa"/>
            <w:tcBorders>
              <w:top w:val="nil"/>
              <w:left w:val="nil"/>
              <w:bottom w:val="nil"/>
              <w:right w:val="nil"/>
            </w:tcBorders>
          </w:tcPr>
          <w:p w14:paraId="264B3AF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L7.Legislative Efficacy</w:t>
            </w:r>
          </w:p>
        </w:tc>
        <w:tc>
          <w:tcPr>
            <w:tcW w:w="1656" w:type="dxa"/>
            <w:tcBorders>
              <w:top w:val="nil"/>
              <w:left w:val="nil"/>
              <w:bottom w:val="nil"/>
              <w:right w:val="nil"/>
            </w:tcBorders>
          </w:tcPr>
          <w:p w14:paraId="2C38D06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0.923</w:t>
            </w:r>
          </w:p>
        </w:tc>
      </w:tr>
      <w:tr w:rsidR="00201D4C" w:rsidRPr="00902830" w14:paraId="25BFB741" w14:textId="77777777" w:rsidTr="00015B88">
        <w:tc>
          <w:tcPr>
            <w:tcW w:w="2136" w:type="dxa"/>
            <w:tcBorders>
              <w:top w:val="nil"/>
              <w:left w:val="nil"/>
              <w:bottom w:val="nil"/>
              <w:right w:val="nil"/>
            </w:tcBorders>
          </w:tcPr>
          <w:p w14:paraId="648D622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D255B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(1.13)</w:t>
            </w:r>
          </w:p>
        </w:tc>
      </w:tr>
      <w:tr w:rsidR="00201D4C" w:rsidRPr="00902830" w14:paraId="7D8125EB" w14:textId="77777777" w:rsidTr="00015B88">
        <w:tc>
          <w:tcPr>
            <w:tcW w:w="2136" w:type="dxa"/>
            <w:tcBorders>
              <w:top w:val="nil"/>
              <w:left w:val="nil"/>
              <w:bottom w:val="nil"/>
              <w:right w:val="nil"/>
            </w:tcBorders>
          </w:tcPr>
          <w:p w14:paraId="46E5FB4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95693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3A3A440" w14:textId="77777777" w:rsidTr="00015B88">
        <w:tc>
          <w:tcPr>
            <w:tcW w:w="2136" w:type="dxa"/>
            <w:tcBorders>
              <w:top w:val="nil"/>
              <w:left w:val="nil"/>
              <w:bottom w:val="nil"/>
              <w:right w:val="nil"/>
            </w:tcBorders>
          </w:tcPr>
          <w:p w14:paraId="5E98A38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L8.Legislative Efficacy</w:t>
            </w:r>
          </w:p>
        </w:tc>
        <w:tc>
          <w:tcPr>
            <w:tcW w:w="1656" w:type="dxa"/>
            <w:tcBorders>
              <w:top w:val="nil"/>
              <w:left w:val="nil"/>
              <w:bottom w:val="nil"/>
              <w:right w:val="nil"/>
            </w:tcBorders>
          </w:tcPr>
          <w:p w14:paraId="6B0B60E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0.00719</w:t>
            </w:r>
          </w:p>
        </w:tc>
      </w:tr>
      <w:tr w:rsidR="00201D4C" w:rsidRPr="00902830" w14:paraId="6B406A90" w14:textId="77777777" w:rsidTr="00015B88">
        <w:tc>
          <w:tcPr>
            <w:tcW w:w="2136" w:type="dxa"/>
            <w:tcBorders>
              <w:top w:val="nil"/>
              <w:left w:val="nil"/>
              <w:bottom w:val="nil"/>
              <w:right w:val="nil"/>
            </w:tcBorders>
          </w:tcPr>
          <w:p w14:paraId="67E11C9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DC9C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w:t>
            </w:r>
          </w:p>
        </w:tc>
      </w:tr>
      <w:tr w:rsidR="00201D4C" w:rsidRPr="00902830" w14:paraId="0BAEB90B" w14:textId="77777777" w:rsidTr="00015B88">
        <w:tc>
          <w:tcPr>
            <w:tcW w:w="2136" w:type="dxa"/>
            <w:tcBorders>
              <w:top w:val="nil"/>
              <w:left w:val="nil"/>
              <w:bottom w:val="nil"/>
              <w:right w:val="nil"/>
            </w:tcBorders>
          </w:tcPr>
          <w:p w14:paraId="214502F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8DB3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4E06F2A" w14:textId="77777777" w:rsidTr="00015B88">
        <w:tc>
          <w:tcPr>
            <w:tcW w:w="2136" w:type="dxa"/>
            <w:tcBorders>
              <w:top w:val="nil"/>
              <w:left w:val="nil"/>
              <w:bottom w:val="nil"/>
              <w:right w:val="nil"/>
            </w:tcBorders>
          </w:tcPr>
          <w:p w14:paraId="48FDA45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L9.Legislative Efficacy</w:t>
            </w:r>
          </w:p>
        </w:tc>
        <w:tc>
          <w:tcPr>
            <w:tcW w:w="1656" w:type="dxa"/>
            <w:tcBorders>
              <w:top w:val="nil"/>
              <w:left w:val="nil"/>
              <w:bottom w:val="nil"/>
              <w:right w:val="nil"/>
            </w:tcBorders>
          </w:tcPr>
          <w:p w14:paraId="3736072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-0.464</w:t>
            </w:r>
          </w:p>
        </w:tc>
      </w:tr>
      <w:tr w:rsidR="00201D4C" w:rsidRPr="00902830" w14:paraId="71C2C5DD" w14:textId="77777777" w:rsidTr="00015B88">
        <w:tc>
          <w:tcPr>
            <w:tcW w:w="2136" w:type="dxa"/>
            <w:tcBorders>
              <w:top w:val="nil"/>
              <w:left w:val="nil"/>
              <w:bottom w:val="nil"/>
              <w:right w:val="nil"/>
            </w:tcBorders>
          </w:tcPr>
          <w:p w14:paraId="511571E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491B4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(-1.14)</w:t>
            </w:r>
          </w:p>
        </w:tc>
      </w:tr>
      <w:tr w:rsidR="00201D4C" w:rsidRPr="00902830" w14:paraId="636D7AF6" w14:textId="77777777" w:rsidTr="00015B88">
        <w:tc>
          <w:tcPr>
            <w:tcW w:w="2136" w:type="dxa"/>
            <w:tcBorders>
              <w:top w:val="nil"/>
              <w:left w:val="nil"/>
              <w:bottom w:val="nil"/>
              <w:right w:val="nil"/>
            </w:tcBorders>
          </w:tcPr>
          <w:p w14:paraId="582DADD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9D67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D47ADC8" w14:textId="77777777" w:rsidTr="00015B88">
        <w:tc>
          <w:tcPr>
            <w:tcW w:w="2136" w:type="dxa"/>
            <w:tcBorders>
              <w:top w:val="nil"/>
              <w:left w:val="nil"/>
              <w:bottom w:val="nil"/>
              <w:right w:val="nil"/>
            </w:tcBorders>
          </w:tcPr>
          <w:p w14:paraId="7A13098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L10.Legislative Efficacy</w:t>
            </w:r>
          </w:p>
        </w:tc>
        <w:tc>
          <w:tcPr>
            <w:tcW w:w="1656" w:type="dxa"/>
            <w:tcBorders>
              <w:top w:val="nil"/>
              <w:left w:val="nil"/>
              <w:bottom w:val="nil"/>
              <w:right w:val="nil"/>
            </w:tcBorders>
          </w:tcPr>
          <w:p w14:paraId="37A3D23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0.0933</w:t>
            </w:r>
          </w:p>
        </w:tc>
      </w:tr>
      <w:tr w:rsidR="00201D4C" w:rsidRPr="00902830" w14:paraId="34C0E4B5" w14:textId="77777777" w:rsidTr="00015B88">
        <w:tc>
          <w:tcPr>
            <w:tcW w:w="2136" w:type="dxa"/>
            <w:tcBorders>
              <w:top w:val="nil"/>
              <w:left w:val="nil"/>
              <w:bottom w:val="nil"/>
              <w:right w:val="nil"/>
            </w:tcBorders>
          </w:tcPr>
          <w:p w14:paraId="11E2834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2E903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(0.35)</w:t>
            </w:r>
          </w:p>
        </w:tc>
      </w:tr>
      <w:tr w:rsidR="00201D4C" w:rsidRPr="00902830" w14:paraId="7C1D6792" w14:textId="77777777" w:rsidTr="00015B88">
        <w:tc>
          <w:tcPr>
            <w:tcW w:w="2136" w:type="dxa"/>
            <w:tcBorders>
              <w:top w:val="nil"/>
              <w:left w:val="nil"/>
              <w:bottom w:val="nil"/>
              <w:right w:val="nil"/>
            </w:tcBorders>
          </w:tcPr>
          <w:p w14:paraId="6712B41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177AA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96FFD8D" w14:textId="77777777" w:rsidTr="00015B88">
        <w:tc>
          <w:tcPr>
            <w:tcW w:w="2136" w:type="dxa"/>
            <w:tcBorders>
              <w:top w:val="nil"/>
              <w:left w:val="nil"/>
              <w:bottom w:val="nil"/>
              <w:right w:val="nil"/>
            </w:tcBorders>
          </w:tcPr>
          <w:p w14:paraId="0F1B490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902830">
              <w:rPr>
                <w:rFonts w:ascii="Times New Roman" w:hAnsi="Times New Roman" w:cs="Times New Roman"/>
                <w:sz w:val="16"/>
                <w:szCs w:val="16"/>
              </w:rPr>
              <w:t>L.De</w:t>
            </w:r>
            <w:proofErr w:type="spellEnd"/>
            <w:r w:rsidRPr="00902830">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268EB01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0.814</w:t>
            </w:r>
          </w:p>
        </w:tc>
      </w:tr>
      <w:tr w:rsidR="00201D4C" w:rsidRPr="00902830" w14:paraId="260D2601" w14:textId="77777777" w:rsidTr="00015B88">
        <w:tc>
          <w:tcPr>
            <w:tcW w:w="2136" w:type="dxa"/>
            <w:tcBorders>
              <w:top w:val="nil"/>
              <w:left w:val="nil"/>
              <w:bottom w:val="nil"/>
              <w:right w:val="nil"/>
            </w:tcBorders>
          </w:tcPr>
          <w:p w14:paraId="785ED4F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7C170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(1.17)</w:t>
            </w:r>
          </w:p>
        </w:tc>
      </w:tr>
      <w:tr w:rsidR="00201D4C" w:rsidRPr="00902830" w14:paraId="4931C19F" w14:textId="77777777" w:rsidTr="00015B88">
        <w:tc>
          <w:tcPr>
            <w:tcW w:w="2136" w:type="dxa"/>
            <w:tcBorders>
              <w:top w:val="nil"/>
              <w:left w:val="nil"/>
              <w:bottom w:val="nil"/>
              <w:right w:val="nil"/>
            </w:tcBorders>
          </w:tcPr>
          <w:p w14:paraId="6177B9F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C4BD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C452072" w14:textId="77777777" w:rsidTr="00015B88">
        <w:tc>
          <w:tcPr>
            <w:tcW w:w="2136" w:type="dxa"/>
            <w:tcBorders>
              <w:top w:val="nil"/>
              <w:left w:val="nil"/>
              <w:bottom w:val="nil"/>
              <w:right w:val="nil"/>
            </w:tcBorders>
          </w:tcPr>
          <w:p w14:paraId="14DDC27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L2.De Jure CBI * Lower House Legislates in Practice</w:t>
            </w:r>
          </w:p>
        </w:tc>
        <w:tc>
          <w:tcPr>
            <w:tcW w:w="1656" w:type="dxa"/>
            <w:tcBorders>
              <w:top w:val="nil"/>
              <w:left w:val="nil"/>
              <w:bottom w:val="nil"/>
              <w:right w:val="nil"/>
            </w:tcBorders>
          </w:tcPr>
          <w:p w14:paraId="523A5A8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0.213</w:t>
            </w:r>
          </w:p>
        </w:tc>
      </w:tr>
      <w:tr w:rsidR="00201D4C" w:rsidRPr="00902830" w14:paraId="3D558D2F" w14:textId="77777777" w:rsidTr="00015B88">
        <w:tc>
          <w:tcPr>
            <w:tcW w:w="2136" w:type="dxa"/>
            <w:tcBorders>
              <w:top w:val="nil"/>
              <w:left w:val="nil"/>
              <w:bottom w:val="nil"/>
              <w:right w:val="nil"/>
            </w:tcBorders>
          </w:tcPr>
          <w:p w14:paraId="02FAB16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52D3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(0.28)</w:t>
            </w:r>
          </w:p>
        </w:tc>
      </w:tr>
      <w:tr w:rsidR="00201D4C" w:rsidRPr="00902830" w14:paraId="6645A726" w14:textId="77777777" w:rsidTr="00015B88">
        <w:tc>
          <w:tcPr>
            <w:tcW w:w="2136" w:type="dxa"/>
            <w:tcBorders>
              <w:top w:val="nil"/>
              <w:left w:val="nil"/>
              <w:bottom w:val="nil"/>
              <w:right w:val="nil"/>
            </w:tcBorders>
          </w:tcPr>
          <w:p w14:paraId="1616081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19762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1DB0CB7" w14:textId="77777777" w:rsidTr="00015B88">
        <w:tc>
          <w:tcPr>
            <w:tcW w:w="2136" w:type="dxa"/>
            <w:tcBorders>
              <w:top w:val="nil"/>
              <w:left w:val="nil"/>
              <w:bottom w:val="nil"/>
              <w:right w:val="nil"/>
            </w:tcBorders>
          </w:tcPr>
          <w:p w14:paraId="192A46F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L3.De Jure CBI * Lower House Legislates in Practice</w:t>
            </w:r>
          </w:p>
        </w:tc>
        <w:tc>
          <w:tcPr>
            <w:tcW w:w="1656" w:type="dxa"/>
            <w:tcBorders>
              <w:top w:val="nil"/>
              <w:left w:val="nil"/>
              <w:bottom w:val="nil"/>
              <w:right w:val="nil"/>
            </w:tcBorders>
          </w:tcPr>
          <w:p w14:paraId="4BC1CA4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-0.0177</w:t>
            </w:r>
          </w:p>
        </w:tc>
      </w:tr>
      <w:tr w:rsidR="00201D4C" w:rsidRPr="00902830" w14:paraId="5ECFE814" w14:textId="77777777" w:rsidTr="00015B88">
        <w:tc>
          <w:tcPr>
            <w:tcW w:w="2136" w:type="dxa"/>
            <w:tcBorders>
              <w:top w:val="nil"/>
              <w:left w:val="nil"/>
              <w:bottom w:val="nil"/>
              <w:right w:val="nil"/>
            </w:tcBorders>
          </w:tcPr>
          <w:p w14:paraId="2B83ACD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E153A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(-0.03)</w:t>
            </w:r>
          </w:p>
        </w:tc>
      </w:tr>
      <w:tr w:rsidR="00201D4C" w:rsidRPr="00902830" w14:paraId="604AD4F4" w14:textId="77777777" w:rsidTr="00015B88">
        <w:tc>
          <w:tcPr>
            <w:tcW w:w="2136" w:type="dxa"/>
            <w:tcBorders>
              <w:top w:val="nil"/>
              <w:left w:val="nil"/>
              <w:bottom w:val="nil"/>
              <w:right w:val="nil"/>
            </w:tcBorders>
          </w:tcPr>
          <w:p w14:paraId="690734E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21AEA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4F21FA7B" w14:textId="77777777" w:rsidTr="00015B88">
        <w:tc>
          <w:tcPr>
            <w:tcW w:w="2136" w:type="dxa"/>
            <w:tcBorders>
              <w:top w:val="nil"/>
              <w:left w:val="nil"/>
              <w:bottom w:val="nil"/>
              <w:right w:val="nil"/>
            </w:tcBorders>
          </w:tcPr>
          <w:p w14:paraId="31D889C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L4.De Jure CBI * Lower House Legislates in Practice</w:t>
            </w:r>
          </w:p>
        </w:tc>
        <w:tc>
          <w:tcPr>
            <w:tcW w:w="1656" w:type="dxa"/>
            <w:tcBorders>
              <w:top w:val="nil"/>
              <w:left w:val="nil"/>
              <w:bottom w:val="nil"/>
              <w:right w:val="nil"/>
            </w:tcBorders>
          </w:tcPr>
          <w:p w14:paraId="699A85C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-0.729</w:t>
            </w:r>
          </w:p>
        </w:tc>
      </w:tr>
      <w:tr w:rsidR="00201D4C" w:rsidRPr="00902830" w14:paraId="3C6853F3" w14:textId="77777777" w:rsidTr="00015B88">
        <w:tc>
          <w:tcPr>
            <w:tcW w:w="2136" w:type="dxa"/>
            <w:tcBorders>
              <w:top w:val="nil"/>
              <w:left w:val="nil"/>
              <w:bottom w:val="nil"/>
              <w:right w:val="nil"/>
            </w:tcBorders>
          </w:tcPr>
          <w:p w14:paraId="6593128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1EA8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(-0.82)</w:t>
            </w:r>
          </w:p>
        </w:tc>
      </w:tr>
      <w:tr w:rsidR="00201D4C" w:rsidRPr="00902830" w14:paraId="20E5AFA2" w14:textId="77777777" w:rsidTr="00015B88">
        <w:tc>
          <w:tcPr>
            <w:tcW w:w="2136" w:type="dxa"/>
            <w:tcBorders>
              <w:top w:val="nil"/>
              <w:left w:val="nil"/>
              <w:bottom w:val="nil"/>
              <w:right w:val="nil"/>
            </w:tcBorders>
          </w:tcPr>
          <w:p w14:paraId="0969739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52A1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C72E557" w14:textId="77777777" w:rsidTr="00015B88">
        <w:tc>
          <w:tcPr>
            <w:tcW w:w="2136" w:type="dxa"/>
            <w:tcBorders>
              <w:top w:val="nil"/>
              <w:left w:val="nil"/>
              <w:bottom w:val="nil"/>
              <w:right w:val="nil"/>
            </w:tcBorders>
          </w:tcPr>
          <w:p w14:paraId="268F8D2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L5.De Jure CBI * Lower House Legislates in Practice</w:t>
            </w:r>
          </w:p>
        </w:tc>
        <w:tc>
          <w:tcPr>
            <w:tcW w:w="1656" w:type="dxa"/>
            <w:tcBorders>
              <w:top w:val="nil"/>
              <w:left w:val="nil"/>
              <w:bottom w:val="nil"/>
              <w:right w:val="nil"/>
            </w:tcBorders>
          </w:tcPr>
          <w:p w14:paraId="2307FDE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-0.823</w:t>
            </w:r>
          </w:p>
        </w:tc>
      </w:tr>
      <w:tr w:rsidR="00201D4C" w:rsidRPr="00902830" w14:paraId="0B6720A8" w14:textId="77777777" w:rsidTr="00015B88">
        <w:tc>
          <w:tcPr>
            <w:tcW w:w="2136" w:type="dxa"/>
            <w:tcBorders>
              <w:top w:val="nil"/>
              <w:left w:val="nil"/>
              <w:bottom w:val="nil"/>
              <w:right w:val="nil"/>
            </w:tcBorders>
          </w:tcPr>
          <w:p w14:paraId="5ED52ED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7A631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(-0.94)</w:t>
            </w:r>
          </w:p>
        </w:tc>
      </w:tr>
      <w:tr w:rsidR="00201D4C" w:rsidRPr="00902830" w14:paraId="07C9A438" w14:textId="77777777" w:rsidTr="00015B88">
        <w:tc>
          <w:tcPr>
            <w:tcW w:w="2136" w:type="dxa"/>
            <w:tcBorders>
              <w:top w:val="nil"/>
              <w:left w:val="nil"/>
              <w:bottom w:val="nil"/>
              <w:right w:val="nil"/>
            </w:tcBorders>
          </w:tcPr>
          <w:p w14:paraId="0E5C8DD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7123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4E653F4" w14:textId="77777777" w:rsidTr="00015B88">
        <w:tc>
          <w:tcPr>
            <w:tcW w:w="2136" w:type="dxa"/>
            <w:tcBorders>
              <w:top w:val="nil"/>
              <w:left w:val="nil"/>
              <w:bottom w:val="nil"/>
              <w:right w:val="nil"/>
            </w:tcBorders>
          </w:tcPr>
          <w:p w14:paraId="5DADB2C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L6.De Jure CBI * Lower House Legislates in Practice</w:t>
            </w:r>
          </w:p>
        </w:tc>
        <w:tc>
          <w:tcPr>
            <w:tcW w:w="1656" w:type="dxa"/>
            <w:tcBorders>
              <w:top w:val="nil"/>
              <w:left w:val="nil"/>
              <w:bottom w:val="nil"/>
              <w:right w:val="nil"/>
            </w:tcBorders>
          </w:tcPr>
          <w:p w14:paraId="019CC9B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2.367</w:t>
            </w:r>
            <w:r w:rsidRPr="00902830">
              <w:rPr>
                <w:rFonts w:ascii="Times New Roman" w:hAnsi="Times New Roman" w:cs="Times New Roman"/>
                <w:sz w:val="16"/>
                <w:szCs w:val="16"/>
                <w:vertAlign w:val="superscript"/>
              </w:rPr>
              <w:t>**</w:t>
            </w:r>
          </w:p>
        </w:tc>
      </w:tr>
      <w:tr w:rsidR="00201D4C" w:rsidRPr="00902830" w14:paraId="6F09997F" w14:textId="77777777" w:rsidTr="00015B88">
        <w:tc>
          <w:tcPr>
            <w:tcW w:w="2136" w:type="dxa"/>
            <w:tcBorders>
              <w:top w:val="nil"/>
              <w:left w:val="nil"/>
              <w:bottom w:val="nil"/>
              <w:right w:val="nil"/>
            </w:tcBorders>
          </w:tcPr>
          <w:p w14:paraId="032F908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42F5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(3.04)</w:t>
            </w:r>
          </w:p>
        </w:tc>
      </w:tr>
      <w:tr w:rsidR="00201D4C" w:rsidRPr="00902830" w14:paraId="4003A6BD" w14:textId="77777777" w:rsidTr="00015B88">
        <w:tc>
          <w:tcPr>
            <w:tcW w:w="2136" w:type="dxa"/>
            <w:tcBorders>
              <w:top w:val="nil"/>
              <w:left w:val="nil"/>
              <w:bottom w:val="nil"/>
              <w:right w:val="nil"/>
            </w:tcBorders>
          </w:tcPr>
          <w:p w14:paraId="5E528FD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094BB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673566B" w14:textId="77777777" w:rsidTr="00015B88">
        <w:tc>
          <w:tcPr>
            <w:tcW w:w="2136" w:type="dxa"/>
            <w:tcBorders>
              <w:top w:val="nil"/>
              <w:left w:val="nil"/>
              <w:bottom w:val="nil"/>
              <w:right w:val="nil"/>
            </w:tcBorders>
          </w:tcPr>
          <w:p w14:paraId="672068B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L7.De Jure CBI * Lower House Legislates in Practice</w:t>
            </w:r>
          </w:p>
        </w:tc>
        <w:tc>
          <w:tcPr>
            <w:tcW w:w="1656" w:type="dxa"/>
            <w:tcBorders>
              <w:top w:val="nil"/>
              <w:left w:val="nil"/>
              <w:bottom w:val="nil"/>
              <w:right w:val="nil"/>
            </w:tcBorders>
          </w:tcPr>
          <w:p w14:paraId="61CE5C7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-0.863</w:t>
            </w:r>
          </w:p>
        </w:tc>
      </w:tr>
      <w:tr w:rsidR="00201D4C" w:rsidRPr="00902830" w14:paraId="695E86A9" w14:textId="77777777" w:rsidTr="00015B88">
        <w:tc>
          <w:tcPr>
            <w:tcW w:w="2136" w:type="dxa"/>
            <w:tcBorders>
              <w:top w:val="nil"/>
              <w:left w:val="nil"/>
              <w:bottom w:val="nil"/>
              <w:right w:val="nil"/>
            </w:tcBorders>
          </w:tcPr>
          <w:p w14:paraId="31C7128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49D8D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(-0.82)</w:t>
            </w:r>
          </w:p>
        </w:tc>
      </w:tr>
      <w:tr w:rsidR="00201D4C" w:rsidRPr="00902830" w14:paraId="255BA7F0" w14:textId="77777777" w:rsidTr="00015B88">
        <w:tc>
          <w:tcPr>
            <w:tcW w:w="2136" w:type="dxa"/>
            <w:tcBorders>
              <w:top w:val="nil"/>
              <w:left w:val="nil"/>
              <w:bottom w:val="nil"/>
              <w:right w:val="nil"/>
            </w:tcBorders>
          </w:tcPr>
          <w:p w14:paraId="6A60F5D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F9BC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47DFCEC0" w14:textId="77777777" w:rsidTr="00015B88">
        <w:tc>
          <w:tcPr>
            <w:tcW w:w="2136" w:type="dxa"/>
            <w:tcBorders>
              <w:top w:val="nil"/>
              <w:left w:val="nil"/>
              <w:bottom w:val="nil"/>
              <w:right w:val="nil"/>
            </w:tcBorders>
          </w:tcPr>
          <w:p w14:paraId="4846790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L8.De Jure CBI * Lower House Legislates in Practice</w:t>
            </w:r>
          </w:p>
        </w:tc>
        <w:tc>
          <w:tcPr>
            <w:tcW w:w="1656" w:type="dxa"/>
            <w:tcBorders>
              <w:top w:val="nil"/>
              <w:left w:val="nil"/>
              <w:bottom w:val="nil"/>
              <w:right w:val="nil"/>
            </w:tcBorders>
          </w:tcPr>
          <w:p w14:paraId="5A4B97A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-0.0790</w:t>
            </w:r>
          </w:p>
        </w:tc>
      </w:tr>
      <w:tr w:rsidR="00201D4C" w:rsidRPr="00902830" w14:paraId="32BBBCB0" w14:textId="77777777" w:rsidTr="00015B88">
        <w:tc>
          <w:tcPr>
            <w:tcW w:w="2136" w:type="dxa"/>
            <w:tcBorders>
              <w:top w:val="nil"/>
              <w:left w:val="nil"/>
              <w:bottom w:val="nil"/>
              <w:right w:val="nil"/>
            </w:tcBorders>
          </w:tcPr>
          <w:p w14:paraId="700B7E0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6BC65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(-0.10)</w:t>
            </w:r>
          </w:p>
        </w:tc>
      </w:tr>
      <w:tr w:rsidR="00201D4C" w:rsidRPr="00902830" w14:paraId="46C9E59A" w14:textId="77777777" w:rsidTr="00015B88">
        <w:tc>
          <w:tcPr>
            <w:tcW w:w="2136" w:type="dxa"/>
            <w:tcBorders>
              <w:top w:val="nil"/>
              <w:left w:val="nil"/>
              <w:bottom w:val="nil"/>
              <w:right w:val="nil"/>
            </w:tcBorders>
          </w:tcPr>
          <w:p w14:paraId="67426CE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A4D3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2129993" w14:textId="77777777" w:rsidTr="00015B88">
        <w:tc>
          <w:tcPr>
            <w:tcW w:w="2136" w:type="dxa"/>
            <w:tcBorders>
              <w:top w:val="nil"/>
              <w:left w:val="nil"/>
              <w:bottom w:val="nil"/>
              <w:right w:val="nil"/>
            </w:tcBorders>
          </w:tcPr>
          <w:p w14:paraId="4A7A24A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L9.De Jure CBI * Lower House Legislates in Practice</w:t>
            </w:r>
          </w:p>
        </w:tc>
        <w:tc>
          <w:tcPr>
            <w:tcW w:w="1656" w:type="dxa"/>
            <w:tcBorders>
              <w:top w:val="nil"/>
              <w:left w:val="nil"/>
              <w:bottom w:val="nil"/>
              <w:right w:val="nil"/>
            </w:tcBorders>
          </w:tcPr>
          <w:p w14:paraId="7F884D5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0.398</w:t>
            </w:r>
          </w:p>
        </w:tc>
      </w:tr>
      <w:tr w:rsidR="00201D4C" w:rsidRPr="00902830" w14:paraId="34115202" w14:textId="77777777" w:rsidTr="00015B88">
        <w:tc>
          <w:tcPr>
            <w:tcW w:w="2136" w:type="dxa"/>
            <w:tcBorders>
              <w:top w:val="nil"/>
              <w:left w:val="nil"/>
              <w:bottom w:val="nil"/>
              <w:right w:val="nil"/>
            </w:tcBorders>
          </w:tcPr>
          <w:p w14:paraId="0E9A753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F97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(0.75)</w:t>
            </w:r>
          </w:p>
        </w:tc>
      </w:tr>
      <w:tr w:rsidR="00201D4C" w:rsidRPr="00902830" w14:paraId="6DF5649D" w14:textId="77777777" w:rsidTr="00015B88">
        <w:tc>
          <w:tcPr>
            <w:tcW w:w="2136" w:type="dxa"/>
            <w:tcBorders>
              <w:top w:val="nil"/>
              <w:left w:val="nil"/>
              <w:bottom w:val="nil"/>
              <w:right w:val="nil"/>
            </w:tcBorders>
          </w:tcPr>
          <w:p w14:paraId="1783F77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2091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DFF35C8" w14:textId="77777777" w:rsidTr="00015B88">
        <w:tc>
          <w:tcPr>
            <w:tcW w:w="2136" w:type="dxa"/>
            <w:tcBorders>
              <w:top w:val="nil"/>
              <w:left w:val="nil"/>
              <w:bottom w:val="nil"/>
              <w:right w:val="nil"/>
            </w:tcBorders>
          </w:tcPr>
          <w:p w14:paraId="7A21CD3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L10.De Jure CBI * Lower House Legislates in Practice</w:t>
            </w:r>
          </w:p>
        </w:tc>
        <w:tc>
          <w:tcPr>
            <w:tcW w:w="1656" w:type="dxa"/>
            <w:tcBorders>
              <w:top w:val="nil"/>
              <w:left w:val="nil"/>
              <w:bottom w:val="nil"/>
              <w:right w:val="nil"/>
            </w:tcBorders>
          </w:tcPr>
          <w:p w14:paraId="52A975D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-0.0815</w:t>
            </w:r>
          </w:p>
        </w:tc>
      </w:tr>
      <w:tr w:rsidR="00201D4C" w:rsidRPr="00902830" w14:paraId="7F4DE56F" w14:textId="77777777" w:rsidTr="00015B88">
        <w:tc>
          <w:tcPr>
            <w:tcW w:w="2136" w:type="dxa"/>
            <w:tcBorders>
              <w:top w:val="nil"/>
              <w:left w:val="nil"/>
              <w:bottom w:val="nil"/>
              <w:right w:val="nil"/>
            </w:tcBorders>
          </w:tcPr>
          <w:p w14:paraId="32BF164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D86C9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(-0.18)</w:t>
            </w:r>
          </w:p>
        </w:tc>
      </w:tr>
      <w:tr w:rsidR="00201D4C" w:rsidRPr="00902830" w14:paraId="5D472B1B" w14:textId="77777777" w:rsidTr="00015B88">
        <w:tc>
          <w:tcPr>
            <w:tcW w:w="2136" w:type="dxa"/>
            <w:tcBorders>
              <w:top w:val="nil"/>
              <w:left w:val="nil"/>
              <w:bottom w:val="nil"/>
              <w:right w:val="nil"/>
            </w:tcBorders>
          </w:tcPr>
          <w:p w14:paraId="6A67D5D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55F4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7D8D5AA" w14:textId="77777777" w:rsidTr="00015B88">
        <w:tc>
          <w:tcPr>
            <w:tcW w:w="2136" w:type="dxa"/>
            <w:tcBorders>
              <w:top w:val="nil"/>
              <w:left w:val="nil"/>
              <w:bottom w:val="nil"/>
              <w:right w:val="nil"/>
            </w:tcBorders>
          </w:tcPr>
          <w:p w14:paraId="0E4D815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902830">
              <w:rPr>
                <w:rFonts w:ascii="Times New Roman" w:hAnsi="Times New Roman" w:cs="Times New Roman"/>
                <w:sz w:val="16"/>
                <w:szCs w:val="16"/>
              </w:rPr>
              <w:t>L.More</w:t>
            </w:r>
            <w:proofErr w:type="spellEnd"/>
            <w:r w:rsidRPr="00902830">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3906B9E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-0.0222</w:t>
            </w:r>
          </w:p>
        </w:tc>
      </w:tr>
      <w:tr w:rsidR="00201D4C" w:rsidRPr="00902830" w14:paraId="7DFC27D2" w14:textId="77777777" w:rsidTr="00015B88">
        <w:tc>
          <w:tcPr>
            <w:tcW w:w="2136" w:type="dxa"/>
            <w:tcBorders>
              <w:top w:val="nil"/>
              <w:left w:val="nil"/>
              <w:bottom w:val="nil"/>
              <w:right w:val="nil"/>
            </w:tcBorders>
          </w:tcPr>
          <w:p w14:paraId="7489906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7D88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(-0.92)</w:t>
            </w:r>
          </w:p>
        </w:tc>
      </w:tr>
      <w:tr w:rsidR="00201D4C" w:rsidRPr="00902830" w14:paraId="50C19B0B" w14:textId="77777777" w:rsidTr="00015B88">
        <w:tc>
          <w:tcPr>
            <w:tcW w:w="2136" w:type="dxa"/>
            <w:tcBorders>
              <w:top w:val="nil"/>
              <w:left w:val="nil"/>
              <w:bottom w:val="nil"/>
              <w:right w:val="nil"/>
            </w:tcBorders>
          </w:tcPr>
          <w:p w14:paraId="4D909FE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C3D3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2BDF6B0" w14:textId="77777777" w:rsidTr="00015B88">
        <w:tc>
          <w:tcPr>
            <w:tcW w:w="2136" w:type="dxa"/>
            <w:tcBorders>
              <w:top w:val="nil"/>
              <w:left w:val="nil"/>
              <w:bottom w:val="nil"/>
              <w:right w:val="nil"/>
            </w:tcBorders>
          </w:tcPr>
          <w:p w14:paraId="2E65CCB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L2.More Fixed Rate * Lower House Legislates in Practice</w:t>
            </w:r>
          </w:p>
        </w:tc>
        <w:tc>
          <w:tcPr>
            <w:tcW w:w="1656" w:type="dxa"/>
            <w:tcBorders>
              <w:top w:val="nil"/>
              <w:left w:val="nil"/>
              <w:bottom w:val="nil"/>
              <w:right w:val="nil"/>
            </w:tcBorders>
          </w:tcPr>
          <w:p w14:paraId="6DCAB01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0.0287</w:t>
            </w:r>
          </w:p>
        </w:tc>
      </w:tr>
      <w:tr w:rsidR="00201D4C" w:rsidRPr="00902830" w14:paraId="2CA354D6" w14:textId="77777777" w:rsidTr="00015B88">
        <w:tc>
          <w:tcPr>
            <w:tcW w:w="2136" w:type="dxa"/>
            <w:tcBorders>
              <w:top w:val="nil"/>
              <w:left w:val="nil"/>
              <w:bottom w:val="nil"/>
              <w:right w:val="nil"/>
            </w:tcBorders>
          </w:tcPr>
          <w:p w14:paraId="7CADAF0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C131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(1.34)</w:t>
            </w:r>
          </w:p>
        </w:tc>
      </w:tr>
      <w:tr w:rsidR="00201D4C" w:rsidRPr="00902830" w14:paraId="2C986527" w14:textId="77777777" w:rsidTr="00015B88">
        <w:tc>
          <w:tcPr>
            <w:tcW w:w="2136" w:type="dxa"/>
            <w:tcBorders>
              <w:top w:val="nil"/>
              <w:left w:val="nil"/>
              <w:bottom w:val="nil"/>
              <w:right w:val="nil"/>
            </w:tcBorders>
          </w:tcPr>
          <w:p w14:paraId="10FA72F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76EAC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6380409" w14:textId="77777777" w:rsidTr="00015B88">
        <w:tc>
          <w:tcPr>
            <w:tcW w:w="2136" w:type="dxa"/>
            <w:tcBorders>
              <w:top w:val="nil"/>
              <w:left w:val="nil"/>
              <w:bottom w:val="nil"/>
              <w:right w:val="nil"/>
            </w:tcBorders>
          </w:tcPr>
          <w:p w14:paraId="6D6D63E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L3.More Fixed Rate * Lower House Legislates in Practice</w:t>
            </w:r>
          </w:p>
        </w:tc>
        <w:tc>
          <w:tcPr>
            <w:tcW w:w="1656" w:type="dxa"/>
            <w:tcBorders>
              <w:top w:val="nil"/>
              <w:left w:val="nil"/>
              <w:bottom w:val="nil"/>
              <w:right w:val="nil"/>
            </w:tcBorders>
          </w:tcPr>
          <w:p w14:paraId="48E93CD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-0.0239</w:t>
            </w:r>
          </w:p>
        </w:tc>
      </w:tr>
      <w:tr w:rsidR="00201D4C" w:rsidRPr="00902830" w14:paraId="70D4F85A" w14:textId="77777777" w:rsidTr="00015B88">
        <w:tc>
          <w:tcPr>
            <w:tcW w:w="2136" w:type="dxa"/>
            <w:tcBorders>
              <w:top w:val="nil"/>
              <w:left w:val="nil"/>
              <w:bottom w:val="nil"/>
              <w:right w:val="nil"/>
            </w:tcBorders>
          </w:tcPr>
          <w:p w14:paraId="7DFF8B7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D0A43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(-0.73)</w:t>
            </w:r>
          </w:p>
        </w:tc>
      </w:tr>
      <w:tr w:rsidR="00201D4C" w:rsidRPr="00902830" w14:paraId="0A7F1A27" w14:textId="77777777" w:rsidTr="00015B88">
        <w:tc>
          <w:tcPr>
            <w:tcW w:w="2136" w:type="dxa"/>
            <w:tcBorders>
              <w:top w:val="nil"/>
              <w:left w:val="nil"/>
              <w:bottom w:val="nil"/>
              <w:right w:val="nil"/>
            </w:tcBorders>
          </w:tcPr>
          <w:p w14:paraId="354888F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803D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39F50B2" w14:textId="77777777" w:rsidTr="00015B88">
        <w:tc>
          <w:tcPr>
            <w:tcW w:w="2136" w:type="dxa"/>
            <w:tcBorders>
              <w:top w:val="nil"/>
              <w:left w:val="nil"/>
              <w:bottom w:val="nil"/>
              <w:right w:val="nil"/>
            </w:tcBorders>
          </w:tcPr>
          <w:p w14:paraId="491AF78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L4.More Fixed Rate * Lower House Legislates in Practice</w:t>
            </w:r>
          </w:p>
        </w:tc>
        <w:tc>
          <w:tcPr>
            <w:tcW w:w="1656" w:type="dxa"/>
            <w:tcBorders>
              <w:top w:val="nil"/>
              <w:left w:val="nil"/>
              <w:bottom w:val="nil"/>
              <w:right w:val="nil"/>
            </w:tcBorders>
          </w:tcPr>
          <w:p w14:paraId="166A6733"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0.0378</w:t>
            </w:r>
          </w:p>
        </w:tc>
      </w:tr>
      <w:tr w:rsidR="00201D4C" w:rsidRPr="00902830" w14:paraId="4E01432C" w14:textId="77777777" w:rsidTr="00015B88">
        <w:tc>
          <w:tcPr>
            <w:tcW w:w="2136" w:type="dxa"/>
            <w:tcBorders>
              <w:top w:val="nil"/>
              <w:left w:val="nil"/>
              <w:bottom w:val="nil"/>
              <w:right w:val="nil"/>
            </w:tcBorders>
          </w:tcPr>
          <w:p w14:paraId="61E7835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4AC03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(1.04)</w:t>
            </w:r>
          </w:p>
        </w:tc>
      </w:tr>
      <w:tr w:rsidR="00201D4C" w:rsidRPr="00902830" w14:paraId="317104A2" w14:textId="77777777" w:rsidTr="00015B88">
        <w:tc>
          <w:tcPr>
            <w:tcW w:w="2136" w:type="dxa"/>
            <w:tcBorders>
              <w:top w:val="nil"/>
              <w:left w:val="nil"/>
              <w:bottom w:val="nil"/>
              <w:right w:val="nil"/>
            </w:tcBorders>
          </w:tcPr>
          <w:p w14:paraId="217AD29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21BA2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BCEA4FF" w14:textId="77777777" w:rsidTr="00015B88">
        <w:tc>
          <w:tcPr>
            <w:tcW w:w="2136" w:type="dxa"/>
            <w:tcBorders>
              <w:top w:val="nil"/>
              <w:left w:val="nil"/>
              <w:bottom w:val="nil"/>
              <w:right w:val="nil"/>
            </w:tcBorders>
          </w:tcPr>
          <w:p w14:paraId="57CB794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L5.More Fixed Rate * Lower House Legislates in Practice</w:t>
            </w:r>
          </w:p>
        </w:tc>
        <w:tc>
          <w:tcPr>
            <w:tcW w:w="1656" w:type="dxa"/>
            <w:tcBorders>
              <w:top w:val="nil"/>
              <w:left w:val="nil"/>
              <w:bottom w:val="nil"/>
              <w:right w:val="nil"/>
            </w:tcBorders>
          </w:tcPr>
          <w:p w14:paraId="3C19C0D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0.0168</w:t>
            </w:r>
          </w:p>
        </w:tc>
      </w:tr>
      <w:tr w:rsidR="00201D4C" w:rsidRPr="00902830" w14:paraId="2879AB0E" w14:textId="77777777" w:rsidTr="00015B88">
        <w:tc>
          <w:tcPr>
            <w:tcW w:w="2136" w:type="dxa"/>
            <w:tcBorders>
              <w:top w:val="nil"/>
              <w:left w:val="nil"/>
              <w:bottom w:val="nil"/>
              <w:right w:val="nil"/>
            </w:tcBorders>
          </w:tcPr>
          <w:p w14:paraId="419CC51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2DD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(0.51)</w:t>
            </w:r>
          </w:p>
        </w:tc>
      </w:tr>
      <w:tr w:rsidR="00201D4C" w:rsidRPr="00902830" w14:paraId="28022206" w14:textId="77777777" w:rsidTr="00015B88">
        <w:tc>
          <w:tcPr>
            <w:tcW w:w="2136" w:type="dxa"/>
            <w:tcBorders>
              <w:top w:val="nil"/>
              <w:left w:val="nil"/>
              <w:bottom w:val="nil"/>
              <w:right w:val="nil"/>
            </w:tcBorders>
          </w:tcPr>
          <w:p w14:paraId="5EA3F78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CB75D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9B6E052" w14:textId="77777777" w:rsidTr="00015B88">
        <w:tc>
          <w:tcPr>
            <w:tcW w:w="2136" w:type="dxa"/>
            <w:tcBorders>
              <w:top w:val="nil"/>
              <w:left w:val="nil"/>
              <w:bottom w:val="nil"/>
              <w:right w:val="nil"/>
            </w:tcBorders>
          </w:tcPr>
          <w:p w14:paraId="74E003E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L6.More Fixed Rate * Lower House Legislates in Practice</w:t>
            </w:r>
          </w:p>
        </w:tc>
        <w:tc>
          <w:tcPr>
            <w:tcW w:w="1656" w:type="dxa"/>
            <w:tcBorders>
              <w:top w:val="nil"/>
              <w:left w:val="nil"/>
              <w:bottom w:val="nil"/>
              <w:right w:val="nil"/>
            </w:tcBorders>
          </w:tcPr>
          <w:p w14:paraId="141319C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-0.0286</w:t>
            </w:r>
          </w:p>
        </w:tc>
      </w:tr>
      <w:tr w:rsidR="00201D4C" w:rsidRPr="00902830" w14:paraId="3C615EBC" w14:textId="77777777" w:rsidTr="00015B88">
        <w:tc>
          <w:tcPr>
            <w:tcW w:w="2136" w:type="dxa"/>
            <w:tcBorders>
              <w:top w:val="nil"/>
              <w:left w:val="nil"/>
              <w:bottom w:val="nil"/>
              <w:right w:val="nil"/>
            </w:tcBorders>
          </w:tcPr>
          <w:p w14:paraId="37C879D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38B2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(-1.22)</w:t>
            </w:r>
          </w:p>
        </w:tc>
      </w:tr>
      <w:tr w:rsidR="00201D4C" w:rsidRPr="00902830" w14:paraId="5CCE96F0" w14:textId="77777777" w:rsidTr="00015B88">
        <w:tc>
          <w:tcPr>
            <w:tcW w:w="2136" w:type="dxa"/>
            <w:tcBorders>
              <w:top w:val="nil"/>
              <w:left w:val="nil"/>
              <w:bottom w:val="nil"/>
              <w:right w:val="nil"/>
            </w:tcBorders>
          </w:tcPr>
          <w:p w14:paraId="7E7C2BA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48F2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E47480F" w14:textId="77777777" w:rsidTr="00015B88">
        <w:tc>
          <w:tcPr>
            <w:tcW w:w="2136" w:type="dxa"/>
            <w:tcBorders>
              <w:top w:val="nil"/>
              <w:left w:val="nil"/>
              <w:bottom w:val="nil"/>
              <w:right w:val="nil"/>
            </w:tcBorders>
          </w:tcPr>
          <w:p w14:paraId="7C81631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L7.More Fixed Rate * Lower House Legislates in Practice</w:t>
            </w:r>
          </w:p>
        </w:tc>
        <w:tc>
          <w:tcPr>
            <w:tcW w:w="1656" w:type="dxa"/>
            <w:tcBorders>
              <w:top w:val="nil"/>
              <w:left w:val="nil"/>
              <w:bottom w:val="nil"/>
              <w:right w:val="nil"/>
            </w:tcBorders>
          </w:tcPr>
          <w:p w14:paraId="351FF4D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-0.00846</w:t>
            </w:r>
          </w:p>
        </w:tc>
      </w:tr>
      <w:tr w:rsidR="00201D4C" w:rsidRPr="00902830" w14:paraId="217F8BEA" w14:textId="77777777" w:rsidTr="00015B88">
        <w:tc>
          <w:tcPr>
            <w:tcW w:w="2136" w:type="dxa"/>
            <w:tcBorders>
              <w:top w:val="nil"/>
              <w:left w:val="nil"/>
              <w:bottom w:val="nil"/>
              <w:right w:val="nil"/>
            </w:tcBorders>
          </w:tcPr>
          <w:p w14:paraId="3FA45F2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026B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(-0.39)</w:t>
            </w:r>
          </w:p>
        </w:tc>
      </w:tr>
      <w:tr w:rsidR="00201D4C" w:rsidRPr="00902830" w14:paraId="7D4A80B6" w14:textId="77777777" w:rsidTr="00015B88">
        <w:tc>
          <w:tcPr>
            <w:tcW w:w="2136" w:type="dxa"/>
            <w:tcBorders>
              <w:top w:val="nil"/>
              <w:left w:val="nil"/>
              <w:bottom w:val="nil"/>
              <w:right w:val="nil"/>
            </w:tcBorders>
          </w:tcPr>
          <w:p w14:paraId="3527634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4342F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BC73E7A" w14:textId="77777777" w:rsidTr="00015B88">
        <w:tc>
          <w:tcPr>
            <w:tcW w:w="2136" w:type="dxa"/>
            <w:tcBorders>
              <w:top w:val="nil"/>
              <w:left w:val="nil"/>
              <w:bottom w:val="nil"/>
              <w:right w:val="nil"/>
            </w:tcBorders>
          </w:tcPr>
          <w:p w14:paraId="2E38CBD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L8.More Fixed Rate * Lower House Legislates in Practice</w:t>
            </w:r>
          </w:p>
        </w:tc>
        <w:tc>
          <w:tcPr>
            <w:tcW w:w="1656" w:type="dxa"/>
            <w:tcBorders>
              <w:top w:val="nil"/>
              <w:left w:val="nil"/>
              <w:bottom w:val="nil"/>
              <w:right w:val="nil"/>
            </w:tcBorders>
          </w:tcPr>
          <w:p w14:paraId="4824C41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-0.0122</w:t>
            </w:r>
          </w:p>
        </w:tc>
      </w:tr>
      <w:tr w:rsidR="00201D4C" w:rsidRPr="00902830" w14:paraId="0A899296" w14:textId="77777777" w:rsidTr="00015B88">
        <w:tc>
          <w:tcPr>
            <w:tcW w:w="2136" w:type="dxa"/>
            <w:tcBorders>
              <w:top w:val="nil"/>
              <w:left w:val="nil"/>
              <w:bottom w:val="nil"/>
              <w:right w:val="nil"/>
            </w:tcBorders>
          </w:tcPr>
          <w:p w14:paraId="25B4CCE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3779A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(-0.49)</w:t>
            </w:r>
          </w:p>
        </w:tc>
      </w:tr>
      <w:tr w:rsidR="00201D4C" w:rsidRPr="00902830" w14:paraId="477FBF4B" w14:textId="77777777" w:rsidTr="00015B88">
        <w:tc>
          <w:tcPr>
            <w:tcW w:w="2136" w:type="dxa"/>
            <w:tcBorders>
              <w:top w:val="nil"/>
              <w:left w:val="nil"/>
              <w:bottom w:val="nil"/>
              <w:right w:val="nil"/>
            </w:tcBorders>
          </w:tcPr>
          <w:p w14:paraId="5AC9300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3DE0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09745F6" w14:textId="77777777" w:rsidTr="00015B88">
        <w:tc>
          <w:tcPr>
            <w:tcW w:w="2136" w:type="dxa"/>
            <w:tcBorders>
              <w:top w:val="nil"/>
              <w:left w:val="nil"/>
              <w:bottom w:val="nil"/>
              <w:right w:val="nil"/>
            </w:tcBorders>
          </w:tcPr>
          <w:p w14:paraId="0ADA8A4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L9.More Fixed Rate * Lower House Legislates in Practice</w:t>
            </w:r>
          </w:p>
        </w:tc>
        <w:tc>
          <w:tcPr>
            <w:tcW w:w="1656" w:type="dxa"/>
            <w:tcBorders>
              <w:top w:val="nil"/>
              <w:left w:val="nil"/>
              <w:bottom w:val="nil"/>
              <w:right w:val="nil"/>
            </w:tcBorders>
          </w:tcPr>
          <w:p w14:paraId="2C5879E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0.0219</w:t>
            </w:r>
          </w:p>
        </w:tc>
      </w:tr>
      <w:tr w:rsidR="00201D4C" w:rsidRPr="00902830" w14:paraId="4DFB00AE" w14:textId="77777777" w:rsidTr="00015B88">
        <w:tc>
          <w:tcPr>
            <w:tcW w:w="2136" w:type="dxa"/>
            <w:tcBorders>
              <w:top w:val="nil"/>
              <w:left w:val="nil"/>
              <w:bottom w:val="nil"/>
              <w:right w:val="nil"/>
            </w:tcBorders>
          </w:tcPr>
          <w:p w14:paraId="1663BA1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DA68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(0.99)</w:t>
            </w:r>
          </w:p>
        </w:tc>
      </w:tr>
      <w:tr w:rsidR="00201D4C" w:rsidRPr="00902830" w14:paraId="20B4CC1C" w14:textId="77777777" w:rsidTr="00015B88">
        <w:tc>
          <w:tcPr>
            <w:tcW w:w="2136" w:type="dxa"/>
            <w:tcBorders>
              <w:top w:val="nil"/>
              <w:left w:val="nil"/>
              <w:bottom w:val="nil"/>
              <w:right w:val="nil"/>
            </w:tcBorders>
          </w:tcPr>
          <w:p w14:paraId="3155F3A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F96B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5B4B6D5" w14:textId="77777777" w:rsidTr="00015B88">
        <w:tc>
          <w:tcPr>
            <w:tcW w:w="2136" w:type="dxa"/>
            <w:tcBorders>
              <w:top w:val="nil"/>
              <w:left w:val="nil"/>
              <w:bottom w:val="nil"/>
              <w:right w:val="nil"/>
            </w:tcBorders>
          </w:tcPr>
          <w:p w14:paraId="530713C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308FC4E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-0.00624</w:t>
            </w:r>
          </w:p>
        </w:tc>
      </w:tr>
      <w:tr w:rsidR="00201D4C" w:rsidRPr="00902830" w14:paraId="07FBBCC7" w14:textId="77777777" w:rsidTr="00015B88">
        <w:tc>
          <w:tcPr>
            <w:tcW w:w="2136" w:type="dxa"/>
            <w:tcBorders>
              <w:top w:val="nil"/>
              <w:left w:val="nil"/>
              <w:bottom w:val="nil"/>
              <w:right w:val="nil"/>
            </w:tcBorders>
          </w:tcPr>
          <w:p w14:paraId="30D7016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BA813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(-0.41)</w:t>
            </w:r>
          </w:p>
        </w:tc>
      </w:tr>
      <w:tr w:rsidR="00201D4C" w:rsidRPr="00902830" w14:paraId="4F31138E" w14:textId="77777777" w:rsidTr="00015B88">
        <w:tc>
          <w:tcPr>
            <w:tcW w:w="2136" w:type="dxa"/>
            <w:tcBorders>
              <w:top w:val="nil"/>
              <w:left w:val="nil"/>
              <w:bottom w:val="nil"/>
              <w:right w:val="nil"/>
            </w:tcBorders>
          </w:tcPr>
          <w:p w14:paraId="5F85D15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415B3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58729BB3" w14:textId="77777777" w:rsidTr="00015B88">
        <w:tc>
          <w:tcPr>
            <w:tcW w:w="2136" w:type="dxa"/>
            <w:tcBorders>
              <w:top w:val="nil"/>
              <w:left w:val="nil"/>
              <w:bottom w:val="nil"/>
              <w:right w:val="nil"/>
            </w:tcBorders>
          </w:tcPr>
          <w:p w14:paraId="28C8201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Constant</w:t>
            </w:r>
          </w:p>
        </w:tc>
        <w:tc>
          <w:tcPr>
            <w:tcW w:w="1656" w:type="dxa"/>
            <w:tcBorders>
              <w:top w:val="nil"/>
              <w:left w:val="nil"/>
              <w:bottom w:val="nil"/>
              <w:right w:val="nil"/>
            </w:tcBorders>
          </w:tcPr>
          <w:p w14:paraId="08B48DC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-0.185</w:t>
            </w:r>
          </w:p>
        </w:tc>
      </w:tr>
      <w:tr w:rsidR="00201D4C" w:rsidRPr="00902830" w14:paraId="2558B2DF" w14:textId="77777777" w:rsidTr="00015B88">
        <w:tc>
          <w:tcPr>
            <w:tcW w:w="2136" w:type="dxa"/>
            <w:tcBorders>
              <w:top w:val="nil"/>
              <w:left w:val="nil"/>
              <w:bottom w:val="single" w:sz="4" w:space="0" w:color="auto"/>
              <w:right w:val="nil"/>
            </w:tcBorders>
          </w:tcPr>
          <w:p w14:paraId="3FCBF50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5C8147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(-0.74)</w:t>
            </w:r>
          </w:p>
        </w:tc>
      </w:tr>
      <w:tr w:rsidR="00201D4C" w:rsidRPr="00902830" w14:paraId="01AAEE23" w14:textId="77777777" w:rsidTr="00015B88">
        <w:tc>
          <w:tcPr>
            <w:tcW w:w="2136" w:type="dxa"/>
            <w:tcBorders>
              <w:top w:val="nil"/>
              <w:left w:val="nil"/>
              <w:bottom w:val="single" w:sz="4" w:space="0" w:color="auto"/>
              <w:right w:val="nil"/>
            </w:tcBorders>
          </w:tcPr>
          <w:p w14:paraId="56D2E09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5F0AF6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670</w:t>
            </w:r>
          </w:p>
        </w:tc>
      </w:tr>
    </w:tbl>
    <w:p w14:paraId="157E5F0D" w14:textId="77777777" w:rsidR="00491A05" w:rsidRPr="00902830" w:rsidRDefault="00491A05" w:rsidP="00491A05">
      <w:pPr>
        <w:widowControl w:val="0"/>
        <w:autoSpaceDE w:val="0"/>
        <w:autoSpaceDN w:val="0"/>
        <w:adjustRightInd w:val="0"/>
        <w:spacing w:after="0" w:line="240" w:lineRule="auto"/>
        <w:rPr>
          <w:rFonts w:ascii="Times New Roman" w:hAnsi="Times New Roman" w:cs="Times New Roman"/>
          <w:sz w:val="12"/>
          <w:szCs w:val="12"/>
        </w:rPr>
      </w:pPr>
      <w:r w:rsidRPr="00902830">
        <w:rPr>
          <w:rFonts w:ascii="Times New Roman" w:hAnsi="Times New Roman" w:cs="Times New Roman"/>
          <w:i/>
          <w:iCs/>
          <w:sz w:val="12"/>
          <w:szCs w:val="12"/>
        </w:rPr>
        <w:t>t</w:t>
      </w:r>
      <w:r w:rsidRPr="00902830">
        <w:rPr>
          <w:rFonts w:ascii="Times New Roman" w:hAnsi="Times New Roman" w:cs="Times New Roman"/>
          <w:sz w:val="12"/>
          <w:szCs w:val="12"/>
        </w:rPr>
        <w:t xml:space="preserve"> statistics in parentheses</w:t>
      </w:r>
    </w:p>
    <w:p w14:paraId="2C114141" w14:textId="77777777" w:rsidR="00491A05" w:rsidRPr="00902830" w:rsidRDefault="00491A05" w:rsidP="00491A05">
      <w:pPr>
        <w:widowControl w:val="0"/>
        <w:autoSpaceDE w:val="0"/>
        <w:autoSpaceDN w:val="0"/>
        <w:adjustRightInd w:val="0"/>
        <w:spacing w:after="0" w:line="240" w:lineRule="auto"/>
        <w:rPr>
          <w:rFonts w:ascii="Times New Roman" w:hAnsi="Times New Roman" w:cs="Times New Roman"/>
          <w:sz w:val="12"/>
          <w:szCs w:val="12"/>
        </w:rPr>
      </w:pPr>
      <w:r w:rsidRPr="00902830">
        <w:rPr>
          <w:rFonts w:ascii="Times New Roman" w:hAnsi="Times New Roman" w:cs="Times New Roman"/>
          <w:sz w:val="12"/>
          <w:szCs w:val="12"/>
          <w:vertAlign w:val="superscript"/>
        </w:rPr>
        <w:t>*</w:t>
      </w:r>
      <w:r w:rsidRPr="00902830">
        <w:rPr>
          <w:rFonts w:ascii="Times New Roman" w:hAnsi="Times New Roman" w:cs="Times New Roman"/>
          <w:sz w:val="12"/>
          <w:szCs w:val="12"/>
        </w:rPr>
        <w:t xml:space="preserve"> </w:t>
      </w:r>
      <w:r w:rsidRPr="00902830">
        <w:rPr>
          <w:rFonts w:ascii="Times New Roman" w:hAnsi="Times New Roman" w:cs="Times New Roman"/>
          <w:i/>
          <w:iCs/>
          <w:sz w:val="12"/>
          <w:szCs w:val="12"/>
        </w:rPr>
        <w:t>p</w:t>
      </w:r>
      <w:r w:rsidRPr="00902830">
        <w:rPr>
          <w:rFonts w:ascii="Times New Roman" w:hAnsi="Times New Roman" w:cs="Times New Roman"/>
          <w:sz w:val="12"/>
          <w:szCs w:val="12"/>
        </w:rPr>
        <w:t xml:space="preserve"> &lt; 0.05, </w:t>
      </w:r>
      <w:r w:rsidRPr="00902830">
        <w:rPr>
          <w:rFonts w:ascii="Times New Roman" w:hAnsi="Times New Roman" w:cs="Times New Roman"/>
          <w:sz w:val="12"/>
          <w:szCs w:val="12"/>
          <w:vertAlign w:val="superscript"/>
        </w:rPr>
        <w:t>**</w:t>
      </w:r>
      <w:r w:rsidRPr="00902830">
        <w:rPr>
          <w:rFonts w:ascii="Times New Roman" w:hAnsi="Times New Roman" w:cs="Times New Roman"/>
          <w:sz w:val="12"/>
          <w:szCs w:val="12"/>
        </w:rPr>
        <w:t xml:space="preserve"> </w:t>
      </w:r>
      <w:r w:rsidRPr="00902830">
        <w:rPr>
          <w:rFonts w:ascii="Times New Roman" w:hAnsi="Times New Roman" w:cs="Times New Roman"/>
          <w:i/>
          <w:iCs/>
          <w:sz w:val="12"/>
          <w:szCs w:val="12"/>
        </w:rPr>
        <w:t>p</w:t>
      </w:r>
      <w:r w:rsidRPr="00902830">
        <w:rPr>
          <w:rFonts w:ascii="Times New Roman" w:hAnsi="Times New Roman" w:cs="Times New Roman"/>
          <w:sz w:val="12"/>
          <w:szCs w:val="12"/>
        </w:rPr>
        <w:t xml:space="preserve"> &lt; 0.01, </w:t>
      </w:r>
      <w:r w:rsidRPr="00902830">
        <w:rPr>
          <w:rFonts w:ascii="Times New Roman" w:hAnsi="Times New Roman" w:cs="Times New Roman"/>
          <w:sz w:val="12"/>
          <w:szCs w:val="12"/>
          <w:vertAlign w:val="superscript"/>
        </w:rPr>
        <w:t>***</w:t>
      </w:r>
      <w:r w:rsidRPr="00902830">
        <w:rPr>
          <w:rFonts w:ascii="Times New Roman" w:hAnsi="Times New Roman" w:cs="Times New Roman"/>
          <w:sz w:val="12"/>
          <w:szCs w:val="12"/>
        </w:rPr>
        <w:t xml:space="preserve"> </w:t>
      </w:r>
      <w:r w:rsidRPr="00902830">
        <w:rPr>
          <w:rFonts w:ascii="Times New Roman" w:hAnsi="Times New Roman" w:cs="Times New Roman"/>
          <w:i/>
          <w:iCs/>
          <w:sz w:val="12"/>
          <w:szCs w:val="12"/>
        </w:rPr>
        <w:t>p</w:t>
      </w:r>
      <w:r w:rsidRPr="00902830">
        <w:rPr>
          <w:rFonts w:ascii="Times New Roman" w:hAnsi="Times New Roman" w:cs="Times New Roman"/>
          <w:sz w:val="12"/>
          <w:szCs w:val="12"/>
        </w:rPr>
        <w:t xml:space="preserve"> &lt; 0.001</w:t>
      </w:r>
    </w:p>
    <w:p w14:paraId="0AA322A6" w14:textId="77777777" w:rsidR="00491A05" w:rsidRDefault="00491A05" w:rsidP="00783E87"/>
    <w:p w14:paraId="18093F44" w14:textId="54DD6F1E" w:rsidR="00783E87" w:rsidRDefault="00783E87" w:rsidP="00783E87">
      <w:r>
        <w:t>DF</w:t>
      </w:r>
    </w:p>
    <w:tbl>
      <w:tblPr>
        <w:tblW w:w="0" w:type="auto"/>
        <w:tblLayout w:type="fixed"/>
        <w:tblLook w:val="0000" w:firstRow="0" w:lastRow="0" w:firstColumn="0" w:lastColumn="0" w:noHBand="0" w:noVBand="0"/>
      </w:tblPr>
      <w:tblGrid>
        <w:gridCol w:w="2136"/>
        <w:gridCol w:w="1656"/>
      </w:tblGrid>
      <w:tr w:rsidR="00201D4C" w:rsidRPr="00183ABF" w14:paraId="0BCBEECE" w14:textId="77777777" w:rsidTr="00015B88">
        <w:tc>
          <w:tcPr>
            <w:tcW w:w="2136" w:type="dxa"/>
            <w:tcBorders>
              <w:top w:val="single" w:sz="4" w:space="0" w:color="auto"/>
              <w:left w:val="nil"/>
              <w:bottom w:val="nil"/>
              <w:right w:val="nil"/>
            </w:tcBorders>
          </w:tcPr>
          <w:p w14:paraId="0E508FC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EC2D080" w14:textId="3C6DC5B1"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183ABF" w14:paraId="1E9D5231" w14:textId="77777777" w:rsidTr="00015B88">
        <w:tc>
          <w:tcPr>
            <w:tcW w:w="2136" w:type="dxa"/>
            <w:tcBorders>
              <w:top w:val="nil"/>
              <w:left w:val="nil"/>
              <w:bottom w:val="nil"/>
              <w:right w:val="nil"/>
            </w:tcBorders>
          </w:tcPr>
          <w:p w14:paraId="2995057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0FD7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Lower House Turnover</w:t>
            </w:r>
          </w:p>
        </w:tc>
      </w:tr>
      <w:tr w:rsidR="00201D4C" w:rsidRPr="00183ABF" w14:paraId="1E9AE41F" w14:textId="77777777" w:rsidTr="00015B88">
        <w:tc>
          <w:tcPr>
            <w:tcW w:w="2136" w:type="dxa"/>
            <w:tcBorders>
              <w:top w:val="single" w:sz="4" w:space="0" w:color="auto"/>
              <w:left w:val="nil"/>
              <w:bottom w:val="nil"/>
              <w:right w:val="nil"/>
            </w:tcBorders>
          </w:tcPr>
          <w:p w14:paraId="1466E0E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F886D6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-0.301</w:t>
            </w:r>
            <w:r w:rsidRPr="00183ABF">
              <w:rPr>
                <w:rFonts w:ascii="Times New Roman" w:hAnsi="Times New Roman" w:cs="Times New Roman"/>
                <w:sz w:val="16"/>
                <w:szCs w:val="16"/>
                <w:vertAlign w:val="superscript"/>
              </w:rPr>
              <w:t>*</w:t>
            </w:r>
          </w:p>
        </w:tc>
      </w:tr>
      <w:tr w:rsidR="00201D4C" w:rsidRPr="00183ABF" w14:paraId="5BB70F7D" w14:textId="77777777" w:rsidTr="00015B88">
        <w:tc>
          <w:tcPr>
            <w:tcW w:w="2136" w:type="dxa"/>
            <w:tcBorders>
              <w:top w:val="nil"/>
              <w:left w:val="nil"/>
              <w:bottom w:val="nil"/>
              <w:right w:val="nil"/>
            </w:tcBorders>
          </w:tcPr>
          <w:p w14:paraId="372E485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20DE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(-2.45)</w:t>
            </w:r>
          </w:p>
        </w:tc>
      </w:tr>
      <w:tr w:rsidR="00201D4C" w:rsidRPr="00183ABF" w14:paraId="3F4918D0" w14:textId="77777777" w:rsidTr="00015B88">
        <w:tc>
          <w:tcPr>
            <w:tcW w:w="2136" w:type="dxa"/>
            <w:tcBorders>
              <w:top w:val="nil"/>
              <w:left w:val="nil"/>
              <w:bottom w:val="nil"/>
              <w:right w:val="nil"/>
            </w:tcBorders>
          </w:tcPr>
          <w:p w14:paraId="18DA096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1A17E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1B8C410" w14:textId="77777777" w:rsidTr="00015B88">
        <w:tc>
          <w:tcPr>
            <w:tcW w:w="2136" w:type="dxa"/>
            <w:tcBorders>
              <w:top w:val="nil"/>
              <w:left w:val="nil"/>
              <w:bottom w:val="nil"/>
              <w:right w:val="nil"/>
            </w:tcBorders>
          </w:tcPr>
          <w:p w14:paraId="7249BC8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5ED63E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0.0228</w:t>
            </w:r>
          </w:p>
        </w:tc>
      </w:tr>
      <w:tr w:rsidR="00201D4C" w:rsidRPr="00183ABF" w14:paraId="739EC952" w14:textId="77777777" w:rsidTr="00015B88">
        <w:tc>
          <w:tcPr>
            <w:tcW w:w="2136" w:type="dxa"/>
            <w:tcBorders>
              <w:top w:val="nil"/>
              <w:left w:val="nil"/>
              <w:bottom w:val="nil"/>
              <w:right w:val="nil"/>
            </w:tcBorders>
          </w:tcPr>
          <w:p w14:paraId="2846547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D19C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(0.63)</w:t>
            </w:r>
          </w:p>
        </w:tc>
      </w:tr>
      <w:tr w:rsidR="00201D4C" w:rsidRPr="00183ABF" w14:paraId="0404C98E" w14:textId="77777777" w:rsidTr="00015B88">
        <w:tc>
          <w:tcPr>
            <w:tcW w:w="2136" w:type="dxa"/>
            <w:tcBorders>
              <w:top w:val="nil"/>
              <w:left w:val="nil"/>
              <w:bottom w:val="nil"/>
              <w:right w:val="nil"/>
            </w:tcBorders>
          </w:tcPr>
          <w:p w14:paraId="2D9E432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82206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1B22BCA" w14:textId="77777777" w:rsidTr="00015B88">
        <w:tc>
          <w:tcPr>
            <w:tcW w:w="2136" w:type="dxa"/>
            <w:tcBorders>
              <w:top w:val="nil"/>
              <w:left w:val="nil"/>
              <w:bottom w:val="nil"/>
              <w:right w:val="nil"/>
            </w:tcBorders>
          </w:tcPr>
          <w:p w14:paraId="46B5108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De Facto CBI * Lower House Legislates in Practice</w:t>
            </w:r>
          </w:p>
        </w:tc>
        <w:tc>
          <w:tcPr>
            <w:tcW w:w="1656" w:type="dxa"/>
            <w:tcBorders>
              <w:top w:val="nil"/>
              <w:left w:val="nil"/>
              <w:bottom w:val="nil"/>
              <w:right w:val="nil"/>
            </w:tcBorders>
          </w:tcPr>
          <w:p w14:paraId="4287A88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-0.00871</w:t>
            </w:r>
          </w:p>
        </w:tc>
      </w:tr>
      <w:tr w:rsidR="00201D4C" w:rsidRPr="00183ABF" w14:paraId="708F9F21" w14:textId="77777777" w:rsidTr="00015B88">
        <w:tc>
          <w:tcPr>
            <w:tcW w:w="2136" w:type="dxa"/>
            <w:tcBorders>
              <w:top w:val="nil"/>
              <w:left w:val="nil"/>
              <w:bottom w:val="nil"/>
              <w:right w:val="nil"/>
            </w:tcBorders>
          </w:tcPr>
          <w:p w14:paraId="1B46B9C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FFEC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(-0.08)</w:t>
            </w:r>
          </w:p>
        </w:tc>
      </w:tr>
      <w:tr w:rsidR="00201D4C" w:rsidRPr="00183ABF" w14:paraId="6B26453E" w14:textId="77777777" w:rsidTr="00015B88">
        <w:tc>
          <w:tcPr>
            <w:tcW w:w="2136" w:type="dxa"/>
            <w:tcBorders>
              <w:top w:val="nil"/>
              <w:left w:val="nil"/>
              <w:bottom w:val="nil"/>
              <w:right w:val="nil"/>
            </w:tcBorders>
          </w:tcPr>
          <w:p w14:paraId="50D8B2D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1C574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E68986A" w14:textId="77777777" w:rsidTr="00015B88">
        <w:tc>
          <w:tcPr>
            <w:tcW w:w="2136" w:type="dxa"/>
            <w:tcBorders>
              <w:top w:val="nil"/>
              <w:left w:val="nil"/>
              <w:bottom w:val="nil"/>
              <w:right w:val="nil"/>
            </w:tcBorders>
          </w:tcPr>
          <w:p w14:paraId="363B38C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04A9C1A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0.00780</w:t>
            </w:r>
          </w:p>
        </w:tc>
      </w:tr>
      <w:tr w:rsidR="00201D4C" w:rsidRPr="00183ABF" w14:paraId="5793B364" w14:textId="77777777" w:rsidTr="00015B88">
        <w:tc>
          <w:tcPr>
            <w:tcW w:w="2136" w:type="dxa"/>
            <w:tcBorders>
              <w:top w:val="nil"/>
              <w:left w:val="nil"/>
              <w:bottom w:val="nil"/>
              <w:right w:val="nil"/>
            </w:tcBorders>
          </w:tcPr>
          <w:p w14:paraId="1DABF39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E675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(0.35)</w:t>
            </w:r>
          </w:p>
        </w:tc>
      </w:tr>
      <w:tr w:rsidR="00201D4C" w:rsidRPr="00183ABF" w14:paraId="495A057B" w14:textId="77777777" w:rsidTr="00015B88">
        <w:tc>
          <w:tcPr>
            <w:tcW w:w="2136" w:type="dxa"/>
            <w:tcBorders>
              <w:top w:val="nil"/>
              <w:left w:val="nil"/>
              <w:bottom w:val="nil"/>
              <w:right w:val="nil"/>
            </w:tcBorders>
          </w:tcPr>
          <w:p w14:paraId="5855EE8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3DD48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65B5D23" w14:textId="77777777" w:rsidTr="00015B88">
        <w:tc>
          <w:tcPr>
            <w:tcW w:w="2136" w:type="dxa"/>
            <w:tcBorders>
              <w:top w:val="nil"/>
              <w:left w:val="nil"/>
              <w:bottom w:val="nil"/>
              <w:right w:val="nil"/>
            </w:tcBorders>
          </w:tcPr>
          <w:p w14:paraId="1D91249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Legislative Efficacy</w:t>
            </w:r>
          </w:p>
        </w:tc>
        <w:tc>
          <w:tcPr>
            <w:tcW w:w="1656" w:type="dxa"/>
            <w:tcBorders>
              <w:top w:val="nil"/>
              <w:left w:val="nil"/>
              <w:bottom w:val="nil"/>
              <w:right w:val="nil"/>
            </w:tcBorders>
          </w:tcPr>
          <w:p w14:paraId="7F83C93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0.0409</w:t>
            </w:r>
          </w:p>
        </w:tc>
      </w:tr>
      <w:tr w:rsidR="00201D4C" w:rsidRPr="00183ABF" w14:paraId="36C0AF94" w14:textId="77777777" w:rsidTr="00015B88">
        <w:tc>
          <w:tcPr>
            <w:tcW w:w="2136" w:type="dxa"/>
            <w:tcBorders>
              <w:top w:val="nil"/>
              <w:left w:val="nil"/>
              <w:bottom w:val="nil"/>
              <w:right w:val="nil"/>
            </w:tcBorders>
          </w:tcPr>
          <w:p w14:paraId="1A10E1C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783F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(0.20)</w:t>
            </w:r>
          </w:p>
        </w:tc>
      </w:tr>
      <w:tr w:rsidR="00201D4C" w:rsidRPr="00183ABF" w14:paraId="49A938E2" w14:textId="77777777" w:rsidTr="00015B88">
        <w:tc>
          <w:tcPr>
            <w:tcW w:w="2136" w:type="dxa"/>
            <w:tcBorders>
              <w:top w:val="nil"/>
              <w:left w:val="nil"/>
              <w:bottom w:val="nil"/>
              <w:right w:val="nil"/>
            </w:tcBorders>
          </w:tcPr>
          <w:p w14:paraId="191C86D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93A32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C3DD814" w14:textId="77777777" w:rsidTr="00015B88">
        <w:tc>
          <w:tcPr>
            <w:tcW w:w="2136" w:type="dxa"/>
            <w:tcBorders>
              <w:top w:val="nil"/>
              <w:left w:val="nil"/>
              <w:bottom w:val="nil"/>
              <w:right w:val="nil"/>
            </w:tcBorders>
          </w:tcPr>
          <w:p w14:paraId="7BF814A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 xml:space="preserve">L.(Lack of) Irregular CB Governor Turnover (higher = </w:t>
            </w:r>
            <w:r w:rsidRPr="00183ABF">
              <w:rPr>
                <w:rFonts w:ascii="Times New Roman" w:hAnsi="Times New Roman" w:cs="Times New Roman"/>
                <w:sz w:val="16"/>
                <w:szCs w:val="16"/>
              </w:rPr>
              <w:lastRenderedPageBreak/>
              <w:t>more de facto CBI)</w:t>
            </w:r>
          </w:p>
        </w:tc>
        <w:tc>
          <w:tcPr>
            <w:tcW w:w="1656" w:type="dxa"/>
            <w:tcBorders>
              <w:top w:val="nil"/>
              <w:left w:val="nil"/>
              <w:bottom w:val="nil"/>
              <w:right w:val="nil"/>
            </w:tcBorders>
          </w:tcPr>
          <w:p w14:paraId="4DE7700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lastRenderedPageBreak/>
              <w:t>0.107</w:t>
            </w:r>
          </w:p>
        </w:tc>
      </w:tr>
      <w:tr w:rsidR="00201D4C" w:rsidRPr="00183ABF" w14:paraId="222FE66A" w14:textId="77777777" w:rsidTr="00015B88">
        <w:tc>
          <w:tcPr>
            <w:tcW w:w="2136" w:type="dxa"/>
            <w:tcBorders>
              <w:top w:val="nil"/>
              <w:left w:val="nil"/>
              <w:bottom w:val="nil"/>
              <w:right w:val="nil"/>
            </w:tcBorders>
          </w:tcPr>
          <w:p w14:paraId="6B97839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45B8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(1.05)</w:t>
            </w:r>
          </w:p>
        </w:tc>
      </w:tr>
      <w:tr w:rsidR="00201D4C" w:rsidRPr="00183ABF" w14:paraId="5C8DA668" w14:textId="77777777" w:rsidTr="00015B88">
        <w:tc>
          <w:tcPr>
            <w:tcW w:w="2136" w:type="dxa"/>
            <w:tcBorders>
              <w:top w:val="nil"/>
              <w:left w:val="nil"/>
              <w:bottom w:val="nil"/>
              <w:right w:val="nil"/>
            </w:tcBorders>
          </w:tcPr>
          <w:p w14:paraId="22A7329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62E71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7941909" w14:textId="77777777" w:rsidTr="00015B88">
        <w:tc>
          <w:tcPr>
            <w:tcW w:w="2136" w:type="dxa"/>
            <w:tcBorders>
              <w:top w:val="nil"/>
              <w:left w:val="nil"/>
              <w:bottom w:val="nil"/>
              <w:right w:val="nil"/>
            </w:tcBorders>
          </w:tcPr>
          <w:p w14:paraId="4135CB5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31F87CD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-0.390</w:t>
            </w:r>
            <w:r w:rsidRPr="00183ABF">
              <w:rPr>
                <w:rFonts w:ascii="Times New Roman" w:hAnsi="Times New Roman" w:cs="Times New Roman"/>
                <w:sz w:val="16"/>
                <w:szCs w:val="16"/>
                <w:vertAlign w:val="superscript"/>
              </w:rPr>
              <w:t>**</w:t>
            </w:r>
          </w:p>
        </w:tc>
      </w:tr>
      <w:tr w:rsidR="00201D4C" w:rsidRPr="00183ABF" w14:paraId="6223178F" w14:textId="77777777" w:rsidTr="00015B88">
        <w:tc>
          <w:tcPr>
            <w:tcW w:w="2136" w:type="dxa"/>
            <w:tcBorders>
              <w:top w:val="nil"/>
              <w:left w:val="nil"/>
              <w:bottom w:val="nil"/>
              <w:right w:val="nil"/>
            </w:tcBorders>
          </w:tcPr>
          <w:p w14:paraId="3791696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C89E2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(-3.13)</w:t>
            </w:r>
          </w:p>
        </w:tc>
      </w:tr>
      <w:tr w:rsidR="00201D4C" w:rsidRPr="00183ABF" w14:paraId="220CAB0F" w14:textId="77777777" w:rsidTr="00015B88">
        <w:tc>
          <w:tcPr>
            <w:tcW w:w="2136" w:type="dxa"/>
            <w:tcBorders>
              <w:top w:val="nil"/>
              <w:left w:val="nil"/>
              <w:bottom w:val="nil"/>
              <w:right w:val="nil"/>
            </w:tcBorders>
          </w:tcPr>
          <w:p w14:paraId="774BA58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5DB0E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DC8B36B" w14:textId="77777777" w:rsidTr="00015B88">
        <w:tc>
          <w:tcPr>
            <w:tcW w:w="2136" w:type="dxa"/>
            <w:tcBorders>
              <w:top w:val="nil"/>
              <w:left w:val="nil"/>
              <w:bottom w:val="nil"/>
              <w:right w:val="nil"/>
            </w:tcBorders>
          </w:tcPr>
          <w:p w14:paraId="5B0B1F0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66E790B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-0.205</w:t>
            </w:r>
          </w:p>
        </w:tc>
      </w:tr>
      <w:tr w:rsidR="00201D4C" w:rsidRPr="00183ABF" w14:paraId="7ABB9462" w14:textId="77777777" w:rsidTr="00015B88">
        <w:tc>
          <w:tcPr>
            <w:tcW w:w="2136" w:type="dxa"/>
            <w:tcBorders>
              <w:top w:val="nil"/>
              <w:left w:val="nil"/>
              <w:bottom w:val="nil"/>
              <w:right w:val="nil"/>
            </w:tcBorders>
          </w:tcPr>
          <w:p w14:paraId="7797FE6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0933D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(-1.89)</w:t>
            </w:r>
          </w:p>
        </w:tc>
      </w:tr>
      <w:tr w:rsidR="00201D4C" w:rsidRPr="00183ABF" w14:paraId="44B585AC" w14:textId="77777777" w:rsidTr="00015B88">
        <w:tc>
          <w:tcPr>
            <w:tcW w:w="2136" w:type="dxa"/>
            <w:tcBorders>
              <w:top w:val="nil"/>
              <w:left w:val="nil"/>
              <w:bottom w:val="nil"/>
              <w:right w:val="nil"/>
            </w:tcBorders>
          </w:tcPr>
          <w:p w14:paraId="093877E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7C7D8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0D63A84" w14:textId="77777777" w:rsidTr="00015B88">
        <w:tc>
          <w:tcPr>
            <w:tcW w:w="2136" w:type="dxa"/>
            <w:tcBorders>
              <w:top w:val="nil"/>
              <w:left w:val="nil"/>
              <w:bottom w:val="nil"/>
              <w:right w:val="nil"/>
            </w:tcBorders>
          </w:tcPr>
          <w:p w14:paraId="02D5FD7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6A97A21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0.0473</w:t>
            </w:r>
          </w:p>
        </w:tc>
      </w:tr>
      <w:tr w:rsidR="00201D4C" w:rsidRPr="00183ABF" w14:paraId="3635AEB9" w14:textId="77777777" w:rsidTr="00015B88">
        <w:tc>
          <w:tcPr>
            <w:tcW w:w="2136" w:type="dxa"/>
            <w:tcBorders>
              <w:top w:val="nil"/>
              <w:left w:val="nil"/>
              <w:bottom w:val="nil"/>
              <w:right w:val="nil"/>
            </w:tcBorders>
          </w:tcPr>
          <w:p w14:paraId="058F9A3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C816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(0.39)</w:t>
            </w:r>
          </w:p>
        </w:tc>
      </w:tr>
      <w:tr w:rsidR="00201D4C" w:rsidRPr="00183ABF" w14:paraId="2D360151" w14:textId="77777777" w:rsidTr="00015B88">
        <w:tc>
          <w:tcPr>
            <w:tcW w:w="2136" w:type="dxa"/>
            <w:tcBorders>
              <w:top w:val="nil"/>
              <w:left w:val="nil"/>
              <w:bottom w:val="nil"/>
              <w:right w:val="nil"/>
            </w:tcBorders>
          </w:tcPr>
          <w:p w14:paraId="447CC66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2391B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17D8A5F" w14:textId="77777777" w:rsidTr="00015B88">
        <w:tc>
          <w:tcPr>
            <w:tcW w:w="2136" w:type="dxa"/>
            <w:tcBorders>
              <w:top w:val="nil"/>
              <w:left w:val="nil"/>
              <w:bottom w:val="nil"/>
              <w:right w:val="nil"/>
            </w:tcBorders>
          </w:tcPr>
          <w:p w14:paraId="0BDD533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600BABD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0.171</w:t>
            </w:r>
          </w:p>
        </w:tc>
      </w:tr>
      <w:tr w:rsidR="00201D4C" w:rsidRPr="00183ABF" w14:paraId="18185A93" w14:textId="77777777" w:rsidTr="00015B88">
        <w:tc>
          <w:tcPr>
            <w:tcW w:w="2136" w:type="dxa"/>
            <w:tcBorders>
              <w:top w:val="nil"/>
              <w:left w:val="nil"/>
              <w:bottom w:val="nil"/>
              <w:right w:val="nil"/>
            </w:tcBorders>
          </w:tcPr>
          <w:p w14:paraId="1832124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ED7E5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(1.50)</w:t>
            </w:r>
          </w:p>
        </w:tc>
      </w:tr>
      <w:tr w:rsidR="00201D4C" w:rsidRPr="00183ABF" w14:paraId="3169F378" w14:textId="77777777" w:rsidTr="00015B88">
        <w:tc>
          <w:tcPr>
            <w:tcW w:w="2136" w:type="dxa"/>
            <w:tcBorders>
              <w:top w:val="nil"/>
              <w:left w:val="nil"/>
              <w:bottom w:val="nil"/>
              <w:right w:val="nil"/>
            </w:tcBorders>
          </w:tcPr>
          <w:p w14:paraId="79576DD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48168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67BA3A5" w14:textId="77777777" w:rsidTr="00015B88">
        <w:tc>
          <w:tcPr>
            <w:tcW w:w="2136" w:type="dxa"/>
            <w:tcBorders>
              <w:top w:val="nil"/>
              <w:left w:val="nil"/>
              <w:bottom w:val="nil"/>
              <w:right w:val="nil"/>
            </w:tcBorders>
          </w:tcPr>
          <w:p w14:paraId="48ADFFA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78CF33E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-0.108</w:t>
            </w:r>
          </w:p>
        </w:tc>
      </w:tr>
      <w:tr w:rsidR="00201D4C" w:rsidRPr="00183ABF" w14:paraId="2D3D5665" w14:textId="77777777" w:rsidTr="00015B88">
        <w:tc>
          <w:tcPr>
            <w:tcW w:w="2136" w:type="dxa"/>
            <w:tcBorders>
              <w:top w:val="nil"/>
              <w:left w:val="nil"/>
              <w:bottom w:val="nil"/>
              <w:right w:val="nil"/>
            </w:tcBorders>
          </w:tcPr>
          <w:p w14:paraId="6041CB1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BB25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(-0.94)</w:t>
            </w:r>
          </w:p>
        </w:tc>
      </w:tr>
      <w:tr w:rsidR="00201D4C" w:rsidRPr="00183ABF" w14:paraId="0505018A" w14:textId="77777777" w:rsidTr="00015B88">
        <w:tc>
          <w:tcPr>
            <w:tcW w:w="2136" w:type="dxa"/>
            <w:tcBorders>
              <w:top w:val="nil"/>
              <w:left w:val="nil"/>
              <w:bottom w:val="nil"/>
              <w:right w:val="nil"/>
            </w:tcBorders>
          </w:tcPr>
          <w:p w14:paraId="25283B8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A8B2E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5C7DD23" w14:textId="77777777" w:rsidTr="00015B88">
        <w:tc>
          <w:tcPr>
            <w:tcW w:w="2136" w:type="dxa"/>
            <w:tcBorders>
              <w:top w:val="nil"/>
              <w:left w:val="nil"/>
              <w:bottom w:val="nil"/>
              <w:right w:val="nil"/>
            </w:tcBorders>
          </w:tcPr>
          <w:p w14:paraId="2C18BA9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400DE9B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-0.110</w:t>
            </w:r>
          </w:p>
        </w:tc>
      </w:tr>
      <w:tr w:rsidR="00201D4C" w:rsidRPr="00183ABF" w14:paraId="7989E80C" w14:textId="77777777" w:rsidTr="00015B88">
        <w:tc>
          <w:tcPr>
            <w:tcW w:w="2136" w:type="dxa"/>
            <w:tcBorders>
              <w:top w:val="nil"/>
              <w:left w:val="nil"/>
              <w:bottom w:val="nil"/>
              <w:right w:val="nil"/>
            </w:tcBorders>
          </w:tcPr>
          <w:p w14:paraId="0F7B7A5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F9A4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(-0.93)</w:t>
            </w:r>
          </w:p>
        </w:tc>
      </w:tr>
      <w:tr w:rsidR="00201D4C" w:rsidRPr="00183ABF" w14:paraId="540DD012" w14:textId="77777777" w:rsidTr="00015B88">
        <w:tc>
          <w:tcPr>
            <w:tcW w:w="2136" w:type="dxa"/>
            <w:tcBorders>
              <w:top w:val="nil"/>
              <w:left w:val="nil"/>
              <w:bottom w:val="nil"/>
              <w:right w:val="nil"/>
            </w:tcBorders>
          </w:tcPr>
          <w:p w14:paraId="3A9815E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A2FF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C25106E" w14:textId="77777777" w:rsidTr="00015B88">
        <w:tc>
          <w:tcPr>
            <w:tcW w:w="2136" w:type="dxa"/>
            <w:tcBorders>
              <w:top w:val="nil"/>
              <w:left w:val="nil"/>
              <w:bottom w:val="nil"/>
              <w:right w:val="nil"/>
            </w:tcBorders>
          </w:tcPr>
          <w:p w14:paraId="30F415E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556DA00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-0.141</w:t>
            </w:r>
          </w:p>
        </w:tc>
      </w:tr>
      <w:tr w:rsidR="00201D4C" w:rsidRPr="00183ABF" w14:paraId="270B7893" w14:textId="77777777" w:rsidTr="00015B88">
        <w:tc>
          <w:tcPr>
            <w:tcW w:w="2136" w:type="dxa"/>
            <w:tcBorders>
              <w:top w:val="nil"/>
              <w:left w:val="nil"/>
              <w:bottom w:val="nil"/>
              <w:right w:val="nil"/>
            </w:tcBorders>
          </w:tcPr>
          <w:p w14:paraId="34F458F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97EEE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(-1.31)</w:t>
            </w:r>
          </w:p>
        </w:tc>
      </w:tr>
      <w:tr w:rsidR="00201D4C" w:rsidRPr="00183ABF" w14:paraId="61166960" w14:textId="77777777" w:rsidTr="00015B88">
        <w:tc>
          <w:tcPr>
            <w:tcW w:w="2136" w:type="dxa"/>
            <w:tcBorders>
              <w:top w:val="nil"/>
              <w:left w:val="nil"/>
              <w:bottom w:val="nil"/>
              <w:right w:val="nil"/>
            </w:tcBorders>
          </w:tcPr>
          <w:p w14:paraId="7E1D650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16731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1E48CAC" w14:textId="77777777" w:rsidTr="00015B88">
        <w:tc>
          <w:tcPr>
            <w:tcW w:w="2136" w:type="dxa"/>
            <w:tcBorders>
              <w:top w:val="nil"/>
              <w:left w:val="nil"/>
              <w:bottom w:val="nil"/>
              <w:right w:val="nil"/>
            </w:tcBorders>
          </w:tcPr>
          <w:p w14:paraId="33D580A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7DA17FE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-0.115</w:t>
            </w:r>
          </w:p>
        </w:tc>
      </w:tr>
      <w:tr w:rsidR="00201D4C" w:rsidRPr="00183ABF" w14:paraId="19DC746A" w14:textId="77777777" w:rsidTr="00015B88">
        <w:tc>
          <w:tcPr>
            <w:tcW w:w="2136" w:type="dxa"/>
            <w:tcBorders>
              <w:top w:val="nil"/>
              <w:left w:val="nil"/>
              <w:bottom w:val="nil"/>
              <w:right w:val="nil"/>
            </w:tcBorders>
          </w:tcPr>
          <w:p w14:paraId="27F55DC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E2AE7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(-1.08)</w:t>
            </w:r>
          </w:p>
        </w:tc>
      </w:tr>
      <w:tr w:rsidR="00201D4C" w:rsidRPr="00183ABF" w14:paraId="3847B792" w14:textId="77777777" w:rsidTr="00015B88">
        <w:tc>
          <w:tcPr>
            <w:tcW w:w="2136" w:type="dxa"/>
            <w:tcBorders>
              <w:top w:val="nil"/>
              <w:left w:val="nil"/>
              <w:bottom w:val="nil"/>
              <w:right w:val="nil"/>
            </w:tcBorders>
          </w:tcPr>
          <w:p w14:paraId="396ABCC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4B550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D4A7183" w14:textId="77777777" w:rsidTr="00015B88">
        <w:tc>
          <w:tcPr>
            <w:tcW w:w="2136" w:type="dxa"/>
            <w:tcBorders>
              <w:top w:val="nil"/>
              <w:left w:val="nil"/>
              <w:bottom w:val="nil"/>
              <w:right w:val="nil"/>
            </w:tcBorders>
          </w:tcPr>
          <w:p w14:paraId="325A313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73FFA46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0.0273</w:t>
            </w:r>
          </w:p>
        </w:tc>
      </w:tr>
      <w:tr w:rsidR="00201D4C" w:rsidRPr="00183ABF" w14:paraId="0B29CBD3" w14:textId="77777777" w:rsidTr="00015B88">
        <w:tc>
          <w:tcPr>
            <w:tcW w:w="2136" w:type="dxa"/>
            <w:tcBorders>
              <w:top w:val="nil"/>
              <w:left w:val="nil"/>
              <w:bottom w:val="nil"/>
              <w:right w:val="nil"/>
            </w:tcBorders>
          </w:tcPr>
          <w:p w14:paraId="0BF1908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6ABA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(0.31)</w:t>
            </w:r>
          </w:p>
        </w:tc>
      </w:tr>
      <w:tr w:rsidR="00201D4C" w:rsidRPr="00183ABF" w14:paraId="0CE594FD" w14:textId="77777777" w:rsidTr="00015B88">
        <w:tc>
          <w:tcPr>
            <w:tcW w:w="2136" w:type="dxa"/>
            <w:tcBorders>
              <w:top w:val="nil"/>
              <w:left w:val="nil"/>
              <w:bottom w:val="nil"/>
              <w:right w:val="nil"/>
            </w:tcBorders>
          </w:tcPr>
          <w:p w14:paraId="5D7D03D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100FF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A8CD958" w14:textId="77777777" w:rsidTr="00015B88">
        <w:tc>
          <w:tcPr>
            <w:tcW w:w="2136" w:type="dxa"/>
            <w:tcBorders>
              <w:top w:val="nil"/>
              <w:left w:val="nil"/>
              <w:bottom w:val="nil"/>
              <w:right w:val="nil"/>
            </w:tcBorders>
          </w:tcPr>
          <w:p w14:paraId="5E91702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183ABF">
              <w:rPr>
                <w:rFonts w:ascii="Times New Roman" w:hAnsi="Times New Roman" w:cs="Times New Roman"/>
                <w:sz w:val="16"/>
                <w:szCs w:val="16"/>
              </w:rPr>
              <w:t>L.Exchange</w:t>
            </w:r>
            <w:proofErr w:type="spellEnd"/>
            <w:r w:rsidRPr="00183AB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356C327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-0.00833</w:t>
            </w:r>
          </w:p>
        </w:tc>
      </w:tr>
      <w:tr w:rsidR="00201D4C" w:rsidRPr="00183ABF" w14:paraId="49374E49" w14:textId="77777777" w:rsidTr="00015B88">
        <w:tc>
          <w:tcPr>
            <w:tcW w:w="2136" w:type="dxa"/>
            <w:tcBorders>
              <w:top w:val="nil"/>
              <w:left w:val="nil"/>
              <w:bottom w:val="nil"/>
              <w:right w:val="nil"/>
            </w:tcBorders>
          </w:tcPr>
          <w:p w14:paraId="487AC96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00B3A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(-0.22)</w:t>
            </w:r>
          </w:p>
        </w:tc>
      </w:tr>
      <w:tr w:rsidR="00201D4C" w:rsidRPr="00183ABF" w14:paraId="60663B94" w14:textId="77777777" w:rsidTr="00015B88">
        <w:tc>
          <w:tcPr>
            <w:tcW w:w="2136" w:type="dxa"/>
            <w:tcBorders>
              <w:top w:val="nil"/>
              <w:left w:val="nil"/>
              <w:bottom w:val="nil"/>
              <w:right w:val="nil"/>
            </w:tcBorders>
          </w:tcPr>
          <w:p w14:paraId="69C3256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11BAF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1159609" w14:textId="77777777" w:rsidTr="00015B88">
        <w:tc>
          <w:tcPr>
            <w:tcW w:w="2136" w:type="dxa"/>
            <w:tcBorders>
              <w:top w:val="nil"/>
              <w:left w:val="nil"/>
              <w:bottom w:val="nil"/>
              <w:right w:val="nil"/>
            </w:tcBorders>
          </w:tcPr>
          <w:p w14:paraId="4D087AC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32732FF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-0.0392</w:t>
            </w:r>
          </w:p>
        </w:tc>
      </w:tr>
      <w:tr w:rsidR="00201D4C" w:rsidRPr="00183ABF" w14:paraId="5F689168" w14:textId="77777777" w:rsidTr="00015B88">
        <w:tc>
          <w:tcPr>
            <w:tcW w:w="2136" w:type="dxa"/>
            <w:tcBorders>
              <w:top w:val="nil"/>
              <w:left w:val="nil"/>
              <w:bottom w:val="nil"/>
              <w:right w:val="nil"/>
            </w:tcBorders>
          </w:tcPr>
          <w:p w14:paraId="542990D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489C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(-1.57)</w:t>
            </w:r>
          </w:p>
        </w:tc>
      </w:tr>
      <w:tr w:rsidR="00201D4C" w:rsidRPr="00183ABF" w14:paraId="760D8A57" w14:textId="77777777" w:rsidTr="00015B88">
        <w:tc>
          <w:tcPr>
            <w:tcW w:w="2136" w:type="dxa"/>
            <w:tcBorders>
              <w:top w:val="nil"/>
              <w:left w:val="nil"/>
              <w:bottom w:val="nil"/>
              <w:right w:val="nil"/>
            </w:tcBorders>
          </w:tcPr>
          <w:p w14:paraId="499F36F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A04A2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BBFFBDC" w14:textId="77777777" w:rsidTr="00015B88">
        <w:tc>
          <w:tcPr>
            <w:tcW w:w="2136" w:type="dxa"/>
            <w:tcBorders>
              <w:top w:val="nil"/>
              <w:left w:val="nil"/>
              <w:bottom w:val="nil"/>
              <w:right w:val="nil"/>
            </w:tcBorders>
          </w:tcPr>
          <w:p w14:paraId="008133C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5E69799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0.0765</w:t>
            </w:r>
          </w:p>
        </w:tc>
      </w:tr>
      <w:tr w:rsidR="00201D4C" w:rsidRPr="00183ABF" w14:paraId="2E2C868E" w14:textId="77777777" w:rsidTr="00015B88">
        <w:tc>
          <w:tcPr>
            <w:tcW w:w="2136" w:type="dxa"/>
            <w:tcBorders>
              <w:top w:val="nil"/>
              <w:left w:val="nil"/>
              <w:bottom w:val="nil"/>
              <w:right w:val="nil"/>
            </w:tcBorders>
          </w:tcPr>
          <w:p w14:paraId="5F2DDF6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BD2D2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(1.91)</w:t>
            </w:r>
          </w:p>
        </w:tc>
      </w:tr>
      <w:tr w:rsidR="00201D4C" w:rsidRPr="00183ABF" w14:paraId="47BE9147" w14:textId="77777777" w:rsidTr="00015B88">
        <w:tc>
          <w:tcPr>
            <w:tcW w:w="2136" w:type="dxa"/>
            <w:tcBorders>
              <w:top w:val="nil"/>
              <w:left w:val="nil"/>
              <w:bottom w:val="nil"/>
              <w:right w:val="nil"/>
            </w:tcBorders>
          </w:tcPr>
          <w:p w14:paraId="7D32D39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C6BBD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8D9F014" w14:textId="77777777" w:rsidTr="00015B88">
        <w:tc>
          <w:tcPr>
            <w:tcW w:w="2136" w:type="dxa"/>
            <w:tcBorders>
              <w:top w:val="nil"/>
              <w:left w:val="nil"/>
              <w:bottom w:val="nil"/>
              <w:right w:val="nil"/>
            </w:tcBorders>
          </w:tcPr>
          <w:p w14:paraId="74D82DD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90EF95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-0.0586</w:t>
            </w:r>
          </w:p>
        </w:tc>
      </w:tr>
      <w:tr w:rsidR="00201D4C" w:rsidRPr="00183ABF" w14:paraId="28A27B4B" w14:textId="77777777" w:rsidTr="00015B88">
        <w:tc>
          <w:tcPr>
            <w:tcW w:w="2136" w:type="dxa"/>
            <w:tcBorders>
              <w:top w:val="nil"/>
              <w:left w:val="nil"/>
              <w:bottom w:val="nil"/>
              <w:right w:val="nil"/>
            </w:tcBorders>
          </w:tcPr>
          <w:p w14:paraId="4BDBF94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F1665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(-1.64)</w:t>
            </w:r>
          </w:p>
        </w:tc>
      </w:tr>
      <w:tr w:rsidR="00201D4C" w:rsidRPr="00183ABF" w14:paraId="457DA93A" w14:textId="77777777" w:rsidTr="00015B88">
        <w:tc>
          <w:tcPr>
            <w:tcW w:w="2136" w:type="dxa"/>
            <w:tcBorders>
              <w:top w:val="nil"/>
              <w:left w:val="nil"/>
              <w:bottom w:val="nil"/>
              <w:right w:val="nil"/>
            </w:tcBorders>
          </w:tcPr>
          <w:p w14:paraId="7C60BAD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3D4B9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19F3B0D" w14:textId="77777777" w:rsidTr="00015B88">
        <w:tc>
          <w:tcPr>
            <w:tcW w:w="2136" w:type="dxa"/>
            <w:tcBorders>
              <w:top w:val="nil"/>
              <w:left w:val="nil"/>
              <w:bottom w:val="nil"/>
              <w:right w:val="nil"/>
            </w:tcBorders>
          </w:tcPr>
          <w:p w14:paraId="00D1E4C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 xml:space="preserve">L5.Exchange Rate Classification (RR inverted, </w:t>
            </w:r>
            <w:r w:rsidRPr="00183ABF">
              <w:rPr>
                <w:rFonts w:ascii="Times New Roman" w:hAnsi="Times New Roman" w:cs="Times New Roman"/>
                <w:sz w:val="16"/>
                <w:szCs w:val="16"/>
              </w:rPr>
              <w:lastRenderedPageBreak/>
              <w:t>higher = more fixed)</w:t>
            </w:r>
          </w:p>
        </w:tc>
        <w:tc>
          <w:tcPr>
            <w:tcW w:w="1656" w:type="dxa"/>
            <w:tcBorders>
              <w:top w:val="nil"/>
              <w:left w:val="nil"/>
              <w:bottom w:val="nil"/>
              <w:right w:val="nil"/>
            </w:tcBorders>
          </w:tcPr>
          <w:p w14:paraId="1B55507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lastRenderedPageBreak/>
              <w:t>0.0753</w:t>
            </w:r>
            <w:r w:rsidRPr="00183ABF">
              <w:rPr>
                <w:rFonts w:ascii="Times New Roman" w:hAnsi="Times New Roman" w:cs="Times New Roman"/>
                <w:sz w:val="16"/>
                <w:szCs w:val="16"/>
                <w:vertAlign w:val="superscript"/>
              </w:rPr>
              <w:t>*</w:t>
            </w:r>
          </w:p>
        </w:tc>
      </w:tr>
      <w:tr w:rsidR="00201D4C" w:rsidRPr="00183ABF" w14:paraId="231201A0" w14:textId="77777777" w:rsidTr="00015B88">
        <w:tc>
          <w:tcPr>
            <w:tcW w:w="2136" w:type="dxa"/>
            <w:tcBorders>
              <w:top w:val="nil"/>
              <w:left w:val="nil"/>
              <w:bottom w:val="nil"/>
              <w:right w:val="nil"/>
            </w:tcBorders>
          </w:tcPr>
          <w:p w14:paraId="04A9683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00BB5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(2.45)</w:t>
            </w:r>
          </w:p>
        </w:tc>
      </w:tr>
      <w:tr w:rsidR="00201D4C" w:rsidRPr="00183ABF" w14:paraId="399DF7C6" w14:textId="77777777" w:rsidTr="00015B88">
        <w:tc>
          <w:tcPr>
            <w:tcW w:w="2136" w:type="dxa"/>
            <w:tcBorders>
              <w:top w:val="nil"/>
              <w:left w:val="nil"/>
              <w:bottom w:val="nil"/>
              <w:right w:val="nil"/>
            </w:tcBorders>
          </w:tcPr>
          <w:p w14:paraId="04D5286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31714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B48115E" w14:textId="77777777" w:rsidTr="00015B88">
        <w:tc>
          <w:tcPr>
            <w:tcW w:w="2136" w:type="dxa"/>
            <w:tcBorders>
              <w:top w:val="nil"/>
              <w:left w:val="nil"/>
              <w:bottom w:val="nil"/>
              <w:right w:val="nil"/>
            </w:tcBorders>
          </w:tcPr>
          <w:p w14:paraId="7C372C3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048C8FF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-0.0329</w:t>
            </w:r>
          </w:p>
        </w:tc>
      </w:tr>
      <w:tr w:rsidR="00201D4C" w:rsidRPr="00183ABF" w14:paraId="159747E3" w14:textId="77777777" w:rsidTr="00015B88">
        <w:tc>
          <w:tcPr>
            <w:tcW w:w="2136" w:type="dxa"/>
            <w:tcBorders>
              <w:top w:val="nil"/>
              <w:left w:val="nil"/>
              <w:bottom w:val="nil"/>
              <w:right w:val="nil"/>
            </w:tcBorders>
          </w:tcPr>
          <w:p w14:paraId="36CF0B0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DA43E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(-1.47)</w:t>
            </w:r>
          </w:p>
        </w:tc>
      </w:tr>
      <w:tr w:rsidR="00201D4C" w:rsidRPr="00183ABF" w14:paraId="2D18632C" w14:textId="77777777" w:rsidTr="00015B88">
        <w:tc>
          <w:tcPr>
            <w:tcW w:w="2136" w:type="dxa"/>
            <w:tcBorders>
              <w:top w:val="nil"/>
              <w:left w:val="nil"/>
              <w:bottom w:val="nil"/>
              <w:right w:val="nil"/>
            </w:tcBorders>
          </w:tcPr>
          <w:p w14:paraId="67AD839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EE42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D823DAD" w14:textId="77777777" w:rsidTr="00015B88">
        <w:tc>
          <w:tcPr>
            <w:tcW w:w="2136" w:type="dxa"/>
            <w:tcBorders>
              <w:top w:val="nil"/>
              <w:left w:val="nil"/>
              <w:bottom w:val="nil"/>
              <w:right w:val="nil"/>
            </w:tcBorders>
          </w:tcPr>
          <w:p w14:paraId="1BA15E7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1C3761F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-0.00110</w:t>
            </w:r>
          </w:p>
        </w:tc>
      </w:tr>
      <w:tr w:rsidR="00201D4C" w:rsidRPr="00183ABF" w14:paraId="3B0DEFDD" w14:textId="77777777" w:rsidTr="00015B88">
        <w:tc>
          <w:tcPr>
            <w:tcW w:w="2136" w:type="dxa"/>
            <w:tcBorders>
              <w:top w:val="nil"/>
              <w:left w:val="nil"/>
              <w:bottom w:val="nil"/>
              <w:right w:val="nil"/>
            </w:tcBorders>
          </w:tcPr>
          <w:p w14:paraId="7884E41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5BA7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w:t>
            </w:r>
          </w:p>
        </w:tc>
      </w:tr>
      <w:tr w:rsidR="00201D4C" w:rsidRPr="00183ABF" w14:paraId="7954B3F1" w14:textId="77777777" w:rsidTr="00015B88">
        <w:tc>
          <w:tcPr>
            <w:tcW w:w="2136" w:type="dxa"/>
            <w:tcBorders>
              <w:top w:val="nil"/>
              <w:left w:val="nil"/>
              <w:bottom w:val="nil"/>
              <w:right w:val="nil"/>
            </w:tcBorders>
          </w:tcPr>
          <w:p w14:paraId="20B7B6A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3ABD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C8B2DFB" w14:textId="77777777" w:rsidTr="00015B88">
        <w:tc>
          <w:tcPr>
            <w:tcW w:w="2136" w:type="dxa"/>
            <w:tcBorders>
              <w:top w:val="nil"/>
              <w:left w:val="nil"/>
              <w:bottom w:val="nil"/>
              <w:right w:val="nil"/>
            </w:tcBorders>
          </w:tcPr>
          <w:p w14:paraId="418822C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6A25FFF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0.0142</w:t>
            </w:r>
          </w:p>
        </w:tc>
      </w:tr>
      <w:tr w:rsidR="00201D4C" w:rsidRPr="00183ABF" w14:paraId="3331CBC3" w14:textId="77777777" w:rsidTr="00015B88">
        <w:tc>
          <w:tcPr>
            <w:tcW w:w="2136" w:type="dxa"/>
            <w:tcBorders>
              <w:top w:val="nil"/>
              <w:left w:val="nil"/>
              <w:bottom w:val="nil"/>
              <w:right w:val="nil"/>
            </w:tcBorders>
          </w:tcPr>
          <w:p w14:paraId="626FF06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A536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(0.35)</w:t>
            </w:r>
          </w:p>
        </w:tc>
      </w:tr>
      <w:tr w:rsidR="00201D4C" w:rsidRPr="00183ABF" w14:paraId="548D0D8D" w14:textId="77777777" w:rsidTr="00015B88">
        <w:tc>
          <w:tcPr>
            <w:tcW w:w="2136" w:type="dxa"/>
            <w:tcBorders>
              <w:top w:val="nil"/>
              <w:left w:val="nil"/>
              <w:bottom w:val="nil"/>
              <w:right w:val="nil"/>
            </w:tcBorders>
          </w:tcPr>
          <w:p w14:paraId="1862BE0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3B2EE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09E6877" w14:textId="77777777" w:rsidTr="00015B88">
        <w:tc>
          <w:tcPr>
            <w:tcW w:w="2136" w:type="dxa"/>
            <w:tcBorders>
              <w:top w:val="nil"/>
              <w:left w:val="nil"/>
              <w:bottom w:val="nil"/>
              <w:right w:val="nil"/>
            </w:tcBorders>
          </w:tcPr>
          <w:p w14:paraId="424DB93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631FDDE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-0.0178</w:t>
            </w:r>
          </w:p>
        </w:tc>
      </w:tr>
      <w:tr w:rsidR="00201D4C" w:rsidRPr="00183ABF" w14:paraId="5972D824" w14:textId="77777777" w:rsidTr="00015B88">
        <w:tc>
          <w:tcPr>
            <w:tcW w:w="2136" w:type="dxa"/>
            <w:tcBorders>
              <w:top w:val="nil"/>
              <w:left w:val="nil"/>
              <w:bottom w:val="nil"/>
              <w:right w:val="nil"/>
            </w:tcBorders>
          </w:tcPr>
          <w:p w14:paraId="181A7E6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C452D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(-0.73)</w:t>
            </w:r>
          </w:p>
        </w:tc>
      </w:tr>
      <w:tr w:rsidR="00201D4C" w:rsidRPr="00183ABF" w14:paraId="0AF8CB85" w14:textId="77777777" w:rsidTr="00015B88">
        <w:tc>
          <w:tcPr>
            <w:tcW w:w="2136" w:type="dxa"/>
            <w:tcBorders>
              <w:top w:val="nil"/>
              <w:left w:val="nil"/>
              <w:bottom w:val="nil"/>
              <w:right w:val="nil"/>
            </w:tcBorders>
          </w:tcPr>
          <w:p w14:paraId="25DAB25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C49D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43BCFF5" w14:textId="77777777" w:rsidTr="00015B88">
        <w:tc>
          <w:tcPr>
            <w:tcW w:w="2136" w:type="dxa"/>
            <w:tcBorders>
              <w:top w:val="nil"/>
              <w:left w:val="nil"/>
              <w:bottom w:val="nil"/>
              <w:right w:val="nil"/>
            </w:tcBorders>
          </w:tcPr>
          <w:p w14:paraId="05A4532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5111B2A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0.00433</w:t>
            </w:r>
          </w:p>
        </w:tc>
      </w:tr>
      <w:tr w:rsidR="00201D4C" w:rsidRPr="00183ABF" w14:paraId="5F185174" w14:textId="77777777" w:rsidTr="00015B88">
        <w:tc>
          <w:tcPr>
            <w:tcW w:w="2136" w:type="dxa"/>
            <w:tcBorders>
              <w:top w:val="nil"/>
              <w:left w:val="nil"/>
              <w:bottom w:val="nil"/>
              <w:right w:val="nil"/>
            </w:tcBorders>
          </w:tcPr>
          <w:p w14:paraId="15A5D30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667F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(0.23)</w:t>
            </w:r>
          </w:p>
        </w:tc>
      </w:tr>
      <w:tr w:rsidR="00201D4C" w:rsidRPr="00183ABF" w14:paraId="13F12086" w14:textId="77777777" w:rsidTr="00015B88">
        <w:tc>
          <w:tcPr>
            <w:tcW w:w="2136" w:type="dxa"/>
            <w:tcBorders>
              <w:top w:val="nil"/>
              <w:left w:val="nil"/>
              <w:bottom w:val="nil"/>
              <w:right w:val="nil"/>
            </w:tcBorders>
          </w:tcPr>
          <w:p w14:paraId="42F9BF9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E870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FD62CD6" w14:textId="77777777" w:rsidTr="00015B88">
        <w:tc>
          <w:tcPr>
            <w:tcW w:w="2136" w:type="dxa"/>
            <w:tcBorders>
              <w:top w:val="nil"/>
              <w:left w:val="nil"/>
              <w:bottom w:val="nil"/>
              <w:right w:val="nil"/>
            </w:tcBorders>
          </w:tcPr>
          <w:p w14:paraId="247983A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183ABF">
              <w:rPr>
                <w:rFonts w:ascii="Times New Roman" w:hAnsi="Times New Roman" w:cs="Times New Roman"/>
                <w:sz w:val="16"/>
                <w:szCs w:val="16"/>
              </w:rPr>
              <w:t>L.Legislative</w:t>
            </w:r>
            <w:proofErr w:type="spellEnd"/>
            <w:r w:rsidRPr="00183ABF">
              <w:rPr>
                <w:rFonts w:ascii="Times New Roman" w:hAnsi="Times New Roman" w:cs="Times New Roman"/>
                <w:sz w:val="16"/>
                <w:szCs w:val="16"/>
              </w:rPr>
              <w:t xml:space="preserve"> Efficacy</w:t>
            </w:r>
          </w:p>
        </w:tc>
        <w:tc>
          <w:tcPr>
            <w:tcW w:w="1656" w:type="dxa"/>
            <w:tcBorders>
              <w:top w:val="nil"/>
              <w:left w:val="nil"/>
              <w:bottom w:val="nil"/>
              <w:right w:val="nil"/>
            </w:tcBorders>
          </w:tcPr>
          <w:p w14:paraId="594A7EC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0.0988</w:t>
            </w:r>
          </w:p>
        </w:tc>
      </w:tr>
      <w:tr w:rsidR="00201D4C" w:rsidRPr="00183ABF" w14:paraId="045CD68C" w14:textId="77777777" w:rsidTr="00015B88">
        <w:tc>
          <w:tcPr>
            <w:tcW w:w="2136" w:type="dxa"/>
            <w:tcBorders>
              <w:top w:val="nil"/>
              <w:left w:val="nil"/>
              <w:bottom w:val="nil"/>
              <w:right w:val="nil"/>
            </w:tcBorders>
          </w:tcPr>
          <w:p w14:paraId="6682F77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A9947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(0.36)</w:t>
            </w:r>
          </w:p>
        </w:tc>
      </w:tr>
      <w:tr w:rsidR="00201D4C" w:rsidRPr="00183ABF" w14:paraId="0BDFC4BC" w14:textId="77777777" w:rsidTr="00015B88">
        <w:tc>
          <w:tcPr>
            <w:tcW w:w="2136" w:type="dxa"/>
            <w:tcBorders>
              <w:top w:val="nil"/>
              <w:left w:val="nil"/>
              <w:bottom w:val="nil"/>
              <w:right w:val="nil"/>
            </w:tcBorders>
          </w:tcPr>
          <w:p w14:paraId="789F5B5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74B2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A77C0BF" w14:textId="77777777" w:rsidTr="00015B88">
        <w:tc>
          <w:tcPr>
            <w:tcW w:w="2136" w:type="dxa"/>
            <w:tcBorders>
              <w:top w:val="nil"/>
              <w:left w:val="nil"/>
              <w:bottom w:val="nil"/>
              <w:right w:val="nil"/>
            </w:tcBorders>
          </w:tcPr>
          <w:p w14:paraId="228B283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L2.Legislative Efficacy</w:t>
            </w:r>
          </w:p>
        </w:tc>
        <w:tc>
          <w:tcPr>
            <w:tcW w:w="1656" w:type="dxa"/>
            <w:tcBorders>
              <w:top w:val="nil"/>
              <w:left w:val="nil"/>
              <w:bottom w:val="nil"/>
              <w:right w:val="nil"/>
            </w:tcBorders>
          </w:tcPr>
          <w:p w14:paraId="42EAD5D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0.239</w:t>
            </w:r>
          </w:p>
        </w:tc>
      </w:tr>
      <w:tr w:rsidR="00201D4C" w:rsidRPr="00183ABF" w14:paraId="19C26B16" w14:textId="77777777" w:rsidTr="00015B88">
        <w:tc>
          <w:tcPr>
            <w:tcW w:w="2136" w:type="dxa"/>
            <w:tcBorders>
              <w:top w:val="nil"/>
              <w:left w:val="nil"/>
              <w:bottom w:val="nil"/>
              <w:right w:val="nil"/>
            </w:tcBorders>
          </w:tcPr>
          <w:p w14:paraId="3F2A4EA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C543B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(0.87)</w:t>
            </w:r>
          </w:p>
        </w:tc>
      </w:tr>
      <w:tr w:rsidR="00201D4C" w:rsidRPr="00183ABF" w14:paraId="611A1AA7" w14:textId="77777777" w:rsidTr="00015B88">
        <w:tc>
          <w:tcPr>
            <w:tcW w:w="2136" w:type="dxa"/>
            <w:tcBorders>
              <w:top w:val="nil"/>
              <w:left w:val="nil"/>
              <w:bottom w:val="nil"/>
              <w:right w:val="nil"/>
            </w:tcBorders>
          </w:tcPr>
          <w:p w14:paraId="5292F52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14416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DCAB61C" w14:textId="77777777" w:rsidTr="00015B88">
        <w:tc>
          <w:tcPr>
            <w:tcW w:w="2136" w:type="dxa"/>
            <w:tcBorders>
              <w:top w:val="nil"/>
              <w:left w:val="nil"/>
              <w:bottom w:val="nil"/>
              <w:right w:val="nil"/>
            </w:tcBorders>
          </w:tcPr>
          <w:p w14:paraId="417D712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L3.Legislative Efficacy</w:t>
            </w:r>
          </w:p>
        </w:tc>
        <w:tc>
          <w:tcPr>
            <w:tcW w:w="1656" w:type="dxa"/>
            <w:tcBorders>
              <w:top w:val="nil"/>
              <w:left w:val="nil"/>
              <w:bottom w:val="nil"/>
              <w:right w:val="nil"/>
            </w:tcBorders>
          </w:tcPr>
          <w:p w14:paraId="64278B1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0.334</w:t>
            </w:r>
          </w:p>
        </w:tc>
      </w:tr>
      <w:tr w:rsidR="00201D4C" w:rsidRPr="00183ABF" w14:paraId="452CAF6A" w14:textId="77777777" w:rsidTr="00015B88">
        <w:tc>
          <w:tcPr>
            <w:tcW w:w="2136" w:type="dxa"/>
            <w:tcBorders>
              <w:top w:val="nil"/>
              <w:left w:val="nil"/>
              <w:bottom w:val="nil"/>
              <w:right w:val="nil"/>
            </w:tcBorders>
          </w:tcPr>
          <w:p w14:paraId="64B9559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DB259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(1.23)</w:t>
            </w:r>
          </w:p>
        </w:tc>
      </w:tr>
      <w:tr w:rsidR="00201D4C" w:rsidRPr="00183ABF" w14:paraId="4507D501" w14:textId="77777777" w:rsidTr="00015B88">
        <w:tc>
          <w:tcPr>
            <w:tcW w:w="2136" w:type="dxa"/>
            <w:tcBorders>
              <w:top w:val="nil"/>
              <w:left w:val="nil"/>
              <w:bottom w:val="nil"/>
              <w:right w:val="nil"/>
            </w:tcBorders>
          </w:tcPr>
          <w:p w14:paraId="5E524DE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775C7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C4D30BD" w14:textId="77777777" w:rsidTr="00015B88">
        <w:tc>
          <w:tcPr>
            <w:tcW w:w="2136" w:type="dxa"/>
            <w:tcBorders>
              <w:top w:val="nil"/>
              <w:left w:val="nil"/>
              <w:bottom w:val="nil"/>
              <w:right w:val="nil"/>
            </w:tcBorders>
          </w:tcPr>
          <w:p w14:paraId="5883512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L4.Legislative Efficacy</w:t>
            </w:r>
          </w:p>
        </w:tc>
        <w:tc>
          <w:tcPr>
            <w:tcW w:w="1656" w:type="dxa"/>
            <w:tcBorders>
              <w:top w:val="nil"/>
              <w:left w:val="nil"/>
              <w:bottom w:val="nil"/>
              <w:right w:val="nil"/>
            </w:tcBorders>
          </w:tcPr>
          <w:p w14:paraId="00BFB63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-0.640</w:t>
            </w:r>
          </w:p>
        </w:tc>
      </w:tr>
      <w:tr w:rsidR="00201D4C" w:rsidRPr="00183ABF" w14:paraId="1AF7D7A7" w14:textId="77777777" w:rsidTr="00015B88">
        <w:tc>
          <w:tcPr>
            <w:tcW w:w="2136" w:type="dxa"/>
            <w:tcBorders>
              <w:top w:val="nil"/>
              <w:left w:val="nil"/>
              <w:bottom w:val="nil"/>
              <w:right w:val="nil"/>
            </w:tcBorders>
          </w:tcPr>
          <w:p w14:paraId="5853715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DED54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(-1.89)</w:t>
            </w:r>
          </w:p>
        </w:tc>
      </w:tr>
      <w:tr w:rsidR="00201D4C" w:rsidRPr="00183ABF" w14:paraId="6AA2AF54" w14:textId="77777777" w:rsidTr="00015B88">
        <w:tc>
          <w:tcPr>
            <w:tcW w:w="2136" w:type="dxa"/>
            <w:tcBorders>
              <w:top w:val="nil"/>
              <w:left w:val="nil"/>
              <w:bottom w:val="nil"/>
              <w:right w:val="nil"/>
            </w:tcBorders>
          </w:tcPr>
          <w:p w14:paraId="3118DA1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CAF72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45FFB23" w14:textId="77777777" w:rsidTr="00015B88">
        <w:tc>
          <w:tcPr>
            <w:tcW w:w="2136" w:type="dxa"/>
            <w:tcBorders>
              <w:top w:val="nil"/>
              <w:left w:val="nil"/>
              <w:bottom w:val="nil"/>
              <w:right w:val="nil"/>
            </w:tcBorders>
          </w:tcPr>
          <w:p w14:paraId="7E2D18E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L5.Legislative Efficacy</w:t>
            </w:r>
          </w:p>
        </w:tc>
        <w:tc>
          <w:tcPr>
            <w:tcW w:w="1656" w:type="dxa"/>
            <w:tcBorders>
              <w:top w:val="nil"/>
              <w:left w:val="nil"/>
              <w:bottom w:val="nil"/>
              <w:right w:val="nil"/>
            </w:tcBorders>
          </w:tcPr>
          <w:p w14:paraId="358E5E8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0.162</w:t>
            </w:r>
          </w:p>
        </w:tc>
      </w:tr>
      <w:tr w:rsidR="00201D4C" w:rsidRPr="00183ABF" w14:paraId="061D70E3" w14:textId="77777777" w:rsidTr="00015B88">
        <w:tc>
          <w:tcPr>
            <w:tcW w:w="2136" w:type="dxa"/>
            <w:tcBorders>
              <w:top w:val="nil"/>
              <w:left w:val="nil"/>
              <w:bottom w:val="nil"/>
              <w:right w:val="nil"/>
            </w:tcBorders>
          </w:tcPr>
          <w:p w14:paraId="613238F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F879D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(0.55)</w:t>
            </w:r>
          </w:p>
        </w:tc>
      </w:tr>
      <w:tr w:rsidR="00201D4C" w:rsidRPr="00183ABF" w14:paraId="4F815C48" w14:textId="77777777" w:rsidTr="00015B88">
        <w:tc>
          <w:tcPr>
            <w:tcW w:w="2136" w:type="dxa"/>
            <w:tcBorders>
              <w:top w:val="nil"/>
              <w:left w:val="nil"/>
              <w:bottom w:val="nil"/>
              <w:right w:val="nil"/>
            </w:tcBorders>
          </w:tcPr>
          <w:p w14:paraId="3280764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76620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2F7D797" w14:textId="77777777" w:rsidTr="00015B88">
        <w:tc>
          <w:tcPr>
            <w:tcW w:w="2136" w:type="dxa"/>
            <w:tcBorders>
              <w:top w:val="nil"/>
              <w:left w:val="nil"/>
              <w:bottom w:val="nil"/>
              <w:right w:val="nil"/>
            </w:tcBorders>
          </w:tcPr>
          <w:p w14:paraId="30BE177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L6.Legislative Efficacy</w:t>
            </w:r>
          </w:p>
        </w:tc>
        <w:tc>
          <w:tcPr>
            <w:tcW w:w="1656" w:type="dxa"/>
            <w:tcBorders>
              <w:top w:val="nil"/>
              <w:left w:val="nil"/>
              <w:bottom w:val="nil"/>
              <w:right w:val="nil"/>
            </w:tcBorders>
          </w:tcPr>
          <w:p w14:paraId="335F17D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0.149</w:t>
            </w:r>
          </w:p>
        </w:tc>
      </w:tr>
      <w:tr w:rsidR="00201D4C" w:rsidRPr="00183ABF" w14:paraId="709355D5" w14:textId="77777777" w:rsidTr="00015B88">
        <w:tc>
          <w:tcPr>
            <w:tcW w:w="2136" w:type="dxa"/>
            <w:tcBorders>
              <w:top w:val="nil"/>
              <w:left w:val="nil"/>
              <w:bottom w:val="nil"/>
              <w:right w:val="nil"/>
            </w:tcBorders>
          </w:tcPr>
          <w:p w14:paraId="2916BAB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0662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(0.44)</w:t>
            </w:r>
          </w:p>
        </w:tc>
      </w:tr>
      <w:tr w:rsidR="00201D4C" w:rsidRPr="00183ABF" w14:paraId="3DE1634C" w14:textId="77777777" w:rsidTr="00015B88">
        <w:tc>
          <w:tcPr>
            <w:tcW w:w="2136" w:type="dxa"/>
            <w:tcBorders>
              <w:top w:val="nil"/>
              <w:left w:val="nil"/>
              <w:bottom w:val="nil"/>
              <w:right w:val="nil"/>
            </w:tcBorders>
          </w:tcPr>
          <w:p w14:paraId="5F50D32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69E3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EF6F17A" w14:textId="77777777" w:rsidTr="00015B88">
        <w:tc>
          <w:tcPr>
            <w:tcW w:w="2136" w:type="dxa"/>
            <w:tcBorders>
              <w:top w:val="nil"/>
              <w:left w:val="nil"/>
              <w:bottom w:val="nil"/>
              <w:right w:val="nil"/>
            </w:tcBorders>
          </w:tcPr>
          <w:p w14:paraId="0AAB220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L7.Legislative Efficacy</w:t>
            </w:r>
          </w:p>
        </w:tc>
        <w:tc>
          <w:tcPr>
            <w:tcW w:w="1656" w:type="dxa"/>
            <w:tcBorders>
              <w:top w:val="nil"/>
              <w:left w:val="nil"/>
              <w:bottom w:val="nil"/>
              <w:right w:val="nil"/>
            </w:tcBorders>
          </w:tcPr>
          <w:p w14:paraId="3FF307F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-0.00313</w:t>
            </w:r>
          </w:p>
        </w:tc>
      </w:tr>
      <w:tr w:rsidR="00201D4C" w:rsidRPr="00183ABF" w14:paraId="515D7612" w14:textId="77777777" w:rsidTr="00015B88">
        <w:tc>
          <w:tcPr>
            <w:tcW w:w="2136" w:type="dxa"/>
            <w:tcBorders>
              <w:top w:val="nil"/>
              <w:left w:val="nil"/>
              <w:bottom w:val="nil"/>
              <w:right w:val="nil"/>
            </w:tcBorders>
          </w:tcPr>
          <w:p w14:paraId="129ACCC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22434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(-0.01)</w:t>
            </w:r>
          </w:p>
        </w:tc>
      </w:tr>
      <w:tr w:rsidR="00201D4C" w:rsidRPr="00183ABF" w14:paraId="3245EFED" w14:textId="77777777" w:rsidTr="00015B88">
        <w:tc>
          <w:tcPr>
            <w:tcW w:w="2136" w:type="dxa"/>
            <w:tcBorders>
              <w:top w:val="nil"/>
              <w:left w:val="nil"/>
              <w:bottom w:val="nil"/>
              <w:right w:val="nil"/>
            </w:tcBorders>
          </w:tcPr>
          <w:p w14:paraId="098783B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2FC0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79EF9E8" w14:textId="77777777" w:rsidTr="00015B88">
        <w:tc>
          <w:tcPr>
            <w:tcW w:w="2136" w:type="dxa"/>
            <w:tcBorders>
              <w:top w:val="nil"/>
              <w:left w:val="nil"/>
              <w:bottom w:val="nil"/>
              <w:right w:val="nil"/>
            </w:tcBorders>
          </w:tcPr>
          <w:p w14:paraId="4012265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L8.Legislative Efficacy</w:t>
            </w:r>
          </w:p>
        </w:tc>
        <w:tc>
          <w:tcPr>
            <w:tcW w:w="1656" w:type="dxa"/>
            <w:tcBorders>
              <w:top w:val="nil"/>
              <w:left w:val="nil"/>
              <w:bottom w:val="nil"/>
              <w:right w:val="nil"/>
            </w:tcBorders>
          </w:tcPr>
          <w:p w14:paraId="118B83B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-0.250</w:t>
            </w:r>
          </w:p>
        </w:tc>
      </w:tr>
      <w:tr w:rsidR="00201D4C" w:rsidRPr="00183ABF" w14:paraId="036FD4DC" w14:textId="77777777" w:rsidTr="00015B88">
        <w:tc>
          <w:tcPr>
            <w:tcW w:w="2136" w:type="dxa"/>
            <w:tcBorders>
              <w:top w:val="nil"/>
              <w:left w:val="nil"/>
              <w:bottom w:val="nil"/>
              <w:right w:val="nil"/>
            </w:tcBorders>
          </w:tcPr>
          <w:p w14:paraId="48E602E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5276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(-0.91)</w:t>
            </w:r>
          </w:p>
        </w:tc>
      </w:tr>
      <w:tr w:rsidR="00201D4C" w:rsidRPr="00183ABF" w14:paraId="53EC2699" w14:textId="77777777" w:rsidTr="00015B88">
        <w:tc>
          <w:tcPr>
            <w:tcW w:w="2136" w:type="dxa"/>
            <w:tcBorders>
              <w:top w:val="nil"/>
              <w:left w:val="nil"/>
              <w:bottom w:val="nil"/>
              <w:right w:val="nil"/>
            </w:tcBorders>
          </w:tcPr>
          <w:p w14:paraId="7445B25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6705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6254150" w14:textId="77777777" w:rsidTr="00015B88">
        <w:tc>
          <w:tcPr>
            <w:tcW w:w="2136" w:type="dxa"/>
            <w:tcBorders>
              <w:top w:val="nil"/>
              <w:left w:val="nil"/>
              <w:bottom w:val="nil"/>
              <w:right w:val="nil"/>
            </w:tcBorders>
          </w:tcPr>
          <w:p w14:paraId="2591A5A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L9.Legislative Efficacy</w:t>
            </w:r>
          </w:p>
        </w:tc>
        <w:tc>
          <w:tcPr>
            <w:tcW w:w="1656" w:type="dxa"/>
            <w:tcBorders>
              <w:top w:val="nil"/>
              <w:left w:val="nil"/>
              <w:bottom w:val="nil"/>
              <w:right w:val="nil"/>
            </w:tcBorders>
          </w:tcPr>
          <w:p w14:paraId="527582B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-0.00374</w:t>
            </w:r>
          </w:p>
        </w:tc>
      </w:tr>
      <w:tr w:rsidR="00201D4C" w:rsidRPr="00183ABF" w14:paraId="335FFE6C" w14:textId="77777777" w:rsidTr="00015B88">
        <w:tc>
          <w:tcPr>
            <w:tcW w:w="2136" w:type="dxa"/>
            <w:tcBorders>
              <w:top w:val="nil"/>
              <w:left w:val="nil"/>
              <w:bottom w:val="nil"/>
              <w:right w:val="nil"/>
            </w:tcBorders>
          </w:tcPr>
          <w:p w14:paraId="7E47630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74595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w:t>
            </w:r>
          </w:p>
        </w:tc>
      </w:tr>
      <w:tr w:rsidR="00201D4C" w:rsidRPr="00183ABF" w14:paraId="1AFA7189" w14:textId="77777777" w:rsidTr="00015B88">
        <w:tc>
          <w:tcPr>
            <w:tcW w:w="2136" w:type="dxa"/>
            <w:tcBorders>
              <w:top w:val="nil"/>
              <w:left w:val="nil"/>
              <w:bottom w:val="nil"/>
              <w:right w:val="nil"/>
            </w:tcBorders>
          </w:tcPr>
          <w:p w14:paraId="04B03F9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59C52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9E27CC5" w14:textId="77777777" w:rsidTr="00015B88">
        <w:tc>
          <w:tcPr>
            <w:tcW w:w="2136" w:type="dxa"/>
            <w:tcBorders>
              <w:top w:val="nil"/>
              <w:left w:val="nil"/>
              <w:bottom w:val="nil"/>
              <w:right w:val="nil"/>
            </w:tcBorders>
          </w:tcPr>
          <w:p w14:paraId="14E2629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L10.Legislative Efficacy</w:t>
            </w:r>
          </w:p>
        </w:tc>
        <w:tc>
          <w:tcPr>
            <w:tcW w:w="1656" w:type="dxa"/>
            <w:tcBorders>
              <w:top w:val="nil"/>
              <w:left w:val="nil"/>
              <w:bottom w:val="nil"/>
              <w:right w:val="nil"/>
            </w:tcBorders>
          </w:tcPr>
          <w:p w14:paraId="0FE5243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0.0208</w:t>
            </w:r>
          </w:p>
        </w:tc>
      </w:tr>
      <w:tr w:rsidR="00201D4C" w:rsidRPr="00183ABF" w14:paraId="4B418DF4" w14:textId="77777777" w:rsidTr="00015B88">
        <w:tc>
          <w:tcPr>
            <w:tcW w:w="2136" w:type="dxa"/>
            <w:tcBorders>
              <w:top w:val="nil"/>
              <w:left w:val="nil"/>
              <w:bottom w:val="nil"/>
              <w:right w:val="nil"/>
            </w:tcBorders>
          </w:tcPr>
          <w:p w14:paraId="50D9508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91BD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w:t>
            </w:r>
          </w:p>
        </w:tc>
      </w:tr>
      <w:tr w:rsidR="00201D4C" w:rsidRPr="00183ABF" w14:paraId="4D2DA2BB" w14:textId="77777777" w:rsidTr="00015B88">
        <w:tc>
          <w:tcPr>
            <w:tcW w:w="2136" w:type="dxa"/>
            <w:tcBorders>
              <w:top w:val="nil"/>
              <w:left w:val="nil"/>
              <w:bottom w:val="nil"/>
              <w:right w:val="nil"/>
            </w:tcBorders>
          </w:tcPr>
          <w:p w14:paraId="2CEF958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23F5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753C671" w14:textId="77777777" w:rsidTr="00015B88">
        <w:tc>
          <w:tcPr>
            <w:tcW w:w="2136" w:type="dxa"/>
            <w:tcBorders>
              <w:top w:val="nil"/>
              <w:left w:val="nil"/>
              <w:bottom w:val="nil"/>
              <w:right w:val="nil"/>
            </w:tcBorders>
          </w:tcPr>
          <w:p w14:paraId="6AC8BF2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183ABF">
              <w:rPr>
                <w:rFonts w:ascii="Times New Roman" w:hAnsi="Times New Roman" w:cs="Times New Roman"/>
                <w:sz w:val="16"/>
                <w:szCs w:val="16"/>
              </w:rPr>
              <w:t>L.De</w:t>
            </w:r>
            <w:proofErr w:type="spellEnd"/>
            <w:r w:rsidRPr="00183AB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10E9DAD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-0.0246</w:t>
            </w:r>
          </w:p>
        </w:tc>
      </w:tr>
      <w:tr w:rsidR="00201D4C" w:rsidRPr="00183ABF" w14:paraId="359A4FF8" w14:textId="77777777" w:rsidTr="00015B88">
        <w:tc>
          <w:tcPr>
            <w:tcW w:w="2136" w:type="dxa"/>
            <w:tcBorders>
              <w:top w:val="nil"/>
              <w:left w:val="nil"/>
              <w:bottom w:val="nil"/>
              <w:right w:val="nil"/>
            </w:tcBorders>
          </w:tcPr>
          <w:p w14:paraId="53F0ACE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09431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(-0.22)</w:t>
            </w:r>
          </w:p>
        </w:tc>
      </w:tr>
      <w:tr w:rsidR="00201D4C" w:rsidRPr="00183ABF" w14:paraId="737C9CC7" w14:textId="77777777" w:rsidTr="00015B88">
        <w:tc>
          <w:tcPr>
            <w:tcW w:w="2136" w:type="dxa"/>
            <w:tcBorders>
              <w:top w:val="nil"/>
              <w:left w:val="nil"/>
              <w:bottom w:val="nil"/>
              <w:right w:val="nil"/>
            </w:tcBorders>
          </w:tcPr>
          <w:p w14:paraId="7BFAB35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13C4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BC7BEB2" w14:textId="77777777" w:rsidTr="00015B88">
        <w:tc>
          <w:tcPr>
            <w:tcW w:w="2136" w:type="dxa"/>
            <w:tcBorders>
              <w:top w:val="nil"/>
              <w:left w:val="nil"/>
              <w:bottom w:val="nil"/>
              <w:right w:val="nil"/>
            </w:tcBorders>
          </w:tcPr>
          <w:p w14:paraId="0E97736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L2.De Facto CBI * Lower House Legislates in Practice</w:t>
            </w:r>
          </w:p>
        </w:tc>
        <w:tc>
          <w:tcPr>
            <w:tcW w:w="1656" w:type="dxa"/>
            <w:tcBorders>
              <w:top w:val="nil"/>
              <w:left w:val="nil"/>
              <w:bottom w:val="nil"/>
              <w:right w:val="nil"/>
            </w:tcBorders>
          </w:tcPr>
          <w:p w14:paraId="36CAF7F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0.0941</w:t>
            </w:r>
          </w:p>
        </w:tc>
      </w:tr>
      <w:tr w:rsidR="00201D4C" w:rsidRPr="00183ABF" w14:paraId="3EA85462" w14:textId="77777777" w:rsidTr="00015B88">
        <w:tc>
          <w:tcPr>
            <w:tcW w:w="2136" w:type="dxa"/>
            <w:tcBorders>
              <w:top w:val="nil"/>
              <w:left w:val="nil"/>
              <w:bottom w:val="nil"/>
              <w:right w:val="nil"/>
            </w:tcBorders>
          </w:tcPr>
          <w:p w14:paraId="78EB865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6D119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(1.02)</w:t>
            </w:r>
          </w:p>
        </w:tc>
      </w:tr>
      <w:tr w:rsidR="00201D4C" w:rsidRPr="00183ABF" w14:paraId="11FDD933" w14:textId="77777777" w:rsidTr="00015B88">
        <w:tc>
          <w:tcPr>
            <w:tcW w:w="2136" w:type="dxa"/>
            <w:tcBorders>
              <w:top w:val="nil"/>
              <w:left w:val="nil"/>
              <w:bottom w:val="nil"/>
              <w:right w:val="nil"/>
            </w:tcBorders>
          </w:tcPr>
          <w:p w14:paraId="5AB9F6A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3892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E74D3E4" w14:textId="77777777" w:rsidTr="00015B88">
        <w:tc>
          <w:tcPr>
            <w:tcW w:w="2136" w:type="dxa"/>
            <w:tcBorders>
              <w:top w:val="nil"/>
              <w:left w:val="nil"/>
              <w:bottom w:val="nil"/>
              <w:right w:val="nil"/>
            </w:tcBorders>
          </w:tcPr>
          <w:p w14:paraId="528237F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L3.De Facto CBI * Lower House Legislates in Practice</w:t>
            </w:r>
          </w:p>
        </w:tc>
        <w:tc>
          <w:tcPr>
            <w:tcW w:w="1656" w:type="dxa"/>
            <w:tcBorders>
              <w:top w:val="nil"/>
              <w:left w:val="nil"/>
              <w:bottom w:val="nil"/>
              <w:right w:val="nil"/>
            </w:tcBorders>
          </w:tcPr>
          <w:p w14:paraId="2B39A23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-0.0183</w:t>
            </w:r>
          </w:p>
        </w:tc>
      </w:tr>
      <w:tr w:rsidR="00201D4C" w:rsidRPr="00183ABF" w14:paraId="2415FF4A" w14:textId="77777777" w:rsidTr="00015B88">
        <w:tc>
          <w:tcPr>
            <w:tcW w:w="2136" w:type="dxa"/>
            <w:tcBorders>
              <w:top w:val="nil"/>
              <w:left w:val="nil"/>
              <w:bottom w:val="nil"/>
              <w:right w:val="nil"/>
            </w:tcBorders>
          </w:tcPr>
          <w:p w14:paraId="42F1CC5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CC65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(-0.21)</w:t>
            </w:r>
          </w:p>
        </w:tc>
      </w:tr>
      <w:tr w:rsidR="00201D4C" w:rsidRPr="00183ABF" w14:paraId="0B5E4873" w14:textId="77777777" w:rsidTr="00015B88">
        <w:tc>
          <w:tcPr>
            <w:tcW w:w="2136" w:type="dxa"/>
            <w:tcBorders>
              <w:top w:val="nil"/>
              <w:left w:val="nil"/>
              <w:bottom w:val="nil"/>
              <w:right w:val="nil"/>
            </w:tcBorders>
          </w:tcPr>
          <w:p w14:paraId="7AEF89E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B47B8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EAB416D" w14:textId="77777777" w:rsidTr="00015B88">
        <w:tc>
          <w:tcPr>
            <w:tcW w:w="2136" w:type="dxa"/>
            <w:tcBorders>
              <w:top w:val="nil"/>
              <w:left w:val="nil"/>
              <w:bottom w:val="nil"/>
              <w:right w:val="nil"/>
            </w:tcBorders>
          </w:tcPr>
          <w:p w14:paraId="3B0E28A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lastRenderedPageBreak/>
              <w:t>L4.De Facto CBI * Lower House Legislates in Practice</w:t>
            </w:r>
          </w:p>
        </w:tc>
        <w:tc>
          <w:tcPr>
            <w:tcW w:w="1656" w:type="dxa"/>
            <w:tcBorders>
              <w:top w:val="nil"/>
              <w:left w:val="nil"/>
              <w:bottom w:val="nil"/>
              <w:right w:val="nil"/>
            </w:tcBorders>
          </w:tcPr>
          <w:p w14:paraId="335A26E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0.119</w:t>
            </w:r>
          </w:p>
        </w:tc>
      </w:tr>
      <w:tr w:rsidR="00201D4C" w:rsidRPr="00183ABF" w14:paraId="0BC07D7A" w14:textId="77777777" w:rsidTr="00015B88">
        <w:tc>
          <w:tcPr>
            <w:tcW w:w="2136" w:type="dxa"/>
            <w:tcBorders>
              <w:top w:val="nil"/>
              <w:left w:val="nil"/>
              <w:bottom w:val="nil"/>
              <w:right w:val="nil"/>
            </w:tcBorders>
          </w:tcPr>
          <w:p w14:paraId="1AF9DAE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311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(1.13)</w:t>
            </w:r>
          </w:p>
        </w:tc>
      </w:tr>
      <w:tr w:rsidR="00201D4C" w:rsidRPr="00183ABF" w14:paraId="0DD74D52" w14:textId="77777777" w:rsidTr="00015B88">
        <w:tc>
          <w:tcPr>
            <w:tcW w:w="2136" w:type="dxa"/>
            <w:tcBorders>
              <w:top w:val="nil"/>
              <w:left w:val="nil"/>
              <w:bottom w:val="nil"/>
              <w:right w:val="nil"/>
            </w:tcBorders>
          </w:tcPr>
          <w:p w14:paraId="729A6F5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1FA00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8B8FD73" w14:textId="77777777" w:rsidTr="00015B88">
        <w:tc>
          <w:tcPr>
            <w:tcW w:w="2136" w:type="dxa"/>
            <w:tcBorders>
              <w:top w:val="nil"/>
              <w:left w:val="nil"/>
              <w:bottom w:val="nil"/>
              <w:right w:val="nil"/>
            </w:tcBorders>
          </w:tcPr>
          <w:p w14:paraId="17BDFE3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L5.De Facto CBI * Lower House Legislates in Practice</w:t>
            </w:r>
          </w:p>
        </w:tc>
        <w:tc>
          <w:tcPr>
            <w:tcW w:w="1656" w:type="dxa"/>
            <w:tcBorders>
              <w:top w:val="nil"/>
              <w:left w:val="nil"/>
              <w:bottom w:val="nil"/>
              <w:right w:val="nil"/>
            </w:tcBorders>
          </w:tcPr>
          <w:p w14:paraId="7A4CA3A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-0.108</w:t>
            </w:r>
          </w:p>
        </w:tc>
      </w:tr>
      <w:tr w:rsidR="00201D4C" w:rsidRPr="00183ABF" w14:paraId="6CA57784" w14:textId="77777777" w:rsidTr="00015B88">
        <w:tc>
          <w:tcPr>
            <w:tcW w:w="2136" w:type="dxa"/>
            <w:tcBorders>
              <w:top w:val="nil"/>
              <w:left w:val="nil"/>
              <w:bottom w:val="nil"/>
              <w:right w:val="nil"/>
            </w:tcBorders>
          </w:tcPr>
          <w:p w14:paraId="3BDFD8B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DC1E1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(-1.27)</w:t>
            </w:r>
          </w:p>
        </w:tc>
      </w:tr>
      <w:tr w:rsidR="00201D4C" w:rsidRPr="00183ABF" w14:paraId="4CFCA576" w14:textId="77777777" w:rsidTr="00015B88">
        <w:tc>
          <w:tcPr>
            <w:tcW w:w="2136" w:type="dxa"/>
            <w:tcBorders>
              <w:top w:val="nil"/>
              <w:left w:val="nil"/>
              <w:bottom w:val="nil"/>
              <w:right w:val="nil"/>
            </w:tcBorders>
          </w:tcPr>
          <w:p w14:paraId="22E7074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19A5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8B9645E" w14:textId="77777777" w:rsidTr="00015B88">
        <w:tc>
          <w:tcPr>
            <w:tcW w:w="2136" w:type="dxa"/>
            <w:tcBorders>
              <w:top w:val="nil"/>
              <w:left w:val="nil"/>
              <w:bottom w:val="nil"/>
              <w:right w:val="nil"/>
            </w:tcBorders>
          </w:tcPr>
          <w:p w14:paraId="13646EC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L6.De Facto CBI * Lower House Legislates in Practice</w:t>
            </w:r>
          </w:p>
        </w:tc>
        <w:tc>
          <w:tcPr>
            <w:tcW w:w="1656" w:type="dxa"/>
            <w:tcBorders>
              <w:top w:val="nil"/>
              <w:left w:val="nil"/>
              <w:bottom w:val="nil"/>
              <w:right w:val="nil"/>
            </w:tcBorders>
          </w:tcPr>
          <w:p w14:paraId="20E2468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0.106</w:t>
            </w:r>
          </w:p>
        </w:tc>
      </w:tr>
      <w:tr w:rsidR="00201D4C" w:rsidRPr="00183ABF" w14:paraId="4F4E7B4B" w14:textId="77777777" w:rsidTr="00015B88">
        <w:tc>
          <w:tcPr>
            <w:tcW w:w="2136" w:type="dxa"/>
            <w:tcBorders>
              <w:top w:val="nil"/>
              <w:left w:val="nil"/>
              <w:bottom w:val="nil"/>
              <w:right w:val="nil"/>
            </w:tcBorders>
          </w:tcPr>
          <w:p w14:paraId="7B4C658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4DC2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(0.92)</w:t>
            </w:r>
          </w:p>
        </w:tc>
      </w:tr>
      <w:tr w:rsidR="00201D4C" w:rsidRPr="00183ABF" w14:paraId="5658730E" w14:textId="77777777" w:rsidTr="00015B88">
        <w:tc>
          <w:tcPr>
            <w:tcW w:w="2136" w:type="dxa"/>
            <w:tcBorders>
              <w:top w:val="nil"/>
              <w:left w:val="nil"/>
              <w:bottom w:val="nil"/>
              <w:right w:val="nil"/>
            </w:tcBorders>
          </w:tcPr>
          <w:p w14:paraId="10DCDEA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70C8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F959942" w14:textId="77777777" w:rsidTr="00015B88">
        <w:tc>
          <w:tcPr>
            <w:tcW w:w="2136" w:type="dxa"/>
            <w:tcBorders>
              <w:top w:val="nil"/>
              <w:left w:val="nil"/>
              <w:bottom w:val="nil"/>
              <w:right w:val="nil"/>
            </w:tcBorders>
          </w:tcPr>
          <w:p w14:paraId="1A42C5F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L7.De Facto CBI * Lower House Legislates in Practice</w:t>
            </w:r>
          </w:p>
        </w:tc>
        <w:tc>
          <w:tcPr>
            <w:tcW w:w="1656" w:type="dxa"/>
            <w:tcBorders>
              <w:top w:val="nil"/>
              <w:left w:val="nil"/>
              <w:bottom w:val="nil"/>
              <w:right w:val="nil"/>
            </w:tcBorders>
          </w:tcPr>
          <w:p w14:paraId="681175D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-0.00559</w:t>
            </w:r>
          </w:p>
        </w:tc>
      </w:tr>
      <w:tr w:rsidR="00201D4C" w:rsidRPr="00183ABF" w14:paraId="0E484383" w14:textId="77777777" w:rsidTr="00015B88">
        <w:tc>
          <w:tcPr>
            <w:tcW w:w="2136" w:type="dxa"/>
            <w:tcBorders>
              <w:top w:val="nil"/>
              <w:left w:val="nil"/>
              <w:bottom w:val="nil"/>
              <w:right w:val="nil"/>
            </w:tcBorders>
          </w:tcPr>
          <w:p w14:paraId="39255CE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C6D0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(-0.06)</w:t>
            </w:r>
          </w:p>
        </w:tc>
      </w:tr>
      <w:tr w:rsidR="00201D4C" w:rsidRPr="00183ABF" w14:paraId="4D547DBE" w14:textId="77777777" w:rsidTr="00015B88">
        <w:tc>
          <w:tcPr>
            <w:tcW w:w="2136" w:type="dxa"/>
            <w:tcBorders>
              <w:top w:val="nil"/>
              <w:left w:val="nil"/>
              <w:bottom w:val="nil"/>
              <w:right w:val="nil"/>
            </w:tcBorders>
          </w:tcPr>
          <w:p w14:paraId="0552A82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BA956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094F225" w14:textId="77777777" w:rsidTr="00015B88">
        <w:tc>
          <w:tcPr>
            <w:tcW w:w="2136" w:type="dxa"/>
            <w:tcBorders>
              <w:top w:val="nil"/>
              <w:left w:val="nil"/>
              <w:bottom w:val="nil"/>
              <w:right w:val="nil"/>
            </w:tcBorders>
          </w:tcPr>
          <w:p w14:paraId="3D68D3B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L8.De Facto CBI * Lower House Legislates in Practice</w:t>
            </w:r>
          </w:p>
        </w:tc>
        <w:tc>
          <w:tcPr>
            <w:tcW w:w="1656" w:type="dxa"/>
            <w:tcBorders>
              <w:top w:val="nil"/>
              <w:left w:val="nil"/>
              <w:bottom w:val="nil"/>
              <w:right w:val="nil"/>
            </w:tcBorders>
          </w:tcPr>
          <w:p w14:paraId="27F02F7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0.147</w:t>
            </w:r>
          </w:p>
        </w:tc>
      </w:tr>
      <w:tr w:rsidR="00201D4C" w:rsidRPr="00183ABF" w14:paraId="25F26667" w14:textId="77777777" w:rsidTr="00015B88">
        <w:tc>
          <w:tcPr>
            <w:tcW w:w="2136" w:type="dxa"/>
            <w:tcBorders>
              <w:top w:val="nil"/>
              <w:left w:val="nil"/>
              <w:bottom w:val="nil"/>
              <w:right w:val="nil"/>
            </w:tcBorders>
          </w:tcPr>
          <w:p w14:paraId="4D1A6E7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FB5C5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(1.85)</w:t>
            </w:r>
          </w:p>
        </w:tc>
      </w:tr>
      <w:tr w:rsidR="00201D4C" w:rsidRPr="00183ABF" w14:paraId="4C606D32" w14:textId="77777777" w:rsidTr="00015B88">
        <w:tc>
          <w:tcPr>
            <w:tcW w:w="2136" w:type="dxa"/>
            <w:tcBorders>
              <w:top w:val="nil"/>
              <w:left w:val="nil"/>
              <w:bottom w:val="nil"/>
              <w:right w:val="nil"/>
            </w:tcBorders>
          </w:tcPr>
          <w:p w14:paraId="5F4F503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60CD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D780F14" w14:textId="77777777" w:rsidTr="00015B88">
        <w:tc>
          <w:tcPr>
            <w:tcW w:w="2136" w:type="dxa"/>
            <w:tcBorders>
              <w:top w:val="nil"/>
              <w:left w:val="nil"/>
              <w:bottom w:val="nil"/>
              <w:right w:val="nil"/>
            </w:tcBorders>
          </w:tcPr>
          <w:p w14:paraId="2A49EB0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L9.De Facto CBI * Lower House Legislates in Practice</w:t>
            </w:r>
          </w:p>
        </w:tc>
        <w:tc>
          <w:tcPr>
            <w:tcW w:w="1656" w:type="dxa"/>
            <w:tcBorders>
              <w:top w:val="nil"/>
              <w:left w:val="nil"/>
              <w:bottom w:val="nil"/>
              <w:right w:val="nil"/>
            </w:tcBorders>
          </w:tcPr>
          <w:p w14:paraId="15E1A87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-0.0327</w:t>
            </w:r>
          </w:p>
        </w:tc>
      </w:tr>
      <w:tr w:rsidR="00201D4C" w:rsidRPr="00183ABF" w14:paraId="50F1CE45" w14:textId="77777777" w:rsidTr="00015B88">
        <w:tc>
          <w:tcPr>
            <w:tcW w:w="2136" w:type="dxa"/>
            <w:tcBorders>
              <w:top w:val="nil"/>
              <w:left w:val="nil"/>
              <w:bottom w:val="nil"/>
              <w:right w:val="nil"/>
            </w:tcBorders>
          </w:tcPr>
          <w:p w14:paraId="61E75F3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6BB3D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(-0.38)</w:t>
            </w:r>
          </w:p>
        </w:tc>
      </w:tr>
      <w:tr w:rsidR="00201D4C" w:rsidRPr="00183ABF" w14:paraId="784E26B0" w14:textId="77777777" w:rsidTr="00015B88">
        <w:tc>
          <w:tcPr>
            <w:tcW w:w="2136" w:type="dxa"/>
            <w:tcBorders>
              <w:top w:val="nil"/>
              <w:left w:val="nil"/>
              <w:bottom w:val="nil"/>
              <w:right w:val="nil"/>
            </w:tcBorders>
          </w:tcPr>
          <w:p w14:paraId="6783000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ECCB7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5C65383" w14:textId="77777777" w:rsidTr="00015B88">
        <w:tc>
          <w:tcPr>
            <w:tcW w:w="2136" w:type="dxa"/>
            <w:tcBorders>
              <w:top w:val="nil"/>
              <w:left w:val="nil"/>
              <w:bottom w:val="nil"/>
              <w:right w:val="nil"/>
            </w:tcBorders>
          </w:tcPr>
          <w:p w14:paraId="692F319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L10.De Facto CBI * Lower House Legislates in Practice</w:t>
            </w:r>
          </w:p>
        </w:tc>
        <w:tc>
          <w:tcPr>
            <w:tcW w:w="1656" w:type="dxa"/>
            <w:tcBorders>
              <w:top w:val="nil"/>
              <w:left w:val="nil"/>
              <w:bottom w:val="nil"/>
              <w:right w:val="nil"/>
            </w:tcBorders>
          </w:tcPr>
          <w:p w14:paraId="7DCE158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-0.107</w:t>
            </w:r>
          </w:p>
        </w:tc>
      </w:tr>
      <w:tr w:rsidR="00201D4C" w:rsidRPr="00183ABF" w14:paraId="7AEDC386" w14:textId="77777777" w:rsidTr="00015B88">
        <w:tc>
          <w:tcPr>
            <w:tcW w:w="2136" w:type="dxa"/>
            <w:tcBorders>
              <w:top w:val="nil"/>
              <w:left w:val="nil"/>
              <w:bottom w:val="nil"/>
              <w:right w:val="nil"/>
            </w:tcBorders>
          </w:tcPr>
          <w:p w14:paraId="347EB8E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454A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(-1.35)</w:t>
            </w:r>
          </w:p>
        </w:tc>
      </w:tr>
      <w:tr w:rsidR="00201D4C" w:rsidRPr="00183ABF" w14:paraId="26987A18" w14:textId="77777777" w:rsidTr="00015B88">
        <w:tc>
          <w:tcPr>
            <w:tcW w:w="2136" w:type="dxa"/>
            <w:tcBorders>
              <w:top w:val="nil"/>
              <w:left w:val="nil"/>
              <w:bottom w:val="nil"/>
              <w:right w:val="nil"/>
            </w:tcBorders>
          </w:tcPr>
          <w:p w14:paraId="0E72EEB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94B89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7EC2025" w14:textId="77777777" w:rsidTr="00015B88">
        <w:tc>
          <w:tcPr>
            <w:tcW w:w="2136" w:type="dxa"/>
            <w:tcBorders>
              <w:top w:val="nil"/>
              <w:left w:val="nil"/>
              <w:bottom w:val="nil"/>
              <w:right w:val="nil"/>
            </w:tcBorders>
          </w:tcPr>
          <w:p w14:paraId="4290B02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183ABF">
              <w:rPr>
                <w:rFonts w:ascii="Times New Roman" w:hAnsi="Times New Roman" w:cs="Times New Roman"/>
                <w:sz w:val="16"/>
                <w:szCs w:val="16"/>
              </w:rPr>
              <w:t>L.More</w:t>
            </w:r>
            <w:proofErr w:type="spellEnd"/>
            <w:r w:rsidRPr="00183AB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7158933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-0.00455</w:t>
            </w:r>
          </w:p>
        </w:tc>
      </w:tr>
      <w:tr w:rsidR="00201D4C" w:rsidRPr="00183ABF" w14:paraId="41673AD3" w14:textId="77777777" w:rsidTr="00015B88">
        <w:tc>
          <w:tcPr>
            <w:tcW w:w="2136" w:type="dxa"/>
            <w:tcBorders>
              <w:top w:val="nil"/>
              <w:left w:val="nil"/>
              <w:bottom w:val="nil"/>
              <w:right w:val="nil"/>
            </w:tcBorders>
          </w:tcPr>
          <w:p w14:paraId="5899FCD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F82F1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(-0.18)</w:t>
            </w:r>
          </w:p>
        </w:tc>
      </w:tr>
      <w:tr w:rsidR="00201D4C" w:rsidRPr="00183ABF" w14:paraId="5F8BD913" w14:textId="77777777" w:rsidTr="00015B88">
        <w:tc>
          <w:tcPr>
            <w:tcW w:w="2136" w:type="dxa"/>
            <w:tcBorders>
              <w:top w:val="nil"/>
              <w:left w:val="nil"/>
              <w:bottom w:val="nil"/>
              <w:right w:val="nil"/>
            </w:tcBorders>
          </w:tcPr>
          <w:p w14:paraId="3048800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883A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5C6CFB2" w14:textId="77777777" w:rsidTr="00015B88">
        <w:tc>
          <w:tcPr>
            <w:tcW w:w="2136" w:type="dxa"/>
            <w:tcBorders>
              <w:top w:val="nil"/>
              <w:left w:val="nil"/>
              <w:bottom w:val="nil"/>
              <w:right w:val="nil"/>
            </w:tcBorders>
          </w:tcPr>
          <w:p w14:paraId="13139A4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L2.More Fixed Rate * Lower House Legislates in Practice</w:t>
            </w:r>
          </w:p>
        </w:tc>
        <w:tc>
          <w:tcPr>
            <w:tcW w:w="1656" w:type="dxa"/>
            <w:tcBorders>
              <w:top w:val="nil"/>
              <w:left w:val="nil"/>
              <w:bottom w:val="nil"/>
              <w:right w:val="nil"/>
            </w:tcBorders>
          </w:tcPr>
          <w:p w14:paraId="6FD6B46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0.0397</w:t>
            </w:r>
          </w:p>
        </w:tc>
      </w:tr>
      <w:tr w:rsidR="00201D4C" w:rsidRPr="00183ABF" w14:paraId="5C2F3CB1" w14:textId="77777777" w:rsidTr="00015B88">
        <w:tc>
          <w:tcPr>
            <w:tcW w:w="2136" w:type="dxa"/>
            <w:tcBorders>
              <w:top w:val="nil"/>
              <w:left w:val="nil"/>
              <w:bottom w:val="nil"/>
              <w:right w:val="nil"/>
            </w:tcBorders>
          </w:tcPr>
          <w:p w14:paraId="071A9DC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6B81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(1.95)</w:t>
            </w:r>
          </w:p>
        </w:tc>
      </w:tr>
      <w:tr w:rsidR="00201D4C" w:rsidRPr="00183ABF" w14:paraId="5BC68645" w14:textId="77777777" w:rsidTr="00015B88">
        <w:tc>
          <w:tcPr>
            <w:tcW w:w="2136" w:type="dxa"/>
            <w:tcBorders>
              <w:top w:val="nil"/>
              <w:left w:val="nil"/>
              <w:bottom w:val="nil"/>
              <w:right w:val="nil"/>
            </w:tcBorders>
          </w:tcPr>
          <w:p w14:paraId="1B38467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102F7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FC6C6F7" w14:textId="77777777" w:rsidTr="00015B88">
        <w:tc>
          <w:tcPr>
            <w:tcW w:w="2136" w:type="dxa"/>
            <w:tcBorders>
              <w:top w:val="nil"/>
              <w:left w:val="nil"/>
              <w:bottom w:val="nil"/>
              <w:right w:val="nil"/>
            </w:tcBorders>
          </w:tcPr>
          <w:p w14:paraId="6A19FCC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L3.More Fixed Rate * Lower House Legislates in Practice</w:t>
            </w:r>
          </w:p>
        </w:tc>
        <w:tc>
          <w:tcPr>
            <w:tcW w:w="1656" w:type="dxa"/>
            <w:tcBorders>
              <w:top w:val="nil"/>
              <w:left w:val="nil"/>
              <w:bottom w:val="nil"/>
              <w:right w:val="nil"/>
            </w:tcBorders>
          </w:tcPr>
          <w:p w14:paraId="5BFCD70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-0.0687</w:t>
            </w:r>
            <w:r w:rsidRPr="00183ABF">
              <w:rPr>
                <w:rFonts w:ascii="Times New Roman" w:hAnsi="Times New Roman" w:cs="Times New Roman"/>
                <w:sz w:val="16"/>
                <w:szCs w:val="16"/>
                <w:vertAlign w:val="superscript"/>
              </w:rPr>
              <w:t>*</w:t>
            </w:r>
          </w:p>
        </w:tc>
      </w:tr>
      <w:tr w:rsidR="00201D4C" w:rsidRPr="00183ABF" w14:paraId="52D31D9D" w14:textId="77777777" w:rsidTr="00015B88">
        <w:tc>
          <w:tcPr>
            <w:tcW w:w="2136" w:type="dxa"/>
            <w:tcBorders>
              <w:top w:val="nil"/>
              <w:left w:val="nil"/>
              <w:bottom w:val="nil"/>
              <w:right w:val="nil"/>
            </w:tcBorders>
          </w:tcPr>
          <w:p w14:paraId="17CBC10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018D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(-2.24)</w:t>
            </w:r>
          </w:p>
        </w:tc>
      </w:tr>
      <w:tr w:rsidR="00201D4C" w:rsidRPr="00183ABF" w14:paraId="5E20CD9C" w14:textId="77777777" w:rsidTr="00015B88">
        <w:tc>
          <w:tcPr>
            <w:tcW w:w="2136" w:type="dxa"/>
            <w:tcBorders>
              <w:top w:val="nil"/>
              <w:left w:val="nil"/>
              <w:bottom w:val="nil"/>
              <w:right w:val="nil"/>
            </w:tcBorders>
          </w:tcPr>
          <w:p w14:paraId="0824006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F21A0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0D4720B" w14:textId="77777777" w:rsidTr="00015B88">
        <w:tc>
          <w:tcPr>
            <w:tcW w:w="2136" w:type="dxa"/>
            <w:tcBorders>
              <w:top w:val="nil"/>
              <w:left w:val="nil"/>
              <w:bottom w:val="nil"/>
              <w:right w:val="nil"/>
            </w:tcBorders>
          </w:tcPr>
          <w:p w14:paraId="2B7CCEA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L4.More Fixed Rate * Lower House Legislates in Practice</w:t>
            </w:r>
          </w:p>
        </w:tc>
        <w:tc>
          <w:tcPr>
            <w:tcW w:w="1656" w:type="dxa"/>
            <w:tcBorders>
              <w:top w:val="nil"/>
              <w:left w:val="nil"/>
              <w:bottom w:val="nil"/>
              <w:right w:val="nil"/>
            </w:tcBorders>
          </w:tcPr>
          <w:p w14:paraId="5EBD7EA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0.0205</w:t>
            </w:r>
          </w:p>
        </w:tc>
      </w:tr>
      <w:tr w:rsidR="00201D4C" w:rsidRPr="00183ABF" w14:paraId="4E302527" w14:textId="77777777" w:rsidTr="00015B88">
        <w:tc>
          <w:tcPr>
            <w:tcW w:w="2136" w:type="dxa"/>
            <w:tcBorders>
              <w:top w:val="nil"/>
              <w:left w:val="nil"/>
              <w:bottom w:val="nil"/>
              <w:right w:val="nil"/>
            </w:tcBorders>
          </w:tcPr>
          <w:p w14:paraId="512801E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68DD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(0.71)</w:t>
            </w:r>
          </w:p>
        </w:tc>
      </w:tr>
      <w:tr w:rsidR="00201D4C" w:rsidRPr="00183ABF" w14:paraId="55D7FBC1" w14:textId="77777777" w:rsidTr="00015B88">
        <w:tc>
          <w:tcPr>
            <w:tcW w:w="2136" w:type="dxa"/>
            <w:tcBorders>
              <w:top w:val="nil"/>
              <w:left w:val="nil"/>
              <w:bottom w:val="nil"/>
              <w:right w:val="nil"/>
            </w:tcBorders>
          </w:tcPr>
          <w:p w14:paraId="280E369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413F8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B9C1982" w14:textId="77777777" w:rsidTr="00015B88">
        <w:tc>
          <w:tcPr>
            <w:tcW w:w="2136" w:type="dxa"/>
            <w:tcBorders>
              <w:top w:val="nil"/>
              <w:left w:val="nil"/>
              <w:bottom w:val="nil"/>
              <w:right w:val="nil"/>
            </w:tcBorders>
          </w:tcPr>
          <w:p w14:paraId="59E1F7A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L5.More Fixed Rate * Lower House Legislates in Practice</w:t>
            </w:r>
          </w:p>
        </w:tc>
        <w:tc>
          <w:tcPr>
            <w:tcW w:w="1656" w:type="dxa"/>
            <w:tcBorders>
              <w:top w:val="nil"/>
              <w:left w:val="nil"/>
              <w:bottom w:val="nil"/>
              <w:right w:val="nil"/>
            </w:tcBorders>
          </w:tcPr>
          <w:p w14:paraId="6ACCEBA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0.00962</w:t>
            </w:r>
          </w:p>
        </w:tc>
      </w:tr>
      <w:tr w:rsidR="00201D4C" w:rsidRPr="00183ABF" w14:paraId="0683770E" w14:textId="77777777" w:rsidTr="00015B88">
        <w:tc>
          <w:tcPr>
            <w:tcW w:w="2136" w:type="dxa"/>
            <w:tcBorders>
              <w:top w:val="nil"/>
              <w:left w:val="nil"/>
              <w:bottom w:val="nil"/>
              <w:right w:val="nil"/>
            </w:tcBorders>
          </w:tcPr>
          <w:p w14:paraId="7E8B4C8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53260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(0.42)</w:t>
            </w:r>
          </w:p>
        </w:tc>
      </w:tr>
      <w:tr w:rsidR="00201D4C" w:rsidRPr="00183ABF" w14:paraId="6F05C531" w14:textId="77777777" w:rsidTr="00015B88">
        <w:tc>
          <w:tcPr>
            <w:tcW w:w="2136" w:type="dxa"/>
            <w:tcBorders>
              <w:top w:val="nil"/>
              <w:left w:val="nil"/>
              <w:bottom w:val="nil"/>
              <w:right w:val="nil"/>
            </w:tcBorders>
          </w:tcPr>
          <w:p w14:paraId="7C7AFC1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3D24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C86C219" w14:textId="77777777" w:rsidTr="00015B88">
        <w:tc>
          <w:tcPr>
            <w:tcW w:w="2136" w:type="dxa"/>
            <w:tcBorders>
              <w:top w:val="nil"/>
              <w:left w:val="nil"/>
              <w:bottom w:val="nil"/>
              <w:right w:val="nil"/>
            </w:tcBorders>
          </w:tcPr>
          <w:p w14:paraId="4B6AE5A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L6.More Fixed Rate * Lower House Legislates in Practice</w:t>
            </w:r>
          </w:p>
        </w:tc>
        <w:tc>
          <w:tcPr>
            <w:tcW w:w="1656" w:type="dxa"/>
            <w:tcBorders>
              <w:top w:val="nil"/>
              <w:left w:val="nil"/>
              <w:bottom w:val="nil"/>
              <w:right w:val="nil"/>
            </w:tcBorders>
          </w:tcPr>
          <w:p w14:paraId="35424B4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-0.00257</w:t>
            </w:r>
          </w:p>
        </w:tc>
      </w:tr>
      <w:tr w:rsidR="00201D4C" w:rsidRPr="00183ABF" w14:paraId="78359AD9" w14:textId="77777777" w:rsidTr="00015B88">
        <w:tc>
          <w:tcPr>
            <w:tcW w:w="2136" w:type="dxa"/>
            <w:tcBorders>
              <w:top w:val="nil"/>
              <w:left w:val="nil"/>
              <w:bottom w:val="nil"/>
              <w:right w:val="nil"/>
            </w:tcBorders>
          </w:tcPr>
          <w:p w14:paraId="78D1047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962F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(-0.15)</w:t>
            </w:r>
          </w:p>
        </w:tc>
      </w:tr>
      <w:tr w:rsidR="00201D4C" w:rsidRPr="00183ABF" w14:paraId="2AA0B3ED" w14:textId="77777777" w:rsidTr="00015B88">
        <w:tc>
          <w:tcPr>
            <w:tcW w:w="2136" w:type="dxa"/>
            <w:tcBorders>
              <w:top w:val="nil"/>
              <w:left w:val="nil"/>
              <w:bottom w:val="nil"/>
              <w:right w:val="nil"/>
            </w:tcBorders>
          </w:tcPr>
          <w:p w14:paraId="3B82739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B3975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6359447" w14:textId="77777777" w:rsidTr="00015B88">
        <w:tc>
          <w:tcPr>
            <w:tcW w:w="2136" w:type="dxa"/>
            <w:tcBorders>
              <w:top w:val="nil"/>
              <w:left w:val="nil"/>
              <w:bottom w:val="nil"/>
              <w:right w:val="nil"/>
            </w:tcBorders>
          </w:tcPr>
          <w:p w14:paraId="722365D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L7.More Fixed Rate * Lower House Legislates in Practice</w:t>
            </w:r>
          </w:p>
        </w:tc>
        <w:tc>
          <w:tcPr>
            <w:tcW w:w="1656" w:type="dxa"/>
            <w:tcBorders>
              <w:top w:val="nil"/>
              <w:left w:val="nil"/>
              <w:bottom w:val="nil"/>
              <w:right w:val="nil"/>
            </w:tcBorders>
          </w:tcPr>
          <w:p w14:paraId="5123367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-0.00509</w:t>
            </w:r>
          </w:p>
        </w:tc>
      </w:tr>
      <w:tr w:rsidR="00201D4C" w:rsidRPr="00183ABF" w14:paraId="3198D83A" w14:textId="77777777" w:rsidTr="00015B88">
        <w:tc>
          <w:tcPr>
            <w:tcW w:w="2136" w:type="dxa"/>
            <w:tcBorders>
              <w:top w:val="nil"/>
              <w:left w:val="nil"/>
              <w:bottom w:val="nil"/>
              <w:right w:val="nil"/>
            </w:tcBorders>
          </w:tcPr>
          <w:p w14:paraId="2086261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E5C92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(-0.18)</w:t>
            </w:r>
          </w:p>
        </w:tc>
      </w:tr>
      <w:tr w:rsidR="00201D4C" w:rsidRPr="00183ABF" w14:paraId="2E644EB2" w14:textId="77777777" w:rsidTr="00015B88">
        <w:tc>
          <w:tcPr>
            <w:tcW w:w="2136" w:type="dxa"/>
            <w:tcBorders>
              <w:top w:val="nil"/>
              <w:left w:val="nil"/>
              <w:bottom w:val="nil"/>
              <w:right w:val="nil"/>
            </w:tcBorders>
          </w:tcPr>
          <w:p w14:paraId="4FABF9F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610A0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C95144D" w14:textId="77777777" w:rsidTr="00015B88">
        <w:tc>
          <w:tcPr>
            <w:tcW w:w="2136" w:type="dxa"/>
            <w:tcBorders>
              <w:top w:val="nil"/>
              <w:left w:val="nil"/>
              <w:bottom w:val="nil"/>
              <w:right w:val="nil"/>
            </w:tcBorders>
          </w:tcPr>
          <w:p w14:paraId="592BCF9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L8.More Fixed Rate * Lower House Legislates in Practice</w:t>
            </w:r>
          </w:p>
        </w:tc>
        <w:tc>
          <w:tcPr>
            <w:tcW w:w="1656" w:type="dxa"/>
            <w:tcBorders>
              <w:top w:val="nil"/>
              <w:left w:val="nil"/>
              <w:bottom w:val="nil"/>
              <w:right w:val="nil"/>
            </w:tcBorders>
          </w:tcPr>
          <w:p w14:paraId="6B5A6F3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0.00231</w:t>
            </w:r>
          </w:p>
        </w:tc>
      </w:tr>
      <w:tr w:rsidR="00201D4C" w:rsidRPr="00183ABF" w14:paraId="0603CF73" w14:textId="77777777" w:rsidTr="00015B88">
        <w:tc>
          <w:tcPr>
            <w:tcW w:w="2136" w:type="dxa"/>
            <w:tcBorders>
              <w:top w:val="nil"/>
              <w:left w:val="nil"/>
              <w:bottom w:val="nil"/>
              <w:right w:val="nil"/>
            </w:tcBorders>
          </w:tcPr>
          <w:p w14:paraId="0E389A2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91FDC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w:t>
            </w:r>
          </w:p>
        </w:tc>
      </w:tr>
      <w:tr w:rsidR="00201D4C" w:rsidRPr="00183ABF" w14:paraId="01944FB2" w14:textId="77777777" w:rsidTr="00015B88">
        <w:tc>
          <w:tcPr>
            <w:tcW w:w="2136" w:type="dxa"/>
            <w:tcBorders>
              <w:top w:val="nil"/>
              <w:left w:val="nil"/>
              <w:bottom w:val="nil"/>
              <w:right w:val="nil"/>
            </w:tcBorders>
          </w:tcPr>
          <w:p w14:paraId="5B3A317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9480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78ED83E" w14:textId="77777777" w:rsidTr="00015B88">
        <w:tc>
          <w:tcPr>
            <w:tcW w:w="2136" w:type="dxa"/>
            <w:tcBorders>
              <w:top w:val="nil"/>
              <w:left w:val="nil"/>
              <w:bottom w:val="nil"/>
              <w:right w:val="nil"/>
            </w:tcBorders>
          </w:tcPr>
          <w:p w14:paraId="31C1FEE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L9.More Fixed Rate * Lower House Legislates in Practice</w:t>
            </w:r>
          </w:p>
        </w:tc>
        <w:tc>
          <w:tcPr>
            <w:tcW w:w="1656" w:type="dxa"/>
            <w:tcBorders>
              <w:top w:val="nil"/>
              <w:left w:val="nil"/>
              <w:bottom w:val="nil"/>
              <w:right w:val="nil"/>
            </w:tcBorders>
          </w:tcPr>
          <w:p w14:paraId="6BD460D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0.000832</w:t>
            </w:r>
          </w:p>
        </w:tc>
      </w:tr>
      <w:tr w:rsidR="00201D4C" w:rsidRPr="00183ABF" w14:paraId="747C83F0" w14:textId="77777777" w:rsidTr="00015B88">
        <w:tc>
          <w:tcPr>
            <w:tcW w:w="2136" w:type="dxa"/>
            <w:tcBorders>
              <w:top w:val="nil"/>
              <w:left w:val="nil"/>
              <w:bottom w:val="nil"/>
              <w:right w:val="nil"/>
            </w:tcBorders>
          </w:tcPr>
          <w:p w14:paraId="4E0AAF1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B8441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(0.04)</w:t>
            </w:r>
          </w:p>
        </w:tc>
      </w:tr>
      <w:tr w:rsidR="00201D4C" w:rsidRPr="00183ABF" w14:paraId="357C8FE9" w14:textId="77777777" w:rsidTr="00015B88">
        <w:tc>
          <w:tcPr>
            <w:tcW w:w="2136" w:type="dxa"/>
            <w:tcBorders>
              <w:top w:val="nil"/>
              <w:left w:val="nil"/>
              <w:bottom w:val="nil"/>
              <w:right w:val="nil"/>
            </w:tcBorders>
          </w:tcPr>
          <w:p w14:paraId="67DE92C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2BB6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92CA0D2" w14:textId="77777777" w:rsidTr="00015B88">
        <w:tc>
          <w:tcPr>
            <w:tcW w:w="2136" w:type="dxa"/>
            <w:tcBorders>
              <w:top w:val="nil"/>
              <w:left w:val="nil"/>
              <w:bottom w:val="nil"/>
              <w:right w:val="nil"/>
            </w:tcBorders>
          </w:tcPr>
          <w:p w14:paraId="06A9AE7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0E4518B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0.00522</w:t>
            </w:r>
          </w:p>
        </w:tc>
      </w:tr>
      <w:tr w:rsidR="00201D4C" w:rsidRPr="00183ABF" w14:paraId="632E4CC4" w14:textId="77777777" w:rsidTr="00015B88">
        <w:tc>
          <w:tcPr>
            <w:tcW w:w="2136" w:type="dxa"/>
            <w:tcBorders>
              <w:top w:val="nil"/>
              <w:left w:val="nil"/>
              <w:bottom w:val="nil"/>
              <w:right w:val="nil"/>
            </w:tcBorders>
          </w:tcPr>
          <w:p w14:paraId="30226FE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4D82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(0.36)</w:t>
            </w:r>
          </w:p>
        </w:tc>
      </w:tr>
      <w:tr w:rsidR="00201D4C" w:rsidRPr="00183ABF" w14:paraId="49A485DA" w14:textId="77777777" w:rsidTr="00015B88">
        <w:tc>
          <w:tcPr>
            <w:tcW w:w="2136" w:type="dxa"/>
            <w:tcBorders>
              <w:top w:val="nil"/>
              <w:left w:val="nil"/>
              <w:bottom w:val="nil"/>
              <w:right w:val="nil"/>
            </w:tcBorders>
          </w:tcPr>
          <w:p w14:paraId="0243D59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18455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B95D527" w14:textId="77777777" w:rsidTr="00015B88">
        <w:tc>
          <w:tcPr>
            <w:tcW w:w="2136" w:type="dxa"/>
            <w:tcBorders>
              <w:top w:val="nil"/>
              <w:left w:val="nil"/>
              <w:bottom w:val="nil"/>
              <w:right w:val="nil"/>
            </w:tcBorders>
          </w:tcPr>
          <w:p w14:paraId="47AFE46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Constant</w:t>
            </w:r>
          </w:p>
        </w:tc>
        <w:tc>
          <w:tcPr>
            <w:tcW w:w="1656" w:type="dxa"/>
            <w:tcBorders>
              <w:top w:val="nil"/>
              <w:left w:val="nil"/>
              <w:bottom w:val="nil"/>
              <w:right w:val="nil"/>
            </w:tcBorders>
          </w:tcPr>
          <w:p w14:paraId="6A7A98B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1.069</w:t>
            </w:r>
            <w:r w:rsidRPr="00183ABF">
              <w:rPr>
                <w:rFonts w:ascii="Times New Roman" w:hAnsi="Times New Roman" w:cs="Times New Roman"/>
                <w:sz w:val="16"/>
                <w:szCs w:val="16"/>
                <w:vertAlign w:val="superscript"/>
              </w:rPr>
              <w:t>*</w:t>
            </w:r>
          </w:p>
        </w:tc>
      </w:tr>
      <w:tr w:rsidR="00201D4C" w:rsidRPr="00183ABF" w14:paraId="47EBDEAD" w14:textId="77777777" w:rsidTr="00015B88">
        <w:tc>
          <w:tcPr>
            <w:tcW w:w="2136" w:type="dxa"/>
            <w:tcBorders>
              <w:top w:val="nil"/>
              <w:left w:val="nil"/>
              <w:bottom w:val="single" w:sz="4" w:space="0" w:color="auto"/>
              <w:right w:val="nil"/>
            </w:tcBorders>
          </w:tcPr>
          <w:p w14:paraId="7E1F10C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356C48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(2.31)</w:t>
            </w:r>
          </w:p>
        </w:tc>
      </w:tr>
      <w:tr w:rsidR="00201D4C" w:rsidRPr="00183ABF" w14:paraId="5A5C1F07" w14:textId="77777777" w:rsidTr="00015B88">
        <w:tc>
          <w:tcPr>
            <w:tcW w:w="2136" w:type="dxa"/>
            <w:tcBorders>
              <w:top w:val="nil"/>
              <w:left w:val="nil"/>
              <w:bottom w:val="single" w:sz="4" w:space="0" w:color="auto"/>
              <w:right w:val="nil"/>
            </w:tcBorders>
          </w:tcPr>
          <w:p w14:paraId="3ECA80C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DFED17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803</w:t>
            </w:r>
          </w:p>
        </w:tc>
      </w:tr>
    </w:tbl>
    <w:p w14:paraId="1B1F46C2" w14:textId="77777777" w:rsidR="007858D1" w:rsidRPr="00183ABF" w:rsidRDefault="007858D1" w:rsidP="007858D1">
      <w:pPr>
        <w:widowControl w:val="0"/>
        <w:autoSpaceDE w:val="0"/>
        <w:autoSpaceDN w:val="0"/>
        <w:adjustRightInd w:val="0"/>
        <w:spacing w:after="0" w:line="240" w:lineRule="auto"/>
        <w:rPr>
          <w:rFonts w:ascii="Times New Roman" w:hAnsi="Times New Roman" w:cs="Times New Roman"/>
          <w:sz w:val="12"/>
          <w:szCs w:val="12"/>
        </w:rPr>
      </w:pPr>
      <w:r w:rsidRPr="00183ABF">
        <w:rPr>
          <w:rFonts w:ascii="Times New Roman" w:hAnsi="Times New Roman" w:cs="Times New Roman"/>
          <w:i/>
          <w:iCs/>
          <w:sz w:val="12"/>
          <w:szCs w:val="12"/>
        </w:rPr>
        <w:t>t</w:t>
      </w:r>
      <w:r w:rsidRPr="00183ABF">
        <w:rPr>
          <w:rFonts w:ascii="Times New Roman" w:hAnsi="Times New Roman" w:cs="Times New Roman"/>
          <w:sz w:val="12"/>
          <w:szCs w:val="12"/>
        </w:rPr>
        <w:t xml:space="preserve"> statistics in parentheses</w:t>
      </w:r>
    </w:p>
    <w:p w14:paraId="19EA3395" w14:textId="77777777" w:rsidR="007858D1" w:rsidRPr="00183ABF" w:rsidRDefault="007858D1" w:rsidP="007858D1">
      <w:pPr>
        <w:widowControl w:val="0"/>
        <w:autoSpaceDE w:val="0"/>
        <w:autoSpaceDN w:val="0"/>
        <w:adjustRightInd w:val="0"/>
        <w:spacing w:after="0" w:line="240" w:lineRule="auto"/>
        <w:rPr>
          <w:rFonts w:ascii="Times New Roman" w:hAnsi="Times New Roman" w:cs="Times New Roman"/>
          <w:sz w:val="12"/>
          <w:szCs w:val="12"/>
        </w:rPr>
      </w:pPr>
      <w:r w:rsidRPr="00183ABF">
        <w:rPr>
          <w:rFonts w:ascii="Times New Roman" w:hAnsi="Times New Roman" w:cs="Times New Roman"/>
          <w:sz w:val="12"/>
          <w:szCs w:val="12"/>
          <w:vertAlign w:val="superscript"/>
        </w:rPr>
        <w:t>*</w:t>
      </w:r>
      <w:r w:rsidRPr="00183ABF">
        <w:rPr>
          <w:rFonts w:ascii="Times New Roman" w:hAnsi="Times New Roman" w:cs="Times New Roman"/>
          <w:sz w:val="12"/>
          <w:szCs w:val="12"/>
        </w:rPr>
        <w:t xml:space="preserve"> </w:t>
      </w:r>
      <w:r w:rsidRPr="00183ABF">
        <w:rPr>
          <w:rFonts w:ascii="Times New Roman" w:hAnsi="Times New Roman" w:cs="Times New Roman"/>
          <w:i/>
          <w:iCs/>
          <w:sz w:val="12"/>
          <w:szCs w:val="12"/>
        </w:rPr>
        <w:t>p</w:t>
      </w:r>
      <w:r w:rsidRPr="00183ABF">
        <w:rPr>
          <w:rFonts w:ascii="Times New Roman" w:hAnsi="Times New Roman" w:cs="Times New Roman"/>
          <w:sz w:val="12"/>
          <w:szCs w:val="12"/>
        </w:rPr>
        <w:t xml:space="preserve"> &lt; 0.05, </w:t>
      </w:r>
      <w:r w:rsidRPr="00183ABF">
        <w:rPr>
          <w:rFonts w:ascii="Times New Roman" w:hAnsi="Times New Roman" w:cs="Times New Roman"/>
          <w:sz w:val="12"/>
          <w:szCs w:val="12"/>
          <w:vertAlign w:val="superscript"/>
        </w:rPr>
        <w:t>**</w:t>
      </w:r>
      <w:r w:rsidRPr="00183ABF">
        <w:rPr>
          <w:rFonts w:ascii="Times New Roman" w:hAnsi="Times New Roman" w:cs="Times New Roman"/>
          <w:sz w:val="12"/>
          <w:szCs w:val="12"/>
        </w:rPr>
        <w:t xml:space="preserve"> </w:t>
      </w:r>
      <w:r w:rsidRPr="00183ABF">
        <w:rPr>
          <w:rFonts w:ascii="Times New Roman" w:hAnsi="Times New Roman" w:cs="Times New Roman"/>
          <w:i/>
          <w:iCs/>
          <w:sz w:val="12"/>
          <w:szCs w:val="12"/>
        </w:rPr>
        <w:t>p</w:t>
      </w:r>
      <w:r w:rsidRPr="00183ABF">
        <w:rPr>
          <w:rFonts w:ascii="Times New Roman" w:hAnsi="Times New Roman" w:cs="Times New Roman"/>
          <w:sz w:val="12"/>
          <w:szCs w:val="12"/>
        </w:rPr>
        <w:t xml:space="preserve"> &lt; 0.01, </w:t>
      </w:r>
      <w:r w:rsidRPr="00183ABF">
        <w:rPr>
          <w:rFonts w:ascii="Times New Roman" w:hAnsi="Times New Roman" w:cs="Times New Roman"/>
          <w:sz w:val="12"/>
          <w:szCs w:val="12"/>
          <w:vertAlign w:val="superscript"/>
        </w:rPr>
        <w:t>***</w:t>
      </w:r>
      <w:r w:rsidRPr="00183ABF">
        <w:rPr>
          <w:rFonts w:ascii="Times New Roman" w:hAnsi="Times New Roman" w:cs="Times New Roman"/>
          <w:sz w:val="12"/>
          <w:szCs w:val="12"/>
        </w:rPr>
        <w:t xml:space="preserve"> </w:t>
      </w:r>
      <w:r w:rsidRPr="00183ABF">
        <w:rPr>
          <w:rFonts w:ascii="Times New Roman" w:hAnsi="Times New Roman" w:cs="Times New Roman"/>
          <w:i/>
          <w:iCs/>
          <w:sz w:val="12"/>
          <w:szCs w:val="12"/>
        </w:rPr>
        <w:t>p</w:t>
      </w:r>
      <w:r w:rsidRPr="00183ABF">
        <w:rPr>
          <w:rFonts w:ascii="Times New Roman" w:hAnsi="Times New Roman" w:cs="Times New Roman"/>
          <w:sz w:val="12"/>
          <w:szCs w:val="12"/>
        </w:rPr>
        <w:t xml:space="preserve"> &lt; 0.001</w:t>
      </w:r>
    </w:p>
    <w:p w14:paraId="48C989F5" w14:textId="77777777" w:rsidR="007858D1" w:rsidRPr="00183ABF" w:rsidRDefault="007858D1" w:rsidP="007858D1">
      <w:pPr>
        <w:widowControl w:val="0"/>
        <w:autoSpaceDE w:val="0"/>
        <w:autoSpaceDN w:val="0"/>
        <w:adjustRightInd w:val="0"/>
        <w:spacing w:after="0" w:line="240" w:lineRule="auto"/>
        <w:rPr>
          <w:rFonts w:ascii="Times New Roman" w:hAnsi="Times New Roman" w:cs="Times New Roman"/>
          <w:sz w:val="16"/>
          <w:szCs w:val="16"/>
        </w:rPr>
      </w:pPr>
    </w:p>
    <w:p w14:paraId="4DFCB208" w14:textId="77777777" w:rsidR="00491A05" w:rsidRDefault="00491A05" w:rsidP="00783E87"/>
    <w:p w14:paraId="408AF363" w14:textId="3D8989B7" w:rsidR="00783E87" w:rsidRDefault="00783E87" w:rsidP="00783E87">
      <w:r>
        <w:t>Ordinal Logit</w:t>
      </w:r>
    </w:p>
    <w:p w14:paraId="6074FB82" w14:textId="6D07BCE1" w:rsidR="00783E87" w:rsidRDefault="00783E87" w:rsidP="00783E87">
      <w:r>
        <w:t>DJ</w:t>
      </w:r>
    </w:p>
    <w:tbl>
      <w:tblPr>
        <w:tblW w:w="0" w:type="auto"/>
        <w:tblLayout w:type="fixed"/>
        <w:tblLook w:val="0000" w:firstRow="0" w:lastRow="0" w:firstColumn="0" w:lastColumn="0" w:noHBand="0" w:noVBand="0"/>
      </w:tblPr>
      <w:tblGrid>
        <w:gridCol w:w="2136"/>
        <w:gridCol w:w="1656"/>
      </w:tblGrid>
      <w:tr w:rsidR="00201D4C" w:rsidRPr="00596B53" w14:paraId="1EA6DA26" w14:textId="77777777" w:rsidTr="00015B88">
        <w:trPr>
          <w:trHeight w:val="70"/>
        </w:trPr>
        <w:tc>
          <w:tcPr>
            <w:tcW w:w="2136" w:type="dxa"/>
            <w:tcBorders>
              <w:top w:val="single" w:sz="4" w:space="0" w:color="auto"/>
              <w:left w:val="nil"/>
              <w:bottom w:val="nil"/>
              <w:right w:val="nil"/>
            </w:tcBorders>
          </w:tcPr>
          <w:p w14:paraId="3A4FDB9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8C01220" w14:textId="3287B2A5"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24F50D99" w14:textId="77777777" w:rsidTr="00015B88">
        <w:tc>
          <w:tcPr>
            <w:tcW w:w="2136" w:type="dxa"/>
            <w:tcBorders>
              <w:top w:val="nil"/>
              <w:left w:val="nil"/>
              <w:bottom w:val="nil"/>
              <w:right w:val="nil"/>
            </w:tcBorders>
          </w:tcPr>
          <w:p w14:paraId="020B987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48A4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Lower House Turnover</w:t>
            </w:r>
          </w:p>
        </w:tc>
      </w:tr>
      <w:tr w:rsidR="00201D4C" w:rsidRPr="00596B53" w14:paraId="533E31C4" w14:textId="77777777" w:rsidTr="00015B88">
        <w:tc>
          <w:tcPr>
            <w:tcW w:w="2136" w:type="dxa"/>
            <w:tcBorders>
              <w:top w:val="single" w:sz="4" w:space="0" w:color="auto"/>
              <w:left w:val="nil"/>
              <w:bottom w:val="nil"/>
              <w:right w:val="nil"/>
            </w:tcBorders>
          </w:tcPr>
          <w:p w14:paraId="68177EF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655129D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086E20D8" w14:textId="77777777" w:rsidTr="00015B88">
        <w:tc>
          <w:tcPr>
            <w:tcW w:w="2136" w:type="dxa"/>
            <w:tcBorders>
              <w:top w:val="nil"/>
              <w:left w:val="nil"/>
              <w:bottom w:val="nil"/>
              <w:right w:val="nil"/>
            </w:tcBorders>
          </w:tcPr>
          <w:p w14:paraId="14080FF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De Jure CBI (CNW Index)</w:t>
            </w:r>
          </w:p>
        </w:tc>
        <w:tc>
          <w:tcPr>
            <w:tcW w:w="1656" w:type="dxa"/>
            <w:tcBorders>
              <w:top w:val="nil"/>
              <w:left w:val="nil"/>
              <w:bottom w:val="nil"/>
              <w:right w:val="nil"/>
            </w:tcBorders>
          </w:tcPr>
          <w:p w14:paraId="31784C9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6.770</w:t>
            </w:r>
            <w:r w:rsidRPr="00596B53">
              <w:rPr>
                <w:rFonts w:ascii="Times New Roman" w:hAnsi="Times New Roman" w:cs="Times New Roman"/>
                <w:sz w:val="16"/>
                <w:szCs w:val="16"/>
                <w:vertAlign w:val="superscript"/>
              </w:rPr>
              <w:t>**</w:t>
            </w:r>
          </w:p>
        </w:tc>
      </w:tr>
      <w:tr w:rsidR="00201D4C" w:rsidRPr="00596B53" w14:paraId="73ADB185" w14:textId="77777777" w:rsidTr="00015B88">
        <w:tc>
          <w:tcPr>
            <w:tcW w:w="2136" w:type="dxa"/>
            <w:tcBorders>
              <w:top w:val="nil"/>
              <w:left w:val="nil"/>
              <w:bottom w:val="nil"/>
              <w:right w:val="nil"/>
            </w:tcBorders>
          </w:tcPr>
          <w:p w14:paraId="03EEA3D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46DF4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(2.98)</w:t>
            </w:r>
          </w:p>
        </w:tc>
      </w:tr>
      <w:tr w:rsidR="00201D4C" w:rsidRPr="00596B53" w14:paraId="52C911FF" w14:textId="77777777" w:rsidTr="00015B88">
        <w:tc>
          <w:tcPr>
            <w:tcW w:w="2136" w:type="dxa"/>
            <w:tcBorders>
              <w:top w:val="nil"/>
              <w:left w:val="nil"/>
              <w:bottom w:val="nil"/>
              <w:right w:val="nil"/>
            </w:tcBorders>
          </w:tcPr>
          <w:p w14:paraId="69803C0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052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95F7367" w14:textId="77777777" w:rsidTr="00015B88">
        <w:tc>
          <w:tcPr>
            <w:tcW w:w="2136" w:type="dxa"/>
            <w:tcBorders>
              <w:top w:val="nil"/>
              <w:left w:val="nil"/>
              <w:bottom w:val="nil"/>
              <w:right w:val="nil"/>
            </w:tcBorders>
          </w:tcPr>
          <w:p w14:paraId="06C44F8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466F3FD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0.0911</w:t>
            </w:r>
          </w:p>
        </w:tc>
      </w:tr>
      <w:tr w:rsidR="00201D4C" w:rsidRPr="00596B53" w14:paraId="0DF9F173" w14:textId="77777777" w:rsidTr="00015B88">
        <w:tc>
          <w:tcPr>
            <w:tcW w:w="2136" w:type="dxa"/>
            <w:tcBorders>
              <w:top w:val="nil"/>
              <w:left w:val="nil"/>
              <w:bottom w:val="nil"/>
              <w:right w:val="nil"/>
            </w:tcBorders>
          </w:tcPr>
          <w:p w14:paraId="4DDB0E6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1A47D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(1.04)</w:t>
            </w:r>
          </w:p>
        </w:tc>
      </w:tr>
      <w:tr w:rsidR="00201D4C" w:rsidRPr="00596B53" w14:paraId="5998A1D4" w14:textId="77777777" w:rsidTr="00015B88">
        <w:tc>
          <w:tcPr>
            <w:tcW w:w="2136" w:type="dxa"/>
            <w:tcBorders>
              <w:top w:val="nil"/>
              <w:left w:val="nil"/>
              <w:bottom w:val="nil"/>
              <w:right w:val="nil"/>
            </w:tcBorders>
          </w:tcPr>
          <w:p w14:paraId="48B07AD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B7D0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4416FA4" w14:textId="77777777" w:rsidTr="00015B88">
        <w:tc>
          <w:tcPr>
            <w:tcW w:w="2136" w:type="dxa"/>
            <w:tcBorders>
              <w:top w:val="nil"/>
              <w:left w:val="nil"/>
              <w:bottom w:val="nil"/>
              <w:right w:val="nil"/>
            </w:tcBorders>
          </w:tcPr>
          <w:p w14:paraId="4F8521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Legislative Efficacy</w:t>
            </w:r>
          </w:p>
        </w:tc>
        <w:tc>
          <w:tcPr>
            <w:tcW w:w="1656" w:type="dxa"/>
            <w:tcBorders>
              <w:top w:val="nil"/>
              <w:left w:val="nil"/>
              <w:bottom w:val="nil"/>
              <w:right w:val="nil"/>
            </w:tcBorders>
          </w:tcPr>
          <w:p w14:paraId="15B2AE4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2.659</w:t>
            </w:r>
            <w:r w:rsidRPr="00596B53">
              <w:rPr>
                <w:rFonts w:ascii="Times New Roman" w:hAnsi="Times New Roman" w:cs="Times New Roman"/>
                <w:sz w:val="16"/>
                <w:szCs w:val="16"/>
                <w:vertAlign w:val="superscript"/>
              </w:rPr>
              <w:t>**</w:t>
            </w:r>
          </w:p>
        </w:tc>
      </w:tr>
      <w:tr w:rsidR="00201D4C" w:rsidRPr="00596B53" w14:paraId="31FAD566" w14:textId="77777777" w:rsidTr="00015B88">
        <w:tc>
          <w:tcPr>
            <w:tcW w:w="2136" w:type="dxa"/>
            <w:tcBorders>
              <w:top w:val="nil"/>
              <w:left w:val="nil"/>
              <w:bottom w:val="nil"/>
              <w:right w:val="nil"/>
            </w:tcBorders>
          </w:tcPr>
          <w:p w14:paraId="1D64BC6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01A72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(2.99)</w:t>
            </w:r>
          </w:p>
        </w:tc>
      </w:tr>
      <w:tr w:rsidR="00201D4C" w:rsidRPr="00596B53" w14:paraId="26B1A9BE" w14:textId="77777777" w:rsidTr="00015B88">
        <w:tc>
          <w:tcPr>
            <w:tcW w:w="2136" w:type="dxa"/>
            <w:tcBorders>
              <w:top w:val="nil"/>
              <w:left w:val="nil"/>
              <w:bottom w:val="nil"/>
              <w:right w:val="nil"/>
            </w:tcBorders>
          </w:tcPr>
          <w:p w14:paraId="7ED976A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43FB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2D5FEE3" w14:textId="77777777" w:rsidTr="00015B88">
        <w:tc>
          <w:tcPr>
            <w:tcW w:w="2136" w:type="dxa"/>
            <w:tcBorders>
              <w:top w:val="nil"/>
              <w:left w:val="nil"/>
              <w:bottom w:val="nil"/>
              <w:right w:val="nil"/>
            </w:tcBorders>
          </w:tcPr>
          <w:p w14:paraId="08C9AAD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De Jure CBI * Lower House Legislates in Practice</w:t>
            </w:r>
          </w:p>
        </w:tc>
        <w:tc>
          <w:tcPr>
            <w:tcW w:w="1656" w:type="dxa"/>
            <w:tcBorders>
              <w:top w:val="nil"/>
              <w:left w:val="nil"/>
              <w:bottom w:val="nil"/>
              <w:right w:val="nil"/>
            </w:tcBorders>
          </w:tcPr>
          <w:p w14:paraId="430AF7A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-3.721</w:t>
            </w:r>
            <w:r w:rsidRPr="00596B53">
              <w:rPr>
                <w:rFonts w:ascii="Times New Roman" w:hAnsi="Times New Roman" w:cs="Times New Roman"/>
                <w:sz w:val="16"/>
                <w:szCs w:val="16"/>
                <w:vertAlign w:val="superscript"/>
              </w:rPr>
              <w:t>*</w:t>
            </w:r>
          </w:p>
        </w:tc>
      </w:tr>
      <w:tr w:rsidR="00201D4C" w:rsidRPr="00596B53" w14:paraId="5D5F6656" w14:textId="77777777" w:rsidTr="00015B88">
        <w:tc>
          <w:tcPr>
            <w:tcW w:w="2136" w:type="dxa"/>
            <w:tcBorders>
              <w:top w:val="nil"/>
              <w:left w:val="nil"/>
              <w:bottom w:val="nil"/>
              <w:right w:val="nil"/>
            </w:tcBorders>
          </w:tcPr>
          <w:p w14:paraId="669FF1F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14D12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(-2.53)</w:t>
            </w:r>
          </w:p>
        </w:tc>
      </w:tr>
      <w:tr w:rsidR="00201D4C" w:rsidRPr="00596B53" w14:paraId="4241BD5F" w14:textId="77777777" w:rsidTr="00015B88">
        <w:tc>
          <w:tcPr>
            <w:tcW w:w="2136" w:type="dxa"/>
            <w:tcBorders>
              <w:top w:val="nil"/>
              <w:left w:val="nil"/>
              <w:bottom w:val="nil"/>
              <w:right w:val="nil"/>
            </w:tcBorders>
          </w:tcPr>
          <w:p w14:paraId="2FE5D25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8BFEA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2ECCC5D" w14:textId="77777777" w:rsidTr="00015B88">
        <w:tc>
          <w:tcPr>
            <w:tcW w:w="2136" w:type="dxa"/>
            <w:tcBorders>
              <w:top w:val="nil"/>
              <w:left w:val="nil"/>
              <w:bottom w:val="nil"/>
              <w:right w:val="nil"/>
            </w:tcBorders>
          </w:tcPr>
          <w:p w14:paraId="6F0ABC4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4ED94FE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-0.0832</w:t>
            </w:r>
          </w:p>
        </w:tc>
      </w:tr>
      <w:tr w:rsidR="00201D4C" w:rsidRPr="00596B53" w14:paraId="4C1C561B" w14:textId="77777777" w:rsidTr="00015B88">
        <w:tc>
          <w:tcPr>
            <w:tcW w:w="2136" w:type="dxa"/>
            <w:tcBorders>
              <w:top w:val="nil"/>
              <w:left w:val="nil"/>
              <w:bottom w:val="nil"/>
              <w:right w:val="nil"/>
            </w:tcBorders>
          </w:tcPr>
          <w:p w14:paraId="3168E91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61D7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(-1.51)</w:t>
            </w:r>
          </w:p>
        </w:tc>
      </w:tr>
      <w:tr w:rsidR="00201D4C" w:rsidRPr="00596B53" w14:paraId="7D450D3B" w14:textId="77777777" w:rsidTr="00015B88">
        <w:tc>
          <w:tcPr>
            <w:tcW w:w="2136" w:type="dxa"/>
            <w:tcBorders>
              <w:top w:val="nil"/>
              <w:left w:val="nil"/>
              <w:bottom w:val="nil"/>
              <w:right w:val="nil"/>
            </w:tcBorders>
          </w:tcPr>
          <w:p w14:paraId="7620384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76A57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E2F21D4" w14:textId="77777777" w:rsidTr="00015B88">
        <w:tc>
          <w:tcPr>
            <w:tcW w:w="2136" w:type="dxa"/>
            <w:tcBorders>
              <w:top w:val="nil"/>
              <w:left w:val="nil"/>
              <w:bottom w:val="nil"/>
              <w:right w:val="nil"/>
            </w:tcBorders>
          </w:tcPr>
          <w:p w14:paraId="5D19852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96B53">
              <w:rPr>
                <w:rFonts w:ascii="Times New Roman" w:hAnsi="Times New Roman" w:cs="Times New Roman"/>
                <w:sz w:val="16"/>
                <w:szCs w:val="16"/>
              </w:rPr>
              <w:t>L.De</w:t>
            </w:r>
            <w:proofErr w:type="spellEnd"/>
            <w:r w:rsidRPr="00596B53">
              <w:rPr>
                <w:rFonts w:ascii="Times New Roman" w:hAnsi="Times New Roman" w:cs="Times New Roman"/>
                <w:sz w:val="16"/>
                <w:szCs w:val="16"/>
              </w:rPr>
              <w:t xml:space="preserve"> Jure CBI (CNW Index)</w:t>
            </w:r>
          </w:p>
        </w:tc>
        <w:tc>
          <w:tcPr>
            <w:tcW w:w="1656" w:type="dxa"/>
            <w:tcBorders>
              <w:top w:val="nil"/>
              <w:left w:val="nil"/>
              <w:bottom w:val="nil"/>
              <w:right w:val="nil"/>
            </w:tcBorders>
          </w:tcPr>
          <w:p w14:paraId="5EF64B8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-5.962</w:t>
            </w:r>
          </w:p>
        </w:tc>
      </w:tr>
      <w:tr w:rsidR="00201D4C" w:rsidRPr="00596B53" w14:paraId="45547293" w14:textId="77777777" w:rsidTr="00015B88">
        <w:tc>
          <w:tcPr>
            <w:tcW w:w="2136" w:type="dxa"/>
            <w:tcBorders>
              <w:top w:val="nil"/>
              <w:left w:val="nil"/>
              <w:bottom w:val="nil"/>
              <w:right w:val="nil"/>
            </w:tcBorders>
          </w:tcPr>
          <w:p w14:paraId="0131B03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7EA17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(-1.84)</w:t>
            </w:r>
          </w:p>
        </w:tc>
      </w:tr>
      <w:tr w:rsidR="00201D4C" w:rsidRPr="00596B53" w14:paraId="1BAFA85F" w14:textId="77777777" w:rsidTr="00015B88">
        <w:tc>
          <w:tcPr>
            <w:tcW w:w="2136" w:type="dxa"/>
            <w:tcBorders>
              <w:top w:val="nil"/>
              <w:left w:val="nil"/>
              <w:bottom w:val="nil"/>
              <w:right w:val="nil"/>
            </w:tcBorders>
          </w:tcPr>
          <w:p w14:paraId="53BC49A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A8F8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58281A6" w14:textId="77777777" w:rsidTr="00015B88">
        <w:tc>
          <w:tcPr>
            <w:tcW w:w="2136" w:type="dxa"/>
            <w:tcBorders>
              <w:top w:val="nil"/>
              <w:left w:val="nil"/>
              <w:bottom w:val="nil"/>
              <w:right w:val="nil"/>
            </w:tcBorders>
          </w:tcPr>
          <w:p w14:paraId="3CDAFE0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L2.De Jure CBI (CNW Index)</w:t>
            </w:r>
          </w:p>
        </w:tc>
        <w:tc>
          <w:tcPr>
            <w:tcW w:w="1656" w:type="dxa"/>
            <w:tcBorders>
              <w:top w:val="nil"/>
              <w:left w:val="nil"/>
              <w:bottom w:val="nil"/>
              <w:right w:val="nil"/>
            </w:tcBorders>
          </w:tcPr>
          <w:p w14:paraId="64DE1BF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0.488</w:t>
            </w:r>
          </w:p>
        </w:tc>
      </w:tr>
      <w:tr w:rsidR="00201D4C" w:rsidRPr="00596B53" w14:paraId="7A0D9C9D" w14:textId="77777777" w:rsidTr="00015B88">
        <w:tc>
          <w:tcPr>
            <w:tcW w:w="2136" w:type="dxa"/>
            <w:tcBorders>
              <w:top w:val="nil"/>
              <w:left w:val="nil"/>
              <w:bottom w:val="nil"/>
              <w:right w:val="nil"/>
            </w:tcBorders>
          </w:tcPr>
          <w:p w14:paraId="6AB49C7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7255B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(0.18)</w:t>
            </w:r>
          </w:p>
        </w:tc>
      </w:tr>
      <w:tr w:rsidR="00201D4C" w:rsidRPr="00596B53" w14:paraId="23D3B86E" w14:textId="77777777" w:rsidTr="00015B88">
        <w:tc>
          <w:tcPr>
            <w:tcW w:w="2136" w:type="dxa"/>
            <w:tcBorders>
              <w:top w:val="nil"/>
              <w:left w:val="nil"/>
              <w:bottom w:val="nil"/>
              <w:right w:val="nil"/>
            </w:tcBorders>
          </w:tcPr>
          <w:p w14:paraId="773E25D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59AF5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96B22DB" w14:textId="77777777" w:rsidTr="00015B88">
        <w:tc>
          <w:tcPr>
            <w:tcW w:w="2136" w:type="dxa"/>
            <w:tcBorders>
              <w:top w:val="nil"/>
              <w:left w:val="nil"/>
              <w:bottom w:val="nil"/>
              <w:right w:val="nil"/>
            </w:tcBorders>
          </w:tcPr>
          <w:p w14:paraId="0C5714E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L3.De Jure CBI (CNW Index)</w:t>
            </w:r>
          </w:p>
        </w:tc>
        <w:tc>
          <w:tcPr>
            <w:tcW w:w="1656" w:type="dxa"/>
            <w:tcBorders>
              <w:top w:val="nil"/>
              <w:left w:val="nil"/>
              <w:bottom w:val="nil"/>
              <w:right w:val="nil"/>
            </w:tcBorders>
          </w:tcPr>
          <w:p w14:paraId="44A8454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-2.369</w:t>
            </w:r>
          </w:p>
        </w:tc>
      </w:tr>
      <w:tr w:rsidR="00201D4C" w:rsidRPr="00596B53" w14:paraId="64CF63B8" w14:textId="77777777" w:rsidTr="00015B88">
        <w:tc>
          <w:tcPr>
            <w:tcW w:w="2136" w:type="dxa"/>
            <w:tcBorders>
              <w:top w:val="nil"/>
              <w:left w:val="nil"/>
              <w:bottom w:val="nil"/>
              <w:right w:val="nil"/>
            </w:tcBorders>
          </w:tcPr>
          <w:p w14:paraId="3E24DDF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633BE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(-0.89)</w:t>
            </w:r>
          </w:p>
        </w:tc>
      </w:tr>
      <w:tr w:rsidR="00201D4C" w:rsidRPr="00596B53" w14:paraId="3915F4CC" w14:textId="77777777" w:rsidTr="00015B88">
        <w:tc>
          <w:tcPr>
            <w:tcW w:w="2136" w:type="dxa"/>
            <w:tcBorders>
              <w:top w:val="nil"/>
              <w:left w:val="nil"/>
              <w:bottom w:val="nil"/>
              <w:right w:val="nil"/>
            </w:tcBorders>
          </w:tcPr>
          <w:p w14:paraId="03317DD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B53C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6A8A463" w14:textId="77777777" w:rsidTr="00015B88">
        <w:tc>
          <w:tcPr>
            <w:tcW w:w="2136" w:type="dxa"/>
            <w:tcBorders>
              <w:top w:val="nil"/>
              <w:left w:val="nil"/>
              <w:bottom w:val="nil"/>
              <w:right w:val="nil"/>
            </w:tcBorders>
          </w:tcPr>
          <w:p w14:paraId="1A5D187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L4.De Jure CBI (CNW Index)</w:t>
            </w:r>
          </w:p>
        </w:tc>
        <w:tc>
          <w:tcPr>
            <w:tcW w:w="1656" w:type="dxa"/>
            <w:tcBorders>
              <w:top w:val="nil"/>
              <w:left w:val="nil"/>
              <w:bottom w:val="nil"/>
              <w:right w:val="nil"/>
            </w:tcBorders>
          </w:tcPr>
          <w:p w14:paraId="0FB91A7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2.725</w:t>
            </w:r>
          </w:p>
        </w:tc>
      </w:tr>
      <w:tr w:rsidR="00201D4C" w:rsidRPr="00596B53" w14:paraId="512CB6CC" w14:textId="77777777" w:rsidTr="00015B88">
        <w:tc>
          <w:tcPr>
            <w:tcW w:w="2136" w:type="dxa"/>
            <w:tcBorders>
              <w:top w:val="nil"/>
              <w:left w:val="nil"/>
              <w:bottom w:val="nil"/>
              <w:right w:val="nil"/>
            </w:tcBorders>
          </w:tcPr>
          <w:p w14:paraId="6EB74BB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1DB41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(0.81)</w:t>
            </w:r>
          </w:p>
        </w:tc>
      </w:tr>
      <w:tr w:rsidR="00201D4C" w:rsidRPr="00596B53" w14:paraId="41039FA5" w14:textId="77777777" w:rsidTr="00015B88">
        <w:tc>
          <w:tcPr>
            <w:tcW w:w="2136" w:type="dxa"/>
            <w:tcBorders>
              <w:top w:val="nil"/>
              <w:left w:val="nil"/>
              <w:bottom w:val="nil"/>
              <w:right w:val="nil"/>
            </w:tcBorders>
          </w:tcPr>
          <w:p w14:paraId="3B6D97B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96AB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BE737A1" w14:textId="77777777" w:rsidTr="00015B88">
        <w:tc>
          <w:tcPr>
            <w:tcW w:w="2136" w:type="dxa"/>
            <w:tcBorders>
              <w:top w:val="nil"/>
              <w:left w:val="nil"/>
              <w:bottom w:val="nil"/>
              <w:right w:val="nil"/>
            </w:tcBorders>
          </w:tcPr>
          <w:p w14:paraId="43105DA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L5.De Jure CBI (CNW Index)</w:t>
            </w:r>
          </w:p>
        </w:tc>
        <w:tc>
          <w:tcPr>
            <w:tcW w:w="1656" w:type="dxa"/>
            <w:tcBorders>
              <w:top w:val="nil"/>
              <w:left w:val="nil"/>
              <w:bottom w:val="nil"/>
              <w:right w:val="nil"/>
            </w:tcBorders>
          </w:tcPr>
          <w:p w14:paraId="7F90002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4.261</w:t>
            </w:r>
          </w:p>
        </w:tc>
      </w:tr>
      <w:tr w:rsidR="00201D4C" w:rsidRPr="00596B53" w14:paraId="43A0AF9A" w14:textId="77777777" w:rsidTr="00015B88">
        <w:tc>
          <w:tcPr>
            <w:tcW w:w="2136" w:type="dxa"/>
            <w:tcBorders>
              <w:top w:val="nil"/>
              <w:left w:val="nil"/>
              <w:bottom w:val="nil"/>
              <w:right w:val="nil"/>
            </w:tcBorders>
          </w:tcPr>
          <w:p w14:paraId="304DEFD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D5C77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(1.60)</w:t>
            </w:r>
          </w:p>
        </w:tc>
      </w:tr>
      <w:tr w:rsidR="00201D4C" w:rsidRPr="00596B53" w14:paraId="75D8D454" w14:textId="77777777" w:rsidTr="00015B88">
        <w:tc>
          <w:tcPr>
            <w:tcW w:w="2136" w:type="dxa"/>
            <w:tcBorders>
              <w:top w:val="nil"/>
              <w:left w:val="nil"/>
              <w:bottom w:val="nil"/>
              <w:right w:val="nil"/>
            </w:tcBorders>
          </w:tcPr>
          <w:p w14:paraId="067D722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7AFF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A61A924" w14:textId="77777777" w:rsidTr="00015B88">
        <w:tc>
          <w:tcPr>
            <w:tcW w:w="2136" w:type="dxa"/>
            <w:tcBorders>
              <w:top w:val="nil"/>
              <w:left w:val="nil"/>
              <w:bottom w:val="nil"/>
              <w:right w:val="nil"/>
            </w:tcBorders>
          </w:tcPr>
          <w:p w14:paraId="1A568DC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L6.De Jure CBI (CNW Index)</w:t>
            </w:r>
          </w:p>
        </w:tc>
        <w:tc>
          <w:tcPr>
            <w:tcW w:w="1656" w:type="dxa"/>
            <w:tcBorders>
              <w:top w:val="nil"/>
              <w:left w:val="nil"/>
              <w:bottom w:val="nil"/>
              <w:right w:val="nil"/>
            </w:tcBorders>
          </w:tcPr>
          <w:p w14:paraId="4A60A1E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-6.414</w:t>
            </w:r>
            <w:r w:rsidRPr="00596B53">
              <w:rPr>
                <w:rFonts w:ascii="Times New Roman" w:hAnsi="Times New Roman" w:cs="Times New Roman"/>
                <w:sz w:val="16"/>
                <w:szCs w:val="16"/>
                <w:vertAlign w:val="superscript"/>
              </w:rPr>
              <w:t>*</w:t>
            </w:r>
          </w:p>
        </w:tc>
      </w:tr>
      <w:tr w:rsidR="00201D4C" w:rsidRPr="00596B53" w14:paraId="14132367" w14:textId="77777777" w:rsidTr="00015B88">
        <w:tc>
          <w:tcPr>
            <w:tcW w:w="2136" w:type="dxa"/>
            <w:tcBorders>
              <w:top w:val="nil"/>
              <w:left w:val="nil"/>
              <w:bottom w:val="nil"/>
              <w:right w:val="nil"/>
            </w:tcBorders>
          </w:tcPr>
          <w:p w14:paraId="6FA2B93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9C08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(-2.31)</w:t>
            </w:r>
          </w:p>
        </w:tc>
      </w:tr>
      <w:tr w:rsidR="00201D4C" w:rsidRPr="00596B53" w14:paraId="72D31471" w14:textId="77777777" w:rsidTr="00015B88">
        <w:tc>
          <w:tcPr>
            <w:tcW w:w="2136" w:type="dxa"/>
            <w:tcBorders>
              <w:top w:val="nil"/>
              <w:left w:val="nil"/>
              <w:bottom w:val="nil"/>
              <w:right w:val="nil"/>
            </w:tcBorders>
          </w:tcPr>
          <w:p w14:paraId="3D41D4C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B17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C42D5C4" w14:textId="77777777" w:rsidTr="00015B88">
        <w:tc>
          <w:tcPr>
            <w:tcW w:w="2136" w:type="dxa"/>
            <w:tcBorders>
              <w:top w:val="nil"/>
              <w:left w:val="nil"/>
              <w:bottom w:val="nil"/>
              <w:right w:val="nil"/>
            </w:tcBorders>
          </w:tcPr>
          <w:p w14:paraId="26C434F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L7.De Jure CBI (CNW Index)</w:t>
            </w:r>
          </w:p>
        </w:tc>
        <w:tc>
          <w:tcPr>
            <w:tcW w:w="1656" w:type="dxa"/>
            <w:tcBorders>
              <w:top w:val="nil"/>
              <w:left w:val="nil"/>
              <w:bottom w:val="nil"/>
              <w:right w:val="nil"/>
            </w:tcBorders>
          </w:tcPr>
          <w:p w14:paraId="53080C5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2.624</w:t>
            </w:r>
          </w:p>
        </w:tc>
      </w:tr>
      <w:tr w:rsidR="00201D4C" w:rsidRPr="00596B53" w14:paraId="64EFA25D" w14:textId="77777777" w:rsidTr="00015B88">
        <w:tc>
          <w:tcPr>
            <w:tcW w:w="2136" w:type="dxa"/>
            <w:tcBorders>
              <w:top w:val="nil"/>
              <w:left w:val="nil"/>
              <w:bottom w:val="nil"/>
              <w:right w:val="nil"/>
            </w:tcBorders>
          </w:tcPr>
          <w:p w14:paraId="6B0FA30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B02DE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(0.85)</w:t>
            </w:r>
          </w:p>
        </w:tc>
      </w:tr>
      <w:tr w:rsidR="00201D4C" w:rsidRPr="00596B53" w14:paraId="630A58DA" w14:textId="77777777" w:rsidTr="00015B88">
        <w:tc>
          <w:tcPr>
            <w:tcW w:w="2136" w:type="dxa"/>
            <w:tcBorders>
              <w:top w:val="nil"/>
              <w:left w:val="nil"/>
              <w:bottom w:val="nil"/>
              <w:right w:val="nil"/>
            </w:tcBorders>
          </w:tcPr>
          <w:p w14:paraId="5834C49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347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FD645C7" w14:textId="77777777" w:rsidTr="00015B88">
        <w:tc>
          <w:tcPr>
            <w:tcW w:w="2136" w:type="dxa"/>
            <w:tcBorders>
              <w:top w:val="nil"/>
              <w:left w:val="nil"/>
              <w:bottom w:val="nil"/>
              <w:right w:val="nil"/>
            </w:tcBorders>
          </w:tcPr>
          <w:p w14:paraId="1EFF971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L8.De Jure CBI (CNW Index)</w:t>
            </w:r>
          </w:p>
        </w:tc>
        <w:tc>
          <w:tcPr>
            <w:tcW w:w="1656" w:type="dxa"/>
            <w:tcBorders>
              <w:top w:val="nil"/>
              <w:left w:val="nil"/>
              <w:bottom w:val="nil"/>
              <w:right w:val="nil"/>
            </w:tcBorders>
          </w:tcPr>
          <w:p w14:paraId="0101BB5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1.268</w:t>
            </w:r>
          </w:p>
        </w:tc>
      </w:tr>
      <w:tr w:rsidR="00201D4C" w:rsidRPr="00596B53" w14:paraId="017087C0" w14:textId="77777777" w:rsidTr="00015B88">
        <w:tc>
          <w:tcPr>
            <w:tcW w:w="2136" w:type="dxa"/>
            <w:tcBorders>
              <w:top w:val="nil"/>
              <w:left w:val="nil"/>
              <w:bottom w:val="nil"/>
              <w:right w:val="nil"/>
            </w:tcBorders>
          </w:tcPr>
          <w:p w14:paraId="3A3FCF5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A49E8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(0.45)</w:t>
            </w:r>
          </w:p>
        </w:tc>
      </w:tr>
      <w:tr w:rsidR="00201D4C" w:rsidRPr="00596B53" w14:paraId="56796E62" w14:textId="77777777" w:rsidTr="00015B88">
        <w:tc>
          <w:tcPr>
            <w:tcW w:w="2136" w:type="dxa"/>
            <w:tcBorders>
              <w:top w:val="nil"/>
              <w:left w:val="nil"/>
              <w:bottom w:val="nil"/>
              <w:right w:val="nil"/>
            </w:tcBorders>
          </w:tcPr>
          <w:p w14:paraId="5514861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AC2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5530368" w14:textId="77777777" w:rsidTr="00015B88">
        <w:tc>
          <w:tcPr>
            <w:tcW w:w="2136" w:type="dxa"/>
            <w:tcBorders>
              <w:top w:val="nil"/>
              <w:left w:val="nil"/>
              <w:bottom w:val="nil"/>
              <w:right w:val="nil"/>
            </w:tcBorders>
          </w:tcPr>
          <w:p w14:paraId="0B8C8D3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L9.De Jure CBI (CNW Index)</w:t>
            </w:r>
          </w:p>
        </w:tc>
        <w:tc>
          <w:tcPr>
            <w:tcW w:w="1656" w:type="dxa"/>
            <w:tcBorders>
              <w:top w:val="nil"/>
              <w:left w:val="nil"/>
              <w:bottom w:val="nil"/>
              <w:right w:val="nil"/>
            </w:tcBorders>
          </w:tcPr>
          <w:p w14:paraId="0878A61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-2.272</w:t>
            </w:r>
          </w:p>
        </w:tc>
      </w:tr>
      <w:tr w:rsidR="00201D4C" w:rsidRPr="00596B53" w14:paraId="20606DF4" w14:textId="77777777" w:rsidTr="00015B88">
        <w:tc>
          <w:tcPr>
            <w:tcW w:w="2136" w:type="dxa"/>
            <w:tcBorders>
              <w:top w:val="nil"/>
              <w:left w:val="nil"/>
              <w:bottom w:val="nil"/>
              <w:right w:val="nil"/>
            </w:tcBorders>
          </w:tcPr>
          <w:p w14:paraId="2CB666B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99E6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(-1.11)</w:t>
            </w:r>
          </w:p>
        </w:tc>
      </w:tr>
      <w:tr w:rsidR="00201D4C" w:rsidRPr="00596B53" w14:paraId="1DA739FA" w14:textId="77777777" w:rsidTr="00015B88">
        <w:tc>
          <w:tcPr>
            <w:tcW w:w="2136" w:type="dxa"/>
            <w:tcBorders>
              <w:top w:val="nil"/>
              <w:left w:val="nil"/>
              <w:bottom w:val="nil"/>
              <w:right w:val="nil"/>
            </w:tcBorders>
          </w:tcPr>
          <w:p w14:paraId="2E66EC2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3F5F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5C33B76" w14:textId="77777777" w:rsidTr="00015B88">
        <w:tc>
          <w:tcPr>
            <w:tcW w:w="2136" w:type="dxa"/>
            <w:tcBorders>
              <w:top w:val="nil"/>
              <w:left w:val="nil"/>
              <w:bottom w:val="nil"/>
              <w:right w:val="nil"/>
            </w:tcBorders>
          </w:tcPr>
          <w:p w14:paraId="3367DF3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lastRenderedPageBreak/>
              <w:t>L10.De Jure CBI (CNW Index)</w:t>
            </w:r>
          </w:p>
        </w:tc>
        <w:tc>
          <w:tcPr>
            <w:tcW w:w="1656" w:type="dxa"/>
            <w:tcBorders>
              <w:top w:val="nil"/>
              <w:left w:val="nil"/>
              <w:bottom w:val="nil"/>
              <w:right w:val="nil"/>
            </w:tcBorders>
          </w:tcPr>
          <w:p w14:paraId="15FFA7E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0.615</w:t>
            </w:r>
          </w:p>
        </w:tc>
      </w:tr>
      <w:tr w:rsidR="00201D4C" w:rsidRPr="00596B53" w14:paraId="53166C04" w14:textId="77777777" w:rsidTr="00015B88">
        <w:tc>
          <w:tcPr>
            <w:tcW w:w="2136" w:type="dxa"/>
            <w:tcBorders>
              <w:top w:val="nil"/>
              <w:left w:val="nil"/>
              <w:bottom w:val="nil"/>
              <w:right w:val="nil"/>
            </w:tcBorders>
          </w:tcPr>
          <w:p w14:paraId="2DCCD68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3B04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(0.37)</w:t>
            </w:r>
          </w:p>
        </w:tc>
      </w:tr>
      <w:tr w:rsidR="00201D4C" w:rsidRPr="00596B53" w14:paraId="2B7147F6" w14:textId="77777777" w:rsidTr="00015B88">
        <w:tc>
          <w:tcPr>
            <w:tcW w:w="2136" w:type="dxa"/>
            <w:tcBorders>
              <w:top w:val="nil"/>
              <w:left w:val="nil"/>
              <w:bottom w:val="nil"/>
              <w:right w:val="nil"/>
            </w:tcBorders>
          </w:tcPr>
          <w:p w14:paraId="1E3AC48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72E97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B19AEF9" w14:textId="77777777" w:rsidTr="00015B88">
        <w:tc>
          <w:tcPr>
            <w:tcW w:w="2136" w:type="dxa"/>
            <w:tcBorders>
              <w:top w:val="nil"/>
              <w:left w:val="nil"/>
              <w:bottom w:val="nil"/>
              <w:right w:val="nil"/>
            </w:tcBorders>
          </w:tcPr>
          <w:p w14:paraId="33E282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96B53">
              <w:rPr>
                <w:rFonts w:ascii="Times New Roman" w:hAnsi="Times New Roman" w:cs="Times New Roman"/>
                <w:sz w:val="16"/>
                <w:szCs w:val="16"/>
              </w:rPr>
              <w:t>L.Exchange</w:t>
            </w:r>
            <w:proofErr w:type="spellEnd"/>
            <w:r w:rsidRPr="00596B53">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204E7ED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-0.0381</w:t>
            </w:r>
          </w:p>
        </w:tc>
      </w:tr>
      <w:tr w:rsidR="00201D4C" w:rsidRPr="00596B53" w14:paraId="797CEF9A" w14:textId="77777777" w:rsidTr="00015B88">
        <w:tc>
          <w:tcPr>
            <w:tcW w:w="2136" w:type="dxa"/>
            <w:tcBorders>
              <w:top w:val="nil"/>
              <w:left w:val="nil"/>
              <w:bottom w:val="nil"/>
              <w:right w:val="nil"/>
            </w:tcBorders>
          </w:tcPr>
          <w:p w14:paraId="235A8FA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7CE72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(-0.31)</w:t>
            </w:r>
          </w:p>
        </w:tc>
      </w:tr>
      <w:tr w:rsidR="00201D4C" w:rsidRPr="00596B53" w14:paraId="5EF76A97" w14:textId="77777777" w:rsidTr="00015B88">
        <w:tc>
          <w:tcPr>
            <w:tcW w:w="2136" w:type="dxa"/>
            <w:tcBorders>
              <w:top w:val="nil"/>
              <w:left w:val="nil"/>
              <w:bottom w:val="nil"/>
              <w:right w:val="nil"/>
            </w:tcBorders>
          </w:tcPr>
          <w:p w14:paraId="4900D43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AFFD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32BC295" w14:textId="77777777" w:rsidTr="00015B88">
        <w:tc>
          <w:tcPr>
            <w:tcW w:w="2136" w:type="dxa"/>
            <w:tcBorders>
              <w:top w:val="nil"/>
              <w:left w:val="nil"/>
              <w:bottom w:val="nil"/>
              <w:right w:val="nil"/>
            </w:tcBorders>
          </w:tcPr>
          <w:p w14:paraId="54C119B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5E70798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0.0182</w:t>
            </w:r>
          </w:p>
        </w:tc>
      </w:tr>
      <w:tr w:rsidR="00201D4C" w:rsidRPr="00596B53" w14:paraId="08586D11" w14:textId="77777777" w:rsidTr="00015B88">
        <w:tc>
          <w:tcPr>
            <w:tcW w:w="2136" w:type="dxa"/>
            <w:tcBorders>
              <w:top w:val="nil"/>
              <w:left w:val="nil"/>
              <w:bottom w:val="nil"/>
              <w:right w:val="nil"/>
            </w:tcBorders>
          </w:tcPr>
          <w:p w14:paraId="70D4D16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D2637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(0.17)</w:t>
            </w:r>
          </w:p>
        </w:tc>
      </w:tr>
      <w:tr w:rsidR="00201D4C" w:rsidRPr="00596B53" w14:paraId="2519B71F" w14:textId="77777777" w:rsidTr="00015B88">
        <w:tc>
          <w:tcPr>
            <w:tcW w:w="2136" w:type="dxa"/>
            <w:tcBorders>
              <w:top w:val="nil"/>
              <w:left w:val="nil"/>
              <w:bottom w:val="nil"/>
              <w:right w:val="nil"/>
            </w:tcBorders>
          </w:tcPr>
          <w:p w14:paraId="435CDC4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33F89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A1957B7" w14:textId="77777777" w:rsidTr="00015B88">
        <w:tc>
          <w:tcPr>
            <w:tcW w:w="2136" w:type="dxa"/>
            <w:tcBorders>
              <w:top w:val="nil"/>
              <w:left w:val="nil"/>
              <w:bottom w:val="nil"/>
              <w:right w:val="nil"/>
            </w:tcBorders>
          </w:tcPr>
          <w:p w14:paraId="6692E7F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67BA9D0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0.0375</w:t>
            </w:r>
          </w:p>
        </w:tc>
      </w:tr>
      <w:tr w:rsidR="00201D4C" w:rsidRPr="00596B53" w14:paraId="0447E855" w14:textId="77777777" w:rsidTr="00015B88">
        <w:tc>
          <w:tcPr>
            <w:tcW w:w="2136" w:type="dxa"/>
            <w:tcBorders>
              <w:top w:val="nil"/>
              <w:left w:val="nil"/>
              <w:bottom w:val="nil"/>
              <w:right w:val="nil"/>
            </w:tcBorders>
          </w:tcPr>
          <w:p w14:paraId="6946EF6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8985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(0.30)</w:t>
            </w:r>
          </w:p>
        </w:tc>
      </w:tr>
      <w:tr w:rsidR="00201D4C" w:rsidRPr="00596B53" w14:paraId="25E497BD" w14:textId="77777777" w:rsidTr="00015B88">
        <w:tc>
          <w:tcPr>
            <w:tcW w:w="2136" w:type="dxa"/>
            <w:tcBorders>
              <w:top w:val="nil"/>
              <w:left w:val="nil"/>
              <w:bottom w:val="nil"/>
              <w:right w:val="nil"/>
            </w:tcBorders>
          </w:tcPr>
          <w:p w14:paraId="55A8C67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8BD37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A180173" w14:textId="77777777" w:rsidTr="00015B88">
        <w:tc>
          <w:tcPr>
            <w:tcW w:w="2136" w:type="dxa"/>
            <w:tcBorders>
              <w:top w:val="nil"/>
              <w:left w:val="nil"/>
              <w:bottom w:val="nil"/>
              <w:right w:val="nil"/>
            </w:tcBorders>
          </w:tcPr>
          <w:p w14:paraId="4D9DF60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7E2A61D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-0.133</w:t>
            </w:r>
          </w:p>
        </w:tc>
      </w:tr>
      <w:tr w:rsidR="00201D4C" w:rsidRPr="00596B53" w14:paraId="462A54F9" w14:textId="77777777" w:rsidTr="00015B88">
        <w:tc>
          <w:tcPr>
            <w:tcW w:w="2136" w:type="dxa"/>
            <w:tcBorders>
              <w:top w:val="nil"/>
              <w:left w:val="nil"/>
              <w:bottom w:val="nil"/>
              <w:right w:val="nil"/>
            </w:tcBorders>
          </w:tcPr>
          <w:p w14:paraId="05FC9F8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FD65E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(-0.96)</w:t>
            </w:r>
          </w:p>
        </w:tc>
      </w:tr>
      <w:tr w:rsidR="00201D4C" w:rsidRPr="00596B53" w14:paraId="1100F53F" w14:textId="77777777" w:rsidTr="00015B88">
        <w:tc>
          <w:tcPr>
            <w:tcW w:w="2136" w:type="dxa"/>
            <w:tcBorders>
              <w:top w:val="nil"/>
              <w:left w:val="nil"/>
              <w:bottom w:val="nil"/>
              <w:right w:val="nil"/>
            </w:tcBorders>
          </w:tcPr>
          <w:p w14:paraId="610ABC0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F583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9B20C4D" w14:textId="77777777" w:rsidTr="00015B88">
        <w:tc>
          <w:tcPr>
            <w:tcW w:w="2136" w:type="dxa"/>
            <w:tcBorders>
              <w:top w:val="nil"/>
              <w:left w:val="nil"/>
              <w:bottom w:val="nil"/>
              <w:right w:val="nil"/>
            </w:tcBorders>
          </w:tcPr>
          <w:p w14:paraId="6CCD2A0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2F820AF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0.0666</w:t>
            </w:r>
          </w:p>
        </w:tc>
      </w:tr>
      <w:tr w:rsidR="00201D4C" w:rsidRPr="00596B53" w14:paraId="26E48277" w14:textId="77777777" w:rsidTr="00015B88">
        <w:tc>
          <w:tcPr>
            <w:tcW w:w="2136" w:type="dxa"/>
            <w:tcBorders>
              <w:top w:val="nil"/>
              <w:left w:val="nil"/>
              <w:bottom w:val="nil"/>
              <w:right w:val="nil"/>
            </w:tcBorders>
          </w:tcPr>
          <w:p w14:paraId="4E8EC7E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3509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w:t>
            </w:r>
          </w:p>
        </w:tc>
      </w:tr>
      <w:tr w:rsidR="00201D4C" w:rsidRPr="00596B53" w14:paraId="727B0A6B" w14:textId="77777777" w:rsidTr="00015B88">
        <w:tc>
          <w:tcPr>
            <w:tcW w:w="2136" w:type="dxa"/>
            <w:tcBorders>
              <w:top w:val="nil"/>
              <w:left w:val="nil"/>
              <w:bottom w:val="nil"/>
              <w:right w:val="nil"/>
            </w:tcBorders>
          </w:tcPr>
          <w:p w14:paraId="276DD43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5FC09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C53D60F" w14:textId="77777777" w:rsidTr="00015B88">
        <w:tc>
          <w:tcPr>
            <w:tcW w:w="2136" w:type="dxa"/>
            <w:tcBorders>
              <w:top w:val="nil"/>
              <w:left w:val="nil"/>
              <w:bottom w:val="nil"/>
              <w:right w:val="nil"/>
            </w:tcBorders>
          </w:tcPr>
          <w:p w14:paraId="754B93D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12D795F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0.0268</w:t>
            </w:r>
          </w:p>
        </w:tc>
      </w:tr>
      <w:tr w:rsidR="00201D4C" w:rsidRPr="00596B53" w14:paraId="19C6F34D" w14:textId="77777777" w:rsidTr="00015B88">
        <w:tc>
          <w:tcPr>
            <w:tcW w:w="2136" w:type="dxa"/>
            <w:tcBorders>
              <w:top w:val="nil"/>
              <w:left w:val="nil"/>
              <w:bottom w:val="nil"/>
              <w:right w:val="nil"/>
            </w:tcBorders>
          </w:tcPr>
          <w:p w14:paraId="6747E7C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F968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(0.45)</w:t>
            </w:r>
          </w:p>
        </w:tc>
      </w:tr>
      <w:tr w:rsidR="00201D4C" w:rsidRPr="00596B53" w14:paraId="3DCEBD04" w14:textId="77777777" w:rsidTr="00015B88">
        <w:tc>
          <w:tcPr>
            <w:tcW w:w="2136" w:type="dxa"/>
            <w:tcBorders>
              <w:top w:val="nil"/>
              <w:left w:val="nil"/>
              <w:bottom w:val="nil"/>
              <w:right w:val="nil"/>
            </w:tcBorders>
          </w:tcPr>
          <w:p w14:paraId="0070935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F50DB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BC5C6E1" w14:textId="77777777" w:rsidTr="00015B88">
        <w:tc>
          <w:tcPr>
            <w:tcW w:w="2136" w:type="dxa"/>
            <w:tcBorders>
              <w:top w:val="nil"/>
              <w:left w:val="nil"/>
              <w:bottom w:val="nil"/>
              <w:right w:val="nil"/>
            </w:tcBorders>
          </w:tcPr>
          <w:p w14:paraId="3F36058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4388236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0.0475</w:t>
            </w:r>
          </w:p>
        </w:tc>
      </w:tr>
      <w:tr w:rsidR="00201D4C" w:rsidRPr="00596B53" w14:paraId="124C121D" w14:textId="77777777" w:rsidTr="00015B88">
        <w:tc>
          <w:tcPr>
            <w:tcW w:w="2136" w:type="dxa"/>
            <w:tcBorders>
              <w:top w:val="nil"/>
              <w:left w:val="nil"/>
              <w:bottom w:val="nil"/>
              <w:right w:val="nil"/>
            </w:tcBorders>
          </w:tcPr>
          <w:p w14:paraId="1D6B8C9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346A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(0.92)</w:t>
            </w:r>
          </w:p>
        </w:tc>
      </w:tr>
      <w:tr w:rsidR="00201D4C" w:rsidRPr="00596B53" w14:paraId="51C3F1E2" w14:textId="77777777" w:rsidTr="00015B88">
        <w:tc>
          <w:tcPr>
            <w:tcW w:w="2136" w:type="dxa"/>
            <w:tcBorders>
              <w:top w:val="nil"/>
              <w:left w:val="nil"/>
              <w:bottom w:val="nil"/>
              <w:right w:val="nil"/>
            </w:tcBorders>
          </w:tcPr>
          <w:p w14:paraId="0B5F9B7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79609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53546D9" w14:textId="77777777" w:rsidTr="00015B88">
        <w:tc>
          <w:tcPr>
            <w:tcW w:w="2136" w:type="dxa"/>
            <w:tcBorders>
              <w:top w:val="nil"/>
              <w:left w:val="nil"/>
              <w:bottom w:val="nil"/>
              <w:right w:val="nil"/>
            </w:tcBorders>
          </w:tcPr>
          <w:p w14:paraId="652349F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5955D9E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-0.0313</w:t>
            </w:r>
          </w:p>
        </w:tc>
      </w:tr>
      <w:tr w:rsidR="00201D4C" w:rsidRPr="00596B53" w14:paraId="4AF1A570" w14:textId="77777777" w:rsidTr="00015B88">
        <w:tc>
          <w:tcPr>
            <w:tcW w:w="2136" w:type="dxa"/>
            <w:tcBorders>
              <w:top w:val="nil"/>
              <w:left w:val="nil"/>
              <w:bottom w:val="nil"/>
              <w:right w:val="nil"/>
            </w:tcBorders>
          </w:tcPr>
          <w:p w14:paraId="47EBDE2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E79A3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(-0.40)</w:t>
            </w:r>
          </w:p>
        </w:tc>
      </w:tr>
      <w:tr w:rsidR="00201D4C" w:rsidRPr="00596B53" w14:paraId="0536AF23" w14:textId="77777777" w:rsidTr="00015B88">
        <w:tc>
          <w:tcPr>
            <w:tcW w:w="2136" w:type="dxa"/>
            <w:tcBorders>
              <w:top w:val="nil"/>
              <w:left w:val="nil"/>
              <w:bottom w:val="nil"/>
              <w:right w:val="nil"/>
            </w:tcBorders>
          </w:tcPr>
          <w:p w14:paraId="3364A90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87F6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502A4EC" w14:textId="77777777" w:rsidTr="00015B88">
        <w:tc>
          <w:tcPr>
            <w:tcW w:w="2136" w:type="dxa"/>
            <w:tcBorders>
              <w:top w:val="nil"/>
              <w:left w:val="nil"/>
              <w:bottom w:val="nil"/>
              <w:right w:val="nil"/>
            </w:tcBorders>
          </w:tcPr>
          <w:p w14:paraId="1DE98CC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3C49C20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-0.0516</w:t>
            </w:r>
          </w:p>
        </w:tc>
      </w:tr>
      <w:tr w:rsidR="00201D4C" w:rsidRPr="00596B53" w14:paraId="0AF3A847" w14:textId="77777777" w:rsidTr="00015B88">
        <w:tc>
          <w:tcPr>
            <w:tcW w:w="2136" w:type="dxa"/>
            <w:tcBorders>
              <w:top w:val="nil"/>
              <w:left w:val="nil"/>
              <w:bottom w:val="nil"/>
              <w:right w:val="nil"/>
            </w:tcBorders>
          </w:tcPr>
          <w:p w14:paraId="217DA9B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871E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(-0.75)</w:t>
            </w:r>
          </w:p>
        </w:tc>
      </w:tr>
      <w:tr w:rsidR="00201D4C" w:rsidRPr="00596B53" w14:paraId="0F6D2ADD" w14:textId="77777777" w:rsidTr="00015B88">
        <w:tc>
          <w:tcPr>
            <w:tcW w:w="2136" w:type="dxa"/>
            <w:tcBorders>
              <w:top w:val="nil"/>
              <w:left w:val="nil"/>
              <w:bottom w:val="nil"/>
              <w:right w:val="nil"/>
            </w:tcBorders>
          </w:tcPr>
          <w:p w14:paraId="408B63F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ABCB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74DD74F" w14:textId="77777777" w:rsidTr="00015B88">
        <w:tc>
          <w:tcPr>
            <w:tcW w:w="2136" w:type="dxa"/>
            <w:tcBorders>
              <w:top w:val="nil"/>
              <w:left w:val="nil"/>
              <w:bottom w:val="nil"/>
              <w:right w:val="nil"/>
            </w:tcBorders>
          </w:tcPr>
          <w:p w14:paraId="6A12199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76F1663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-0.0115</w:t>
            </w:r>
          </w:p>
        </w:tc>
      </w:tr>
      <w:tr w:rsidR="00201D4C" w:rsidRPr="00596B53" w14:paraId="407FFE70" w14:textId="77777777" w:rsidTr="00015B88">
        <w:tc>
          <w:tcPr>
            <w:tcW w:w="2136" w:type="dxa"/>
            <w:tcBorders>
              <w:top w:val="nil"/>
              <w:left w:val="nil"/>
              <w:bottom w:val="nil"/>
              <w:right w:val="nil"/>
            </w:tcBorders>
          </w:tcPr>
          <w:p w14:paraId="6049D23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E7E75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(-0.25)</w:t>
            </w:r>
          </w:p>
        </w:tc>
      </w:tr>
      <w:tr w:rsidR="00201D4C" w:rsidRPr="00596B53" w14:paraId="12836189" w14:textId="77777777" w:rsidTr="00015B88">
        <w:tc>
          <w:tcPr>
            <w:tcW w:w="2136" w:type="dxa"/>
            <w:tcBorders>
              <w:top w:val="nil"/>
              <w:left w:val="nil"/>
              <w:bottom w:val="nil"/>
              <w:right w:val="nil"/>
            </w:tcBorders>
          </w:tcPr>
          <w:p w14:paraId="0950D67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D8BD5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62E3666" w14:textId="77777777" w:rsidTr="00015B88">
        <w:tc>
          <w:tcPr>
            <w:tcW w:w="2136" w:type="dxa"/>
            <w:tcBorders>
              <w:top w:val="nil"/>
              <w:left w:val="nil"/>
              <w:bottom w:val="nil"/>
              <w:right w:val="nil"/>
            </w:tcBorders>
          </w:tcPr>
          <w:p w14:paraId="5541883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96B53">
              <w:rPr>
                <w:rFonts w:ascii="Times New Roman" w:hAnsi="Times New Roman" w:cs="Times New Roman"/>
                <w:sz w:val="16"/>
                <w:szCs w:val="16"/>
              </w:rPr>
              <w:t>L.Legislative</w:t>
            </w:r>
            <w:proofErr w:type="spellEnd"/>
            <w:r w:rsidRPr="00596B53">
              <w:rPr>
                <w:rFonts w:ascii="Times New Roman" w:hAnsi="Times New Roman" w:cs="Times New Roman"/>
                <w:sz w:val="16"/>
                <w:szCs w:val="16"/>
              </w:rPr>
              <w:t xml:space="preserve"> Efficacy</w:t>
            </w:r>
          </w:p>
        </w:tc>
        <w:tc>
          <w:tcPr>
            <w:tcW w:w="1656" w:type="dxa"/>
            <w:tcBorders>
              <w:top w:val="nil"/>
              <w:left w:val="nil"/>
              <w:bottom w:val="nil"/>
              <w:right w:val="nil"/>
            </w:tcBorders>
          </w:tcPr>
          <w:p w14:paraId="74D1880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-0.953</w:t>
            </w:r>
          </w:p>
        </w:tc>
      </w:tr>
      <w:tr w:rsidR="00201D4C" w:rsidRPr="00596B53" w14:paraId="1084B9E9" w14:textId="77777777" w:rsidTr="00015B88">
        <w:tc>
          <w:tcPr>
            <w:tcW w:w="2136" w:type="dxa"/>
            <w:tcBorders>
              <w:top w:val="nil"/>
              <w:left w:val="nil"/>
              <w:bottom w:val="nil"/>
              <w:right w:val="nil"/>
            </w:tcBorders>
          </w:tcPr>
          <w:p w14:paraId="45E9D74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194B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(-0.80)</w:t>
            </w:r>
          </w:p>
        </w:tc>
      </w:tr>
      <w:tr w:rsidR="00201D4C" w:rsidRPr="00596B53" w14:paraId="7698CA3B" w14:textId="77777777" w:rsidTr="00015B88">
        <w:tc>
          <w:tcPr>
            <w:tcW w:w="2136" w:type="dxa"/>
            <w:tcBorders>
              <w:top w:val="nil"/>
              <w:left w:val="nil"/>
              <w:bottom w:val="nil"/>
              <w:right w:val="nil"/>
            </w:tcBorders>
          </w:tcPr>
          <w:p w14:paraId="4EDCC6A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7E91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0615088" w14:textId="77777777" w:rsidTr="00015B88">
        <w:tc>
          <w:tcPr>
            <w:tcW w:w="2136" w:type="dxa"/>
            <w:tcBorders>
              <w:top w:val="nil"/>
              <w:left w:val="nil"/>
              <w:bottom w:val="nil"/>
              <w:right w:val="nil"/>
            </w:tcBorders>
          </w:tcPr>
          <w:p w14:paraId="5E933CA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L2.Legislative Efficacy</w:t>
            </w:r>
          </w:p>
        </w:tc>
        <w:tc>
          <w:tcPr>
            <w:tcW w:w="1656" w:type="dxa"/>
            <w:tcBorders>
              <w:top w:val="nil"/>
              <w:left w:val="nil"/>
              <w:bottom w:val="nil"/>
              <w:right w:val="nil"/>
            </w:tcBorders>
          </w:tcPr>
          <w:p w14:paraId="4BA0A5C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0.747</w:t>
            </w:r>
          </w:p>
        </w:tc>
      </w:tr>
      <w:tr w:rsidR="00201D4C" w:rsidRPr="00596B53" w14:paraId="62A118C0" w14:textId="77777777" w:rsidTr="00015B88">
        <w:tc>
          <w:tcPr>
            <w:tcW w:w="2136" w:type="dxa"/>
            <w:tcBorders>
              <w:top w:val="nil"/>
              <w:left w:val="nil"/>
              <w:bottom w:val="nil"/>
              <w:right w:val="nil"/>
            </w:tcBorders>
          </w:tcPr>
          <w:p w14:paraId="605B625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C2D42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(0.53)</w:t>
            </w:r>
          </w:p>
        </w:tc>
      </w:tr>
      <w:tr w:rsidR="00201D4C" w:rsidRPr="00596B53" w14:paraId="057B95DF" w14:textId="77777777" w:rsidTr="00015B88">
        <w:tc>
          <w:tcPr>
            <w:tcW w:w="2136" w:type="dxa"/>
            <w:tcBorders>
              <w:top w:val="nil"/>
              <w:left w:val="nil"/>
              <w:bottom w:val="nil"/>
              <w:right w:val="nil"/>
            </w:tcBorders>
          </w:tcPr>
          <w:p w14:paraId="593F6DC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89A5A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EDC7A36" w14:textId="77777777" w:rsidTr="00015B88">
        <w:tc>
          <w:tcPr>
            <w:tcW w:w="2136" w:type="dxa"/>
            <w:tcBorders>
              <w:top w:val="nil"/>
              <w:left w:val="nil"/>
              <w:bottom w:val="nil"/>
              <w:right w:val="nil"/>
            </w:tcBorders>
          </w:tcPr>
          <w:p w14:paraId="71312DC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L3.Legislative Efficacy</w:t>
            </w:r>
          </w:p>
        </w:tc>
        <w:tc>
          <w:tcPr>
            <w:tcW w:w="1656" w:type="dxa"/>
            <w:tcBorders>
              <w:top w:val="nil"/>
              <w:left w:val="nil"/>
              <w:bottom w:val="nil"/>
              <w:right w:val="nil"/>
            </w:tcBorders>
          </w:tcPr>
          <w:p w14:paraId="2B6FF0E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-0.778</w:t>
            </w:r>
          </w:p>
        </w:tc>
      </w:tr>
      <w:tr w:rsidR="00201D4C" w:rsidRPr="00596B53" w14:paraId="02AC39C9" w14:textId="77777777" w:rsidTr="00015B88">
        <w:tc>
          <w:tcPr>
            <w:tcW w:w="2136" w:type="dxa"/>
            <w:tcBorders>
              <w:top w:val="nil"/>
              <w:left w:val="nil"/>
              <w:bottom w:val="nil"/>
              <w:right w:val="nil"/>
            </w:tcBorders>
          </w:tcPr>
          <w:p w14:paraId="6B4955B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1F635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(-0.45)</w:t>
            </w:r>
          </w:p>
        </w:tc>
      </w:tr>
      <w:tr w:rsidR="00201D4C" w:rsidRPr="00596B53" w14:paraId="52383826" w14:textId="77777777" w:rsidTr="00015B88">
        <w:tc>
          <w:tcPr>
            <w:tcW w:w="2136" w:type="dxa"/>
            <w:tcBorders>
              <w:top w:val="nil"/>
              <w:left w:val="nil"/>
              <w:bottom w:val="nil"/>
              <w:right w:val="nil"/>
            </w:tcBorders>
          </w:tcPr>
          <w:p w14:paraId="24317E6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DA8D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B646C45" w14:textId="77777777" w:rsidTr="00015B88">
        <w:tc>
          <w:tcPr>
            <w:tcW w:w="2136" w:type="dxa"/>
            <w:tcBorders>
              <w:top w:val="nil"/>
              <w:left w:val="nil"/>
              <w:bottom w:val="nil"/>
              <w:right w:val="nil"/>
            </w:tcBorders>
          </w:tcPr>
          <w:p w14:paraId="51CEE73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L4.Legislative Efficacy</w:t>
            </w:r>
          </w:p>
        </w:tc>
        <w:tc>
          <w:tcPr>
            <w:tcW w:w="1656" w:type="dxa"/>
            <w:tcBorders>
              <w:top w:val="nil"/>
              <w:left w:val="nil"/>
              <w:bottom w:val="nil"/>
              <w:right w:val="nil"/>
            </w:tcBorders>
          </w:tcPr>
          <w:p w14:paraId="0C5E9F8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-0.202</w:t>
            </w:r>
          </w:p>
        </w:tc>
      </w:tr>
      <w:tr w:rsidR="00201D4C" w:rsidRPr="00596B53" w14:paraId="2F51E881" w14:textId="77777777" w:rsidTr="00015B88">
        <w:tc>
          <w:tcPr>
            <w:tcW w:w="2136" w:type="dxa"/>
            <w:tcBorders>
              <w:top w:val="nil"/>
              <w:left w:val="nil"/>
              <w:bottom w:val="nil"/>
              <w:right w:val="nil"/>
            </w:tcBorders>
          </w:tcPr>
          <w:p w14:paraId="169A5AC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ACB0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(-0.15)</w:t>
            </w:r>
          </w:p>
        </w:tc>
      </w:tr>
      <w:tr w:rsidR="00201D4C" w:rsidRPr="00596B53" w14:paraId="5F976459" w14:textId="77777777" w:rsidTr="00015B88">
        <w:tc>
          <w:tcPr>
            <w:tcW w:w="2136" w:type="dxa"/>
            <w:tcBorders>
              <w:top w:val="nil"/>
              <w:left w:val="nil"/>
              <w:bottom w:val="nil"/>
              <w:right w:val="nil"/>
            </w:tcBorders>
          </w:tcPr>
          <w:p w14:paraId="7451656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3AE3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517A959" w14:textId="77777777" w:rsidTr="00015B88">
        <w:tc>
          <w:tcPr>
            <w:tcW w:w="2136" w:type="dxa"/>
            <w:tcBorders>
              <w:top w:val="nil"/>
              <w:left w:val="nil"/>
              <w:bottom w:val="nil"/>
              <w:right w:val="nil"/>
            </w:tcBorders>
          </w:tcPr>
          <w:p w14:paraId="4DF1A3B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L5.Legislative Efficacy</w:t>
            </w:r>
          </w:p>
        </w:tc>
        <w:tc>
          <w:tcPr>
            <w:tcW w:w="1656" w:type="dxa"/>
            <w:tcBorders>
              <w:top w:val="nil"/>
              <w:left w:val="nil"/>
              <w:bottom w:val="nil"/>
              <w:right w:val="nil"/>
            </w:tcBorders>
          </w:tcPr>
          <w:p w14:paraId="77EB15D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0.0311</w:t>
            </w:r>
          </w:p>
        </w:tc>
      </w:tr>
      <w:tr w:rsidR="00201D4C" w:rsidRPr="00596B53" w14:paraId="4C291B05" w14:textId="77777777" w:rsidTr="00015B88">
        <w:tc>
          <w:tcPr>
            <w:tcW w:w="2136" w:type="dxa"/>
            <w:tcBorders>
              <w:top w:val="nil"/>
              <w:left w:val="nil"/>
              <w:bottom w:val="nil"/>
              <w:right w:val="nil"/>
            </w:tcBorders>
          </w:tcPr>
          <w:p w14:paraId="27C8B19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6E161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w:t>
            </w:r>
          </w:p>
        </w:tc>
      </w:tr>
      <w:tr w:rsidR="00201D4C" w:rsidRPr="00596B53" w14:paraId="1A5D7380" w14:textId="77777777" w:rsidTr="00015B88">
        <w:tc>
          <w:tcPr>
            <w:tcW w:w="2136" w:type="dxa"/>
            <w:tcBorders>
              <w:top w:val="nil"/>
              <w:left w:val="nil"/>
              <w:bottom w:val="nil"/>
              <w:right w:val="nil"/>
            </w:tcBorders>
          </w:tcPr>
          <w:p w14:paraId="5FFE59E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BC183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18E0A61" w14:textId="77777777" w:rsidTr="00015B88">
        <w:tc>
          <w:tcPr>
            <w:tcW w:w="2136" w:type="dxa"/>
            <w:tcBorders>
              <w:top w:val="nil"/>
              <w:left w:val="nil"/>
              <w:bottom w:val="nil"/>
              <w:right w:val="nil"/>
            </w:tcBorders>
          </w:tcPr>
          <w:p w14:paraId="0E24BEC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L6.Legislative Efficacy</w:t>
            </w:r>
          </w:p>
        </w:tc>
        <w:tc>
          <w:tcPr>
            <w:tcW w:w="1656" w:type="dxa"/>
            <w:tcBorders>
              <w:top w:val="nil"/>
              <w:left w:val="nil"/>
              <w:bottom w:val="nil"/>
              <w:right w:val="nil"/>
            </w:tcBorders>
          </w:tcPr>
          <w:p w14:paraId="7EB5037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-1.255</w:t>
            </w:r>
          </w:p>
        </w:tc>
      </w:tr>
      <w:tr w:rsidR="00201D4C" w:rsidRPr="00596B53" w14:paraId="5F2F05B9" w14:textId="77777777" w:rsidTr="00015B88">
        <w:tc>
          <w:tcPr>
            <w:tcW w:w="2136" w:type="dxa"/>
            <w:tcBorders>
              <w:top w:val="nil"/>
              <w:left w:val="nil"/>
              <w:bottom w:val="nil"/>
              <w:right w:val="nil"/>
            </w:tcBorders>
          </w:tcPr>
          <w:p w14:paraId="4130D55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9D9A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(-0.74)</w:t>
            </w:r>
          </w:p>
        </w:tc>
      </w:tr>
      <w:tr w:rsidR="00201D4C" w:rsidRPr="00596B53" w14:paraId="43671AD0" w14:textId="77777777" w:rsidTr="00015B88">
        <w:tc>
          <w:tcPr>
            <w:tcW w:w="2136" w:type="dxa"/>
            <w:tcBorders>
              <w:top w:val="nil"/>
              <w:left w:val="nil"/>
              <w:bottom w:val="nil"/>
              <w:right w:val="nil"/>
            </w:tcBorders>
          </w:tcPr>
          <w:p w14:paraId="29FB744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D38BD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3249AEF" w14:textId="77777777" w:rsidTr="00015B88">
        <w:tc>
          <w:tcPr>
            <w:tcW w:w="2136" w:type="dxa"/>
            <w:tcBorders>
              <w:top w:val="nil"/>
              <w:left w:val="nil"/>
              <w:bottom w:val="nil"/>
              <w:right w:val="nil"/>
            </w:tcBorders>
          </w:tcPr>
          <w:p w14:paraId="657C6EE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L7.Legislative Efficacy</w:t>
            </w:r>
          </w:p>
        </w:tc>
        <w:tc>
          <w:tcPr>
            <w:tcW w:w="1656" w:type="dxa"/>
            <w:tcBorders>
              <w:top w:val="nil"/>
              <w:left w:val="nil"/>
              <w:bottom w:val="nil"/>
              <w:right w:val="nil"/>
            </w:tcBorders>
          </w:tcPr>
          <w:p w14:paraId="5819A1B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1.252</w:t>
            </w:r>
          </w:p>
        </w:tc>
      </w:tr>
      <w:tr w:rsidR="00201D4C" w:rsidRPr="00596B53" w14:paraId="34FB8134" w14:textId="77777777" w:rsidTr="00015B88">
        <w:tc>
          <w:tcPr>
            <w:tcW w:w="2136" w:type="dxa"/>
            <w:tcBorders>
              <w:top w:val="nil"/>
              <w:left w:val="nil"/>
              <w:bottom w:val="nil"/>
              <w:right w:val="nil"/>
            </w:tcBorders>
          </w:tcPr>
          <w:p w14:paraId="7E588FD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4681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(0.58)</w:t>
            </w:r>
          </w:p>
        </w:tc>
      </w:tr>
      <w:tr w:rsidR="00201D4C" w:rsidRPr="00596B53" w14:paraId="17BF893D" w14:textId="77777777" w:rsidTr="00015B88">
        <w:tc>
          <w:tcPr>
            <w:tcW w:w="2136" w:type="dxa"/>
            <w:tcBorders>
              <w:top w:val="nil"/>
              <w:left w:val="nil"/>
              <w:bottom w:val="nil"/>
              <w:right w:val="nil"/>
            </w:tcBorders>
          </w:tcPr>
          <w:p w14:paraId="2F987DC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6418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C5B2EE0" w14:textId="77777777" w:rsidTr="00015B88">
        <w:tc>
          <w:tcPr>
            <w:tcW w:w="2136" w:type="dxa"/>
            <w:tcBorders>
              <w:top w:val="nil"/>
              <w:left w:val="nil"/>
              <w:bottom w:val="nil"/>
              <w:right w:val="nil"/>
            </w:tcBorders>
          </w:tcPr>
          <w:p w14:paraId="2A009B1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L8.Legislative Efficacy</w:t>
            </w:r>
          </w:p>
        </w:tc>
        <w:tc>
          <w:tcPr>
            <w:tcW w:w="1656" w:type="dxa"/>
            <w:tcBorders>
              <w:top w:val="nil"/>
              <w:left w:val="nil"/>
              <w:bottom w:val="nil"/>
              <w:right w:val="nil"/>
            </w:tcBorders>
          </w:tcPr>
          <w:p w14:paraId="1BA60E8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0.271</w:t>
            </w:r>
          </w:p>
        </w:tc>
      </w:tr>
      <w:tr w:rsidR="00201D4C" w:rsidRPr="00596B53" w14:paraId="53DCC473" w14:textId="77777777" w:rsidTr="00015B88">
        <w:tc>
          <w:tcPr>
            <w:tcW w:w="2136" w:type="dxa"/>
            <w:tcBorders>
              <w:top w:val="nil"/>
              <w:left w:val="nil"/>
              <w:bottom w:val="nil"/>
              <w:right w:val="nil"/>
            </w:tcBorders>
          </w:tcPr>
          <w:p w14:paraId="712200E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A7B22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(0.16)</w:t>
            </w:r>
          </w:p>
        </w:tc>
      </w:tr>
      <w:tr w:rsidR="00201D4C" w:rsidRPr="00596B53" w14:paraId="7B25D3EC" w14:textId="77777777" w:rsidTr="00015B88">
        <w:tc>
          <w:tcPr>
            <w:tcW w:w="2136" w:type="dxa"/>
            <w:tcBorders>
              <w:top w:val="nil"/>
              <w:left w:val="nil"/>
              <w:bottom w:val="nil"/>
              <w:right w:val="nil"/>
            </w:tcBorders>
          </w:tcPr>
          <w:p w14:paraId="57694B6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20A0A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F1BD58A" w14:textId="77777777" w:rsidTr="00015B88">
        <w:tc>
          <w:tcPr>
            <w:tcW w:w="2136" w:type="dxa"/>
            <w:tcBorders>
              <w:top w:val="nil"/>
              <w:left w:val="nil"/>
              <w:bottom w:val="nil"/>
              <w:right w:val="nil"/>
            </w:tcBorders>
          </w:tcPr>
          <w:p w14:paraId="753FEC9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L9.Legislative Efficacy</w:t>
            </w:r>
          </w:p>
        </w:tc>
        <w:tc>
          <w:tcPr>
            <w:tcW w:w="1656" w:type="dxa"/>
            <w:tcBorders>
              <w:top w:val="nil"/>
              <w:left w:val="nil"/>
              <w:bottom w:val="nil"/>
              <w:right w:val="nil"/>
            </w:tcBorders>
          </w:tcPr>
          <w:p w14:paraId="22C6B60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-0.597</w:t>
            </w:r>
          </w:p>
        </w:tc>
      </w:tr>
      <w:tr w:rsidR="00201D4C" w:rsidRPr="00596B53" w14:paraId="4DA35C6A" w14:textId="77777777" w:rsidTr="00015B88">
        <w:tc>
          <w:tcPr>
            <w:tcW w:w="2136" w:type="dxa"/>
            <w:tcBorders>
              <w:top w:val="nil"/>
              <w:left w:val="nil"/>
              <w:bottom w:val="nil"/>
              <w:right w:val="nil"/>
            </w:tcBorders>
          </w:tcPr>
          <w:p w14:paraId="49DBEEA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E1FE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(-0.55)</w:t>
            </w:r>
          </w:p>
        </w:tc>
      </w:tr>
      <w:tr w:rsidR="00201D4C" w:rsidRPr="00596B53" w14:paraId="732DF857" w14:textId="77777777" w:rsidTr="00015B88">
        <w:tc>
          <w:tcPr>
            <w:tcW w:w="2136" w:type="dxa"/>
            <w:tcBorders>
              <w:top w:val="nil"/>
              <w:left w:val="nil"/>
              <w:bottom w:val="nil"/>
              <w:right w:val="nil"/>
            </w:tcBorders>
          </w:tcPr>
          <w:p w14:paraId="0F1D244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86A27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BAFD1C1" w14:textId="77777777" w:rsidTr="00015B88">
        <w:tc>
          <w:tcPr>
            <w:tcW w:w="2136" w:type="dxa"/>
            <w:tcBorders>
              <w:top w:val="nil"/>
              <w:left w:val="nil"/>
              <w:bottom w:val="nil"/>
              <w:right w:val="nil"/>
            </w:tcBorders>
          </w:tcPr>
          <w:p w14:paraId="459D10C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L10.Legislative Efficacy</w:t>
            </w:r>
          </w:p>
        </w:tc>
        <w:tc>
          <w:tcPr>
            <w:tcW w:w="1656" w:type="dxa"/>
            <w:tcBorders>
              <w:top w:val="nil"/>
              <w:left w:val="nil"/>
              <w:bottom w:val="nil"/>
              <w:right w:val="nil"/>
            </w:tcBorders>
          </w:tcPr>
          <w:p w14:paraId="199A7E9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-0.700</w:t>
            </w:r>
          </w:p>
        </w:tc>
      </w:tr>
      <w:tr w:rsidR="00201D4C" w:rsidRPr="00596B53" w14:paraId="5BB49593" w14:textId="77777777" w:rsidTr="00015B88">
        <w:tc>
          <w:tcPr>
            <w:tcW w:w="2136" w:type="dxa"/>
            <w:tcBorders>
              <w:top w:val="nil"/>
              <w:left w:val="nil"/>
              <w:bottom w:val="nil"/>
              <w:right w:val="nil"/>
            </w:tcBorders>
          </w:tcPr>
          <w:p w14:paraId="730E8C4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5717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(-0.81)</w:t>
            </w:r>
          </w:p>
        </w:tc>
      </w:tr>
      <w:tr w:rsidR="00201D4C" w:rsidRPr="00596B53" w14:paraId="0B7A3DDC" w14:textId="77777777" w:rsidTr="00015B88">
        <w:tc>
          <w:tcPr>
            <w:tcW w:w="2136" w:type="dxa"/>
            <w:tcBorders>
              <w:top w:val="nil"/>
              <w:left w:val="nil"/>
              <w:bottom w:val="nil"/>
              <w:right w:val="nil"/>
            </w:tcBorders>
          </w:tcPr>
          <w:p w14:paraId="39DB211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FCA5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4DABF07" w14:textId="77777777" w:rsidTr="00015B88">
        <w:tc>
          <w:tcPr>
            <w:tcW w:w="2136" w:type="dxa"/>
            <w:tcBorders>
              <w:top w:val="nil"/>
              <w:left w:val="nil"/>
              <w:bottom w:val="nil"/>
              <w:right w:val="nil"/>
            </w:tcBorders>
          </w:tcPr>
          <w:p w14:paraId="6BA3DFE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96B53">
              <w:rPr>
                <w:rFonts w:ascii="Times New Roman" w:hAnsi="Times New Roman" w:cs="Times New Roman"/>
                <w:sz w:val="16"/>
                <w:szCs w:val="16"/>
              </w:rPr>
              <w:t>L.De</w:t>
            </w:r>
            <w:proofErr w:type="spellEnd"/>
            <w:r w:rsidRPr="00596B53">
              <w:rPr>
                <w:rFonts w:ascii="Times New Roman" w:hAnsi="Times New Roman" w:cs="Times New Roman"/>
                <w:sz w:val="16"/>
                <w:szCs w:val="16"/>
              </w:rPr>
              <w:t xml:space="preserve"> Jure CBI * Lower House Legislates in Practice</w:t>
            </w:r>
          </w:p>
        </w:tc>
        <w:tc>
          <w:tcPr>
            <w:tcW w:w="1656" w:type="dxa"/>
            <w:tcBorders>
              <w:top w:val="nil"/>
              <w:left w:val="nil"/>
              <w:bottom w:val="nil"/>
              <w:right w:val="nil"/>
            </w:tcBorders>
          </w:tcPr>
          <w:p w14:paraId="424A50D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4.011</w:t>
            </w:r>
          </w:p>
        </w:tc>
      </w:tr>
      <w:tr w:rsidR="00201D4C" w:rsidRPr="00596B53" w14:paraId="1EBA2D40" w14:textId="77777777" w:rsidTr="00015B88">
        <w:tc>
          <w:tcPr>
            <w:tcW w:w="2136" w:type="dxa"/>
            <w:tcBorders>
              <w:top w:val="nil"/>
              <w:left w:val="nil"/>
              <w:bottom w:val="nil"/>
              <w:right w:val="nil"/>
            </w:tcBorders>
          </w:tcPr>
          <w:p w14:paraId="76DF3DF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5A5B8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(1.82)</w:t>
            </w:r>
          </w:p>
        </w:tc>
      </w:tr>
      <w:tr w:rsidR="00201D4C" w:rsidRPr="00596B53" w14:paraId="50F377D6" w14:textId="77777777" w:rsidTr="00015B88">
        <w:tc>
          <w:tcPr>
            <w:tcW w:w="2136" w:type="dxa"/>
            <w:tcBorders>
              <w:top w:val="nil"/>
              <w:left w:val="nil"/>
              <w:bottom w:val="nil"/>
              <w:right w:val="nil"/>
            </w:tcBorders>
          </w:tcPr>
          <w:p w14:paraId="6766BA5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6C5B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6BA017F" w14:textId="77777777" w:rsidTr="00015B88">
        <w:tc>
          <w:tcPr>
            <w:tcW w:w="2136" w:type="dxa"/>
            <w:tcBorders>
              <w:top w:val="nil"/>
              <w:left w:val="nil"/>
              <w:bottom w:val="nil"/>
              <w:right w:val="nil"/>
            </w:tcBorders>
          </w:tcPr>
          <w:p w14:paraId="2749245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L2.De Jure CBI * Lower House Legislates in Practice</w:t>
            </w:r>
          </w:p>
        </w:tc>
        <w:tc>
          <w:tcPr>
            <w:tcW w:w="1656" w:type="dxa"/>
            <w:tcBorders>
              <w:top w:val="nil"/>
              <w:left w:val="nil"/>
              <w:bottom w:val="nil"/>
              <w:right w:val="nil"/>
            </w:tcBorders>
          </w:tcPr>
          <w:p w14:paraId="269CFE6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-0.472</w:t>
            </w:r>
          </w:p>
        </w:tc>
      </w:tr>
      <w:tr w:rsidR="00201D4C" w:rsidRPr="00596B53" w14:paraId="7F0FFE19" w14:textId="77777777" w:rsidTr="00015B88">
        <w:tc>
          <w:tcPr>
            <w:tcW w:w="2136" w:type="dxa"/>
            <w:tcBorders>
              <w:top w:val="nil"/>
              <w:left w:val="nil"/>
              <w:bottom w:val="nil"/>
              <w:right w:val="nil"/>
            </w:tcBorders>
          </w:tcPr>
          <w:p w14:paraId="28D82C1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8D36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(-0.22)</w:t>
            </w:r>
          </w:p>
        </w:tc>
      </w:tr>
      <w:tr w:rsidR="00201D4C" w:rsidRPr="00596B53" w14:paraId="75400AA2" w14:textId="77777777" w:rsidTr="00015B88">
        <w:tc>
          <w:tcPr>
            <w:tcW w:w="2136" w:type="dxa"/>
            <w:tcBorders>
              <w:top w:val="nil"/>
              <w:left w:val="nil"/>
              <w:bottom w:val="nil"/>
              <w:right w:val="nil"/>
            </w:tcBorders>
          </w:tcPr>
          <w:p w14:paraId="2394079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7E81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2EBED5B" w14:textId="77777777" w:rsidTr="00015B88">
        <w:tc>
          <w:tcPr>
            <w:tcW w:w="2136" w:type="dxa"/>
            <w:tcBorders>
              <w:top w:val="nil"/>
              <w:left w:val="nil"/>
              <w:bottom w:val="nil"/>
              <w:right w:val="nil"/>
            </w:tcBorders>
          </w:tcPr>
          <w:p w14:paraId="34E4F03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L3.De Jure CBI * Lower House Legislates in Practice</w:t>
            </w:r>
          </w:p>
        </w:tc>
        <w:tc>
          <w:tcPr>
            <w:tcW w:w="1656" w:type="dxa"/>
            <w:tcBorders>
              <w:top w:val="nil"/>
              <w:left w:val="nil"/>
              <w:bottom w:val="nil"/>
              <w:right w:val="nil"/>
            </w:tcBorders>
          </w:tcPr>
          <w:p w14:paraId="1E27363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0.930</w:t>
            </w:r>
          </w:p>
        </w:tc>
      </w:tr>
      <w:tr w:rsidR="00201D4C" w:rsidRPr="00596B53" w14:paraId="709DD40A" w14:textId="77777777" w:rsidTr="00015B88">
        <w:tc>
          <w:tcPr>
            <w:tcW w:w="2136" w:type="dxa"/>
            <w:tcBorders>
              <w:top w:val="nil"/>
              <w:left w:val="nil"/>
              <w:bottom w:val="nil"/>
              <w:right w:val="nil"/>
            </w:tcBorders>
          </w:tcPr>
          <w:p w14:paraId="7FFD7C5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AE3D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w:t>
            </w:r>
          </w:p>
        </w:tc>
      </w:tr>
      <w:tr w:rsidR="00201D4C" w:rsidRPr="00596B53" w14:paraId="61421843" w14:textId="77777777" w:rsidTr="00015B88">
        <w:tc>
          <w:tcPr>
            <w:tcW w:w="2136" w:type="dxa"/>
            <w:tcBorders>
              <w:top w:val="nil"/>
              <w:left w:val="nil"/>
              <w:bottom w:val="nil"/>
              <w:right w:val="nil"/>
            </w:tcBorders>
          </w:tcPr>
          <w:p w14:paraId="71DC6E8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7D4EF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C39BC8D" w14:textId="77777777" w:rsidTr="00015B88">
        <w:tc>
          <w:tcPr>
            <w:tcW w:w="2136" w:type="dxa"/>
            <w:tcBorders>
              <w:top w:val="nil"/>
              <w:left w:val="nil"/>
              <w:bottom w:val="nil"/>
              <w:right w:val="nil"/>
            </w:tcBorders>
          </w:tcPr>
          <w:p w14:paraId="3FA9B68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L4.De Jure CBI * Lower House Legislates in Practice</w:t>
            </w:r>
          </w:p>
        </w:tc>
        <w:tc>
          <w:tcPr>
            <w:tcW w:w="1656" w:type="dxa"/>
            <w:tcBorders>
              <w:top w:val="nil"/>
              <w:left w:val="nil"/>
              <w:bottom w:val="nil"/>
              <w:right w:val="nil"/>
            </w:tcBorders>
          </w:tcPr>
          <w:p w14:paraId="01597FF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-2.034</w:t>
            </w:r>
          </w:p>
        </w:tc>
      </w:tr>
      <w:tr w:rsidR="00201D4C" w:rsidRPr="00596B53" w14:paraId="29F1A22A" w14:textId="77777777" w:rsidTr="00015B88">
        <w:tc>
          <w:tcPr>
            <w:tcW w:w="2136" w:type="dxa"/>
            <w:tcBorders>
              <w:top w:val="nil"/>
              <w:left w:val="nil"/>
              <w:bottom w:val="nil"/>
              <w:right w:val="nil"/>
            </w:tcBorders>
          </w:tcPr>
          <w:p w14:paraId="3E033AC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EBDA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(-0.89)</w:t>
            </w:r>
          </w:p>
        </w:tc>
      </w:tr>
      <w:tr w:rsidR="00201D4C" w:rsidRPr="00596B53" w14:paraId="393E9A86" w14:textId="77777777" w:rsidTr="00015B88">
        <w:tc>
          <w:tcPr>
            <w:tcW w:w="2136" w:type="dxa"/>
            <w:tcBorders>
              <w:top w:val="nil"/>
              <w:left w:val="nil"/>
              <w:bottom w:val="nil"/>
              <w:right w:val="nil"/>
            </w:tcBorders>
          </w:tcPr>
          <w:p w14:paraId="35E6DF7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CA899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FC85986" w14:textId="77777777" w:rsidTr="00015B88">
        <w:tc>
          <w:tcPr>
            <w:tcW w:w="2136" w:type="dxa"/>
            <w:tcBorders>
              <w:top w:val="nil"/>
              <w:left w:val="nil"/>
              <w:bottom w:val="nil"/>
              <w:right w:val="nil"/>
            </w:tcBorders>
          </w:tcPr>
          <w:p w14:paraId="31BAD0C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L5.De Jure CBI * Lower House Legislates in Practice</w:t>
            </w:r>
          </w:p>
        </w:tc>
        <w:tc>
          <w:tcPr>
            <w:tcW w:w="1656" w:type="dxa"/>
            <w:tcBorders>
              <w:top w:val="nil"/>
              <w:left w:val="nil"/>
              <w:bottom w:val="nil"/>
              <w:right w:val="nil"/>
            </w:tcBorders>
          </w:tcPr>
          <w:p w14:paraId="6340BB9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-3.604</w:t>
            </w:r>
          </w:p>
        </w:tc>
      </w:tr>
      <w:tr w:rsidR="00201D4C" w:rsidRPr="00596B53" w14:paraId="62F6FACB" w14:textId="77777777" w:rsidTr="00015B88">
        <w:tc>
          <w:tcPr>
            <w:tcW w:w="2136" w:type="dxa"/>
            <w:tcBorders>
              <w:top w:val="nil"/>
              <w:left w:val="nil"/>
              <w:bottom w:val="nil"/>
              <w:right w:val="nil"/>
            </w:tcBorders>
          </w:tcPr>
          <w:p w14:paraId="641F389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A2B79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(-1.64)</w:t>
            </w:r>
          </w:p>
        </w:tc>
      </w:tr>
      <w:tr w:rsidR="00201D4C" w:rsidRPr="00596B53" w14:paraId="3E308E04" w14:textId="77777777" w:rsidTr="00015B88">
        <w:tc>
          <w:tcPr>
            <w:tcW w:w="2136" w:type="dxa"/>
            <w:tcBorders>
              <w:top w:val="nil"/>
              <w:left w:val="nil"/>
              <w:bottom w:val="nil"/>
              <w:right w:val="nil"/>
            </w:tcBorders>
          </w:tcPr>
          <w:p w14:paraId="380019A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95A7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DB975A2" w14:textId="77777777" w:rsidTr="00015B88">
        <w:tc>
          <w:tcPr>
            <w:tcW w:w="2136" w:type="dxa"/>
            <w:tcBorders>
              <w:top w:val="nil"/>
              <w:left w:val="nil"/>
              <w:bottom w:val="nil"/>
              <w:right w:val="nil"/>
            </w:tcBorders>
          </w:tcPr>
          <w:p w14:paraId="67C4F44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L6.De Jure CBI * Lower House Legislates in Practice</w:t>
            </w:r>
          </w:p>
        </w:tc>
        <w:tc>
          <w:tcPr>
            <w:tcW w:w="1656" w:type="dxa"/>
            <w:tcBorders>
              <w:top w:val="nil"/>
              <w:left w:val="nil"/>
              <w:bottom w:val="nil"/>
              <w:right w:val="nil"/>
            </w:tcBorders>
          </w:tcPr>
          <w:p w14:paraId="5DA2494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6.133</w:t>
            </w:r>
            <w:r w:rsidRPr="00596B53">
              <w:rPr>
                <w:rFonts w:ascii="Times New Roman" w:hAnsi="Times New Roman" w:cs="Times New Roman"/>
                <w:sz w:val="16"/>
                <w:szCs w:val="16"/>
                <w:vertAlign w:val="superscript"/>
              </w:rPr>
              <w:t>**</w:t>
            </w:r>
          </w:p>
        </w:tc>
      </w:tr>
      <w:tr w:rsidR="00201D4C" w:rsidRPr="00596B53" w14:paraId="13E01B5C" w14:textId="77777777" w:rsidTr="00015B88">
        <w:tc>
          <w:tcPr>
            <w:tcW w:w="2136" w:type="dxa"/>
            <w:tcBorders>
              <w:top w:val="nil"/>
              <w:left w:val="nil"/>
              <w:bottom w:val="nil"/>
              <w:right w:val="nil"/>
            </w:tcBorders>
          </w:tcPr>
          <w:p w14:paraId="5EE2B55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9C12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(2.77)</w:t>
            </w:r>
          </w:p>
        </w:tc>
      </w:tr>
      <w:tr w:rsidR="00201D4C" w:rsidRPr="00596B53" w14:paraId="5BF5FE0E" w14:textId="77777777" w:rsidTr="00015B88">
        <w:tc>
          <w:tcPr>
            <w:tcW w:w="2136" w:type="dxa"/>
            <w:tcBorders>
              <w:top w:val="nil"/>
              <w:left w:val="nil"/>
              <w:bottom w:val="nil"/>
              <w:right w:val="nil"/>
            </w:tcBorders>
          </w:tcPr>
          <w:p w14:paraId="17864B0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6A4A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69717AC" w14:textId="77777777" w:rsidTr="00015B88">
        <w:tc>
          <w:tcPr>
            <w:tcW w:w="2136" w:type="dxa"/>
            <w:tcBorders>
              <w:top w:val="nil"/>
              <w:left w:val="nil"/>
              <w:bottom w:val="nil"/>
              <w:right w:val="nil"/>
            </w:tcBorders>
          </w:tcPr>
          <w:p w14:paraId="07204FD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L7.De Jure CBI * Lower House Legislates in Practice</w:t>
            </w:r>
          </w:p>
        </w:tc>
        <w:tc>
          <w:tcPr>
            <w:tcW w:w="1656" w:type="dxa"/>
            <w:tcBorders>
              <w:top w:val="nil"/>
              <w:left w:val="nil"/>
              <w:bottom w:val="nil"/>
              <w:right w:val="nil"/>
            </w:tcBorders>
          </w:tcPr>
          <w:p w14:paraId="1ED65E5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-1.448</w:t>
            </w:r>
          </w:p>
        </w:tc>
      </w:tr>
      <w:tr w:rsidR="00201D4C" w:rsidRPr="00596B53" w14:paraId="03CF4D5C" w14:textId="77777777" w:rsidTr="00015B88">
        <w:tc>
          <w:tcPr>
            <w:tcW w:w="2136" w:type="dxa"/>
            <w:tcBorders>
              <w:top w:val="nil"/>
              <w:left w:val="nil"/>
              <w:bottom w:val="nil"/>
              <w:right w:val="nil"/>
            </w:tcBorders>
          </w:tcPr>
          <w:p w14:paraId="1D7426D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5020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(-0.51)</w:t>
            </w:r>
          </w:p>
        </w:tc>
      </w:tr>
      <w:tr w:rsidR="00201D4C" w:rsidRPr="00596B53" w14:paraId="7CD09999" w14:textId="77777777" w:rsidTr="00015B88">
        <w:tc>
          <w:tcPr>
            <w:tcW w:w="2136" w:type="dxa"/>
            <w:tcBorders>
              <w:top w:val="nil"/>
              <w:left w:val="nil"/>
              <w:bottom w:val="nil"/>
              <w:right w:val="nil"/>
            </w:tcBorders>
          </w:tcPr>
          <w:p w14:paraId="42D786F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07A75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8E2D34E" w14:textId="77777777" w:rsidTr="00015B88">
        <w:tc>
          <w:tcPr>
            <w:tcW w:w="2136" w:type="dxa"/>
            <w:tcBorders>
              <w:top w:val="nil"/>
              <w:left w:val="nil"/>
              <w:bottom w:val="nil"/>
              <w:right w:val="nil"/>
            </w:tcBorders>
          </w:tcPr>
          <w:p w14:paraId="69A18EE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L8.De Jure CBI * Lower House Legislates in Practice</w:t>
            </w:r>
          </w:p>
        </w:tc>
        <w:tc>
          <w:tcPr>
            <w:tcW w:w="1656" w:type="dxa"/>
            <w:tcBorders>
              <w:top w:val="nil"/>
              <w:left w:val="nil"/>
              <w:bottom w:val="nil"/>
              <w:right w:val="nil"/>
            </w:tcBorders>
          </w:tcPr>
          <w:p w14:paraId="50BDFC4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-0.475</w:t>
            </w:r>
          </w:p>
        </w:tc>
      </w:tr>
      <w:tr w:rsidR="00201D4C" w:rsidRPr="00596B53" w14:paraId="6FE216F7" w14:textId="77777777" w:rsidTr="00015B88">
        <w:tc>
          <w:tcPr>
            <w:tcW w:w="2136" w:type="dxa"/>
            <w:tcBorders>
              <w:top w:val="nil"/>
              <w:left w:val="nil"/>
              <w:bottom w:val="nil"/>
              <w:right w:val="nil"/>
            </w:tcBorders>
          </w:tcPr>
          <w:p w14:paraId="00D0F9C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79DF2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(-0.22)</w:t>
            </w:r>
          </w:p>
        </w:tc>
      </w:tr>
      <w:tr w:rsidR="00201D4C" w:rsidRPr="00596B53" w14:paraId="44DC3542" w14:textId="77777777" w:rsidTr="00015B88">
        <w:tc>
          <w:tcPr>
            <w:tcW w:w="2136" w:type="dxa"/>
            <w:tcBorders>
              <w:top w:val="nil"/>
              <w:left w:val="nil"/>
              <w:bottom w:val="nil"/>
              <w:right w:val="nil"/>
            </w:tcBorders>
          </w:tcPr>
          <w:p w14:paraId="4F97F2B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1641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A66C8D0" w14:textId="77777777" w:rsidTr="00015B88">
        <w:tc>
          <w:tcPr>
            <w:tcW w:w="2136" w:type="dxa"/>
            <w:tcBorders>
              <w:top w:val="nil"/>
              <w:left w:val="nil"/>
              <w:bottom w:val="nil"/>
              <w:right w:val="nil"/>
            </w:tcBorders>
          </w:tcPr>
          <w:p w14:paraId="4EF4093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L9.De Jure CBI * Lower House Legislates in Practice</w:t>
            </w:r>
          </w:p>
        </w:tc>
        <w:tc>
          <w:tcPr>
            <w:tcW w:w="1656" w:type="dxa"/>
            <w:tcBorders>
              <w:top w:val="nil"/>
              <w:left w:val="nil"/>
              <w:bottom w:val="nil"/>
              <w:right w:val="nil"/>
            </w:tcBorders>
          </w:tcPr>
          <w:p w14:paraId="1CB709D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0.564</w:t>
            </w:r>
          </w:p>
        </w:tc>
      </w:tr>
      <w:tr w:rsidR="00201D4C" w:rsidRPr="00596B53" w14:paraId="6920E19B" w14:textId="77777777" w:rsidTr="00015B88">
        <w:tc>
          <w:tcPr>
            <w:tcW w:w="2136" w:type="dxa"/>
            <w:tcBorders>
              <w:top w:val="nil"/>
              <w:left w:val="nil"/>
              <w:bottom w:val="nil"/>
              <w:right w:val="nil"/>
            </w:tcBorders>
          </w:tcPr>
          <w:p w14:paraId="14329B4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E738C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(0.42)</w:t>
            </w:r>
          </w:p>
        </w:tc>
      </w:tr>
      <w:tr w:rsidR="00201D4C" w:rsidRPr="00596B53" w14:paraId="0E57287E" w14:textId="77777777" w:rsidTr="00015B88">
        <w:tc>
          <w:tcPr>
            <w:tcW w:w="2136" w:type="dxa"/>
            <w:tcBorders>
              <w:top w:val="nil"/>
              <w:left w:val="nil"/>
              <w:bottom w:val="nil"/>
              <w:right w:val="nil"/>
            </w:tcBorders>
          </w:tcPr>
          <w:p w14:paraId="2D7BDA8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32AB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E6F7480" w14:textId="77777777" w:rsidTr="00015B88">
        <w:tc>
          <w:tcPr>
            <w:tcW w:w="2136" w:type="dxa"/>
            <w:tcBorders>
              <w:top w:val="nil"/>
              <w:left w:val="nil"/>
              <w:bottom w:val="nil"/>
              <w:right w:val="nil"/>
            </w:tcBorders>
          </w:tcPr>
          <w:p w14:paraId="40B9284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L10.De Jure CBI * Lower House Legislates in Practice</w:t>
            </w:r>
          </w:p>
        </w:tc>
        <w:tc>
          <w:tcPr>
            <w:tcW w:w="1656" w:type="dxa"/>
            <w:tcBorders>
              <w:top w:val="nil"/>
              <w:left w:val="nil"/>
              <w:bottom w:val="nil"/>
              <w:right w:val="nil"/>
            </w:tcBorders>
          </w:tcPr>
          <w:p w14:paraId="3936DBA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-0.0690</w:t>
            </w:r>
          </w:p>
        </w:tc>
      </w:tr>
      <w:tr w:rsidR="00201D4C" w:rsidRPr="00596B53" w14:paraId="2F4E3F3E" w14:textId="77777777" w:rsidTr="00015B88">
        <w:tc>
          <w:tcPr>
            <w:tcW w:w="2136" w:type="dxa"/>
            <w:tcBorders>
              <w:top w:val="nil"/>
              <w:left w:val="nil"/>
              <w:bottom w:val="nil"/>
              <w:right w:val="nil"/>
            </w:tcBorders>
          </w:tcPr>
          <w:p w14:paraId="44D53A3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606D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w:t>
            </w:r>
          </w:p>
        </w:tc>
      </w:tr>
      <w:tr w:rsidR="00201D4C" w:rsidRPr="00596B53" w14:paraId="0C6B449F" w14:textId="77777777" w:rsidTr="00015B88">
        <w:tc>
          <w:tcPr>
            <w:tcW w:w="2136" w:type="dxa"/>
            <w:tcBorders>
              <w:top w:val="nil"/>
              <w:left w:val="nil"/>
              <w:bottom w:val="nil"/>
              <w:right w:val="nil"/>
            </w:tcBorders>
          </w:tcPr>
          <w:p w14:paraId="67DCE95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5C671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F1C5A92" w14:textId="77777777" w:rsidTr="00015B88">
        <w:tc>
          <w:tcPr>
            <w:tcW w:w="2136" w:type="dxa"/>
            <w:tcBorders>
              <w:top w:val="nil"/>
              <w:left w:val="nil"/>
              <w:bottom w:val="nil"/>
              <w:right w:val="nil"/>
            </w:tcBorders>
          </w:tcPr>
          <w:p w14:paraId="0A34526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596B53">
              <w:rPr>
                <w:rFonts w:ascii="Times New Roman" w:hAnsi="Times New Roman" w:cs="Times New Roman"/>
                <w:sz w:val="16"/>
                <w:szCs w:val="16"/>
              </w:rPr>
              <w:t>L.More</w:t>
            </w:r>
            <w:proofErr w:type="spellEnd"/>
            <w:r w:rsidRPr="00596B53">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01DDDA7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0.00531</w:t>
            </w:r>
          </w:p>
        </w:tc>
      </w:tr>
      <w:tr w:rsidR="00201D4C" w:rsidRPr="00596B53" w14:paraId="7E35BD8D" w14:textId="77777777" w:rsidTr="00015B88">
        <w:tc>
          <w:tcPr>
            <w:tcW w:w="2136" w:type="dxa"/>
            <w:tcBorders>
              <w:top w:val="nil"/>
              <w:left w:val="nil"/>
              <w:bottom w:val="nil"/>
              <w:right w:val="nil"/>
            </w:tcBorders>
          </w:tcPr>
          <w:p w14:paraId="0DCB67F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C769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w:t>
            </w:r>
          </w:p>
        </w:tc>
      </w:tr>
      <w:tr w:rsidR="00201D4C" w:rsidRPr="00596B53" w14:paraId="47DBCC4A" w14:textId="77777777" w:rsidTr="00015B88">
        <w:tc>
          <w:tcPr>
            <w:tcW w:w="2136" w:type="dxa"/>
            <w:tcBorders>
              <w:top w:val="nil"/>
              <w:left w:val="nil"/>
              <w:bottom w:val="nil"/>
              <w:right w:val="nil"/>
            </w:tcBorders>
          </w:tcPr>
          <w:p w14:paraId="6EB5CFE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7C166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DF498D0" w14:textId="77777777" w:rsidTr="00015B88">
        <w:tc>
          <w:tcPr>
            <w:tcW w:w="2136" w:type="dxa"/>
            <w:tcBorders>
              <w:top w:val="nil"/>
              <w:left w:val="nil"/>
              <w:bottom w:val="nil"/>
              <w:right w:val="nil"/>
            </w:tcBorders>
          </w:tcPr>
          <w:p w14:paraId="5638FF8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L2.More Fixed Rate * Lower House Legislates in Practice</w:t>
            </w:r>
          </w:p>
        </w:tc>
        <w:tc>
          <w:tcPr>
            <w:tcW w:w="1656" w:type="dxa"/>
            <w:tcBorders>
              <w:top w:val="nil"/>
              <w:left w:val="nil"/>
              <w:bottom w:val="nil"/>
              <w:right w:val="nil"/>
            </w:tcBorders>
          </w:tcPr>
          <w:p w14:paraId="7B3EDF8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0.0738</w:t>
            </w:r>
          </w:p>
        </w:tc>
      </w:tr>
      <w:tr w:rsidR="00201D4C" w:rsidRPr="00596B53" w14:paraId="5F845C24" w14:textId="77777777" w:rsidTr="00015B88">
        <w:tc>
          <w:tcPr>
            <w:tcW w:w="2136" w:type="dxa"/>
            <w:tcBorders>
              <w:top w:val="nil"/>
              <w:left w:val="nil"/>
              <w:bottom w:val="nil"/>
              <w:right w:val="nil"/>
            </w:tcBorders>
          </w:tcPr>
          <w:p w14:paraId="5B975AF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B7A7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(0.90)</w:t>
            </w:r>
          </w:p>
        </w:tc>
      </w:tr>
      <w:tr w:rsidR="00201D4C" w:rsidRPr="00596B53" w14:paraId="5CB19B12" w14:textId="77777777" w:rsidTr="00015B88">
        <w:tc>
          <w:tcPr>
            <w:tcW w:w="2136" w:type="dxa"/>
            <w:tcBorders>
              <w:top w:val="nil"/>
              <w:left w:val="nil"/>
              <w:bottom w:val="nil"/>
              <w:right w:val="nil"/>
            </w:tcBorders>
          </w:tcPr>
          <w:p w14:paraId="73CFBA2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AA33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03FAF96" w14:textId="77777777" w:rsidTr="00015B88">
        <w:tc>
          <w:tcPr>
            <w:tcW w:w="2136" w:type="dxa"/>
            <w:tcBorders>
              <w:top w:val="nil"/>
              <w:left w:val="nil"/>
              <w:bottom w:val="nil"/>
              <w:right w:val="nil"/>
            </w:tcBorders>
          </w:tcPr>
          <w:p w14:paraId="2496DC5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L3.More Fixed Rate * Lower House Legislates in Practice</w:t>
            </w:r>
          </w:p>
        </w:tc>
        <w:tc>
          <w:tcPr>
            <w:tcW w:w="1656" w:type="dxa"/>
            <w:tcBorders>
              <w:top w:val="nil"/>
              <w:left w:val="nil"/>
              <w:bottom w:val="nil"/>
              <w:right w:val="nil"/>
            </w:tcBorders>
          </w:tcPr>
          <w:p w14:paraId="70565F2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-0.00136</w:t>
            </w:r>
          </w:p>
        </w:tc>
      </w:tr>
      <w:tr w:rsidR="00201D4C" w:rsidRPr="00596B53" w14:paraId="5E5E6EE2" w14:textId="77777777" w:rsidTr="00015B88">
        <w:tc>
          <w:tcPr>
            <w:tcW w:w="2136" w:type="dxa"/>
            <w:tcBorders>
              <w:top w:val="nil"/>
              <w:left w:val="nil"/>
              <w:bottom w:val="nil"/>
              <w:right w:val="nil"/>
            </w:tcBorders>
          </w:tcPr>
          <w:p w14:paraId="564006B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A412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w:t>
            </w:r>
          </w:p>
        </w:tc>
      </w:tr>
      <w:tr w:rsidR="00201D4C" w:rsidRPr="00596B53" w14:paraId="365C441A" w14:textId="77777777" w:rsidTr="00015B88">
        <w:tc>
          <w:tcPr>
            <w:tcW w:w="2136" w:type="dxa"/>
            <w:tcBorders>
              <w:top w:val="nil"/>
              <w:left w:val="nil"/>
              <w:bottom w:val="nil"/>
              <w:right w:val="nil"/>
            </w:tcBorders>
          </w:tcPr>
          <w:p w14:paraId="67D0C05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1CFB3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56FD820" w14:textId="77777777" w:rsidTr="00015B88">
        <w:tc>
          <w:tcPr>
            <w:tcW w:w="2136" w:type="dxa"/>
            <w:tcBorders>
              <w:top w:val="nil"/>
              <w:left w:val="nil"/>
              <w:bottom w:val="nil"/>
              <w:right w:val="nil"/>
            </w:tcBorders>
          </w:tcPr>
          <w:p w14:paraId="0CAD7AC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L4.More Fixed Rate * Lower House Legislates in Practice</w:t>
            </w:r>
          </w:p>
        </w:tc>
        <w:tc>
          <w:tcPr>
            <w:tcW w:w="1656" w:type="dxa"/>
            <w:tcBorders>
              <w:top w:val="nil"/>
              <w:left w:val="nil"/>
              <w:bottom w:val="nil"/>
              <w:right w:val="nil"/>
            </w:tcBorders>
          </w:tcPr>
          <w:p w14:paraId="529BD86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0.0327</w:t>
            </w:r>
          </w:p>
        </w:tc>
      </w:tr>
      <w:tr w:rsidR="00201D4C" w:rsidRPr="00596B53" w14:paraId="7DDE51A0" w14:textId="77777777" w:rsidTr="00015B88">
        <w:tc>
          <w:tcPr>
            <w:tcW w:w="2136" w:type="dxa"/>
            <w:tcBorders>
              <w:top w:val="nil"/>
              <w:left w:val="nil"/>
              <w:bottom w:val="nil"/>
              <w:right w:val="nil"/>
            </w:tcBorders>
          </w:tcPr>
          <w:p w14:paraId="7EC2FA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1976E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(0.29)</w:t>
            </w:r>
          </w:p>
        </w:tc>
      </w:tr>
      <w:tr w:rsidR="00201D4C" w:rsidRPr="00596B53" w14:paraId="16DF9F54" w14:textId="77777777" w:rsidTr="00015B88">
        <w:tc>
          <w:tcPr>
            <w:tcW w:w="2136" w:type="dxa"/>
            <w:tcBorders>
              <w:top w:val="nil"/>
              <w:left w:val="nil"/>
              <w:bottom w:val="nil"/>
              <w:right w:val="nil"/>
            </w:tcBorders>
          </w:tcPr>
          <w:p w14:paraId="54EE672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8A9B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F05F4DD" w14:textId="77777777" w:rsidTr="00015B88">
        <w:tc>
          <w:tcPr>
            <w:tcW w:w="2136" w:type="dxa"/>
            <w:tcBorders>
              <w:top w:val="nil"/>
              <w:left w:val="nil"/>
              <w:bottom w:val="nil"/>
              <w:right w:val="nil"/>
            </w:tcBorders>
          </w:tcPr>
          <w:p w14:paraId="1BF0220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lastRenderedPageBreak/>
              <w:t>L5.More Fixed Rate * Lower House Legislates in Practice</w:t>
            </w:r>
          </w:p>
        </w:tc>
        <w:tc>
          <w:tcPr>
            <w:tcW w:w="1656" w:type="dxa"/>
            <w:tcBorders>
              <w:top w:val="nil"/>
              <w:left w:val="nil"/>
              <w:bottom w:val="nil"/>
              <w:right w:val="nil"/>
            </w:tcBorders>
          </w:tcPr>
          <w:p w14:paraId="2821F58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0.0503</w:t>
            </w:r>
          </w:p>
        </w:tc>
      </w:tr>
      <w:tr w:rsidR="00201D4C" w:rsidRPr="00596B53" w14:paraId="05243038" w14:textId="77777777" w:rsidTr="00015B88">
        <w:tc>
          <w:tcPr>
            <w:tcW w:w="2136" w:type="dxa"/>
            <w:tcBorders>
              <w:top w:val="nil"/>
              <w:left w:val="nil"/>
              <w:bottom w:val="nil"/>
              <w:right w:val="nil"/>
            </w:tcBorders>
          </w:tcPr>
          <w:p w14:paraId="328F987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8EE4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(0.49)</w:t>
            </w:r>
          </w:p>
        </w:tc>
      </w:tr>
      <w:tr w:rsidR="00201D4C" w:rsidRPr="00596B53" w14:paraId="4D4E3656" w14:textId="77777777" w:rsidTr="00015B88">
        <w:tc>
          <w:tcPr>
            <w:tcW w:w="2136" w:type="dxa"/>
            <w:tcBorders>
              <w:top w:val="nil"/>
              <w:left w:val="nil"/>
              <w:bottom w:val="nil"/>
              <w:right w:val="nil"/>
            </w:tcBorders>
          </w:tcPr>
          <w:p w14:paraId="585A7FE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8ABD3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AB708D5" w14:textId="77777777" w:rsidTr="00015B88">
        <w:tc>
          <w:tcPr>
            <w:tcW w:w="2136" w:type="dxa"/>
            <w:tcBorders>
              <w:top w:val="nil"/>
              <w:left w:val="nil"/>
              <w:bottom w:val="nil"/>
              <w:right w:val="nil"/>
            </w:tcBorders>
          </w:tcPr>
          <w:p w14:paraId="4C875B6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L6.More Fixed Rate * Lower House Legislates in Practice</w:t>
            </w:r>
          </w:p>
        </w:tc>
        <w:tc>
          <w:tcPr>
            <w:tcW w:w="1656" w:type="dxa"/>
            <w:tcBorders>
              <w:top w:val="nil"/>
              <w:left w:val="nil"/>
              <w:bottom w:val="nil"/>
              <w:right w:val="nil"/>
            </w:tcBorders>
          </w:tcPr>
          <w:p w14:paraId="2F7AABE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-0.0527</w:t>
            </w:r>
          </w:p>
        </w:tc>
      </w:tr>
      <w:tr w:rsidR="00201D4C" w:rsidRPr="00596B53" w14:paraId="2E991461" w14:textId="77777777" w:rsidTr="00015B88">
        <w:tc>
          <w:tcPr>
            <w:tcW w:w="2136" w:type="dxa"/>
            <w:tcBorders>
              <w:top w:val="nil"/>
              <w:left w:val="nil"/>
              <w:bottom w:val="nil"/>
              <w:right w:val="nil"/>
            </w:tcBorders>
          </w:tcPr>
          <w:p w14:paraId="0ADAB80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DB7AE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(-0.90)</w:t>
            </w:r>
          </w:p>
        </w:tc>
      </w:tr>
      <w:tr w:rsidR="00201D4C" w:rsidRPr="00596B53" w14:paraId="1EB501E0" w14:textId="77777777" w:rsidTr="00015B88">
        <w:tc>
          <w:tcPr>
            <w:tcW w:w="2136" w:type="dxa"/>
            <w:tcBorders>
              <w:top w:val="nil"/>
              <w:left w:val="nil"/>
              <w:bottom w:val="nil"/>
              <w:right w:val="nil"/>
            </w:tcBorders>
          </w:tcPr>
          <w:p w14:paraId="41AF88F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92D7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2EC5D8B" w14:textId="77777777" w:rsidTr="00015B88">
        <w:tc>
          <w:tcPr>
            <w:tcW w:w="2136" w:type="dxa"/>
            <w:tcBorders>
              <w:top w:val="nil"/>
              <w:left w:val="nil"/>
              <w:bottom w:val="nil"/>
              <w:right w:val="nil"/>
            </w:tcBorders>
          </w:tcPr>
          <w:p w14:paraId="2115AEE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L7.More Fixed Rate * Lower House Legislates in Practice</w:t>
            </w:r>
          </w:p>
        </w:tc>
        <w:tc>
          <w:tcPr>
            <w:tcW w:w="1656" w:type="dxa"/>
            <w:tcBorders>
              <w:top w:val="nil"/>
              <w:left w:val="nil"/>
              <w:bottom w:val="nil"/>
              <w:right w:val="nil"/>
            </w:tcBorders>
          </w:tcPr>
          <w:p w14:paraId="3E98382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-0.0332</w:t>
            </w:r>
          </w:p>
        </w:tc>
      </w:tr>
      <w:tr w:rsidR="00201D4C" w:rsidRPr="00596B53" w14:paraId="169AB2A3" w14:textId="77777777" w:rsidTr="00015B88">
        <w:tc>
          <w:tcPr>
            <w:tcW w:w="2136" w:type="dxa"/>
            <w:tcBorders>
              <w:top w:val="nil"/>
              <w:left w:val="nil"/>
              <w:bottom w:val="nil"/>
              <w:right w:val="nil"/>
            </w:tcBorders>
          </w:tcPr>
          <w:p w14:paraId="70CD916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54109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(-0.64)</w:t>
            </w:r>
          </w:p>
        </w:tc>
      </w:tr>
      <w:tr w:rsidR="00201D4C" w:rsidRPr="00596B53" w14:paraId="7B9FC4AB" w14:textId="77777777" w:rsidTr="00015B88">
        <w:tc>
          <w:tcPr>
            <w:tcW w:w="2136" w:type="dxa"/>
            <w:tcBorders>
              <w:top w:val="nil"/>
              <w:left w:val="nil"/>
              <w:bottom w:val="nil"/>
              <w:right w:val="nil"/>
            </w:tcBorders>
          </w:tcPr>
          <w:p w14:paraId="47C3DFA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531D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830FA23" w14:textId="77777777" w:rsidTr="00015B88">
        <w:tc>
          <w:tcPr>
            <w:tcW w:w="2136" w:type="dxa"/>
            <w:tcBorders>
              <w:top w:val="nil"/>
              <w:left w:val="nil"/>
              <w:bottom w:val="nil"/>
              <w:right w:val="nil"/>
            </w:tcBorders>
          </w:tcPr>
          <w:p w14:paraId="3B48CEC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L8.More Fixed Rate * Lower House Legislates in Practice</w:t>
            </w:r>
          </w:p>
        </w:tc>
        <w:tc>
          <w:tcPr>
            <w:tcW w:w="1656" w:type="dxa"/>
            <w:tcBorders>
              <w:top w:val="nil"/>
              <w:left w:val="nil"/>
              <w:bottom w:val="nil"/>
              <w:right w:val="nil"/>
            </w:tcBorders>
          </w:tcPr>
          <w:p w14:paraId="431A741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-0.0265</w:t>
            </w:r>
          </w:p>
        </w:tc>
      </w:tr>
      <w:tr w:rsidR="00201D4C" w:rsidRPr="00596B53" w14:paraId="4AE8A7CE" w14:textId="77777777" w:rsidTr="00015B88">
        <w:tc>
          <w:tcPr>
            <w:tcW w:w="2136" w:type="dxa"/>
            <w:tcBorders>
              <w:top w:val="nil"/>
              <w:left w:val="nil"/>
              <w:bottom w:val="nil"/>
              <w:right w:val="nil"/>
            </w:tcBorders>
          </w:tcPr>
          <w:p w14:paraId="49F8EBD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413F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(-0.38)</w:t>
            </w:r>
          </w:p>
        </w:tc>
      </w:tr>
      <w:tr w:rsidR="00201D4C" w:rsidRPr="00596B53" w14:paraId="178D360C" w14:textId="77777777" w:rsidTr="00015B88">
        <w:tc>
          <w:tcPr>
            <w:tcW w:w="2136" w:type="dxa"/>
            <w:tcBorders>
              <w:top w:val="nil"/>
              <w:left w:val="nil"/>
              <w:bottom w:val="nil"/>
              <w:right w:val="nil"/>
            </w:tcBorders>
          </w:tcPr>
          <w:p w14:paraId="5A7A72E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8AEF2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04470F8" w14:textId="77777777" w:rsidTr="00015B88">
        <w:tc>
          <w:tcPr>
            <w:tcW w:w="2136" w:type="dxa"/>
            <w:tcBorders>
              <w:top w:val="nil"/>
              <w:left w:val="nil"/>
              <w:bottom w:val="nil"/>
              <w:right w:val="nil"/>
            </w:tcBorders>
          </w:tcPr>
          <w:p w14:paraId="1F5F1D6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L9.More Fixed Rate * Lower House Legislates in Practice</w:t>
            </w:r>
          </w:p>
        </w:tc>
        <w:tc>
          <w:tcPr>
            <w:tcW w:w="1656" w:type="dxa"/>
            <w:tcBorders>
              <w:top w:val="nil"/>
              <w:left w:val="nil"/>
              <w:bottom w:val="nil"/>
              <w:right w:val="nil"/>
            </w:tcBorders>
          </w:tcPr>
          <w:p w14:paraId="0C611C0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0.0471</w:t>
            </w:r>
          </w:p>
        </w:tc>
      </w:tr>
      <w:tr w:rsidR="00201D4C" w:rsidRPr="00596B53" w14:paraId="010E4A78" w14:textId="77777777" w:rsidTr="00015B88">
        <w:tc>
          <w:tcPr>
            <w:tcW w:w="2136" w:type="dxa"/>
            <w:tcBorders>
              <w:top w:val="nil"/>
              <w:left w:val="nil"/>
              <w:bottom w:val="nil"/>
              <w:right w:val="nil"/>
            </w:tcBorders>
          </w:tcPr>
          <w:p w14:paraId="7CAE8D7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C9F1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(0.70)</w:t>
            </w:r>
          </w:p>
        </w:tc>
      </w:tr>
      <w:tr w:rsidR="00201D4C" w:rsidRPr="00596B53" w14:paraId="2D20E1CD" w14:textId="77777777" w:rsidTr="00015B88">
        <w:tc>
          <w:tcPr>
            <w:tcW w:w="2136" w:type="dxa"/>
            <w:tcBorders>
              <w:top w:val="nil"/>
              <w:left w:val="nil"/>
              <w:bottom w:val="nil"/>
              <w:right w:val="nil"/>
            </w:tcBorders>
          </w:tcPr>
          <w:p w14:paraId="1C4B92B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B419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96EA251" w14:textId="77777777" w:rsidTr="00015B88">
        <w:tc>
          <w:tcPr>
            <w:tcW w:w="2136" w:type="dxa"/>
            <w:tcBorders>
              <w:top w:val="nil"/>
              <w:left w:val="nil"/>
              <w:bottom w:val="nil"/>
              <w:right w:val="nil"/>
            </w:tcBorders>
          </w:tcPr>
          <w:p w14:paraId="6183449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1B037B2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0.0158</w:t>
            </w:r>
          </w:p>
        </w:tc>
      </w:tr>
      <w:tr w:rsidR="00201D4C" w:rsidRPr="00596B53" w14:paraId="0095245D" w14:textId="77777777" w:rsidTr="00015B88">
        <w:tc>
          <w:tcPr>
            <w:tcW w:w="2136" w:type="dxa"/>
            <w:tcBorders>
              <w:top w:val="nil"/>
              <w:left w:val="nil"/>
              <w:bottom w:val="nil"/>
              <w:right w:val="nil"/>
            </w:tcBorders>
          </w:tcPr>
          <w:p w14:paraId="0455DAD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299B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(0.36)</w:t>
            </w:r>
          </w:p>
        </w:tc>
      </w:tr>
      <w:tr w:rsidR="00201D4C" w:rsidRPr="00596B53" w14:paraId="67CD87A3" w14:textId="77777777" w:rsidTr="00015B88">
        <w:tc>
          <w:tcPr>
            <w:tcW w:w="2136" w:type="dxa"/>
            <w:tcBorders>
              <w:top w:val="nil"/>
              <w:left w:val="nil"/>
              <w:bottom w:val="nil"/>
              <w:right w:val="nil"/>
            </w:tcBorders>
          </w:tcPr>
          <w:p w14:paraId="74A0A58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D73C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8F57ABF" w14:textId="77777777" w:rsidTr="00015B88">
        <w:tc>
          <w:tcPr>
            <w:tcW w:w="2136" w:type="dxa"/>
            <w:tcBorders>
              <w:top w:val="nil"/>
              <w:left w:val="nil"/>
              <w:bottom w:val="nil"/>
              <w:right w:val="nil"/>
            </w:tcBorders>
          </w:tcPr>
          <w:p w14:paraId="52D957B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00B8955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15D7E00C" w14:textId="77777777" w:rsidTr="00015B88">
        <w:tc>
          <w:tcPr>
            <w:tcW w:w="2136" w:type="dxa"/>
            <w:tcBorders>
              <w:top w:val="nil"/>
              <w:left w:val="nil"/>
              <w:bottom w:val="nil"/>
              <w:right w:val="nil"/>
            </w:tcBorders>
          </w:tcPr>
          <w:p w14:paraId="2C72D3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F18D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63DFA9E2" w14:textId="77777777" w:rsidTr="00015B88">
        <w:tc>
          <w:tcPr>
            <w:tcW w:w="2136" w:type="dxa"/>
            <w:tcBorders>
              <w:top w:val="single" w:sz="4" w:space="0" w:color="auto"/>
              <w:left w:val="nil"/>
              <w:bottom w:val="nil"/>
              <w:right w:val="nil"/>
            </w:tcBorders>
          </w:tcPr>
          <w:p w14:paraId="15BAF0D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33BFE8C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13608A4E" w14:textId="77777777" w:rsidTr="00015B88">
        <w:tc>
          <w:tcPr>
            <w:tcW w:w="2136" w:type="dxa"/>
            <w:tcBorders>
              <w:top w:val="nil"/>
              <w:left w:val="nil"/>
              <w:bottom w:val="nil"/>
              <w:right w:val="nil"/>
            </w:tcBorders>
          </w:tcPr>
          <w:p w14:paraId="1685273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2FDD001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1.861</w:t>
            </w:r>
            <w:r w:rsidRPr="00596B53">
              <w:rPr>
                <w:rFonts w:ascii="Times New Roman" w:hAnsi="Times New Roman" w:cs="Times New Roman"/>
                <w:sz w:val="16"/>
                <w:szCs w:val="16"/>
                <w:vertAlign w:val="superscript"/>
              </w:rPr>
              <w:t>***</w:t>
            </w:r>
          </w:p>
        </w:tc>
      </w:tr>
      <w:tr w:rsidR="00201D4C" w:rsidRPr="00596B53" w14:paraId="2B7FE9DB" w14:textId="77777777" w:rsidTr="00015B88">
        <w:tc>
          <w:tcPr>
            <w:tcW w:w="2136" w:type="dxa"/>
            <w:tcBorders>
              <w:top w:val="nil"/>
              <w:left w:val="nil"/>
              <w:bottom w:val="nil"/>
              <w:right w:val="nil"/>
            </w:tcBorders>
          </w:tcPr>
          <w:p w14:paraId="79A680F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0ADB5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(3.41)</w:t>
            </w:r>
          </w:p>
        </w:tc>
      </w:tr>
      <w:tr w:rsidR="00201D4C" w:rsidRPr="00596B53" w14:paraId="54F9BD8B" w14:textId="77777777" w:rsidTr="00015B88">
        <w:tc>
          <w:tcPr>
            <w:tcW w:w="2136" w:type="dxa"/>
            <w:tcBorders>
              <w:top w:val="single" w:sz="4" w:space="0" w:color="auto"/>
              <w:left w:val="nil"/>
              <w:bottom w:val="nil"/>
              <w:right w:val="nil"/>
            </w:tcBorders>
          </w:tcPr>
          <w:p w14:paraId="653B3DE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4961B8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44264E99" w14:textId="77777777" w:rsidTr="00015B88">
        <w:tc>
          <w:tcPr>
            <w:tcW w:w="2136" w:type="dxa"/>
            <w:tcBorders>
              <w:top w:val="nil"/>
              <w:left w:val="nil"/>
              <w:bottom w:val="nil"/>
              <w:right w:val="nil"/>
            </w:tcBorders>
          </w:tcPr>
          <w:p w14:paraId="0BE95C0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31A0DD0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3.317</w:t>
            </w:r>
            <w:r w:rsidRPr="00596B53">
              <w:rPr>
                <w:rFonts w:ascii="Times New Roman" w:hAnsi="Times New Roman" w:cs="Times New Roman"/>
                <w:sz w:val="16"/>
                <w:szCs w:val="16"/>
                <w:vertAlign w:val="superscript"/>
              </w:rPr>
              <w:t>***</w:t>
            </w:r>
          </w:p>
        </w:tc>
      </w:tr>
      <w:tr w:rsidR="00201D4C" w:rsidRPr="00596B53" w14:paraId="0A7F2AFA" w14:textId="77777777" w:rsidTr="00015B88">
        <w:tc>
          <w:tcPr>
            <w:tcW w:w="2136" w:type="dxa"/>
            <w:tcBorders>
              <w:top w:val="nil"/>
              <w:left w:val="nil"/>
              <w:bottom w:val="nil"/>
              <w:right w:val="nil"/>
            </w:tcBorders>
          </w:tcPr>
          <w:p w14:paraId="0CA2234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099AF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(5.68)</w:t>
            </w:r>
          </w:p>
        </w:tc>
      </w:tr>
      <w:tr w:rsidR="00201D4C" w:rsidRPr="00596B53" w14:paraId="046F5B99" w14:textId="77777777" w:rsidTr="00015B88">
        <w:tc>
          <w:tcPr>
            <w:tcW w:w="2136" w:type="dxa"/>
            <w:tcBorders>
              <w:top w:val="single" w:sz="4" w:space="0" w:color="auto"/>
              <w:left w:val="nil"/>
              <w:bottom w:val="nil"/>
              <w:right w:val="nil"/>
            </w:tcBorders>
          </w:tcPr>
          <w:p w14:paraId="4BA0701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1FC2B36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63EB5184" w14:textId="77777777" w:rsidTr="00015B88">
        <w:tc>
          <w:tcPr>
            <w:tcW w:w="2136" w:type="dxa"/>
            <w:tcBorders>
              <w:top w:val="nil"/>
              <w:left w:val="nil"/>
              <w:bottom w:val="nil"/>
              <w:right w:val="nil"/>
            </w:tcBorders>
          </w:tcPr>
          <w:p w14:paraId="3F19A3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4CCE120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0.467</w:t>
            </w:r>
          </w:p>
        </w:tc>
      </w:tr>
      <w:tr w:rsidR="00201D4C" w:rsidRPr="00596B53" w14:paraId="3B288668" w14:textId="77777777" w:rsidTr="00015B88">
        <w:tc>
          <w:tcPr>
            <w:tcW w:w="2136" w:type="dxa"/>
            <w:tcBorders>
              <w:top w:val="nil"/>
              <w:left w:val="nil"/>
              <w:bottom w:val="nil"/>
              <w:right w:val="nil"/>
            </w:tcBorders>
          </w:tcPr>
          <w:p w14:paraId="55A30FE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4D09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(1.96)</w:t>
            </w:r>
          </w:p>
        </w:tc>
      </w:tr>
      <w:tr w:rsidR="00201D4C" w:rsidRPr="00596B53" w14:paraId="30698860" w14:textId="77777777" w:rsidTr="00015B88">
        <w:tc>
          <w:tcPr>
            <w:tcW w:w="2136" w:type="dxa"/>
            <w:tcBorders>
              <w:top w:val="single" w:sz="4" w:space="0" w:color="auto"/>
              <w:left w:val="nil"/>
              <w:bottom w:val="nil"/>
              <w:right w:val="nil"/>
            </w:tcBorders>
          </w:tcPr>
          <w:p w14:paraId="1CB916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w:t>
            </w:r>
          </w:p>
        </w:tc>
        <w:tc>
          <w:tcPr>
            <w:tcW w:w="1656" w:type="dxa"/>
            <w:tcBorders>
              <w:top w:val="single" w:sz="4" w:space="0" w:color="auto"/>
              <w:left w:val="nil"/>
              <w:bottom w:val="nil"/>
              <w:right w:val="nil"/>
            </w:tcBorders>
          </w:tcPr>
          <w:p w14:paraId="1FC553D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3751573D" w14:textId="77777777" w:rsidTr="00015B88">
        <w:tc>
          <w:tcPr>
            <w:tcW w:w="2136" w:type="dxa"/>
            <w:tcBorders>
              <w:top w:val="nil"/>
              <w:left w:val="nil"/>
              <w:bottom w:val="nil"/>
              <w:right w:val="nil"/>
            </w:tcBorders>
          </w:tcPr>
          <w:p w14:paraId="5BA18DA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lnsig2u</w:t>
            </w:r>
          </w:p>
        </w:tc>
        <w:tc>
          <w:tcPr>
            <w:tcW w:w="1656" w:type="dxa"/>
            <w:tcBorders>
              <w:top w:val="nil"/>
              <w:left w:val="nil"/>
              <w:bottom w:val="nil"/>
              <w:right w:val="nil"/>
            </w:tcBorders>
          </w:tcPr>
          <w:p w14:paraId="4808ECB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5970F114" w14:textId="77777777" w:rsidTr="00015B88">
        <w:tc>
          <w:tcPr>
            <w:tcW w:w="2136" w:type="dxa"/>
            <w:tcBorders>
              <w:top w:val="nil"/>
              <w:left w:val="nil"/>
              <w:bottom w:val="single" w:sz="4" w:space="0" w:color="auto"/>
              <w:right w:val="nil"/>
            </w:tcBorders>
          </w:tcPr>
          <w:p w14:paraId="468C9E8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D83679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11A3F1D5" w14:textId="77777777" w:rsidTr="00015B88">
        <w:tc>
          <w:tcPr>
            <w:tcW w:w="2136" w:type="dxa"/>
            <w:tcBorders>
              <w:top w:val="nil"/>
              <w:left w:val="nil"/>
              <w:bottom w:val="single" w:sz="4" w:space="0" w:color="auto"/>
              <w:right w:val="nil"/>
            </w:tcBorders>
          </w:tcPr>
          <w:p w14:paraId="5CDD84A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C2624D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670</w:t>
            </w:r>
          </w:p>
        </w:tc>
      </w:tr>
    </w:tbl>
    <w:p w14:paraId="5981300D" w14:textId="77777777" w:rsidR="007875E9" w:rsidRPr="00596B53" w:rsidRDefault="007875E9" w:rsidP="007875E9">
      <w:pPr>
        <w:widowControl w:val="0"/>
        <w:autoSpaceDE w:val="0"/>
        <w:autoSpaceDN w:val="0"/>
        <w:adjustRightInd w:val="0"/>
        <w:spacing w:after="0" w:line="240" w:lineRule="auto"/>
        <w:rPr>
          <w:rFonts w:ascii="Times New Roman" w:hAnsi="Times New Roman" w:cs="Times New Roman"/>
          <w:sz w:val="12"/>
          <w:szCs w:val="12"/>
        </w:rPr>
      </w:pPr>
      <w:r w:rsidRPr="00596B53">
        <w:rPr>
          <w:rFonts w:ascii="Times New Roman" w:hAnsi="Times New Roman" w:cs="Times New Roman"/>
          <w:i/>
          <w:iCs/>
          <w:sz w:val="12"/>
          <w:szCs w:val="12"/>
        </w:rPr>
        <w:t>t</w:t>
      </w:r>
      <w:r w:rsidRPr="00596B53">
        <w:rPr>
          <w:rFonts w:ascii="Times New Roman" w:hAnsi="Times New Roman" w:cs="Times New Roman"/>
          <w:sz w:val="12"/>
          <w:szCs w:val="12"/>
        </w:rPr>
        <w:t xml:space="preserve"> statistics in parentheses</w:t>
      </w:r>
    </w:p>
    <w:p w14:paraId="4C1D3AFD" w14:textId="77777777" w:rsidR="007875E9" w:rsidRPr="00596B53" w:rsidRDefault="007875E9" w:rsidP="007875E9">
      <w:pPr>
        <w:widowControl w:val="0"/>
        <w:autoSpaceDE w:val="0"/>
        <w:autoSpaceDN w:val="0"/>
        <w:adjustRightInd w:val="0"/>
        <w:spacing w:after="0" w:line="240" w:lineRule="auto"/>
        <w:rPr>
          <w:rFonts w:ascii="Times New Roman" w:hAnsi="Times New Roman" w:cs="Times New Roman"/>
          <w:sz w:val="12"/>
          <w:szCs w:val="12"/>
        </w:rPr>
      </w:pPr>
      <w:r w:rsidRPr="00596B53">
        <w:rPr>
          <w:rFonts w:ascii="Times New Roman" w:hAnsi="Times New Roman" w:cs="Times New Roman"/>
          <w:sz w:val="12"/>
          <w:szCs w:val="12"/>
          <w:vertAlign w:val="superscript"/>
        </w:rPr>
        <w:t>*</w:t>
      </w:r>
      <w:r w:rsidRPr="00596B53">
        <w:rPr>
          <w:rFonts w:ascii="Times New Roman" w:hAnsi="Times New Roman" w:cs="Times New Roman"/>
          <w:sz w:val="12"/>
          <w:szCs w:val="12"/>
        </w:rPr>
        <w:t xml:space="preserve"> </w:t>
      </w:r>
      <w:r w:rsidRPr="00596B53">
        <w:rPr>
          <w:rFonts w:ascii="Times New Roman" w:hAnsi="Times New Roman" w:cs="Times New Roman"/>
          <w:i/>
          <w:iCs/>
          <w:sz w:val="12"/>
          <w:szCs w:val="12"/>
        </w:rPr>
        <w:t>p</w:t>
      </w:r>
      <w:r w:rsidRPr="00596B53">
        <w:rPr>
          <w:rFonts w:ascii="Times New Roman" w:hAnsi="Times New Roman" w:cs="Times New Roman"/>
          <w:sz w:val="12"/>
          <w:szCs w:val="12"/>
        </w:rPr>
        <w:t xml:space="preserve"> &lt; 0.05, </w:t>
      </w:r>
      <w:r w:rsidRPr="00596B53">
        <w:rPr>
          <w:rFonts w:ascii="Times New Roman" w:hAnsi="Times New Roman" w:cs="Times New Roman"/>
          <w:sz w:val="12"/>
          <w:szCs w:val="12"/>
          <w:vertAlign w:val="superscript"/>
        </w:rPr>
        <w:t>**</w:t>
      </w:r>
      <w:r w:rsidRPr="00596B53">
        <w:rPr>
          <w:rFonts w:ascii="Times New Roman" w:hAnsi="Times New Roman" w:cs="Times New Roman"/>
          <w:sz w:val="12"/>
          <w:szCs w:val="12"/>
        </w:rPr>
        <w:t xml:space="preserve"> </w:t>
      </w:r>
      <w:r w:rsidRPr="00596B53">
        <w:rPr>
          <w:rFonts w:ascii="Times New Roman" w:hAnsi="Times New Roman" w:cs="Times New Roman"/>
          <w:i/>
          <w:iCs/>
          <w:sz w:val="12"/>
          <w:szCs w:val="12"/>
        </w:rPr>
        <w:t>p</w:t>
      </w:r>
      <w:r w:rsidRPr="00596B53">
        <w:rPr>
          <w:rFonts w:ascii="Times New Roman" w:hAnsi="Times New Roman" w:cs="Times New Roman"/>
          <w:sz w:val="12"/>
          <w:szCs w:val="12"/>
        </w:rPr>
        <w:t xml:space="preserve"> &lt; 0.01, </w:t>
      </w:r>
      <w:r w:rsidRPr="00596B53">
        <w:rPr>
          <w:rFonts w:ascii="Times New Roman" w:hAnsi="Times New Roman" w:cs="Times New Roman"/>
          <w:sz w:val="12"/>
          <w:szCs w:val="12"/>
          <w:vertAlign w:val="superscript"/>
        </w:rPr>
        <w:t>***</w:t>
      </w:r>
      <w:r w:rsidRPr="00596B53">
        <w:rPr>
          <w:rFonts w:ascii="Times New Roman" w:hAnsi="Times New Roman" w:cs="Times New Roman"/>
          <w:sz w:val="12"/>
          <w:szCs w:val="12"/>
        </w:rPr>
        <w:t xml:space="preserve"> </w:t>
      </w:r>
      <w:r w:rsidRPr="00596B53">
        <w:rPr>
          <w:rFonts w:ascii="Times New Roman" w:hAnsi="Times New Roman" w:cs="Times New Roman"/>
          <w:i/>
          <w:iCs/>
          <w:sz w:val="12"/>
          <w:szCs w:val="12"/>
        </w:rPr>
        <w:t>p</w:t>
      </w:r>
      <w:r w:rsidRPr="00596B53">
        <w:rPr>
          <w:rFonts w:ascii="Times New Roman" w:hAnsi="Times New Roman" w:cs="Times New Roman"/>
          <w:sz w:val="12"/>
          <w:szCs w:val="12"/>
        </w:rPr>
        <w:t xml:space="preserve"> &lt; 0.001</w:t>
      </w:r>
    </w:p>
    <w:p w14:paraId="5CE5E6B8" w14:textId="77777777" w:rsidR="00B66C92" w:rsidRDefault="00B66C92" w:rsidP="00783E87"/>
    <w:p w14:paraId="441F1ECA" w14:textId="0F7D5628" w:rsidR="00783E87" w:rsidRDefault="00783E87" w:rsidP="00783E87">
      <w:r>
        <w:t>DF</w:t>
      </w:r>
    </w:p>
    <w:tbl>
      <w:tblPr>
        <w:tblW w:w="0" w:type="auto"/>
        <w:tblLayout w:type="fixed"/>
        <w:tblLook w:val="0000" w:firstRow="0" w:lastRow="0" w:firstColumn="0" w:lastColumn="0" w:noHBand="0" w:noVBand="0"/>
      </w:tblPr>
      <w:tblGrid>
        <w:gridCol w:w="2136"/>
        <w:gridCol w:w="1656"/>
      </w:tblGrid>
      <w:tr w:rsidR="00201D4C" w:rsidRPr="0048122F" w14:paraId="1EC2D98F" w14:textId="77777777" w:rsidTr="00015B88">
        <w:tc>
          <w:tcPr>
            <w:tcW w:w="2136" w:type="dxa"/>
            <w:tcBorders>
              <w:top w:val="single" w:sz="4" w:space="0" w:color="auto"/>
              <w:left w:val="nil"/>
              <w:bottom w:val="nil"/>
              <w:right w:val="nil"/>
            </w:tcBorders>
          </w:tcPr>
          <w:p w14:paraId="3E36026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A0BA82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(3)</w:t>
            </w:r>
          </w:p>
        </w:tc>
      </w:tr>
      <w:tr w:rsidR="00201D4C" w:rsidRPr="0048122F" w14:paraId="43ADCFEA" w14:textId="77777777" w:rsidTr="00015B88">
        <w:tc>
          <w:tcPr>
            <w:tcW w:w="2136" w:type="dxa"/>
            <w:tcBorders>
              <w:top w:val="nil"/>
              <w:left w:val="nil"/>
              <w:bottom w:val="nil"/>
              <w:right w:val="nil"/>
            </w:tcBorders>
          </w:tcPr>
          <w:p w14:paraId="3421097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E5C74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Lower House Turnover</w:t>
            </w:r>
          </w:p>
        </w:tc>
      </w:tr>
      <w:tr w:rsidR="00201D4C" w:rsidRPr="0048122F" w14:paraId="2674E34E" w14:textId="77777777" w:rsidTr="00015B88">
        <w:tc>
          <w:tcPr>
            <w:tcW w:w="2136" w:type="dxa"/>
            <w:tcBorders>
              <w:top w:val="single" w:sz="4" w:space="0" w:color="auto"/>
              <w:left w:val="nil"/>
              <w:bottom w:val="nil"/>
              <w:right w:val="nil"/>
            </w:tcBorders>
          </w:tcPr>
          <w:p w14:paraId="7E0E0A3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398643CA"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5D07882F" w14:textId="77777777" w:rsidTr="00015B88">
        <w:tc>
          <w:tcPr>
            <w:tcW w:w="2136" w:type="dxa"/>
            <w:tcBorders>
              <w:top w:val="nil"/>
              <w:left w:val="nil"/>
              <w:bottom w:val="nil"/>
              <w:right w:val="nil"/>
            </w:tcBorders>
          </w:tcPr>
          <w:p w14:paraId="6D40EA3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43C8B8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-1.062</w:t>
            </w:r>
            <w:r w:rsidRPr="0048122F">
              <w:rPr>
                <w:rFonts w:ascii="Times New Roman" w:hAnsi="Times New Roman" w:cs="Times New Roman"/>
                <w:sz w:val="16"/>
                <w:szCs w:val="16"/>
                <w:vertAlign w:val="superscript"/>
              </w:rPr>
              <w:t>**</w:t>
            </w:r>
          </w:p>
        </w:tc>
      </w:tr>
      <w:tr w:rsidR="00201D4C" w:rsidRPr="0048122F" w14:paraId="44DB68BE" w14:textId="77777777" w:rsidTr="00015B88">
        <w:tc>
          <w:tcPr>
            <w:tcW w:w="2136" w:type="dxa"/>
            <w:tcBorders>
              <w:top w:val="nil"/>
              <w:left w:val="nil"/>
              <w:bottom w:val="nil"/>
              <w:right w:val="nil"/>
            </w:tcBorders>
          </w:tcPr>
          <w:p w14:paraId="0500569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8F2D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(-2.84)</w:t>
            </w:r>
          </w:p>
        </w:tc>
      </w:tr>
      <w:tr w:rsidR="00201D4C" w:rsidRPr="0048122F" w14:paraId="56BA6BA7" w14:textId="77777777" w:rsidTr="00015B88">
        <w:tc>
          <w:tcPr>
            <w:tcW w:w="2136" w:type="dxa"/>
            <w:tcBorders>
              <w:top w:val="nil"/>
              <w:left w:val="nil"/>
              <w:bottom w:val="nil"/>
              <w:right w:val="nil"/>
            </w:tcBorders>
          </w:tcPr>
          <w:p w14:paraId="304E0B8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B305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E619B2E" w14:textId="77777777" w:rsidTr="00015B88">
        <w:tc>
          <w:tcPr>
            <w:tcW w:w="2136" w:type="dxa"/>
            <w:tcBorders>
              <w:top w:val="nil"/>
              <w:left w:val="nil"/>
              <w:bottom w:val="nil"/>
              <w:right w:val="nil"/>
            </w:tcBorders>
          </w:tcPr>
          <w:p w14:paraId="48C0C20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7D7300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0.0944</w:t>
            </w:r>
          </w:p>
        </w:tc>
      </w:tr>
      <w:tr w:rsidR="00201D4C" w:rsidRPr="0048122F" w14:paraId="0F6653EE" w14:textId="77777777" w:rsidTr="00015B88">
        <w:tc>
          <w:tcPr>
            <w:tcW w:w="2136" w:type="dxa"/>
            <w:tcBorders>
              <w:top w:val="nil"/>
              <w:left w:val="nil"/>
              <w:bottom w:val="nil"/>
              <w:right w:val="nil"/>
            </w:tcBorders>
          </w:tcPr>
          <w:p w14:paraId="518AE13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82F5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(0.87)</w:t>
            </w:r>
          </w:p>
        </w:tc>
      </w:tr>
      <w:tr w:rsidR="00201D4C" w:rsidRPr="0048122F" w14:paraId="7B343ED0" w14:textId="77777777" w:rsidTr="00015B88">
        <w:tc>
          <w:tcPr>
            <w:tcW w:w="2136" w:type="dxa"/>
            <w:tcBorders>
              <w:top w:val="nil"/>
              <w:left w:val="nil"/>
              <w:bottom w:val="nil"/>
              <w:right w:val="nil"/>
            </w:tcBorders>
          </w:tcPr>
          <w:p w14:paraId="63AE8F9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CCDF5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615F197" w14:textId="77777777" w:rsidTr="00015B88">
        <w:tc>
          <w:tcPr>
            <w:tcW w:w="2136" w:type="dxa"/>
            <w:tcBorders>
              <w:top w:val="nil"/>
              <w:left w:val="nil"/>
              <w:bottom w:val="nil"/>
              <w:right w:val="nil"/>
            </w:tcBorders>
          </w:tcPr>
          <w:p w14:paraId="1E5AB5F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Legislative Efficacy</w:t>
            </w:r>
          </w:p>
        </w:tc>
        <w:tc>
          <w:tcPr>
            <w:tcW w:w="1656" w:type="dxa"/>
            <w:tcBorders>
              <w:top w:val="nil"/>
              <w:left w:val="nil"/>
              <w:bottom w:val="nil"/>
              <w:right w:val="nil"/>
            </w:tcBorders>
          </w:tcPr>
          <w:p w14:paraId="2457C9A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-0.105</w:t>
            </w:r>
          </w:p>
        </w:tc>
      </w:tr>
      <w:tr w:rsidR="00201D4C" w:rsidRPr="0048122F" w14:paraId="1E582F91" w14:textId="77777777" w:rsidTr="00015B88">
        <w:tc>
          <w:tcPr>
            <w:tcW w:w="2136" w:type="dxa"/>
            <w:tcBorders>
              <w:top w:val="nil"/>
              <w:left w:val="nil"/>
              <w:bottom w:val="nil"/>
              <w:right w:val="nil"/>
            </w:tcBorders>
          </w:tcPr>
          <w:p w14:paraId="12E1EFF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D121C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(-0.16)</w:t>
            </w:r>
          </w:p>
        </w:tc>
      </w:tr>
      <w:tr w:rsidR="00201D4C" w:rsidRPr="0048122F" w14:paraId="2BFFE420" w14:textId="77777777" w:rsidTr="00015B88">
        <w:tc>
          <w:tcPr>
            <w:tcW w:w="2136" w:type="dxa"/>
            <w:tcBorders>
              <w:top w:val="nil"/>
              <w:left w:val="nil"/>
              <w:bottom w:val="nil"/>
              <w:right w:val="nil"/>
            </w:tcBorders>
          </w:tcPr>
          <w:p w14:paraId="382585F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8465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BEC475F" w14:textId="77777777" w:rsidTr="00015B88">
        <w:tc>
          <w:tcPr>
            <w:tcW w:w="2136" w:type="dxa"/>
            <w:tcBorders>
              <w:top w:val="nil"/>
              <w:left w:val="nil"/>
              <w:bottom w:val="nil"/>
              <w:right w:val="nil"/>
            </w:tcBorders>
          </w:tcPr>
          <w:p w14:paraId="12DF5EF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De Facto CBI * Lower House Legislates in Practice</w:t>
            </w:r>
          </w:p>
        </w:tc>
        <w:tc>
          <w:tcPr>
            <w:tcW w:w="1656" w:type="dxa"/>
            <w:tcBorders>
              <w:top w:val="nil"/>
              <w:left w:val="nil"/>
              <w:bottom w:val="nil"/>
              <w:right w:val="nil"/>
            </w:tcBorders>
          </w:tcPr>
          <w:p w14:paraId="6CFDAB2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0.232</w:t>
            </w:r>
          </w:p>
        </w:tc>
      </w:tr>
      <w:tr w:rsidR="00201D4C" w:rsidRPr="0048122F" w14:paraId="47A39464" w14:textId="77777777" w:rsidTr="00015B88">
        <w:tc>
          <w:tcPr>
            <w:tcW w:w="2136" w:type="dxa"/>
            <w:tcBorders>
              <w:top w:val="nil"/>
              <w:left w:val="nil"/>
              <w:bottom w:val="nil"/>
              <w:right w:val="nil"/>
            </w:tcBorders>
          </w:tcPr>
          <w:p w14:paraId="527ABE0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6862D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(0.74)</w:t>
            </w:r>
          </w:p>
        </w:tc>
      </w:tr>
      <w:tr w:rsidR="00201D4C" w:rsidRPr="0048122F" w14:paraId="553559D5" w14:textId="77777777" w:rsidTr="00015B88">
        <w:tc>
          <w:tcPr>
            <w:tcW w:w="2136" w:type="dxa"/>
            <w:tcBorders>
              <w:top w:val="nil"/>
              <w:left w:val="nil"/>
              <w:bottom w:val="nil"/>
              <w:right w:val="nil"/>
            </w:tcBorders>
          </w:tcPr>
          <w:p w14:paraId="6980A15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0E9E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7DC1B05" w14:textId="77777777" w:rsidTr="00015B88">
        <w:tc>
          <w:tcPr>
            <w:tcW w:w="2136" w:type="dxa"/>
            <w:tcBorders>
              <w:top w:val="nil"/>
              <w:left w:val="nil"/>
              <w:bottom w:val="nil"/>
              <w:right w:val="nil"/>
            </w:tcBorders>
          </w:tcPr>
          <w:p w14:paraId="7AC4154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52F8D14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0.0278</w:t>
            </w:r>
          </w:p>
        </w:tc>
      </w:tr>
      <w:tr w:rsidR="00201D4C" w:rsidRPr="0048122F" w14:paraId="6262CAF0" w14:textId="77777777" w:rsidTr="00015B88">
        <w:tc>
          <w:tcPr>
            <w:tcW w:w="2136" w:type="dxa"/>
            <w:tcBorders>
              <w:top w:val="nil"/>
              <w:left w:val="nil"/>
              <w:bottom w:val="nil"/>
              <w:right w:val="nil"/>
            </w:tcBorders>
          </w:tcPr>
          <w:p w14:paraId="02058D8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2DC1A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(0.42)</w:t>
            </w:r>
          </w:p>
        </w:tc>
      </w:tr>
      <w:tr w:rsidR="00201D4C" w:rsidRPr="0048122F" w14:paraId="7EF8C417" w14:textId="77777777" w:rsidTr="00015B88">
        <w:tc>
          <w:tcPr>
            <w:tcW w:w="2136" w:type="dxa"/>
            <w:tcBorders>
              <w:top w:val="nil"/>
              <w:left w:val="nil"/>
              <w:bottom w:val="nil"/>
              <w:right w:val="nil"/>
            </w:tcBorders>
          </w:tcPr>
          <w:p w14:paraId="03103AE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6DAF0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88BA793" w14:textId="77777777" w:rsidTr="00015B88">
        <w:tc>
          <w:tcPr>
            <w:tcW w:w="2136" w:type="dxa"/>
            <w:tcBorders>
              <w:top w:val="nil"/>
              <w:left w:val="nil"/>
              <w:bottom w:val="nil"/>
              <w:right w:val="nil"/>
            </w:tcBorders>
          </w:tcPr>
          <w:p w14:paraId="2887B28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14C8BEE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0.112</w:t>
            </w:r>
          </w:p>
        </w:tc>
      </w:tr>
      <w:tr w:rsidR="00201D4C" w:rsidRPr="0048122F" w14:paraId="6645CD4A" w14:textId="77777777" w:rsidTr="00015B88">
        <w:tc>
          <w:tcPr>
            <w:tcW w:w="2136" w:type="dxa"/>
            <w:tcBorders>
              <w:top w:val="nil"/>
              <w:left w:val="nil"/>
              <w:bottom w:val="nil"/>
              <w:right w:val="nil"/>
            </w:tcBorders>
          </w:tcPr>
          <w:p w14:paraId="10A8785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D712D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(0.39)</w:t>
            </w:r>
          </w:p>
        </w:tc>
      </w:tr>
      <w:tr w:rsidR="00201D4C" w:rsidRPr="0048122F" w14:paraId="1A5ED3EC" w14:textId="77777777" w:rsidTr="00015B88">
        <w:tc>
          <w:tcPr>
            <w:tcW w:w="2136" w:type="dxa"/>
            <w:tcBorders>
              <w:top w:val="nil"/>
              <w:left w:val="nil"/>
              <w:bottom w:val="nil"/>
              <w:right w:val="nil"/>
            </w:tcBorders>
          </w:tcPr>
          <w:p w14:paraId="1EE1713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7287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97B09D2" w14:textId="77777777" w:rsidTr="00015B88">
        <w:tc>
          <w:tcPr>
            <w:tcW w:w="2136" w:type="dxa"/>
            <w:tcBorders>
              <w:top w:val="nil"/>
              <w:left w:val="nil"/>
              <w:bottom w:val="nil"/>
              <w:right w:val="nil"/>
            </w:tcBorders>
          </w:tcPr>
          <w:p w14:paraId="42F4BAC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2183AB8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-1.025</w:t>
            </w:r>
            <w:r w:rsidRPr="0048122F">
              <w:rPr>
                <w:rFonts w:ascii="Times New Roman" w:hAnsi="Times New Roman" w:cs="Times New Roman"/>
                <w:sz w:val="16"/>
                <w:szCs w:val="16"/>
                <w:vertAlign w:val="superscript"/>
              </w:rPr>
              <w:t>*</w:t>
            </w:r>
          </w:p>
        </w:tc>
      </w:tr>
      <w:tr w:rsidR="00201D4C" w:rsidRPr="0048122F" w14:paraId="79FB61F0" w14:textId="77777777" w:rsidTr="00015B88">
        <w:tc>
          <w:tcPr>
            <w:tcW w:w="2136" w:type="dxa"/>
            <w:tcBorders>
              <w:top w:val="nil"/>
              <w:left w:val="nil"/>
              <w:bottom w:val="nil"/>
              <w:right w:val="nil"/>
            </w:tcBorders>
          </w:tcPr>
          <w:p w14:paraId="20346AC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FF7F3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(-2.49)</w:t>
            </w:r>
          </w:p>
        </w:tc>
      </w:tr>
      <w:tr w:rsidR="00201D4C" w:rsidRPr="0048122F" w14:paraId="460CD9AB" w14:textId="77777777" w:rsidTr="00015B88">
        <w:tc>
          <w:tcPr>
            <w:tcW w:w="2136" w:type="dxa"/>
            <w:tcBorders>
              <w:top w:val="nil"/>
              <w:left w:val="nil"/>
              <w:bottom w:val="nil"/>
              <w:right w:val="nil"/>
            </w:tcBorders>
          </w:tcPr>
          <w:p w14:paraId="3BE93F0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0483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6BAE191" w14:textId="77777777" w:rsidTr="00015B88">
        <w:tc>
          <w:tcPr>
            <w:tcW w:w="2136" w:type="dxa"/>
            <w:tcBorders>
              <w:top w:val="nil"/>
              <w:left w:val="nil"/>
              <w:bottom w:val="nil"/>
              <w:right w:val="nil"/>
            </w:tcBorders>
          </w:tcPr>
          <w:p w14:paraId="76073ED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31AF7AA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-0.433</w:t>
            </w:r>
          </w:p>
        </w:tc>
      </w:tr>
      <w:tr w:rsidR="00201D4C" w:rsidRPr="0048122F" w14:paraId="058A8391" w14:textId="77777777" w:rsidTr="00015B88">
        <w:tc>
          <w:tcPr>
            <w:tcW w:w="2136" w:type="dxa"/>
            <w:tcBorders>
              <w:top w:val="nil"/>
              <w:left w:val="nil"/>
              <w:bottom w:val="nil"/>
              <w:right w:val="nil"/>
            </w:tcBorders>
          </w:tcPr>
          <w:p w14:paraId="5A6C509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AF3D9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(-1.20)</w:t>
            </w:r>
          </w:p>
        </w:tc>
      </w:tr>
      <w:tr w:rsidR="00201D4C" w:rsidRPr="0048122F" w14:paraId="54EDA55B" w14:textId="77777777" w:rsidTr="00015B88">
        <w:tc>
          <w:tcPr>
            <w:tcW w:w="2136" w:type="dxa"/>
            <w:tcBorders>
              <w:top w:val="nil"/>
              <w:left w:val="nil"/>
              <w:bottom w:val="nil"/>
              <w:right w:val="nil"/>
            </w:tcBorders>
          </w:tcPr>
          <w:p w14:paraId="2DE5FDA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07792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D1D6C0B" w14:textId="77777777" w:rsidTr="00015B88">
        <w:tc>
          <w:tcPr>
            <w:tcW w:w="2136" w:type="dxa"/>
            <w:tcBorders>
              <w:top w:val="nil"/>
              <w:left w:val="nil"/>
              <w:bottom w:val="nil"/>
              <w:right w:val="nil"/>
            </w:tcBorders>
          </w:tcPr>
          <w:p w14:paraId="3BED79E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6BF0318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0.0309</w:t>
            </w:r>
          </w:p>
        </w:tc>
      </w:tr>
      <w:tr w:rsidR="00201D4C" w:rsidRPr="0048122F" w14:paraId="4CF73D6B" w14:textId="77777777" w:rsidTr="00015B88">
        <w:tc>
          <w:tcPr>
            <w:tcW w:w="2136" w:type="dxa"/>
            <w:tcBorders>
              <w:top w:val="nil"/>
              <w:left w:val="nil"/>
              <w:bottom w:val="nil"/>
              <w:right w:val="nil"/>
            </w:tcBorders>
          </w:tcPr>
          <w:p w14:paraId="3CC69C5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C819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(0.08)</w:t>
            </w:r>
          </w:p>
        </w:tc>
      </w:tr>
      <w:tr w:rsidR="00201D4C" w:rsidRPr="0048122F" w14:paraId="1FB11208" w14:textId="77777777" w:rsidTr="00015B88">
        <w:tc>
          <w:tcPr>
            <w:tcW w:w="2136" w:type="dxa"/>
            <w:tcBorders>
              <w:top w:val="nil"/>
              <w:left w:val="nil"/>
              <w:bottom w:val="nil"/>
              <w:right w:val="nil"/>
            </w:tcBorders>
          </w:tcPr>
          <w:p w14:paraId="43FBFF4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5A47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7EB6BFD" w14:textId="77777777" w:rsidTr="00015B88">
        <w:tc>
          <w:tcPr>
            <w:tcW w:w="2136" w:type="dxa"/>
            <w:tcBorders>
              <w:top w:val="nil"/>
              <w:left w:val="nil"/>
              <w:bottom w:val="nil"/>
              <w:right w:val="nil"/>
            </w:tcBorders>
          </w:tcPr>
          <w:p w14:paraId="670D73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15EF85A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0.967</w:t>
            </w:r>
            <w:r w:rsidRPr="0048122F">
              <w:rPr>
                <w:rFonts w:ascii="Times New Roman" w:hAnsi="Times New Roman" w:cs="Times New Roman"/>
                <w:sz w:val="16"/>
                <w:szCs w:val="16"/>
                <w:vertAlign w:val="superscript"/>
              </w:rPr>
              <w:t>**</w:t>
            </w:r>
          </w:p>
        </w:tc>
      </w:tr>
      <w:tr w:rsidR="00201D4C" w:rsidRPr="0048122F" w14:paraId="3F7FEC35" w14:textId="77777777" w:rsidTr="00015B88">
        <w:tc>
          <w:tcPr>
            <w:tcW w:w="2136" w:type="dxa"/>
            <w:tcBorders>
              <w:top w:val="nil"/>
              <w:left w:val="nil"/>
              <w:bottom w:val="nil"/>
              <w:right w:val="nil"/>
            </w:tcBorders>
          </w:tcPr>
          <w:p w14:paraId="5D9AA7F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6578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(2.82)</w:t>
            </w:r>
          </w:p>
        </w:tc>
      </w:tr>
      <w:tr w:rsidR="00201D4C" w:rsidRPr="0048122F" w14:paraId="64D2554F" w14:textId="77777777" w:rsidTr="00015B88">
        <w:tc>
          <w:tcPr>
            <w:tcW w:w="2136" w:type="dxa"/>
            <w:tcBorders>
              <w:top w:val="nil"/>
              <w:left w:val="nil"/>
              <w:bottom w:val="nil"/>
              <w:right w:val="nil"/>
            </w:tcBorders>
          </w:tcPr>
          <w:p w14:paraId="299577C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9BB5B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F133EFD" w14:textId="77777777" w:rsidTr="00015B88">
        <w:tc>
          <w:tcPr>
            <w:tcW w:w="2136" w:type="dxa"/>
            <w:tcBorders>
              <w:top w:val="nil"/>
              <w:left w:val="nil"/>
              <w:bottom w:val="nil"/>
              <w:right w:val="nil"/>
            </w:tcBorders>
          </w:tcPr>
          <w:p w14:paraId="741F9A1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29389A7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-0.447</w:t>
            </w:r>
          </w:p>
        </w:tc>
      </w:tr>
      <w:tr w:rsidR="00201D4C" w:rsidRPr="0048122F" w14:paraId="7E6AA2ED" w14:textId="77777777" w:rsidTr="00015B88">
        <w:tc>
          <w:tcPr>
            <w:tcW w:w="2136" w:type="dxa"/>
            <w:tcBorders>
              <w:top w:val="nil"/>
              <w:left w:val="nil"/>
              <w:bottom w:val="nil"/>
              <w:right w:val="nil"/>
            </w:tcBorders>
          </w:tcPr>
          <w:p w14:paraId="1064409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A273B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(-1.52)</w:t>
            </w:r>
          </w:p>
        </w:tc>
      </w:tr>
      <w:tr w:rsidR="00201D4C" w:rsidRPr="0048122F" w14:paraId="7ACFC55A" w14:textId="77777777" w:rsidTr="00015B88">
        <w:tc>
          <w:tcPr>
            <w:tcW w:w="2136" w:type="dxa"/>
            <w:tcBorders>
              <w:top w:val="nil"/>
              <w:left w:val="nil"/>
              <w:bottom w:val="nil"/>
              <w:right w:val="nil"/>
            </w:tcBorders>
          </w:tcPr>
          <w:p w14:paraId="5BF9633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2252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0FA3587" w14:textId="77777777" w:rsidTr="00015B88">
        <w:tc>
          <w:tcPr>
            <w:tcW w:w="2136" w:type="dxa"/>
            <w:tcBorders>
              <w:top w:val="nil"/>
              <w:left w:val="nil"/>
              <w:bottom w:val="nil"/>
              <w:right w:val="nil"/>
            </w:tcBorders>
          </w:tcPr>
          <w:p w14:paraId="0FD304E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273B02A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0.0904</w:t>
            </w:r>
          </w:p>
        </w:tc>
      </w:tr>
      <w:tr w:rsidR="00201D4C" w:rsidRPr="0048122F" w14:paraId="3CAA7144" w14:textId="77777777" w:rsidTr="00015B88">
        <w:tc>
          <w:tcPr>
            <w:tcW w:w="2136" w:type="dxa"/>
            <w:tcBorders>
              <w:top w:val="nil"/>
              <w:left w:val="nil"/>
              <w:bottom w:val="nil"/>
              <w:right w:val="nil"/>
            </w:tcBorders>
          </w:tcPr>
          <w:p w14:paraId="49E4741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B08E8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(0.22)</w:t>
            </w:r>
          </w:p>
        </w:tc>
      </w:tr>
      <w:tr w:rsidR="00201D4C" w:rsidRPr="0048122F" w14:paraId="201FA817" w14:textId="77777777" w:rsidTr="00015B88">
        <w:tc>
          <w:tcPr>
            <w:tcW w:w="2136" w:type="dxa"/>
            <w:tcBorders>
              <w:top w:val="nil"/>
              <w:left w:val="nil"/>
              <w:bottom w:val="nil"/>
              <w:right w:val="nil"/>
            </w:tcBorders>
          </w:tcPr>
          <w:p w14:paraId="71C80F5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003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3DD8814" w14:textId="77777777" w:rsidTr="00015B88">
        <w:tc>
          <w:tcPr>
            <w:tcW w:w="2136" w:type="dxa"/>
            <w:tcBorders>
              <w:top w:val="nil"/>
              <w:left w:val="nil"/>
              <w:bottom w:val="nil"/>
              <w:right w:val="nil"/>
            </w:tcBorders>
          </w:tcPr>
          <w:p w14:paraId="79804B5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2F7EF8A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-0.562</w:t>
            </w:r>
          </w:p>
        </w:tc>
      </w:tr>
      <w:tr w:rsidR="00201D4C" w:rsidRPr="0048122F" w14:paraId="3D0C5CE1" w14:textId="77777777" w:rsidTr="00015B88">
        <w:tc>
          <w:tcPr>
            <w:tcW w:w="2136" w:type="dxa"/>
            <w:tcBorders>
              <w:top w:val="nil"/>
              <w:left w:val="nil"/>
              <w:bottom w:val="nil"/>
              <w:right w:val="nil"/>
            </w:tcBorders>
          </w:tcPr>
          <w:p w14:paraId="04BA22B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E766E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(-1.75)</w:t>
            </w:r>
          </w:p>
        </w:tc>
      </w:tr>
      <w:tr w:rsidR="00201D4C" w:rsidRPr="0048122F" w14:paraId="34E7FC3E" w14:textId="77777777" w:rsidTr="00015B88">
        <w:tc>
          <w:tcPr>
            <w:tcW w:w="2136" w:type="dxa"/>
            <w:tcBorders>
              <w:top w:val="nil"/>
              <w:left w:val="nil"/>
              <w:bottom w:val="nil"/>
              <w:right w:val="nil"/>
            </w:tcBorders>
          </w:tcPr>
          <w:p w14:paraId="1E53E5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9F9DF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AF0DC43" w14:textId="77777777" w:rsidTr="00015B88">
        <w:tc>
          <w:tcPr>
            <w:tcW w:w="2136" w:type="dxa"/>
            <w:tcBorders>
              <w:top w:val="nil"/>
              <w:left w:val="nil"/>
              <w:bottom w:val="nil"/>
              <w:right w:val="nil"/>
            </w:tcBorders>
          </w:tcPr>
          <w:p w14:paraId="42C499C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25BA086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-0.732</w:t>
            </w:r>
            <w:r w:rsidRPr="0048122F">
              <w:rPr>
                <w:rFonts w:ascii="Times New Roman" w:hAnsi="Times New Roman" w:cs="Times New Roman"/>
                <w:sz w:val="16"/>
                <w:szCs w:val="16"/>
                <w:vertAlign w:val="superscript"/>
              </w:rPr>
              <w:t>*</w:t>
            </w:r>
          </w:p>
        </w:tc>
      </w:tr>
      <w:tr w:rsidR="00201D4C" w:rsidRPr="0048122F" w14:paraId="4126A592" w14:textId="77777777" w:rsidTr="00015B88">
        <w:tc>
          <w:tcPr>
            <w:tcW w:w="2136" w:type="dxa"/>
            <w:tcBorders>
              <w:top w:val="nil"/>
              <w:left w:val="nil"/>
              <w:bottom w:val="nil"/>
              <w:right w:val="nil"/>
            </w:tcBorders>
          </w:tcPr>
          <w:p w14:paraId="053EE2E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1F91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(-2.57)</w:t>
            </w:r>
          </w:p>
        </w:tc>
      </w:tr>
      <w:tr w:rsidR="00201D4C" w:rsidRPr="0048122F" w14:paraId="27FFB2D5" w14:textId="77777777" w:rsidTr="00015B88">
        <w:tc>
          <w:tcPr>
            <w:tcW w:w="2136" w:type="dxa"/>
            <w:tcBorders>
              <w:top w:val="nil"/>
              <w:left w:val="nil"/>
              <w:bottom w:val="nil"/>
              <w:right w:val="nil"/>
            </w:tcBorders>
          </w:tcPr>
          <w:p w14:paraId="02AAA64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E1F6C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82E0F2B" w14:textId="77777777" w:rsidTr="00015B88">
        <w:tc>
          <w:tcPr>
            <w:tcW w:w="2136" w:type="dxa"/>
            <w:tcBorders>
              <w:top w:val="nil"/>
              <w:left w:val="nil"/>
              <w:bottom w:val="nil"/>
              <w:right w:val="nil"/>
            </w:tcBorders>
          </w:tcPr>
          <w:p w14:paraId="177C63C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550B38A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0.338</w:t>
            </w:r>
          </w:p>
        </w:tc>
      </w:tr>
      <w:tr w:rsidR="00201D4C" w:rsidRPr="0048122F" w14:paraId="7E48B4E6" w14:textId="77777777" w:rsidTr="00015B88">
        <w:tc>
          <w:tcPr>
            <w:tcW w:w="2136" w:type="dxa"/>
            <w:tcBorders>
              <w:top w:val="nil"/>
              <w:left w:val="nil"/>
              <w:bottom w:val="nil"/>
              <w:right w:val="nil"/>
            </w:tcBorders>
          </w:tcPr>
          <w:p w14:paraId="6A088D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4AE4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(1.17)</w:t>
            </w:r>
          </w:p>
        </w:tc>
      </w:tr>
      <w:tr w:rsidR="00201D4C" w:rsidRPr="0048122F" w14:paraId="5DEA5710" w14:textId="77777777" w:rsidTr="00015B88">
        <w:tc>
          <w:tcPr>
            <w:tcW w:w="2136" w:type="dxa"/>
            <w:tcBorders>
              <w:top w:val="nil"/>
              <w:left w:val="nil"/>
              <w:bottom w:val="nil"/>
              <w:right w:val="nil"/>
            </w:tcBorders>
          </w:tcPr>
          <w:p w14:paraId="4650DBF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8DAC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E12F13E" w14:textId="77777777" w:rsidTr="00015B88">
        <w:tc>
          <w:tcPr>
            <w:tcW w:w="2136" w:type="dxa"/>
            <w:tcBorders>
              <w:top w:val="nil"/>
              <w:left w:val="nil"/>
              <w:bottom w:val="nil"/>
              <w:right w:val="nil"/>
            </w:tcBorders>
          </w:tcPr>
          <w:p w14:paraId="021AEFF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48122F">
              <w:rPr>
                <w:rFonts w:ascii="Times New Roman" w:hAnsi="Times New Roman" w:cs="Times New Roman"/>
                <w:sz w:val="16"/>
                <w:szCs w:val="16"/>
              </w:rPr>
              <w:t>L.Exchange</w:t>
            </w:r>
            <w:proofErr w:type="spellEnd"/>
            <w:r w:rsidRPr="0048122F">
              <w:rPr>
                <w:rFonts w:ascii="Times New Roman" w:hAnsi="Times New Roman" w:cs="Times New Roman"/>
                <w:sz w:val="16"/>
                <w:szCs w:val="16"/>
              </w:rPr>
              <w:t xml:space="preserve"> Rate Classification (RR inverted, higher = more fixed)</w:t>
            </w:r>
          </w:p>
        </w:tc>
        <w:tc>
          <w:tcPr>
            <w:tcW w:w="1656" w:type="dxa"/>
            <w:tcBorders>
              <w:top w:val="nil"/>
              <w:left w:val="nil"/>
              <w:bottom w:val="nil"/>
              <w:right w:val="nil"/>
            </w:tcBorders>
          </w:tcPr>
          <w:p w14:paraId="1A56FC9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-0.0374</w:t>
            </w:r>
          </w:p>
        </w:tc>
      </w:tr>
      <w:tr w:rsidR="00201D4C" w:rsidRPr="0048122F" w14:paraId="4B6098E2" w14:textId="77777777" w:rsidTr="00015B88">
        <w:tc>
          <w:tcPr>
            <w:tcW w:w="2136" w:type="dxa"/>
            <w:tcBorders>
              <w:top w:val="nil"/>
              <w:left w:val="nil"/>
              <w:bottom w:val="nil"/>
              <w:right w:val="nil"/>
            </w:tcBorders>
          </w:tcPr>
          <w:p w14:paraId="77BDAB4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F6D9D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(-0.32)</w:t>
            </w:r>
          </w:p>
        </w:tc>
      </w:tr>
      <w:tr w:rsidR="00201D4C" w:rsidRPr="0048122F" w14:paraId="296A1E50" w14:textId="77777777" w:rsidTr="00015B88">
        <w:tc>
          <w:tcPr>
            <w:tcW w:w="2136" w:type="dxa"/>
            <w:tcBorders>
              <w:top w:val="nil"/>
              <w:left w:val="nil"/>
              <w:bottom w:val="nil"/>
              <w:right w:val="nil"/>
            </w:tcBorders>
          </w:tcPr>
          <w:p w14:paraId="53D5F52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0218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5832A0D" w14:textId="77777777" w:rsidTr="00015B88">
        <w:tc>
          <w:tcPr>
            <w:tcW w:w="2136" w:type="dxa"/>
            <w:tcBorders>
              <w:top w:val="nil"/>
              <w:left w:val="nil"/>
              <w:bottom w:val="nil"/>
              <w:right w:val="nil"/>
            </w:tcBorders>
          </w:tcPr>
          <w:p w14:paraId="6719A55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700D047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-0.131</w:t>
            </w:r>
          </w:p>
        </w:tc>
      </w:tr>
      <w:tr w:rsidR="00201D4C" w:rsidRPr="0048122F" w14:paraId="4CB960DB" w14:textId="77777777" w:rsidTr="00015B88">
        <w:tc>
          <w:tcPr>
            <w:tcW w:w="2136" w:type="dxa"/>
            <w:tcBorders>
              <w:top w:val="nil"/>
              <w:left w:val="nil"/>
              <w:bottom w:val="nil"/>
              <w:right w:val="nil"/>
            </w:tcBorders>
          </w:tcPr>
          <w:p w14:paraId="43F12DF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71D2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(-1.53)</w:t>
            </w:r>
          </w:p>
        </w:tc>
      </w:tr>
      <w:tr w:rsidR="00201D4C" w:rsidRPr="0048122F" w14:paraId="22C905B6" w14:textId="77777777" w:rsidTr="00015B88">
        <w:tc>
          <w:tcPr>
            <w:tcW w:w="2136" w:type="dxa"/>
            <w:tcBorders>
              <w:top w:val="nil"/>
              <w:left w:val="nil"/>
              <w:bottom w:val="nil"/>
              <w:right w:val="nil"/>
            </w:tcBorders>
          </w:tcPr>
          <w:p w14:paraId="7EC5893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1D4F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75025E0" w14:textId="77777777" w:rsidTr="00015B88">
        <w:tc>
          <w:tcPr>
            <w:tcW w:w="2136" w:type="dxa"/>
            <w:tcBorders>
              <w:top w:val="nil"/>
              <w:left w:val="nil"/>
              <w:bottom w:val="nil"/>
              <w:right w:val="nil"/>
            </w:tcBorders>
          </w:tcPr>
          <w:p w14:paraId="14ECE01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0AE9DAC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0.167</w:t>
            </w:r>
          </w:p>
        </w:tc>
      </w:tr>
      <w:tr w:rsidR="00201D4C" w:rsidRPr="0048122F" w14:paraId="47BC8778" w14:textId="77777777" w:rsidTr="00015B88">
        <w:tc>
          <w:tcPr>
            <w:tcW w:w="2136" w:type="dxa"/>
            <w:tcBorders>
              <w:top w:val="nil"/>
              <w:left w:val="nil"/>
              <w:bottom w:val="nil"/>
              <w:right w:val="nil"/>
            </w:tcBorders>
          </w:tcPr>
          <w:p w14:paraId="78C9BD6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FC9D4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(1.54)</w:t>
            </w:r>
          </w:p>
        </w:tc>
      </w:tr>
      <w:tr w:rsidR="00201D4C" w:rsidRPr="0048122F" w14:paraId="7EFAB12C" w14:textId="77777777" w:rsidTr="00015B88">
        <w:tc>
          <w:tcPr>
            <w:tcW w:w="2136" w:type="dxa"/>
            <w:tcBorders>
              <w:top w:val="nil"/>
              <w:left w:val="nil"/>
              <w:bottom w:val="nil"/>
              <w:right w:val="nil"/>
            </w:tcBorders>
          </w:tcPr>
          <w:p w14:paraId="26A5E1B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FA93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98835CE" w14:textId="77777777" w:rsidTr="00015B88">
        <w:tc>
          <w:tcPr>
            <w:tcW w:w="2136" w:type="dxa"/>
            <w:tcBorders>
              <w:top w:val="nil"/>
              <w:left w:val="nil"/>
              <w:bottom w:val="nil"/>
              <w:right w:val="nil"/>
            </w:tcBorders>
          </w:tcPr>
          <w:p w14:paraId="726BE5B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778C1A9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-0.0167</w:t>
            </w:r>
          </w:p>
        </w:tc>
      </w:tr>
      <w:tr w:rsidR="00201D4C" w:rsidRPr="0048122F" w14:paraId="3F88BB27" w14:textId="77777777" w:rsidTr="00015B88">
        <w:tc>
          <w:tcPr>
            <w:tcW w:w="2136" w:type="dxa"/>
            <w:tcBorders>
              <w:top w:val="nil"/>
              <w:left w:val="nil"/>
              <w:bottom w:val="nil"/>
              <w:right w:val="nil"/>
            </w:tcBorders>
          </w:tcPr>
          <w:p w14:paraId="4984E81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EA45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(-0.18)</w:t>
            </w:r>
          </w:p>
        </w:tc>
      </w:tr>
      <w:tr w:rsidR="00201D4C" w:rsidRPr="0048122F" w14:paraId="7AD1DAFF" w14:textId="77777777" w:rsidTr="00015B88">
        <w:tc>
          <w:tcPr>
            <w:tcW w:w="2136" w:type="dxa"/>
            <w:tcBorders>
              <w:top w:val="nil"/>
              <w:left w:val="nil"/>
              <w:bottom w:val="nil"/>
              <w:right w:val="nil"/>
            </w:tcBorders>
          </w:tcPr>
          <w:p w14:paraId="7B8095D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8224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7E02E36" w14:textId="77777777" w:rsidTr="00015B88">
        <w:tc>
          <w:tcPr>
            <w:tcW w:w="2136" w:type="dxa"/>
            <w:tcBorders>
              <w:top w:val="nil"/>
              <w:left w:val="nil"/>
              <w:bottom w:val="nil"/>
              <w:right w:val="nil"/>
            </w:tcBorders>
          </w:tcPr>
          <w:p w14:paraId="5FCB61C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548436A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0.0582</w:t>
            </w:r>
          </w:p>
        </w:tc>
      </w:tr>
      <w:tr w:rsidR="00201D4C" w:rsidRPr="0048122F" w14:paraId="1FD7BF84" w14:textId="77777777" w:rsidTr="00015B88">
        <w:tc>
          <w:tcPr>
            <w:tcW w:w="2136" w:type="dxa"/>
            <w:tcBorders>
              <w:top w:val="nil"/>
              <w:left w:val="nil"/>
              <w:bottom w:val="nil"/>
              <w:right w:val="nil"/>
            </w:tcBorders>
          </w:tcPr>
          <w:p w14:paraId="2E59A9B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214EF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w:t>
            </w:r>
          </w:p>
        </w:tc>
      </w:tr>
      <w:tr w:rsidR="00201D4C" w:rsidRPr="0048122F" w14:paraId="2EB76DC8" w14:textId="77777777" w:rsidTr="00015B88">
        <w:tc>
          <w:tcPr>
            <w:tcW w:w="2136" w:type="dxa"/>
            <w:tcBorders>
              <w:top w:val="nil"/>
              <w:left w:val="nil"/>
              <w:bottom w:val="nil"/>
              <w:right w:val="nil"/>
            </w:tcBorders>
          </w:tcPr>
          <w:p w14:paraId="32DAF74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DB871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58CB895" w14:textId="77777777" w:rsidTr="00015B88">
        <w:tc>
          <w:tcPr>
            <w:tcW w:w="2136" w:type="dxa"/>
            <w:tcBorders>
              <w:top w:val="nil"/>
              <w:left w:val="nil"/>
              <w:bottom w:val="nil"/>
              <w:right w:val="nil"/>
            </w:tcBorders>
          </w:tcPr>
          <w:p w14:paraId="4DFB544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57556E3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-0.0427</w:t>
            </w:r>
          </w:p>
        </w:tc>
      </w:tr>
      <w:tr w:rsidR="00201D4C" w:rsidRPr="0048122F" w14:paraId="1B13E15B" w14:textId="77777777" w:rsidTr="00015B88">
        <w:tc>
          <w:tcPr>
            <w:tcW w:w="2136" w:type="dxa"/>
            <w:tcBorders>
              <w:top w:val="nil"/>
              <w:left w:val="nil"/>
              <w:bottom w:val="nil"/>
              <w:right w:val="nil"/>
            </w:tcBorders>
          </w:tcPr>
          <w:p w14:paraId="129207C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09E5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(-0.58)</w:t>
            </w:r>
          </w:p>
        </w:tc>
      </w:tr>
      <w:tr w:rsidR="00201D4C" w:rsidRPr="0048122F" w14:paraId="0FDD37D0" w14:textId="77777777" w:rsidTr="00015B88">
        <w:tc>
          <w:tcPr>
            <w:tcW w:w="2136" w:type="dxa"/>
            <w:tcBorders>
              <w:top w:val="nil"/>
              <w:left w:val="nil"/>
              <w:bottom w:val="nil"/>
              <w:right w:val="nil"/>
            </w:tcBorders>
          </w:tcPr>
          <w:p w14:paraId="64B9212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39AA2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A3C90E4" w14:textId="77777777" w:rsidTr="00015B88">
        <w:tc>
          <w:tcPr>
            <w:tcW w:w="2136" w:type="dxa"/>
            <w:tcBorders>
              <w:top w:val="nil"/>
              <w:left w:val="nil"/>
              <w:bottom w:val="nil"/>
              <w:right w:val="nil"/>
            </w:tcBorders>
          </w:tcPr>
          <w:p w14:paraId="34B2DCB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3CFC951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0.0350</w:t>
            </w:r>
          </w:p>
        </w:tc>
      </w:tr>
      <w:tr w:rsidR="00201D4C" w:rsidRPr="0048122F" w14:paraId="5C04A3F5" w14:textId="77777777" w:rsidTr="00015B88">
        <w:tc>
          <w:tcPr>
            <w:tcW w:w="2136" w:type="dxa"/>
            <w:tcBorders>
              <w:top w:val="nil"/>
              <w:left w:val="nil"/>
              <w:bottom w:val="nil"/>
              <w:right w:val="nil"/>
            </w:tcBorders>
          </w:tcPr>
          <w:p w14:paraId="308F78C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F7CA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(0.34)</w:t>
            </w:r>
          </w:p>
        </w:tc>
      </w:tr>
      <w:tr w:rsidR="00201D4C" w:rsidRPr="0048122F" w14:paraId="2266C594" w14:textId="77777777" w:rsidTr="00015B88">
        <w:tc>
          <w:tcPr>
            <w:tcW w:w="2136" w:type="dxa"/>
            <w:tcBorders>
              <w:top w:val="nil"/>
              <w:left w:val="nil"/>
              <w:bottom w:val="nil"/>
              <w:right w:val="nil"/>
            </w:tcBorders>
          </w:tcPr>
          <w:p w14:paraId="3912DB2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CB72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9250B59" w14:textId="77777777" w:rsidTr="00015B88">
        <w:tc>
          <w:tcPr>
            <w:tcW w:w="2136" w:type="dxa"/>
            <w:tcBorders>
              <w:top w:val="nil"/>
              <w:left w:val="nil"/>
              <w:bottom w:val="nil"/>
              <w:right w:val="nil"/>
            </w:tcBorders>
          </w:tcPr>
          <w:p w14:paraId="5BB687F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778AC19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0.0293</w:t>
            </w:r>
          </w:p>
        </w:tc>
      </w:tr>
      <w:tr w:rsidR="00201D4C" w:rsidRPr="0048122F" w14:paraId="355F6E7A" w14:textId="77777777" w:rsidTr="00015B88">
        <w:tc>
          <w:tcPr>
            <w:tcW w:w="2136" w:type="dxa"/>
            <w:tcBorders>
              <w:top w:val="nil"/>
              <w:left w:val="nil"/>
              <w:bottom w:val="nil"/>
              <w:right w:val="nil"/>
            </w:tcBorders>
          </w:tcPr>
          <w:p w14:paraId="0D311CF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1663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(0.26)</w:t>
            </w:r>
          </w:p>
        </w:tc>
      </w:tr>
      <w:tr w:rsidR="00201D4C" w:rsidRPr="0048122F" w14:paraId="220CBF77" w14:textId="77777777" w:rsidTr="00015B88">
        <w:tc>
          <w:tcPr>
            <w:tcW w:w="2136" w:type="dxa"/>
            <w:tcBorders>
              <w:top w:val="nil"/>
              <w:left w:val="nil"/>
              <w:bottom w:val="nil"/>
              <w:right w:val="nil"/>
            </w:tcBorders>
          </w:tcPr>
          <w:p w14:paraId="291DFE0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4D0A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A1271BB" w14:textId="77777777" w:rsidTr="00015B88">
        <w:tc>
          <w:tcPr>
            <w:tcW w:w="2136" w:type="dxa"/>
            <w:tcBorders>
              <w:top w:val="nil"/>
              <w:left w:val="nil"/>
              <w:bottom w:val="nil"/>
              <w:right w:val="nil"/>
            </w:tcBorders>
          </w:tcPr>
          <w:p w14:paraId="5E19EC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4CB20FF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-0.104</w:t>
            </w:r>
          </w:p>
        </w:tc>
      </w:tr>
      <w:tr w:rsidR="00201D4C" w:rsidRPr="0048122F" w14:paraId="2FED6FA5" w14:textId="77777777" w:rsidTr="00015B88">
        <w:tc>
          <w:tcPr>
            <w:tcW w:w="2136" w:type="dxa"/>
            <w:tcBorders>
              <w:top w:val="nil"/>
              <w:left w:val="nil"/>
              <w:bottom w:val="nil"/>
              <w:right w:val="nil"/>
            </w:tcBorders>
          </w:tcPr>
          <w:p w14:paraId="70A1DE4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FDF43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(-1.60)</w:t>
            </w:r>
          </w:p>
        </w:tc>
      </w:tr>
      <w:tr w:rsidR="00201D4C" w:rsidRPr="0048122F" w14:paraId="4E3A5C84" w14:textId="77777777" w:rsidTr="00015B88">
        <w:tc>
          <w:tcPr>
            <w:tcW w:w="2136" w:type="dxa"/>
            <w:tcBorders>
              <w:top w:val="nil"/>
              <w:left w:val="nil"/>
              <w:bottom w:val="nil"/>
              <w:right w:val="nil"/>
            </w:tcBorders>
          </w:tcPr>
          <w:p w14:paraId="42E0E10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C1DDE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B455122" w14:textId="77777777" w:rsidTr="00015B88">
        <w:tc>
          <w:tcPr>
            <w:tcW w:w="2136" w:type="dxa"/>
            <w:tcBorders>
              <w:top w:val="nil"/>
              <w:left w:val="nil"/>
              <w:bottom w:val="nil"/>
              <w:right w:val="nil"/>
            </w:tcBorders>
          </w:tcPr>
          <w:p w14:paraId="2FFC05A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2BB2F27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-0.00563</w:t>
            </w:r>
          </w:p>
        </w:tc>
      </w:tr>
      <w:tr w:rsidR="00201D4C" w:rsidRPr="0048122F" w14:paraId="51E1531C" w14:textId="77777777" w:rsidTr="00015B88">
        <w:tc>
          <w:tcPr>
            <w:tcW w:w="2136" w:type="dxa"/>
            <w:tcBorders>
              <w:top w:val="nil"/>
              <w:left w:val="nil"/>
              <w:bottom w:val="nil"/>
              <w:right w:val="nil"/>
            </w:tcBorders>
          </w:tcPr>
          <w:p w14:paraId="2D46803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C488F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(-0.11)</w:t>
            </w:r>
          </w:p>
        </w:tc>
      </w:tr>
      <w:tr w:rsidR="00201D4C" w:rsidRPr="0048122F" w14:paraId="0D857D5A" w14:textId="77777777" w:rsidTr="00015B88">
        <w:tc>
          <w:tcPr>
            <w:tcW w:w="2136" w:type="dxa"/>
            <w:tcBorders>
              <w:top w:val="nil"/>
              <w:left w:val="nil"/>
              <w:bottom w:val="nil"/>
              <w:right w:val="nil"/>
            </w:tcBorders>
          </w:tcPr>
          <w:p w14:paraId="4C3E282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E254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FA7ECC8" w14:textId="77777777" w:rsidTr="00015B88">
        <w:tc>
          <w:tcPr>
            <w:tcW w:w="2136" w:type="dxa"/>
            <w:tcBorders>
              <w:top w:val="nil"/>
              <w:left w:val="nil"/>
              <w:bottom w:val="nil"/>
              <w:right w:val="nil"/>
            </w:tcBorders>
          </w:tcPr>
          <w:p w14:paraId="55269D2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48122F">
              <w:rPr>
                <w:rFonts w:ascii="Times New Roman" w:hAnsi="Times New Roman" w:cs="Times New Roman"/>
                <w:sz w:val="16"/>
                <w:szCs w:val="16"/>
              </w:rPr>
              <w:t>L.Legislative</w:t>
            </w:r>
            <w:proofErr w:type="spellEnd"/>
            <w:r w:rsidRPr="0048122F">
              <w:rPr>
                <w:rFonts w:ascii="Times New Roman" w:hAnsi="Times New Roman" w:cs="Times New Roman"/>
                <w:sz w:val="16"/>
                <w:szCs w:val="16"/>
              </w:rPr>
              <w:t xml:space="preserve"> Efficacy</w:t>
            </w:r>
          </w:p>
        </w:tc>
        <w:tc>
          <w:tcPr>
            <w:tcW w:w="1656" w:type="dxa"/>
            <w:tcBorders>
              <w:top w:val="nil"/>
              <w:left w:val="nil"/>
              <w:bottom w:val="nil"/>
              <w:right w:val="nil"/>
            </w:tcBorders>
          </w:tcPr>
          <w:p w14:paraId="25A9343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0.186</w:t>
            </w:r>
          </w:p>
        </w:tc>
      </w:tr>
      <w:tr w:rsidR="00201D4C" w:rsidRPr="0048122F" w14:paraId="75E44A9E" w14:textId="77777777" w:rsidTr="00015B88">
        <w:tc>
          <w:tcPr>
            <w:tcW w:w="2136" w:type="dxa"/>
            <w:tcBorders>
              <w:top w:val="nil"/>
              <w:left w:val="nil"/>
              <w:bottom w:val="nil"/>
              <w:right w:val="nil"/>
            </w:tcBorders>
          </w:tcPr>
          <w:p w14:paraId="783385B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1744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(0.20)</w:t>
            </w:r>
          </w:p>
        </w:tc>
      </w:tr>
      <w:tr w:rsidR="00201D4C" w:rsidRPr="0048122F" w14:paraId="001EDF9A" w14:textId="77777777" w:rsidTr="00015B88">
        <w:tc>
          <w:tcPr>
            <w:tcW w:w="2136" w:type="dxa"/>
            <w:tcBorders>
              <w:top w:val="nil"/>
              <w:left w:val="nil"/>
              <w:bottom w:val="nil"/>
              <w:right w:val="nil"/>
            </w:tcBorders>
          </w:tcPr>
          <w:p w14:paraId="520F782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D81DE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22411BF" w14:textId="77777777" w:rsidTr="00015B88">
        <w:tc>
          <w:tcPr>
            <w:tcW w:w="2136" w:type="dxa"/>
            <w:tcBorders>
              <w:top w:val="nil"/>
              <w:left w:val="nil"/>
              <w:bottom w:val="nil"/>
              <w:right w:val="nil"/>
            </w:tcBorders>
          </w:tcPr>
          <w:p w14:paraId="3B74CF5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L2.Legislative Efficacy</w:t>
            </w:r>
          </w:p>
        </w:tc>
        <w:tc>
          <w:tcPr>
            <w:tcW w:w="1656" w:type="dxa"/>
            <w:tcBorders>
              <w:top w:val="nil"/>
              <w:left w:val="nil"/>
              <w:bottom w:val="nil"/>
              <w:right w:val="nil"/>
            </w:tcBorders>
          </w:tcPr>
          <w:p w14:paraId="0072244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0.411</w:t>
            </w:r>
          </w:p>
        </w:tc>
      </w:tr>
      <w:tr w:rsidR="00201D4C" w:rsidRPr="0048122F" w14:paraId="3476FBA5" w14:textId="77777777" w:rsidTr="00015B88">
        <w:tc>
          <w:tcPr>
            <w:tcW w:w="2136" w:type="dxa"/>
            <w:tcBorders>
              <w:top w:val="nil"/>
              <w:left w:val="nil"/>
              <w:bottom w:val="nil"/>
              <w:right w:val="nil"/>
            </w:tcBorders>
          </w:tcPr>
          <w:p w14:paraId="4CC9A94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01A33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(0.49)</w:t>
            </w:r>
          </w:p>
        </w:tc>
      </w:tr>
      <w:tr w:rsidR="00201D4C" w:rsidRPr="0048122F" w14:paraId="361C9957" w14:textId="77777777" w:rsidTr="00015B88">
        <w:tc>
          <w:tcPr>
            <w:tcW w:w="2136" w:type="dxa"/>
            <w:tcBorders>
              <w:top w:val="nil"/>
              <w:left w:val="nil"/>
              <w:bottom w:val="nil"/>
              <w:right w:val="nil"/>
            </w:tcBorders>
          </w:tcPr>
          <w:p w14:paraId="53A0CAA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22EC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E9877C0" w14:textId="77777777" w:rsidTr="00015B88">
        <w:tc>
          <w:tcPr>
            <w:tcW w:w="2136" w:type="dxa"/>
            <w:tcBorders>
              <w:top w:val="nil"/>
              <w:left w:val="nil"/>
              <w:bottom w:val="nil"/>
              <w:right w:val="nil"/>
            </w:tcBorders>
          </w:tcPr>
          <w:p w14:paraId="02335E0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L3.Legislative Efficacy</w:t>
            </w:r>
          </w:p>
        </w:tc>
        <w:tc>
          <w:tcPr>
            <w:tcW w:w="1656" w:type="dxa"/>
            <w:tcBorders>
              <w:top w:val="nil"/>
              <w:left w:val="nil"/>
              <w:bottom w:val="nil"/>
              <w:right w:val="nil"/>
            </w:tcBorders>
          </w:tcPr>
          <w:p w14:paraId="2903253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0.734</w:t>
            </w:r>
          </w:p>
        </w:tc>
      </w:tr>
      <w:tr w:rsidR="00201D4C" w:rsidRPr="0048122F" w14:paraId="036A8218" w14:textId="77777777" w:rsidTr="00015B88">
        <w:tc>
          <w:tcPr>
            <w:tcW w:w="2136" w:type="dxa"/>
            <w:tcBorders>
              <w:top w:val="nil"/>
              <w:left w:val="nil"/>
              <w:bottom w:val="nil"/>
              <w:right w:val="nil"/>
            </w:tcBorders>
          </w:tcPr>
          <w:p w14:paraId="1A36E66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93F89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(1.04)</w:t>
            </w:r>
          </w:p>
        </w:tc>
      </w:tr>
      <w:tr w:rsidR="00201D4C" w:rsidRPr="0048122F" w14:paraId="2936A31B" w14:textId="77777777" w:rsidTr="00015B88">
        <w:tc>
          <w:tcPr>
            <w:tcW w:w="2136" w:type="dxa"/>
            <w:tcBorders>
              <w:top w:val="nil"/>
              <w:left w:val="nil"/>
              <w:bottom w:val="nil"/>
              <w:right w:val="nil"/>
            </w:tcBorders>
          </w:tcPr>
          <w:p w14:paraId="280D895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03131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F3EFFBF" w14:textId="77777777" w:rsidTr="00015B88">
        <w:tc>
          <w:tcPr>
            <w:tcW w:w="2136" w:type="dxa"/>
            <w:tcBorders>
              <w:top w:val="nil"/>
              <w:left w:val="nil"/>
              <w:bottom w:val="nil"/>
              <w:right w:val="nil"/>
            </w:tcBorders>
          </w:tcPr>
          <w:p w14:paraId="301C1D6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L4.Legislative Efficacy</w:t>
            </w:r>
          </w:p>
        </w:tc>
        <w:tc>
          <w:tcPr>
            <w:tcW w:w="1656" w:type="dxa"/>
            <w:tcBorders>
              <w:top w:val="nil"/>
              <w:left w:val="nil"/>
              <w:bottom w:val="nil"/>
              <w:right w:val="nil"/>
            </w:tcBorders>
          </w:tcPr>
          <w:p w14:paraId="42E89CD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-1.177</w:t>
            </w:r>
          </w:p>
        </w:tc>
      </w:tr>
      <w:tr w:rsidR="00201D4C" w:rsidRPr="0048122F" w14:paraId="7E984DC0" w14:textId="77777777" w:rsidTr="00015B88">
        <w:tc>
          <w:tcPr>
            <w:tcW w:w="2136" w:type="dxa"/>
            <w:tcBorders>
              <w:top w:val="nil"/>
              <w:left w:val="nil"/>
              <w:bottom w:val="nil"/>
              <w:right w:val="nil"/>
            </w:tcBorders>
          </w:tcPr>
          <w:p w14:paraId="2EE6360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59486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(-1.34)</w:t>
            </w:r>
          </w:p>
        </w:tc>
      </w:tr>
      <w:tr w:rsidR="00201D4C" w:rsidRPr="0048122F" w14:paraId="54946BE6" w14:textId="77777777" w:rsidTr="00015B88">
        <w:tc>
          <w:tcPr>
            <w:tcW w:w="2136" w:type="dxa"/>
            <w:tcBorders>
              <w:top w:val="nil"/>
              <w:left w:val="nil"/>
              <w:bottom w:val="nil"/>
              <w:right w:val="nil"/>
            </w:tcBorders>
          </w:tcPr>
          <w:p w14:paraId="33EBCBD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9EE34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4617CDE" w14:textId="77777777" w:rsidTr="00015B88">
        <w:tc>
          <w:tcPr>
            <w:tcW w:w="2136" w:type="dxa"/>
            <w:tcBorders>
              <w:top w:val="nil"/>
              <w:left w:val="nil"/>
              <w:bottom w:val="nil"/>
              <w:right w:val="nil"/>
            </w:tcBorders>
          </w:tcPr>
          <w:p w14:paraId="5CFC35B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L5.Legislative Efficacy</w:t>
            </w:r>
          </w:p>
        </w:tc>
        <w:tc>
          <w:tcPr>
            <w:tcW w:w="1656" w:type="dxa"/>
            <w:tcBorders>
              <w:top w:val="nil"/>
              <w:left w:val="nil"/>
              <w:bottom w:val="nil"/>
              <w:right w:val="nil"/>
            </w:tcBorders>
          </w:tcPr>
          <w:p w14:paraId="365253F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0.205</w:t>
            </w:r>
          </w:p>
        </w:tc>
      </w:tr>
      <w:tr w:rsidR="00201D4C" w:rsidRPr="0048122F" w14:paraId="7BBF1411" w14:textId="77777777" w:rsidTr="00015B88">
        <w:tc>
          <w:tcPr>
            <w:tcW w:w="2136" w:type="dxa"/>
            <w:tcBorders>
              <w:top w:val="nil"/>
              <w:left w:val="nil"/>
              <w:bottom w:val="nil"/>
              <w:right w:val="nil"/>
            </w:tcBorders>
          </w:tcPr>
          <w:p w14:paraId="6B001D1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0D83B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(0.24)</w:t>
            </w:r>
          </w:p>
        </w:tc>
      </w:tr>
      <w:tr w:rsidR="00201D4C" w:rsidRPr="0048122F" w14:paraId="70C47891" w14:textId="77777777" w:rsidTr="00015B88">
        <w:tc>
          <w:tcPr>
            <w:tcW w:w="2136" w:type="dxa"/>
            <w:tcBorders>
              <w:top w:val="nil"/>
              <w:left w:val="nil"/>
              <w:bottom w:val="nil"/>
              <w:right w:val="nil"/>
            </w:tcBorders>
          </w:tcPr>
          <w:p w14:paraId="6C71C68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7F7A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6CCD705" w14:textId="77777777" w:rsidTr="00015B88">
        <w:tc>
          <w:tcPr>
            <w:tcW w:w="2136" w:type="dxa"/>
            <w:tcBorders>
              <w:top w:val="nil"/>
              <w:left w:val="nil"/>
              <w:bottom w:val="nil"/>
              <w:right w:val="nil"/>
            </w:tcBorders>
          </w:tcPr>
          <w:p w14:paraId="3C52561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L6.Legislative Efficacy</w:t>
            </w:r>
          </w:p>
        </w:tc>
        <w:tc>
          <w:tcPr>
            <w:tcW w:w="1656" w:type="dxa"/>
            <w:tcBorders>
              <w:top w:val="nil"/>
              <w:left w:val="nil"/>
              <w:bottom w:val="nil"/>
              <w:right w:val="nil"/>
            </w:tcBorders>
          </w:tcPr>
          <w:p w14:paraId="1A59EE7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0.427</w:t>
            </w:r>
          </w:p>
        </w:tc>
      </w:tr>
      <w:tr w:rsidR="00201D4C" w:rsidRPr="0048122F" w14:paraId="5C698B86" w14:textId="77777777" w:rsidTr="00015B88">
        <w:tc>
          <w:tcPr>
            <w:tcW w:w="2136" w:type="dxa"/>
            <w:tcBorders>
              <w:top w:val="nil"/>
              <w:left w:val="nil"/>
              <w:bottom w:val="nil"/>
              <w:right w:val="nil"/>
            </w:tcBorders>
          </w:tcPr>
          <w:p w14:paraId="0B61BCA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6889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(0.44)</w:t>
            </w:r>
          </w:p>
        </w:tc>
      </w:tr>
      <w:tr w:rsidR="00201D4C" w:rsidRPr="0048122F" w14:paraId="2723A495" w14:textId="77777777" w:rsidTr="00015B88">
        <w:tc>
          <w:tcPr>
            <w:tcW w:w="2136" w:type="dxa"/>
            <w:tcBorders>
              <w:top w:val="nil"/>
              <w:left w:val="nil"/>
              <w:bottom w:val="nil"/>
              <w:right w:val="nil"/>
            </w:tcBorders>
          </w:tcPr>
          <w:p w14:paraId="581A7D2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2DC19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FF2D9E1" w14:textId="77777777" w:rsidTr="00015B88">
        <w:tc>
          <w:tcPr>
            <w:tcW w:w="2136" w:type="dxa"/>
            <w:tcBorders>
              <w:top w:val="nil"/>
              <w:left w:val="nil"/>
              <w:bottom w:val="nil"/>
              <w:right w:val="nil"/>
            </w:tcBorders>
          </w:tcPr>
          <w:p w14:paraId="1D6DAA8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L7.Legislative Efficacy</w:t>
            </w:r>
          </w:p>
        </w:tc>
        <w:tc>
          <w:tcPr>
            <w:tcW w:w="1656" w:type="dxa"/>
            <w:tcBorders>
              <w:top w:val="nil"/>
              <w:left w:val="nil"/>
              <w:bottom w:val="nil"/>
              <w:right w:val="nil"/>
            </w:tcBorders>
          </w:tcPr>
          <w:p w14:paraId="1FF5B5F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0.616</w:t>
            </w:r>
          </w:p>
        </w:tc>
      </w:tr>
      <w:tr w:rsidR="00201D4C" w:rsidRPr="0048122F" w14:paraId="2D2717E4" w14:textId="77777777" w:rsidTr="00015B88">
        <w:tc>
          <w:tcPr>
            <w:tcW w:w="2136" w:type="dxa"/>
            <w:tcBorders>
              <w:top w:val="nil"/>
              <w:left w:val="nil"/>
              <w:bottom w:val="nil"/>
              <w:right w:val="nil"/>
            </w:tcBorders>
          </w:tcPr>
          <w:p w14:paraId="229D891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C49F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w:t>
            </w:r>
          </w:p>
        </w:tc>
      </w:tr>
      <w:tr w:rsidR="00201D4C" w:rsidRPr="0048122F" w14:paraId="5E57F1DF" w14:textId="77777777" w:rsidTr="00015B88">
        <w:tc>
          <w:tcPr>
            <w:tcW w:w="2136" w:type="dxa"/>
            <w:tcBorders>
              <w:top w:val="nil"/>
              <w:left w:val="nil"/>
              <w:bottom w:val="nil"/>
              <w:right w:val="nil"/>
            </w:tcBorders>
          </w:tcPr>
          <w:p w14:paraId="4FCC53E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0C821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B37362D" w14:textId="77777777" w:rsidTr="00015B88">
        <w:tc>
          <w:tcPr>
            <w:tcW w:w="2136" w:type="dxa"/>
            <w:tcBorders>
              <w:top w:val="nil"/>
              <w:left w:val="nil"/>
              <w:bottom w:val="nil"/>
              <w:right w:val="nil"/>
            </w:tcBorders>
          </w:tcPr>
          <w:p w14:paraId="6EE6E19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L8.Legislative Efficacy</w:t>
            </w:r>
          </w:p>
        </w:tc>
        <w:tc>
          <w:tcPr>
            <w:tcW w:w="1656" w:type="dxa"/>
            <w:tcBorders>
              <w:top w:val="nil"/>
              <w:left w:val="nil"/>
              <w:bottom w:val="nil"/>
              <w:right w:val="nil"/>
            </w:tcBorders>
          </w:tcPr>
          <w:p w14:paraId="37E96F7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-0.764</w:t>
            </w:r>
          </w:p>
        </w:tc>
      </w:tr>
      <w:tr w:rsidR="00201D4C" w:rsidRPr="0048122F" w14:paraId="3542C1DB" w14:textId="77777777" w:rsidTr="00015B88">
        <w:tc>
          <w:tcPr>
            <w:tcW w:w="2136" w:type="dxa"/>
            <w:tcBorders>
              <w:top w:val="nil"/>
              <w:left w:val="nil"/>
              <w:bottom w:val="nil"/>
              <w:right w:val="nil"/>
            </w:tcBorders>
          </w:tcPr>
          <w:p w14:paraId="402646F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DE61D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(-1.29)</w:t>
            </w:r>
          </w:p>
        </w:tc>
      </w:tr>
      <w:tr w:rsidR="00201D4C" w:rsidRPr="0048122F" w14:paraId="6E15B85C" w14:textId="77777777" w:rsidTr="00015B88">
        <w:tc>
          <w:tcPr>
            <w:tcW w:w="2136" w:type="dxa"/>
            <w:tcBorders>
              <w:top w:val="nil"/>
              <w:left w:val="nil"/>
              <w:bottom w:val="nil"/>
              <w:right w:val="nil"/>
            </w:tcBorders>
          </w:tcPr>
          <w:p w14:paraId="5D13B87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B31A6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5421383" w14:textId="77777777" w:rsidTr="00015B88">
        <w:tc>
          <w:tcPr>
            <w:tcW w:w="2136" w:type="dxa"/>
            <w:tcBorders>
              <w:top w:val="nil"/>
              <w:left w:val="nil"/>
              <w:bottom w:val="nil"/>
              <w:right w:val="nil"/>
            </w:tcBorders>
          </w:tcPr>
          <w:p w14:paraId="524E994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L9.Legislative Efficacy</w:t>
            </w:r>
          </w:p>
        </w:tc>
        <w:tc>
          <w:tcPr>
            <w:tcW w:w="1656" w:type="dxa"/>
            <w:tcBorders>
              <w:top w:val="nil"/>
              <w:left w:val="nil"/>
              <w:bottom w:val="nil"/>
              <w:right w:val="nil"/>
            </w:tcBorders>
          </w:tcPr>
          <w:p w14:paraId="28C49D3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-0.264</w:t>
            </w:r>
          </w:p>
        </w:tc>
      </w:tr>
      <w:tr w:rsidR="00201D4C" w:rsidRPr="0048122F" w14:paraId="2DEB0D43" w14:textId="77777777" w:rsidTr="00015B88">
        <w:tc>
          <w:tcPr>
            <w:tcW w:w="2136" w:type="dxa"/>
            <w:tcBorders>
              <w:top w:val="nil"/>
              <w:left w:val="nil"/>
              <w:bottom w:val="nil"/>
              <w:right w:val="nil"/>
            </w:tcBorders>
          </w:tcPr>
          <w:p w14:paraId="32F37FB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0C970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(-0.48)</w:t>
            </w:r>
          </w:p>
        </w:tc>
      </w:tr>
      <w:tr w:rsidR="00201D4C" w:rsidRPr="0048122F" w14:paraId="51B44A4D" w14:textId="77777777" w:rsidTr="00015B88">
        <w:tc>
          <w:tcPr>
            <w:tcW w:w="2136" w:type="dxa"/>
            <w:tcBorders>
              <w:top w:val="nil"/>
              <w:left w:val="nil"/>
              <w:bottom w:val="nil"/>
              <w:right w:val="nil"/>
            </w:tcBorders>
          </w:tcPr>
          <w:p w14:paraId="2D68816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56024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2537C4B" w14:textId="77777777" w:rsidTr="00015B88">
        <w:tc>
          <w:tcPr>
            <w:tcW w:w="2136" w:type="dxa"/>
            <w:tcBorders>
              <w:top w:val="nil"/>
              <w:left w:val="nil"/>
              <w:bottom w:val="nil"/>
              <w:right w:val="nil"/>
            </w:tcBorders>
          </w:tcPr>
          <w:p w14:paraId="0C93487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L10.Legislative Efficacy</w:t>
            </w:r>
          </w:p>
        </w:tc>
        <w:tc>
          <w:tcPr>
            <w:tcW w:w="1656" w:type="dxa"/>
            <w:tcBorders>
              <w:top w:val="nil"/>
              <w:left w:val="nil"/>
              <w:bottom w:val="nil"/>
              <w:right w:val="nil"/>
            </w:tcBorders>
          </w:tcPr>
          <w:p w14:paraId="61770FC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-0.255</w:t>
            </w:r>
          </w:p>
        </w:tc>
      </w:tr>
      <w:tr w:rsidR="00201D4C" w:rsidRPr="0048122F" w14:paraId="27803885" w14:textId="77777777" w:rsidTr="00015B88">
        <w:tc>
          <w:tcPr>
            <w:tcW w:w="2136" w:type="dxa"/>
            <w:tcBorders>
              <w:top w:val="nil"/>
              <w:left w:val="nil"/>
              <w:bottom w:val="nil"/>
              <w:right w:val="nil"/>
            </w:tcBorders>
          </w:tcPr>
          <w:p w14:paraId="67D41EF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7DFE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(-0.36)</w:t>
            </w:r>
          </w:p>
        </w:tc>
      </w:tr>
      <w:tr w:rsidR="00201D4C" w:rsidRPr="0048122F" w14:paraId="368B3F49" w14:textId="77777777" w:rsidTr="00015B88">
        <w:tc>
          <w:tcPr>
            <w:tcW w:w="2136" w:type="dxa"/>
            <w:tcBorders>
              <w:top w:val="nil"/>
              <w:left w:val="nil"/>
              <w:bottom w:val="nil"/>
              <w:right w:val="nil"/>
            </w:tcBorders>
          </w:tcPr>
          <w:p w14:paraId="7D050CE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4782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5DB9AE2" w14:textId="77777777" w:rsidTr="00015B88">
        <w:tc>
          <w:tcPr>
            <w:tcW w:w="2136" w:type="dxa"/>
            <w:tcBorders>
              <w:top w:val="nil"/>
              <w:left w:val="nil"/>
              <w:bottom w:val="nil"/>
              <w:right w:val="nil"/>
            </w:tcBorders>
          </w:tcPr>
          <w:p w14:paraId="17079BD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48122F">
              <w:rPr>
                <w:rFonts w:ascii="Times New Roman" w:hAnsi="Times New Roman" w:cs="Times New Roman"/>
                <w:sz w:val="16"/>
                <w:szCs w:val="16"/>
              </w:rPr>
              <w:t>L.De</w:t>
            </w:r>
            <w:proofErr w:type="spellEnd"/>
            <w:r w:rsidRPr="0048122F">
              <w:rPr>
                <w:rFonts w:ascii="Times New Roman" w:hAnsi="Times New Roman" w:cs="Times New Roman"/>
                <w:sz w:val="16"/>
                <w:szCs w:val="16"/>
              </w:rPr>
              <w:t xml:space="preserve"> Facto CBI * Lower House Legislates in Practice</w:t>
            </w:r>
          </w:p>
        </w:tc>
        <w:tc>
          <w:tcPr>
            <w:tcW w:w="1656" w:type="dxa"/>
            <w:tcBorders>
              <w:top w:val="nil"/>
              <w:left w:val="nil"/>
              <w:bottom w:val="nil"/>
              <w:right w:val="nil"/>
            </w:tcBorders>
          </w:tcPr>
          <w:p w14:paraId="77D62EF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0.0559</w:t>
            </w:r>
          </w:p>
        </w:tc>
      </w:tr>
      <w:tr w:rsidR="00201D4C" w:rsidRPr="0048122F" w14:paraId="13AA7E51" w14:textId="77777777" w:rsidTr="00015B88">
        <w:tc>
          <w:tcPr>
            <w:tcW w:w="2136" w:type="dxa"/>
            <w:tcBorders>
              <w:top w:val="nil"/>
              <w:left w:val="nil"/>
              <w:bottom w:val="nil"/>
              <w:right w:val="nil"/>
            </w:tcBorders>
          </w:tcPr>
          <w:p w14:paraId="64D1C5D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160B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(0.20)</w:t>
            </w:r>
          </w:p>
        </w:tc>
      </w:tr>
      <w:tr w:rsidR="00201D4C" w:rsidRPr="0048122F" w14:paraId="1695CA40" w14:textId="77777777" w:rsidTr="00015B88">
        <w:tc>
          <w:tcPr>
            <w:tcW w:w="2136" w:type="dxa"/>
            <w:tcBorders>
              <w:top w:val="nil"/>
              <w:left w:val="nil"/>
              <w:bottom w:val="nil"/>
              <w:right w:val="nil"/>
            </w:tcBorders>
          </w:tcPr>
          <w:p w14:paraId="0EBCAA3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5884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9C7A652" w14:textId="77777777" w:rsidTr="00015B88">
        <w:tc>
          <w:tcPr>
            <w:tcW w:w="2136" w:type="dxa"/>
            <w:tcBorders>
              <w:top w:val="nil"/>
              <w:left w:val="nil"/>
              <w:bottom w:val="nil"/>
              <w:right w:val="nil"/>
            </w:tcBorders>
          </w:tcPr>
          <w:p w14:paraId="0B7CB63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L2.De Facto CBI * Lower House Legislates in Practice</w:t>
            </w:r>
          </w:p>
        </w:tc>
        <w:tc>
          <w:tcPr>
            <w:tcW w:w="1656" w:type="dxa"/>
            <w:tcBorders>
              <w:top w:val="nil"/>
              <w:left w:val="nil"/>
              <w:bottom w:val="nil"/>
              <w:right w:val="nil"/>
            </w:tcBorders>
          </w:tcPr>
          <w:p w14:paraId="2EB7B4F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0.373</w:t>
            </w:r>
          </w:p>
        </w:tc>
      </w:tr>
      <w:tr w:rsidR="00201D4C" w:rsidRPr="0048122F" w14:paraId="65C5269A" w14:textId="77777777" w:rsidTr="00015B88">
        <w:tc>
          <w:tcPr>
            <w:tcW w:w="2136" w:type="dxa"/>
            <w:tcBorders>
              <w:top w:val="nil"/>
              <w:left w:val="nil"/>
              <w:bottom w:val="nil"/>
              <w:right w:val="nil"/>
            </w:tcBorders>
          </w:tcPr>
          <w:p w14:paraId="1B445A0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58BD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(1.11)</w:t>
            </w:r>
          </w:p>
        </w:tc>
      </w:tr>
      <w:tr w:rsidR="00201D4C" w:rsidRPr="0048122F" w14:paraId="35FB8367" w14:textId="77777777" w:rsidTr="00015B88">
        <w:tc>
          <w:tcPr>
            <w:tcW w:w="2136" w:type="dxa"/>
            <w:tcBorders>
              <w:top w:val="nil"/>
              <w:left w:val="nil"/>
              <w:bottom w:val="nil"/>
              <w:right w:val="nil"/>
            </w:tcBorders>
          </w:tcPr>
          <w:p w14:paraId="5766D87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BAEC2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99BE806" w14:textId="77777777" w:rsidTr="00015B88">
        <w:tc>
          <w:tcPr>
            <w:tcW w:w="2136" w:type="dxa"/>
            <w:tcBorders>
              <w:top w:val="nil"/>
              <w:left w:val="nil"/>
              <w:bottom w:val="nil"/>
              <w:right w:val="nil"/>
            </w:tcBorders>
          </w:tcPr>
          <w:p w14:paraId="0CECE9D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lastRenderedPageBreak/>
              <w:t>L3.De Facto CBI * Lower House Legislates in Practice</w:t>
            </w:r>
          </w:p>
        </w:tc>
        <w:tc>
          <w:tcPr>
            <w:tcW w:w="1656" w:type="dxa"/>
            <w:tcBorders>
              <w:top w:val="nil"/>
              <w:left w:val="nil"/>
              <w:bottom w:val="nil"/>
              <w:right w:val="nil"/>
            </w:tcBorders>
          </w:tcPr>
          <w:p w14:paraId="3A8F46E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-0.0914</w:t>
            </w:r>
          </w:p>
        </w:tc>
      </w:tr>
      <w:tr w:rsidR="00201D4C" w:rsidRPr="0048122F" w14:paraId="6561914C" w14:textId="77777777" w:rsidTr="00015B88">
        <w:tc>
          <w:tcPr>
            <w:tcW w:w="2136" w:type="dxa"/>
            <w:tcBorders>
              <w:top w:val="nil"/>
              <w:left w:val="nil"/>
              <w:bottom w:val="nil"/>
              <w:right w:val="nil"/>
            </w:tcBorders>
          </w:tcPr>
          <w:p w14:paraId="0D20F2A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4001EA"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(-0.31)</w:t>
            </w:r>
          </w:p>
        </w:tc>
      </w:tr>
      <w:tr w:rsidR="00201D4C" w:rsidRPr="0048122F" w14:paraId="7A7493DA" w14:textId="77777777" w:rsidTr="00015B88">
        <w:tc>
          <w:tcPr>
            <w:tcW w:w="2136" w:type="dxa"/>
            <w:tcBorders>
              <w:top w:val="nil"/>
              <w:left w:val="nil"/>
              <w:bottom w:val="nil"/>
              <w:right w:val="nil"/>
            </w:tcBorders>
          </w:tcPr>
          <w:p w14:paraId="6B0FF4B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9737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B8C7748" w14:textId="77777777" w:rsidTr="00015B88">
        <w:tc>
          <w:tcPr>
            <w:tcW w:w="2136" w:type="dxa"/>
            <w:tcBorders>
              <w:top w:val="nil"/>
              <w:left w:val="nil"/>
              <w:bottom w:val="nil"/>
              <w:right w:val="nil"/>
            </w:tcBorders>
          </w:tcPr>
          <w:p w14:paraId="65590A0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L4.De Facto CBI * Lower House Legislates in Practice</w:t>
            </w:r>
          </w:p>
        </w:tc>
        <w:tc>
          <w:tcPr>
            <w:tcW w:w="1656" w:type="dxa"/>
            <w:tcBorders>
              <w:top w:val="nil"/>
              <w:left w:val="nil"/>
              <w:bottom w:val="nil"/>
              <w:right w:val="nil"/>
            </w:tcBorders>
          </w:tcPr>
          <w:p w14:paraId="563F9AC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0.296</w:t>
            </w:r>
          </w:p>
        </w:tc>
      </w:tr>
      <w:tr w:rsidR="00201D4C" w:rsidRPr="0048122F" w14:paraId="25C17391" w14:textId="77777777" w:rsidTr="00015B88">
        <w:tc>
          <w:tcPr>
            <w:tcW w:w="2136" w:type="dxa"/>
            <w:tcBorders>
              <w:top w:val="nil"/>
              <w:left w:val="nil"/>
              <w:bottom w:val="nil"/>
              <w:right w:val="nil"/>
            </w:tcBorders>
          </w:tcPr>
          <w:p w14:paraId="36C8E5D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E510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(0.97)</w:t>
            </w:r>
          </w:p>
        </w:tc>
      </w:tr>
      <w:tr w:rsidR="00201D4C" w:rsidRPr="0048122F" w14:paraId="6F3392F2" w14:textId="77777777" w:rsidTr="00015B88">
        <w:tc>
          <w:tcPr>
            <w:tcW w:w="2136" w:type="dxa"/>
            <w:tcBorders>
              <w:top w:val="nil"/>
              <w:left w:val="nil"/>
              <w:bottom w:val="nil"/>
              <w:right w:val="nil"/>
            </w:tcBorders>
          </w:tcPr>
          <w:p w14:paraId="097B4D3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14E7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28AB220" w14:textId="77777777" w:rsidTr="00015B88">
        <w:tc>
          <w:tcPr>
            <w:tcW w:w="2136" w:type="dxa"/>
            <w:tcBorders>
              <w:top w:val="nil"/>
              <w:left w:val="nil"/>
              <w:bottom w:val="nil"/>
              <w:right w:val="nil"/>
            </w:tcBorders>
          </w:tcPr>
          <w:p w14:paraId="2899448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L5.De Facto CBI * Lower House Legislates in Practice</w:t>
            </w:r>
          </w:p>
        </w:tc>
        <w:tc>
          <w:tcPr>
            <w:tcW w:w="1656" w:type="dxa"/>
            <w:tcBorders>
              <w:top w:val="nil"/>
              <w:left w:val="nil"/>
              <w:bottom w:val="nil"/>
              <w:right w:val="nil"/>
            </w:tcBorders>
          </w:tcPr>
          <w:p w14:paraId="790B821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-0.727</w:t>
            </w:r>
            <w:r w:rsidRPr="0048122F">
              <w:rPr>
                <w:rFonts w:ascii="Times New Roman" w:hAnsi="Times New Roman" w:cs="Times New Roman"/>
                <w:sz w:val="16"/>
                <w:szCs w:val="16"/>
                <w:vertAlign w:val="superscript"/>
              </w:rPr>
              <w:t>**</w:t>
            </w:r>
          </w:p>
        </w:tc>
      </w:tr>
      <w:tr w:rsidR="00201D4C" w:rsidRPr="0048122F" w14:paraId="2A207849" w14:textId="77777777" w:rsidTr="00015B88">
        <w:tc>
          <w:tcPr>
            <w:tcW w:w="2136" w:type="dxa"/>
            <w:tcBorders>
              <w:top w:val="nil"/>
              <w:left w:val="nil"/>
              <w:bottom w:val="nil"/>
              <w:right w:val="nil"/>
            </w:tcBorders>
          </w:tcPr>
          <w:p w14:paraId="6DE0384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ED22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(-2.79)</w:t>
            </w:r>
          </w:p>
        </w:tc>
      </w:tr>
      <w:tr w:rsidR="00201D4C" w:rsidRPr="0048122F" w14:paraId="38FE19FD" w14:textId="77777777" w:rsidTr="00015B88">
        <w:tc>
          <w:tcPr>
            <w:tcW w:w="2136" w:type="dxa"/>
            <w:tcBorders>
              <w:top w:val="nil"/>
              <w:left w:val="nil"/>
              <w:bottom w:val="nil"/>
              <w:right w:val="nil"/>
            </w:tcBorders>
          </w:tcPr>
          <w:p w14:paraId="3AB3628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F2A7C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B424148" w14:textId="77777777" w:rsidTr="00015B88">
        <w:tc>
          <w:tcPr>
            <w:tcW w:w="2136" w:type="dxa"/>
            <w:tcBorders>
              <w:top w:val="nil"/>
              <w:left w:val="nil"/>
              <w:bottom w:val="nil"/>
              <w:right w:val="nil"/>
            </w:tcBorders>
          </w:tcPr>
          <w:p w14:paraId="0737E38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L6.De Facto CBI * Lower House Legislates in Practice</w:t>
            </w:r>
          </w:p>
        </w:tc>
        <w:tc>
          <w:tcPr>
            <w:tcW w:w="1656" w:type="dxa"/>
            <w:tcBorders>
              <w:top w:val="nil"/>
              <w:left w:val="nil"/>
              <w:bottom w:val="nil"/>
              <w:right w:val="nil"/>
            </w:tcBorders>
          </w:tcPr>
          <w:p w14:paraId="1CC7948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0.449</w:t>
            </w:r>
          </w:p>
        </w:tc>
      </w:tr>
      <w:tr w:rsidR="00201D4C" w:rsidRPr="0048122F" w14:paraId="243924CA" w14:textId="77777777" w:rsidTr="00015B88">
        <w:tc>
          <w:tcPr>
            <w:tcW w:w="2136" w:type="dxa"/>
            <w:tcBorders>
              <w:top w:val="nil"/>
              <w:left w:val="nil"/>
              <w:bottom w:val="nil"/>
              <w:right w:val="nil"/>
            </w:tcBorders>
          </w:tcPr>
          <w:p w14:paraId="17CF493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F82EE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(1.46)</w:t>
            </w:r>
          </w:p>
        </w:tc>
      </w:tr>
      <w:tr w:rsidR="00201D4C" w:rsidRPr="0048122F" w14:paraId="10B4A61C" w14:textId="77777777" w:rsidTr="00015B88">
        <w:tc>
          <w:tcPr>
            <w:tcW w:w="2136" w:type="dxa"/>
            <w:tcBorders>
              <w:top w:val="nil"/>
              <w:left w:val="nil"/>
              <w:bottom w:val="nil"/>
              <w:right w:val="nil"/>
            </w:tcBorders>
          </w:tcPr>
          <w:p w14:paraId="3F45222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8F557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2617941" w14:textId="77777777" w:rsidTr="00015B88">
        <w:tc>
          <w:tcPr>
            <w:tcW w:w="2136" w:type="dxa"/>
            <w:tcBorders>
              <w:top w:val="nil"/>
              <w:left w:val="nil"/>
              <w:bottom w:val="nil"/>
              <w:right w:val="nil"/>
            </w:tcBorders>
          </w:tcPr>
          <w:p w14:paraId="7D55359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L7.De Facto CBI * Lower House Legislates in Practice</w:t>
            </w:r>
          </w:p>
        </w:tc>
        <w:tc>
          <w:tcPr>
            <w:tcW w:w="1656" w:type="dxa"/>
            <w:tcBorders>
              <w:top w:val="nil"/>
              <w:left w:val="nil"/>
              <w:bottom w:val="nil"/>
              <w:right w:val="nil"/>
            </w:tcBorders>
          </w:tcPr>
          <w:p w14:paraId="08C3131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-0.349</w:t>
            </w:r>
          </w:p>
        </w:tc>
      </w:tr>
      <w:tr w:rsidR="00201D4C" w:rsidRPr="0048122F" w14:paraId="0699687D" w14:textId="77777777" w:rsidTr="00015B88">
        <w:tc>
          <w:tcPr>
            <w:tcW w:w="2136" w:type="dxa"/>
            <w:tcBorders>
              <w:top w:val="nil"/>
              <w:left w:val="nil"/>
              <w:bottom w:val="nil"/>
              <w:right w:val="nil"/>
            </w:tcBorders>
          </w:tcPr>
          <w:p w14:paraId="4075777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7E12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(-1.05)</w:t>
            </w:r>
          </w:p>
        </w:tc>
      </w:tr>
      <w:tr w:rsidR="00201D4C" w:rsidRPr="0048122F" w14:paraId="6031B40F" w14:textId="77777777" w:rsidTr="00015B88">
        <w:tc>
          <w:tcPr>
            <w:tcW w:w="2136" w:type="dxa"/>
            <w:tcBorders>
              <w:top w:val="nil"/>
              <w:left w:val="nil"/>
              <w:bottom w:val="nil"/>
              <w:right w:val="nil"/>
            </w:tcBorders>
          </w:tcPr>
          <w:p w14:paraId="464A249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E348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DE1FA2E" w14:textId="77777777" w:rsidTr="00015B88">
        <w:tc>
          <w:tcPr>
            <w:tcW w:w="2136" w:type="dxa"/>
            <w:tcBorders>
              <w:top w:val="nil"/>
              <w:left w:val="nil"/>
              <w:bottom w:val="nil"/>
              <w:right w:val="nil"/>
            </w:tcBorders>
          </w:tcPr>
          <w:p w14:paraId="6DD58E9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L8.De Facto CBI * Lower House Legislates in Practice</w:t>
            </w:r>
          </w:p>
        </w:tc>
        <w:tc>
          <w:tcPr>
            <w:tcW w:w="1656" w:type="dxa"/>
            <w:tcBorders>
              <w:top w:val="nil"/>
              <w:left w:val="nil"/>
              <w:bottom w:val="nil"/>
              <w:right w:val="nil"/>
            </w:tcBorders>
          </w:tcPr>
          <w:p w14:paraId="7B17BCC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0.522</w:t>
            </w:r>
            <w:r w:rsidRPr="0048122F">
              <w:rPr>
                <w:rFonts w:ascii="Times New Roman" w:hAnsi="Times New Roman" w:cs="Times New Roman"/>
                <w:sz w:val="16"/>
                <w:szCs w:val="16"/>
                <w:vertAlign w:val="superscript"/>
              </w:rPr>
              <w:t>*</w:t>
            </w:r>
          </w:p>
        </w:tc>
      </w:tr>
      <w:tr w:rsidR="00201D4C" w:rsidRPr="0048122F" w14:paraId="0358F830" w14:textId="77777777" w:rsidTr="00015B88">
        <w:tc>
          <w:tcPr>
            <w:tcW w:w="2136" w:type="dxa"/>
            <w:tcBorders>
              <w:top w:val="nil"/>
              <w:left w:val="nil"/>
              <w:bottom w:val="nil"/>
              <w:right w:val="nil"/>
            </w:tcBorders>
          </w:tcPr>
          <w:p w14:paraId="01477F6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4836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(2.15)</w:t>
            </w:r>
          </w:p>
        </w:tc>
      </w:tr>
      <w:tr w:rsidR="00201D4C" w:rsidRPr="0048122F" w14:paraId="07EBF61A" w14:textId="77777777" w:rsidTr="00015B88">
        <w:tc>
          <w:tcPr>
            <w:tcW w:w="2136" w:type="dxa"/>
            <w:tcBorders>
              <w:top w:val="nil"/>
              <w:left w:val="nil"/>
              <w:bottom w:val="nil"/>
              <w:right w:val="nil"/>
            </w:tcBorders>
          </w:tcPr>
          <w:p w14:paraId="0735E9C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5F05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6132026" w14:textId="77777777" w:rsidTr="00015B88">
        <w:tc>
          <w:tcPr>
            <w:tcW w:w="2136" w:type="dxa"/>
            <w:tcBorders>
              <w:top w:val="nil"/>
              <w:left w:val="nil"/>
              <w:bottom w:val="nil"/>
              <w:right w:val="nil"/>
            </w:tcBorders>
          </w:tcPr>
          <w:p w14:paraId="024CEB8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L9.De Facto CBI * Lower House Legislates in Practice</w:t>
            </w:r>
          </w:p>
        </w:tc>
        <w:tc>
          <w:tcPr>
            <w:tcW w:w="1656" w:type="dxa"/>
            <w:tcBorders>
              <w:top w:val="nil"/>
              <w:left w:val="nil"/>
              <w:bottom w:val="nil"/>
              <w:right w:val="nil"/>
            </w:tcBorders>
          </w:tcPr>
          <w:p w14:paraId="21CAE66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0.229</w:t>
            </w:r>
          </w:p>
        </w:tc>
      </w:tr>
      <w:tr w:rsidR="00201D4C" w:rsidRPr="0048122F" w14:paraId="3E1D3FF7" w14:textId="77777777" w:rsidTr="00015B88">
        <w:tc>
          <w:tcPr>
            <w:tcW w:w="2136" w:type="dxa"/>
            <w:tcBorders>
              <w:top w:val="nil"/>
              <w:left w:val="nil"/>
              <w:bottom w:val="nil"/>
              <w:right w:val="nil"/>
            </w:tcBorders>
          </w:tcPr>
          <w:p w14:paraId="26C4FC2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05D5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(0.90)</w:t>
            </w:r>
          </w:p>
        </w:tc>
      </w:tr>
      <w:tr w:rsidR="00201D4C" w:rsidRPr="0048122F" w14:paraId="22B15331" w14:textId="77777777" w:rsidTr="00015B88">
        <w:tc>
          <w:tcPr>
            <w:tcW w:w="2136" w:type="dxa"/>
            <w:tcBorders>
              <w:top w:val="nil"/>
              <w:left w:val="nil"/>
              <w:bottom w:val="nil"/>
              <w:right w:val="nil"/>
            </w:tcBorders>
          </w:tcPr>
          <w:p w14:paraId="032BC9B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E5E3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4BA1A44" w14:textId="77777777" w:rsidTr="00015B88">
        <w:tc>
          <w:tcPr>
            <w:tcW w:w="2136" w:type="dxa"/>
            <w:tcBorders>
              <w:top w:val="nil"/>
              <w:left w:val="nil"/>
              <w:bottom w:val="nil"/>
              <w:right w:val="nil"/>
            </w:tcBorders>
          </w:tcPr>
          <w:p w14:paraId="07D1379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L10.De Facto CBI * Lower House Legislates in Practice</w:t>
            </w:r>
          </w:p>
        </w:tc>
        <w:tc>
          <w:tcPr>
            <w:tcW w:w="1656" w:type="dxa"/>
            <w:tcBorders>
              <w:top w:val="nil"/>
              <w:left w:val="nil"/>
              <w:bottom w:val="nil"/>
              <w:right w:val="nil"/>
            </w:tcBorders>
          </w:tcPr>
          <w:p w14:paraId="1B39ED6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-0.554</w:t>
            </w:r>
            <w:r w:rsidRPr="0048122F">
              <w:rPr>
                <w:rFonts w:ascii="Times New Roman" w:hAnsi="Times New Roman" w:cs="Times New Roman"/>
                <w:sz w:val="16"/>
                <w:szCs w:val="16"/>
                <w:vertAlign w:val="superscript"/>
              </w:rPr>
              <w:t>*</w:t>
            </w:r>
          </w:p>
        </w:tc>
      </w:tr>
      <w:tr w:rsidR="00201D4C" w:rsidRPr="0048122F" w14:paraId="642D3B93" w14:textId="77777777" w:rsidTr="00015B88">
        <w:tc>
          <w:tcPr>
            <w:tcW w:w="2136" w:type="dxa"/>
            <w:tcBorders>
              <w:top w:val="nil"/>
              <w:left w:val="nil"/>
              <w:bottom w:val="nil"/>
              <w:right w:val="nil"/>
            </w:tcBorders>
          </w:tcPr>
          <w:p w14:paraId="728E572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5CD0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(-2.00)</w:t>
            </w:r>
          </w:p>
        </w:tc>
      </w:tr>
      <w:tr w:rsidR="00201D4C" w:rsidRPr="0048122F" w14:paraId="5427FF99" w14:textId="77777777" w:rsidTr="00015B88">
        <w:tc>
          <w:tcPr>
            <w:tcW w:w="2136" w:type="dxa"/>
            <w:tcBorders>
              <w:top w:val="nil"/>
              <w:left w:val="nil"/>
              <w:bottom w:val="nil"/>
              <w:right w:val="nil"/>
            </w:tcBorders>
          </w:tcPr>
          <w:p w14:paraId="36536C1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CC83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4895056" w14:textId="77777777" w:rsidTr="00015B88">
        <w:tc>
          <w:tcPr>
            <w:tcW w:w="2136" w:type="dxa"/>
            <w:tcBorders>
              <w:top w:val="nil"/>
              <w:left w:val="nil"/>
              <w:bottom w:val="nil"/>
              <w:right w:val="nil"/>
            </w:tcBorders>
          </w:tcPr>
          <w:p w14:paraId="1D8577C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roofErr w:type="spellStart"/>
            <w:r w:rsidRPr="0048122F">
              <w:rPr>
                <w:rFonts w:ascii="Times New Roman" w:hAnsi="Times New Roman" w:cs="Times New Roman"/>
                <w:sz w:val="16"/>
                <w:szCs w:val="16"/>
              </w:rPr>
              <w:t>L.More</w:t>
            </w:r>
            <w:proofErr w:type="spellEnd"/>
            <w:r w:rsidRPr="0048122F">
              <w:rPr>
                <w:rFonts w:ascii="Times New Roman" w:hAnsi="Times New Roman" w:cs="Times New Roman"/>
                <w:sz w:val="16"/>
                <w:szCs w:val="16"/>
              </w:rPr>
              <w:t xml:space="preserve"> Fixed Rate * Lower House Legislates in Practice</w:t>
            </w:r>
          </w:p>
        </w:tc>
        <w:tc>
          <w:tcPr>
            <w:tcW w:w="1656" w:type="dxa"/>
            <w:tcBorders>
              <w:top w:val="nil"/>
              <w:left w:val="nil"/>
              <w:bottom w:val="nil"/>
              <w:right w:val="nil"/>
            </w:tcBorders>
          </w:tcPr>
          <w:p w14:paraId="370073C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-0.000995</w:t>
            </w:r>
          </w:p>
        </w:tc>
      </w:tr>
      <w:tr w:rsidR="00201D4C" w:rsidRPr="0048122F" w14:paraId="6D29836E" w14:textId="77777777" w:rsidTr="00015B88">
        <w:tc>
          <w:tcPr>
            <w:tcW w:w="2136" w:type="dxa"/>
            <w:tcBorders>
              <w:top w:val="nil"/>
              <w:left w:val="nil"/>
              <w:bottom w:val="nil"/>
              <w:right w:val="nil"/>
            </w:tcBorders>
          </w:tcPr>
          <w:p w14:paraId="62DBC84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B980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(-0.01)</w:t>
            </w:r>
          </w:p>
        </w:tc>
      </w:tr>
      <w:tr w:rsidR="00201D4C" w:rsidRPr="0048122F" w14:paraId="140FF38C" w14:textId="77777777" w:rsidTr="00015B88">
        <w:tc>
          <w:tcPr>
            <w:tcW w:w="2136" w:type="dxa"/>
            <w:tcBorders>
              <w:top w:val="nil"/>
              <w:left w:val="nil"/>
              <w:bottom w:val="nil"/>
              <w:right w:val="nil"/>
            </w:tcBorders>
          </w:tcPr>
          <w:p w14:paraId="6CA4156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31B5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C686C20" w14:textId="77777777" w:rsidTr="00015B88">
        <w:tc>
          <w:tcPr>
            <w:tcW w:w="2136" w:type="dxa"/>
            <w:tcBorders>
              <w:top w:val="nil"/>
              <w:left w:val="nil"/>
              <w:bottom w:val="nil"/>
              <w:right w:val="nil"/>
            </w:tcBorders>
          </w:tcPr>
          <w:p w14:paraId="42FEF68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L2.More Fixed Rate * Lower House Legislates in Practice</w:t>
            </w:r>
          </w:p>
        </w:tc>
        <w:tc>
          <w:tcPr>
            <w:tcW w:w="1656" w:type="dxa"/>
            <w:tcBorders>
              <w:top w:val="nil"/>
              <w:left w:val="nil"/>
              <w:bottom w:val="nil"/>
              <w:right w:val="nil"/>
            </w:tcBorders>
          </w:tcPr>
          <w:p w14:paraId="477A398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0.123</w:t>
            </w:r>
          </w:p>
        </w:tc>
      </w:tr>
      <w:tr w:rsidR="00201D4C" w:rsidRPr="0048122F" w14:paraId="52D95FDB" w14:textId="77777777" w:rsidTr="00015B88">
        <w:tc>
          <w:tcPr>
            <w:tcW w:w="2136" w:type="dxa"/>
            <w:tcBorders>
              <w:top w:val="nil"/>
              <w:left w:val="nil"/>
              <w:bottom w:val="nil"/>
              <w:right w:val="nil"/>
            </w:tcBorders>
          </w:tcPr>
          <w:p w14:paraId="0D08E01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35F74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(1.91)</w:t>
            </w:r>
          </w:p>
        </w:tc>
      </w:tr>
      <w:tr w:rsidR="00201D4C" w:rsidRPr="0048122F" w14:paraId="2A2A373F" w14:textId="77777777" w:rsidTr="00015B88">
        <w:tc>
          <w:tcPr>
            <w:tcW w:w="2136" w:type="dxa"/>
            <w:tcBorders>
              <w:top w:val="nil"/>
              <w:left w:val="nil"/>
              <w:bottom w:val="nil"/>
              <w:right w:val="nil"/>
            </w:tcBorders>
          </w:tcPr>
          <w:p w14:paraId="783F3A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4172F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3CFE089" w14:textId="77777777" w:rsidTr="00015B88">
        <w:tc>
          <w:tcPr>
            <w:tcW w:w="2136" w:type="dxa"/>
            <w:tcBorders>
              <w:top w:val="nil"/>
              <w:left w:val="nil"/>
              <w:bottom w:val="nil"/>
              <w:right w:val="nil"/>
            </w:tcBorders>
          </w:tcPr>
          <w:p w14:paraId="3096370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L3.More Fixed Rate * Lower House Legislates in Practice</w:t>
            </w:r>
          </w:p>
        </w:tc>
        <w:tc>
          <w:tcPr>
            <w:tcW w:w="1656" w:type="dxa"/>
            <w:tcBorders>
              <w:top w:val="nil"/>
              <w:left w:val="nil"/>
              <w:bottom w:val="nil"/>
              <w:right w:val="nil"/>
            </w:tcBorders>
          </w:tcPr>
          <w:p w14:paraId="5976807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-0.155</w:t>
            </w:r>
          </w:p>
        </w:tc>
      </w:tr>
      <w:tr w:rsidR="00201D4C" w:rsidRPr="0048122F" w14:paraId="45B4D30D" w14:textId="77777777" w:rsidTr="00015B88">
        <w:tc>
          <w:tcPr>
            <w:tcW w:w="2136" w:type="dxa"/>
            <w:tcBorders>
              <w:top w:val="nil"/>
              <w:left w:val="nil"/>
              <w:bottom w:val="nil"/>
              <w:right w:val="nil"/>
            </w:tcBorders>
          </w:tcPr>
          <w:p w14:paraId="38E5D92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1A435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(-1.88)</w:t>
            </w:r>
          </w:p>
        </w:tc>
      </w:tr>
      <w:tr w:rsidR="00201D4C" w:rsidRPr="0048122F" w14:paraId="1830E086" w14:textId="77777777" w:rsidTr="00015B88">
        <w:tc>
          <w:tcPr>
            <w:tcW w:w="2136" w:type="dxa"/>
            <w:tcBorders>
              <w:top w:val="nil"/>
              <w:left w:val="nil"/>
              <w:bottom w:val="nil"/>
              <w:right w:val="nil"/>
            </w:tcBorders>
          </w:tcPr>
          <w:p w14:paraId="451160F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F4B2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2D6707A" w14:textId="77777777" w:rsidTr="00015B88">
        <w:tc>
          <w:tcPr>
            <w:tcW w:w="2136" w:type="dxa"/>
            <w:tcBorders>
              <w:top w:val="nil"/>
              <w:left w:val="nil"/>
              <w:bottom w:val="nil"/>
              <w:right w:val="nil"/>
            </w:tcBorders>
          </w:tcPr>
          <w:p w14:paraId="26222B0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L4.More Fixed Rate * Lower House Legislates in Practice</w:t>
            </w:r>
          </w:p>
        </w:tc>
        <w:tc>
          <w:tcPr>
            <w:tcW w:w="1656" w:type="dxa"/>
            <w:tcBorders>
              <w:top w:val="nil"/>
              <w:left w:val="nil"/>
              <w:bottom w:val="nil"/>
              <w:right w:val="nil"/>
            </w:tcBorders>
          </w:tcPr>
          <w:p w14:paraId="3A832C1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-0.0591</w:t>
            </w:r>
          </w:p>
        </w:tc>
      </w:tr>
      <w:tr w:rsidR="00201D4C" w:rsidRPr="0048122F" w14:paraId="1437828F" w14:textId="77777777" w:rsidTr="00015B88">
        <w:tc>
          <w:tcPr>
            <w:tcW w:w="2136" w:type="dxa"/>
            <w:tcBorders>
              <w:top w:val="nil"/>
              <w:left w:val="nil"/>
              <w:bottom w:val="nil"/>
              <w:right w:val="nil"/>
            </w:tcBorders>
          </w:tcPr>
          <w:p w14:paraId="27A5FA0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2742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(-0.79)</w:t>
            </w:r>
          </w:p>
        </w:tc>
      </w:tr>
      <w:tr w:rsidR="00201D4C" w:rsidRPr="0048122F" w14:paraId="46100412" w14:textId="77777777" w:rsidTr="00015B88">
        <w:tc>
          <w:tcPr>
            <w:tcW w:w="2136" w:type="dxa"/>
            <w:tcBorders>
              <w:top w:val="nil"/>
              <w:left w:val="nil"/>
              <w:bottom w:val="nil"/>
              <w:right w:val="nil"/>
            </w:tcBorders>
          </w:tcPr>
          <w:p w14:paraId="3098735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31D6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9C0B585" w14:textId="77777777" w:rsidTr="00015B88">
        <w:tc>
          <w:tcPr>
            <w:tcW w:w="2136" w:type="dxa"/>
            <w:tcBorders>
              <w:top w:val="nil"/>
              <w:left w:val="nil"/>
              <w:bottom w:val="nil"/>
              <w:right w:val="nil"/>
            </w:tcBorders>
          </w:tcPr>
          <w:p w14:paraId="6F78F72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L5.More Fixed Rate * Lower House Legislates in Practice</w:t>
            </w:r>
          </w:p>
        </w:tc>
        <w:tc>
          <w:tcPr>
            <w:tcW w:w="1656" w:type="dxa"/>
            <w:tcBorders>
              <w:top w:val="nil"/>
              <w:left w:val="nil"/>
              <w:bottom w:val="nil"/>
              <w:right w:val="nil"/>
            </w:tcBorders>
          </w:tcPr>
          <w:p w14:paraId="52215C6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0.104</w:t>
            </w:r>
          </w:p>
        </w:tc>
      </w:tr>
      <w:tr w:rsidR="00201D4C" w:rsidRPr="0048122F" w14:paraId="75D1FEE5" w14:textId="77777777" w:rsidTr="00015B88">
        <w:tc>
          <w:tcPr>
            <w:tcW w:w="2136" w:type="dxa"/>
            <w:tcBorders>
              <w:top w:val="nil"/>
              <w:left w:val="nil"/>
              <w:bottom w:val="nil"/>
              <w:right w:val="nil"/>
            </w:tcBorders>
          </w:tcPr>
          <w:p w14:paraId="4100661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C8A7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(1.41)</w:t>
            </w:r>
          </w:p>
        </w:tc>
      </w:tr>
      <w:tr w:rsidR="00201D4C" w:rsidRPr="0048122F" w14:paraId="7742E48A" w14:textId="77777777" w:rsidTr="00015B88">
        <w:tc>
          <w:tcPr>
            <w:tcW w:w="2136" w:type="dxa"/>
            <w:tcBorders>
              <w:top w:val="nil"/>
              <w:left w:val="nil"/>
              <w:bottom w:val="nil"/>
              <w:right w:val="nil"/>
            </w:tcBorders>
          </w:tcPr>
          <w:p w14:paraId="142C84B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4E9D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A15CC91" w14:textId="77777777" w:rsidTr="00015B88">
        <w:tc>
          <w:tcPr>
            <w:tcW w:w="2136" w:type="dxa"/>
            <w:tcBorders>
              <w:top w:val="nil"/>
              <w:left w:val="nil"/>
              <w:bottom w:val="nil"/>
              <w:right w:val="nil"/>
            </w:tcBorders>
          </w:tcPr>
          <w:p w14:paraId="5C46807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L6.More Fixed Rate * Lower House Legislates in Practice</w:t>
            </w:r>
          </w:p>
        </w:tc>
        <w:tc>
          <w:tcPr>
            <w:tcW w:w="1656" w:type="dxa"/>
            <w:tcBorders>
              <w:top w:val="nil"/>
              <w:left w:val="nil"/>
              <w:bottom w:val="nil"/>
              <w:right w:val="nil"/>
            </w:tcBorders>
          </w:tcPr>
          <w:p w14:paraId="385BF5F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-0.0107</w:t>
            </w:r>
          </w:p>
        </w:tc>
      </w:tr>
      <w:tr w:rsidR="00201D4C" w:rsidRPr="0048122F" w14:paraId="1B72B128" w14:textId="77777777" w:rsidTr="00015B88">
        <w:tc>
          <w:tcPr>
            <w:tcW w:w="2136" w:type="dxa"/>
            <w:tcBorders>
              <w:top w:val="nil"/>
              <w:left w:val="nil"/>
              <w:bottom w:val="nil"/>
              <w:right w:val="nil"/>
            </w:tcBorders>
          </w:tcPr>
          <w:p w14:paraId="3155CE7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0892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(-0.19)</w:t>
            </w:r>
          </w:p>
        </w:tc>
      </w:tr>
      <w:tr w:rsidR="00201D4C" w:rsidRPr="0048122F" w14:paraId="107A4524" w14:textId="77777777" w:rsidTr="00015B88">
        <w:tc>
          <w:tcPr>
            <w:tcW w:w="2136" w:type="dxa"/>
            <w:tcBorders>
              <w:top w:val="nil"/>
              <w:left w:val="nil"/>
              <w:bottom w:val="nil"/>
              <w:right w:val="nil"/>
            </w:tcBorders>
          </w:tcPr>
          <w:p w14:paraId="1A03117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0D88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2180352" w14:textId="77777777" w:rsidTr="00015B88">
        <w:tc>
          <w:tcPr>
            <w:tcW w:w="2136" w:type="dxa"/>
            <w:tcBorders>
              <w:top w:val="nil"/>
              <w:left w:val="nil"/>
              <w:bottom w:val="nil"/>
              <w:right w:val="nil"/>
            </w:tcBorders>
          </w:tcPr>
          <w:p w14:paraId="3DBB31D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L7.More Fixed Rate * Lower House Legislates in Practice</w:t>
            </w:r>
          </w:p>
        </w:tc>
        <w:tc>
          <w:tcPr>
            <w:tcW w:w="1656" w:type="dxa"/>
            <w:tcBorders>
              <w:top w:val="nil"/>
              <w:left w:val="nil"/>
              <w:bottom w:val="nil"/>
              <w:right w:val="nil"/>
            </w:tcBorders>
          </w:tcPr>
          <w:p w14:paraId="38A6B00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-0.0212</w:t>
            </w:r>
          </w:p>
        </w:tc>
      </w:tr>
      <w:tr w:rsidR="00201D4C" w:rsidRPr="0048122F" w14:paraId="757088AD" w14:textId="77777777" w:rsidTr="00015B88">
        <w:tc>
          <w:tcPr>
            <w:tcW w:w="2136" w:type="dxa"/>
            <w:tcBorders>
              <w:top w:val="nil"/>
              <w:left w:val="nil"/>
              <w:bottom w:val="nil"/>
              <w:right w:val="nil"/>
            </w:tcBorders>
          </w:tcPr>
          <w:p w14:paraId="4E44522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D886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(-0.30)</w:t>
            </w:r>
          </w:p>
        </w:tc>
      </w:tr>
      <w:tr w:rsidR="00201D4C" w:rsidRPr="0048122F" w14:paraId="65F3DE93" w14:textId="77777777" w:rsidTr="00015B88">
        <w:tc>
          <w:tcPr>
            <w:tcW w:w="2136" w:type="dxa"/>
            <w:tcBorders>
              <w:top w:val="nil"/>
              <w:left w:val="nil"/>
              <w:bottom w:val="nil"/>
              <w:right w:val="nil"/>
            </w:tcBorders>
          </w:tcPr>
          <w:p w14:paraId="7938427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CBA46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67F36C0" w14:textId="77777777" w:rsidTr="00015B88">
        <w:tc>
          <w:tcPr>
            <w:tcW w:w="2136" w:type="dxa"/>
            <w:tcBorders>
              <w:top w:val="nil"/>
              <w:left w:val="nil"/>
              <w:bottom w:val="nil"/>
              <w:right w:val="nil"/>
            </w:tcBorders>
          </w:tcPr>
          <w:p w14:paraId="57AE949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L8.More Fixed Rate * Lower House Legislates in Practice</w:t>
            </w:r>
          </w:p>
        </w:tc>
        <w:tc>
          <w:tcPr>
            <w:tcW w:w="1656" w:type="dxa"/>
            <w:tcBorders>
              <w:top w:val="nil"/>
              <w:left w:val="nil"/>
              <w:bottom w:val="nil"/>
              <w:right w:val="nil"/>
            </w:tcBorders>
          </w:tcPr>
          <w:p w14:paraId="116813E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-0.0247</w:t>
            </w:r>
          </w:p>
        </w:tc>
      </w:tr>
      <w:tr w:rsidR="00201D4C" w:rsidRPr="0048122F" w14:paraId="067523CA" w14:textId="77777777" w:rsidTr="00015B88">
        <w:tc>
          <w:tcPr>
            <w:tcW w:w="2136" w:type="dxa"/>
            <w:tcBorders>
              <w:top w:val="nil"/>
              <w:left w:val="nil"/>
              <w:bottom w:val="nil"/>
              <w:right w:val="nil"/>
            </w:tcBorders>
          </w:tcPr>
          <w:p w14:paraId="496438C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15A9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(-0.34)</w:t>
            </w:r>
          </w:p>
        </w:tc>
      </w:tr>
      <w:tr w:rsidR="00201D4C" w:rsidRPr="0048122F" w14:paraId="0D4A2AE0" w14:textId="77777777" w:rsidTr="00015B88">
        <w:tc>
          <w:tcPr>
            <w:tcW w:w="2136" w:type="dxa"/>
            <w:tcBorders>
              <w:top w:val="nil"/>
              <w:left w:val="nil"/>
              <w:bottom w:val="nil"/>
              <w:right w:val="nil"/>
            </w:tcBorders>
          </w:tcPr>
          <w:p w14:paraId="56EAB21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6BF0F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6FD7A13" w14:textId="77777777" w:rsidTr="00015B88">
        <w:tc>
          <w:tcPr>
            <w:tcW w:w="2136" w:type="dxa"/>
            <w:tcBorders>
              <w:top w:val="nil"/>
              <w:left w:val="nil"/>
              <w:bottom w:val="nil"/>
              <w:right w:val="nil"/>
            </w:tcBorders>
          </w:tcPr>
          <w:p w14:paraId="715B795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L9.More Fixed Rate * Lower House Legislates in Practice</w:t>
            </w:r>
          </w:p>
        </w:tc>
        <w:tc>
          <w:tcPr>
            <w:tcW w:w="1656" w:type="dxa"/>
            <w:tcBorders>
              <w:top w:val="nil"/>
              <w:left w:val="nil"/>
              <w:bottom w:val="nil"/>
              <w:right w:val="nil"/>
            </w:tcBorders>
          </w:tcPr>
          <w:p w14:paraId="1A5C891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0.0329</w:t>
            </w:r>
          </w:p>
        </w:tc>
      </w:tr>
      <w:tr w:rsidR="00201D4C" w:rsidRPr="0048122F" w14:paraId="0FCB4AB4" w14:textId="77777777" w:rsidTr="00015B88">
        <w:tc>
          <w:tcPr>
            <w:tcW w:w="2136" w:type="dxa"/>
            <w:tcBorders>
              <w:top w:val="nil"/>
              <w:left w:val="nil"/>
              <w:bottom w:val="nil"/>
              <w:right w:val="nil"/>
            </w:tcBorders>
          </w:tcPr>
          <w:p w14:paraId="6540E67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52316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w:t>
            </w:r>
          </w:p>
        </w:tc>
      </w:tr>
      <w:tr w:rsidR="00201D4C" w:rsidRPr="0048122F" w14:paraId="576168A2" w14:textId="77777777" w:rsidTr="00015B88">
        <w:tc>
          <w:tcPr>
            <w:tcW w:w="2136" w:type="dxa"/>
            <w:tcBorders>
              <w:top w:val="nil"/>
              <w:left w:val="nil"/>
              <w:bottom w:val="nil"/>
              <w:right w:val="nil"/>
            </w:tcBorders>
          </w:tcPr>
          <w:p w14:paraId="04FDA06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9C56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DAFE7AD" w14:textId="77777777" w:rsidTr="00015B88">
        <w:tc>
          <w:tcPr>
            <w:tcW w:w="2136" w:type="dxa"/>
            <w:tcBorders>
              <w:top w:val="nil"/>
              <w:left w:val="nil"/>
              <w:bottom w:val="nil"/>
              <w:right w:val="nil"/>
            </w:tcBorders>
          </w:tcPr>
          <w:p w14:paraId="4EF8001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 xml:space="preserve">L10.More Fixed Rate * Lower House Legislates in </w:t>
            </w:r>
            <w:r w:rsidRPr="0048122F">
              <w:rPr>
                <w:rFonts w:ascii="Times New Roman" w:hAnsi="Times New Roman" w:cs="Times New Roman"/>
                <w:sz w:val="16"/>
                <w:szCs w:val="16"/>
              </w:rPr>
              <w:lastRenderedPageBreak/>
              <w:t>Practice</w:t>
            </w:r>
          </w:p>
        </w:tc>
        <w:tc>
          <w:tcPr>
            <w:tcW w:w="1656" w:type="dxa"/>
            <w:tcBorders>
              <w:top w:val="nil"/>
              <w:left w:val="nil"/>
              <w:bottom w:val="nil"/>
              <w:right w:val="nil"/>
            </w:tcBorders>
          </w:tcPr>
          <w:p w14:paraId="29B3CE5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lastRenderedPageBreak/>
              <w:t>0.0334</w:t>
            </w:r>
          </w:p>
        </w:tc>
      </w:tr>
      <w:tr w:rsidR="00201D4C" w:rsidRPr="0048122F" w14:paraId="6463A107" w14:textId="77777777" w:rsidTr="00015B88">
        <w:tc>
          <w:tcPr>
            <w:tcW w:w="2136" w:type="dxa"/>
            <w:tcBorders>
              <w:top w:val="nil"/>
              <w:left w:val="nil"/>
              <w:bottom w:val="nil"/>
              <w:right w:val="nil"/>
            </w:tcBorders>
          </w:tcPr>
          <w:p w14:paraId="4057C1D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28DFD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(0.79)</w:t>
            </w:r>
          </w:p>
        </w:tc>
      </w:tr>
      <w:tr w:rsidR="00201D4C" w:rsidRPr="0048122F" w14:paraId="61CE0602" w14:textId="77777777" w:rsidTr="00015B88">
        <w:tc>
          <w:tcPr>
            <w:tcW w:w="2136" w:type="dxa"/>
            <w:tcBorders>
              <w:top w:val="nil"/>
              <w:left w:val="nil"/>
              <w:bottom w:val="nil"/>
              <w:right w:val="nil"/>
            </w:tcBorders>
          </w:tcPr>
          <w:p w14:paraId="5D25803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75A9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A00C6DE" w14:textId="77777777" w:rsidTr="00015B88">
        <w:tc>
          <w:tcPr>
            <w:tcW w:w="2136" w:type="dxa"/>
            <w:tcBorders>
              <w:top w:val="nil"/>
              <w:left w:val="nil"/>
              <w:bottom w:val="nil"/>
              <w:right w:val="nil"/>
            </w:tcBorders>
          </w:tcPr>
          <w:p w14:paraId="37C954D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43E16B3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71DA0493" w14:textId="77777777" w:rsidTr="00015B88">
        <w:tc>
          <w:tcPr>
            <w:tcW w:w="2136" w:type="dxa"/>
            <w:tcBorders>
              <w:top w:val="nil"/>
              <w:left w:val="nil"/>
              <w:bottom w:val="nil"/>
              <w:right w:val="nil"/>
            </w:tcBorders>
          </w:tcPr>
          <w:p w14:paraId="1ADA1B0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0CE96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2F23E31E" w14:textId="77777777" w:rsidTr="00015B88">
        <w:tc>
          <w:tcPr>
            <w:tcW w:w="2136" w:type="dxa"/>
            <w:tcBorders>
              <w:top w:val="single" w:sz="4" w:space="0" w:color="auto"/>
              <w:left w:val="nil"/>
              <w:bottom w:val="nil"/>
              <w:right w:val="nil"/>
            </w:tcBorders>
          </w:tcPr>
          <w:p w14:paraId="53EE6E6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18F703F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1FC4BE85" w14:textId="77777777" w:rsidTr="00015B88">
        <w:tc>
          <w:tcPr>
            <w:tcW w:w="2136" w:type="dxa"/>
            <w:tcBorders>
              <w:top w:val="nil"/>
              <w:left w:val="nil"/>
              <w:bottom w:val="nil"/>
              <w:right w:val="nil"/>
            </w:tcBorders>
          </w:tcPr>
          <w:p w14:paraId="0ECCD28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314789C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-1.195</w:t>
            </w:r>
          </w:p>
        </w:tc>
      </w:tr>
      <w:tr w:rsidR="00201D4C" w:rsidRPr="0048122F" w14:paraId="34F41169" w14:textId="77777777" w:rsidTr="00015B88">
        <w:tc>
          <w:tcPr>
            <w:tcW w:w="2136" w:type="dxa"/>
            <w:tcBorders>
              <w:top w:val="nil"/>
              <w:left w:val="nil"/>
              <w:bottom w:val="nil"/>
              <w:right w:val="nil"/>
            </w:tcBorders>
          </w:tcPr>
          <w:p w14:paraId="59CDA76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B898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(-1.32)</w:t>
            </w:r>
          </w:p>
        </w:tc>
      </w:tr>
      <w:tr w:rsidR="00201D4C" w:rsidRPr="0048122F" w14:paraId="729FDA61" w14:textId="77777777" w:rsidTr="00015B88">
        <w:tc>
          <w:tcPr>
            <w:tcW w:w="2136" w:type="dxa"/>
            <w:tcBorders>
              <w:top w:val="single" w:sz="4" w:space="0" w:color="auto"/>
              <w:left w:val="nil"/>
              <w:bottom w:val="nil"/>
              <w:right w:val="nil"/>
            </w:tcBorders>
          </w:tcPr>
          <w:p w14:paraId="124CB14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255BFAA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73BF2677" w14:textId="77777777" w:rsidTr="00015B88">
        <w:tc>
          <w:tcPr>
            <w:tcW w:w="2136" w:type="dxa"/>
            <w:tcBorders>
              <w:top w:val="nil"/>
              <w:left w:val="nil"/>
              <w:bottom w:val="nil"/>
              <w:right w:val="nil"/>
            </w:tcBorders>
          </w:tcPr>
          <w:p w14:paraId="7989AE6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4ADBF34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0.168</w:t>
            </w:r>
          </w:p>
        </w:tc>
      </w:tr>
      <w:tr w:rsidR="00201D4C" w:rsidRPr="0048122F" w14:paraId="4C0B06A4" w14:textId="77777777" w:rsidTr="00015B88">
        <w:tc>
          <w:tcPr>
            <w:tcW w:w="2136" w:type="dxa"/>
            <w:tcBorders>
              <w:top w:val="nil"/>
              <w:left w:val="nil"/>
              <w:bottom w:val="nil"/>
              <w:right w:val="nil"/>
            </w:tcBorders>
          </w:tcPr>
          <w:p w14:paraId="0733A5D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B952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(0.19)</w:t>
            </w:r>
          </w:p>
        </w:tc>
      </w:tr>
      <w:tr w:rsidR="00201D4C" w:rsidRPr="0048122F" w14:paraId="0E900E95" w14:textId="77777777" w:rsidTr="00015B88">
        <w:tc>
          <w:tcPr>
            <w:tcW w:w="2136" w:type="dxa"/>
            <w:tcBorders>
              <w:top w:val="single" w:sz="4" w:space="0" w:color="auto"/>
              <w:left w:val="nil"/>
              <w:bottom w:val="nil"/>
              <w:right w:val="nil"/>
            </w:tcBorders>
          </w:tcPr>
          <w:p w14:paraId="5E0AB2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01886D1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1690117A" w14:textId="77777777" w:rsidTr="00015B88">
        <w:tc>
          <w:tcPr>
            <w:tcW w:w="2136" w:type="dxa"/>
            <w:tcBorders>
              <w:top w:val="nil"/>
              <w:left w:val="nil"/>
              <w:bottom w:val="nil"/>
              <w:right w:val="nil"/>
            </w:tcBorders>
          </w:tcPr>
          <w:p w14:paraId="478C1E6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021359D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0.600</w:t>
            </w:r>
            <w:r w:rsidRPr="0048122F">
              <w:rPr>
                <w:rFonts w:ascii="Times New Roman" w:hAnsi="Times New Roman" w:cs="Times New Roman"/>
                <w:sz w:val="16"/>
                <w:szCs w:val="16"/>
                <w:vertAlign w:val="superscript"/>
              </w:rPr>
              <w:t>*</w:t>
            </w:r>
          </w:p>
        </w:tc>
      </w:tr>
      <w:tr w:rsidR="00201D4C" w:rsidRPr="0048122F" w14:paraId="230171FD" w14:textId="77777777" w:rsidTr="00015B88">
        <w:tc>
          <w:tcPr>
            <w:tcW w:w="2136" w:type="dxa"/>
            <w:tcBorders>
              <w:top w:val="nil"/>
              <w:left w:val="nil"/>
              <w:bottom w:val="nil"/>
              <w:right w:val="nil"/>
            </w:tcBorders>
          </w:tcPr>
          <w:p w14:paraId="2FFB351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BC8D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(2.35)</w:t>
            </w:r>
          </w:p>
        </w:tc>
      </w:tr>
      <w:tr w:rsidR="00201D4C" w:rsidRPr="0048122F" w14:paraId="1374EC73" w14:textId="77777777" w:rsidTr="00015B88">
        <w:tc>
          <w:tcPr>
            <w:tcW w:w="2136" w:type="dxa"/>
            <w:tcBorders>
              <w:top w:val="single" w:sz="4" w:space="0" w:color="auto"/>
              <w:left w:val="nil"/>
              <w:bottom w:val="nil"/>
              <w:right w:val="nil"/>
            </w:tcBorders>
          </w:tcPr>
          <w:p w14:paraId="097EA9B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w:t>
            </w:r>
          </w:p>
        </w:tc>
        <w:tc>
          <w:tcPr>
            <w:tcW w:w="1656" w:type="dxa"/>
            <w:tcBorders>
              <w:top w:val="single" w:sz="4" w:space="0" w:color="auto"/>
              <w:left w:val="nil"/>
              <w:bottom w:val="nil"/>
              <w:right w:val="nil"/>
            </w:tcBorders>
          </w:tcPr>
          <w:p w14:paraId="70AE15B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47F8EDE2" w14:textId="77777777" w:rsidTr="00015B88">
        <w:tc>
          <w:tcPr>
            <w:tcW w:w="2136" w:type="dxa"/>
            <w:tcBorders>
              <w:top w:val="nil"/>
              <w:left w:val="nil"/>
              <w:bottom w:val="nil"/>
              <w:right w:val="nil"/>
            </w:tcBorders>
          </w:tcPr>
          <w:p w14:paraId="079FA44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lnsig2u</w:t>
            </w:r>
          </w:p>
        </w:tc>
        <w:tc>
          <w:tcPr>
            <w:tcW w:w="1656" w:type="dxa"/>
            <w:tcBorders>
              <w:top w:val="nil"/>
              <w:left w:val="nil"/>
              <w:bottom w:val="nil"/>
              <w:right w:val="nil"/>
            </w:tcBorders>
          </w:tcPr>
          <w:p w14:paraId="39F0390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354497C7" w14:textId="77777777" w:rsidTr="00015B88">
        <w:tc>
          <w:tcPr>
            <w:tcW w:w="2136" w:type="dxa"/>
            <w:tcBorders>
              <w:top w:val="nil"/>
              <w:left w:val="nil"/>
              <w:bottom w:val="single" w:sz="4" w:space="0" w:color="auto"/>
              <w:right w:val="nil"/>
            </w:tcBorders>
          </w:tcPr>
          <w:p w14:paraId="33CAC33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375433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08981C95" w14:textId="77777777" w:rsidTr="00015B88">
        <w:tc>
          <w:tcPr>
            <w:tcW w:w="2136" w:type="dxa"/>
            <w:tcBorders>
              <w:top w:val="nil"/>
              <w:left w:val="nil"/>
              <w:bottom w:val="single" w:sz="4" w:space="0" w:color="auto"/>
              <w:right w:val="nil"/>
            </w:tcBorders>
          </w:tcPr>
          <w:p w14:paraId="237F8FA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A3F267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803</w:t>
            </w:r>
          </w:p>
        </w:tc>
      </w:tr>
    </w:tbl>
    <w:p w14:paraId="4E8D2644" w14:textId="77777777" w:rsidR="001C6808" w:rsidRPr="0048122F" w:rsidRDefault="001C6808" w:rsidP="001C6808">
      <w:pPr>
        <w:widowControl w:val="0"/>
        <w:autoSpaceDE w:val="0"/>
        <w:autoSpaceDN w:val="0"/>
        <w:adjustRightInd w:val="0"/>
        <w:spacing w:after="0" w:line="240" w:lineRule="auto"/>
        <w:rPr>
          <w:rFonts w:ascii="Times New Roman" w:hAnsi="Times New Roman" w:cs="Times New Roman"/>
          <w:sz w:val="12"/>
          <w:szCs w:val="12"/>
        </w:rPr>
      </w:pPr>
      <w:r w:rsidRPr="0048122F">
        <w:rPr>
          <w:rFonts w:ascii="Times New Roman" w:hAnsi="Times New Roman" w:cs="Times New Roman"/>
          <w:i/>
          <w:iCs/>
          <w:sz w:val="12"/>
          <w:szCs w:val="12"/>
        </w:rPr>
        <w:t>t</w:t>
      </w:r>
      <w:r w:rsidRPr="0048122F">
        <w:rPr>
          <w:rFonts w:ascii="Times New Roman" w:hAnsi="Times New Roman" w:cs="Times New Roman"/>
          <w:sz w:val="12"/>
          <w:szCs w:val="12"/>
        </w:rPr>
        <w:t xml:space="preserve"> statistics in parentheses</w:t>
      </w:r>
    </w:p>
    <w:p w14:paraId="1801EA01" w14:textId="77777777" w:rsidR="001C6808" w:rsidRPr="0048122F" w:rsidRDefault="001C6808" w:rsidP="001C6808">
      <w:pPr>
        <w:widowControl w:val="0"/>
        <w:autoSpaceDE w:val="0"/>
        <w:autoSpaceDN w:val="0"/>
        <w:adjustRightInd w:val="0"/>
        <w:spacing w:after="0" w:line="240" w:lineRule="auto"/>
        <w:rPr>
          <w:rFonts w:ascii="Times New Roman" w:hAnsi="Times New Roman" w:cs="Times New Roman"/>
          <w:sz w:val="12"/>
          <w:szCs w:val="12"/>
        </w:rPr>
      </w:pPr>
      <w:r w:rsidRPr="0048122F">
        <w:rPr>
          <w:rFonts w:ascii="Times New Roman" w:hAnsi="Times New Roman" w:cs="Times New Roman"/>
          <w:sz w:val="12"/>
          <w:szCs w:val="12"/>
          <w:vertAlign w:val="superscript"/>
        </w:rPr>
        <w:t>*</w:t>
      </w:r>
      <w:r w:rsidRPr="0048122F">
        <w:rPr>
          <w:rFonts w:ascii="Times New Roman" w:hAnsi="Times New Roman" w:cs="Times New Roman"/>
          <w:sz w:val="12"/>
          <w:szCs w:val="12"/>
        </w:rPr>
        <w:t xml:space="preserve"> </w:t>
      </w:r>
      <w:r w:rsidRPr="0048122F">
        <w:rPr>
          <w:rFonts w:ascii="Times New Roman" w:hAnsi="Times New Roman" w:cs="Times New Roman"/>
          <w:i/>
          <w:iCs/>
          <w:sz w:val="12"/>
          <w:szCs w:val="12"/>
        </w:rPr>
        <w:t>p</w:t>
      </w:r>
      <w:r w:rsidRPr="0048122F">
        <w:rPr>
          <w:rFonts w:ascii="Times New Roman" w:hAnsi="Times New Roman" w:cs="Times New Roman"/>
          <w:sz w:val="12"/>
          <w:szCs w:val="12"/>
        </w:rPr>
        <w:t xml:space="preserve"> &lt; 0.05, </w:t>
      </w:r>
      <w:r w:rsidRPr="0048122F">
        <w:rPr>
          <w:rFonts w:ascii="Times New Roman" w:hAnsi="Times New Roman" w:cs="Times New Roman"/>
          <w:sz w:val="12"/>
          <w:szCs w:val="12"/>
          <w:vertAlign w:val="superscript"/>
        </w:rPr>
        <w:t>**</w:t>
      </w:r>
      <w:r w:rsidRPr="0048122F">
        <w:rPr>
          <w:rFonts w:ascii="Times New Roman" w:hAnsi="Times New Roman" w:cs="Times New Roman"/>
          <w:sz w:val="12"/>
          <w:szCs w:val="12"/>
        </w:rPr>
        <w:t xml:space="preserve"> </w:t>
      </w:r>
      <w:r w:rsidRPr="0048122F">
        <w:rPr>
          <w:rFonts w:ascii="Times New Roman" w:hAnsi="Times New Roman" w:cs="Times New Roman"/>
          <w:i/>
          <w:iCs/>
          <w:sz w:val="12"/>
          <w:szCs w:val="12"/>
        </w:rPr>
        <w:t>p</w:t>
      </w:r>
      <w:r w:rsidRPr="0048122F">
        <w:rPr>
          <w:rFonts w:ascii="Times New Roman" w:hAnsi="Times New Roman" w:cs="Times New Roman"/>
          <w:sz w:val="12"/>
          <w:szCs w:val="12"/>
        </w:rPr>
        <w:t xml:space="preserve"> &lt; 0.01, </w:t>
      </w:r>
      <w:r w:rsidRPr="0048122F">
        <w:rPr>
          <w:rFonts w:ascii="Times New Roman" w:hAnsi="Times New Roman" w:cs="Times New Roman"/>
          <w:sz w:val="12"/>
          <w:szCs w:val="12"/>
          <w:vertAlign w:val="superscript"/>
        </w:rPr>
        <w:t>***</w:t>
      </w:r>
      <w:r w:rsidRPr="0048122F">
        <w:rPr>
          <w:rFonts w:ascii="Times New Roman" w:hAnsi="Times New Roman" w:cs="Times New Roman"/>
          <w:sz w:val="12"/>
          <w:szCs w:val="12"/>
        </w:rPr>
        <w:t xml:space="preserve"> </w:t>
      </w:r>
      <w:r w:rsidRPr="0048122F">
        <w:rPr>
          <w:rFonts w:ascii="Times New Roman" w:hAnsi="Times New Roman" w:cs="Times New Roman"/>
          <w:i/>
          <w:iCs/>
          <w:sz w:val="12"/>
          <w:szCs w:val="12"/>
        </w:rPr>
        <w:t>p</w:t>
      </w:r>
      <w:r w:rsidRPr="0048122F">
        <w:rPr>
          <w:rFonts w:ascii="Times New Roman" w:hAnsi="Times New Roman" w:cs="Times New Roman"/>
          <w:sz w:val="12"/>
          <w:szCs w:val="12"/>
        </w:rPr>
        <w:t xml:space="preserve"> &lt; 0.001</w:t>
      </w:r>
    </w:p>
    <w:p w14:paraId="565F0583" w14:textId="77777777" w:rsidR="007875E9" w:rsidRPr="001F3A7A" w:rsidRDefault="007875E9" w:rsidP="00783E87"/>
    <w:sectPr w:rsidR="007875E9" w:rsidRPr="001F3A7A" w:rsidSect="009F75B8">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CDF11" w14:textId="77777777" w:rsidR="00B04BF7" w:rsidRDefault="00B04BF7" w:rsidP="007E32C6">
      <w:pPr>
        <w:spacing w:after="0" w:line="240" w:lineRule="auto"/>
      </w:pPr>
      <w:r>
        <w:separator/>
      </w:r>
    </w:p>
  </w:endnote>
  <w:endnote w:type="continuationSeparator" w:id="0">
    <w:p w14:paraId="3A98A3FD" w14:textId="77777777" w:rsidR="00B04BF7" w:rsidRDefault="00B04BF7" w:rsidP="007E32C6">
      <w:pPr>
        <w:spacing w:after="0" w:line="240" w:lineRule="auto"/>
      </w:pPr>
      <w:r>
        <w:continuationSeparator/>
      </w:r>
    </w:p>
  </w:endnote>
  <w:endnote w:type="continuationNotice" w:id="1">
    <w:p w14:paraId="5592FFB9" w14:textId="77777777" w:rsidR="00B04BF7" w:rsidRDefault="00B04B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53862"/>
      <w:docPartObj>
        <w:docPartGallery w:val="Page Numbers (Bottom of Page)"/>
        <w:docPartUnique/>
      </w:docPartObj>
    </w:sdtPr>
    <w:sdtEndPr>
      <w:rPr>
        <w:noProof/>
      </w:rPr>
    </w:sdtEndPr>
    <w:sdtContent>
      <w:p w14:paraId="2C77EFCF" w14:textId="43FDD812" w:rsidR="00015B88" w:rsidRDefault="00015B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C5830" w14:textId="77777777" w:rsidR="00015B88" w:rsidRDefault="00015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3D914" w14:textId="77777777" w:rsidR="00B04BF7" w:rsidRDefault="00B04BF7" w:rsidP="007E32C6">
      <w:pPr>
        <w:spacing w:after="0" w:line="240" w:lineRule="auto"/>
      </w:pPr>
      <w:r>
        <w:separator/>
      </w:r>
    </w:p>
  </w:footnote>
  <w:footnote w:type="continuationSeparator" w:id="0">
    <w:p w14:paraId="50A93064" w14:textId="77777777" w:rsidR="00B04BF7" w:rsidRDefault="00B04BF7" w:rsidP="007E32C6">
      <w:pPr>
        <w:spacing w:after="0" w:line="240" w:lineRule="auto"/>
      </w:pPr>
      <w:r>
        <w:continuationSeparator/>
      </w:r>
    </w:p>
  </w:footnote>
  <w:footnote w:type="continuationNotice" w:id="1">
    <w:p w14:paraId="26962AA0" w14:textId="77777777" w:rsidR="00B04BF7" w:rsidRDefault="00B04BF7">
      <w:pPr>
        <w:spacing w:after="0" w:line="240" w:lineRule="auto"/>
      </w:pPr>
    </w:p>
  </w:footnote>
  <w:footnote w:id="2">
    <w:p w14:paraId="5E154847" w14:textId="311ACD26" w:rsidR="00015B88" w:rsidRPr="005813F0" w:rsidRDefault="00015B88">
      <w:pPr>
        <w:pStyle w:val="FootnoteText"/>
        <w:rPr>
          <w:lang w:val="en-GB"/>
        </w:rPr>
      </w:pPr>
      <w:r>
        <w:rPr>
          <w:rStyle w:val="FootnoteReference"/>
        </w:rPr>
        <w:t>*</w:t>
      </w:r>
      <w:r>
        <w:t xml:space="preserve">Georgetown University. Contact at </w:t>
      </w:r>
      <w:hyperlink r:id="rId1" w:history="1">
        <w:r w:rsidRPr="000965E7">
          <w:rPr>
            <w:rStyle w:val="Hyperlink"/>
          </w:rPr>
          <w:t>ijl7@georgetown.edu</w:t>
        </w:r>
      </w:hyperlink>
      <w:r>
        <w:t xml:space="preserve">. </w:t>
      </w:r>
      <w:r w:rsidRPr="00DE41EA">
        <w:t xml:space="preserve">Acknowledgements: Prof. George </w:t>
      </w:r>
      <w:proofErr w:type="spellStart"/>
      <w:r w:rsidRPr="00DE41EA">
        <w:t>Shambaugh</w:t>
      </w:r>
      <w:proofErr w:type="spellEnd"/>
      <w:r w:rsidRPr="00DE41EA">
        <w:t xml:space="preserve">, Prof. Joel Simmons, Dr. Greg Fischer, Joshua Levy, </w:t>
      </w:r>
      <w:proofErr w:type="spellStart"/>
      <w:r w:rsidRPr="00DE41EA">
        <w:t>Tranae</w:t>
      </w:r>
      <w:proofErr w:type="spellEnd"/>
      <w:r w:rsidRPr="00DE41EA">
        <w:t xml:space="preserve"> Hardy, Olivier </w:t>
      </w:r>
      <w:proofErr w:type="spellStart"/>
      <w:r w:rsidRPr="00DE41EA">
        <w:t>Malle</w:t>
      </w:r>
      <w:proofErr w:type="spellEnd"/>
      <w:r w:rsidRPr="00DE41EA">
        <w:t>, Rachel Shapiro.</w:t>
      </w:r>
    </w:p>
  </w:footnote>
  <w:footnote w:id="3">
    <w:p w14:paraId="125AA624" w14:textId="16DE9B4C" w:rsidR="00015B88" w:rsidRDefault="00015B88" w:rsidP="0084440C">
      <w:pPr>
        <w:pStyle w:val="FootnoteText"/>
      </w:pPr>
      <w:r>
        <w:rPr>
          <w:rStyle w:val="FootnoteReference"/>
        </w:rPr>
        <w:footnoteRef/>
      </w:r>
      <w:r>
        <w:t xml:space="preserve"> Probably the most serious other welfare loss attached to fixed exchange rates is a lack of automatic trade rebalancing through rates </w:t>
      </w:r>
      <w:r>
        <w:fldChar w:fldCharType="begin"/>
      </w:r>
      <w:r>
        <w:instrText xml:space="preserve"> ADDIN ZOTERO_ITEM CSL_CITATION {"citationID":"GYiRToR5","properties":{"formattedCitation":"(Friedman 1953)","plainCitation":"(Friedman 1953)","noteIndex":2},"citationItems":[{"id":122,"uris":["http://zotero.org/users/5939705/items/9ZJB36BT"],"uri":["http://zotero.org/users/5939705/items/9ZJB36BT"],"itemData":{"id":122,"type":"book","abstract":"\"Stimulating, provocative, often infuriating, but well worth reading.\"—Peter Newman, Economica\"His critical blast blows like a north wind against the more pretentious erections of modern economics. It is however a healthy and invigorating blast, without malice and with a sincere regard for scientific objectivity.\"—K.E. Boulding, Political Science Quarterly\"Certainly one of the most engrossing volumes that has appeared recently in economic theory.\"—William J. Baumol, Review of Economics and Statistics","source":"www.press.uchicago.edu","title":"Essays in Positive Economics","URL":"https://www.press.uchicago.edu/ucp/books/book/chicago/E/bo25773835.html","author":[{"family":"Friedman","given":"Milton"}],"accessed":{"date-parts":[["2020",2,10]]},"issued":{"date-parts":[["1953"]]}}}],"schema":"https://github.com/citation-style-language/schema/raw/master/csl-citation.json"} </w:instrText>
      </w:r>
      <w:r>
        <w:fldChar w:fldCharType="separate"/>
      </w:r>
      <w:r w:rsidRPr="0021309E">
        <w:rPr>
          <w:rFonts w:ascii="Calibri" w:hAnsi="Calibri" w:cs="Calibri"/>
        </w:rPr>
        <w:t>(Friedman 1953)</w:t>
      </w:r>
      <w:r>
        <w:fldChar w:fldCharType="end"/>
      </w:r>
      <w:r>
        <w:t xml:space="preserve">. A lack of automatic trade rebalancing is not an a priori problem for fixed rates with consequences for instability: the level of the rate may be adjusted or other trade deficit correcting measures may be taken, and there is evidence that trade is not a top issue for voters </w:t>
      </w:r>
      <w:r>
        <w:fldChar w:fldCharType="begin"/>
      </w:r>
      <w:r>
        <w:instrText xml:space="preserve"> ADDIN ZOTERO_ITEM CSL_CITATION {"citationID":"ChodISw9","properties":{"formattedCitation":"(Guisinger 2009)","plainCitation":"(Guisinger 2009)","noteIndex":2},"citationItems":[{"id":121,"uris":["http://zotero.org/users/5939705/items/W363XQUQ"],"uri":["http://zotero.org/users/5939705/items/W363XQUQ"],"itemData":{"id":121,"type":"article-journal","abstract":"Models of trade policy often depend on the efficient aggregation of individual preferences. While much of the recent empirical work on trade focuses on whether domestic coalitions form along class or sectoral lines, the process of preference aggregation itself remains understudied. In democratic countries, voting is typically assumed to be an unproblematic mechanism for aggregating preferences, but such an assumption may be misleading when the salience of trade policy is low or heterogeneous throughout the electorate. Using data from a survey of 36,501 potential voters in the 2006 U.S. midterm congressional elections, this article explores the salience of trade policy for voters as a whole and for populations predicted to be most affected by changing trade patterns. The article offers an estimation of trade policy salience based on the degree to which voters held Senate incumbents accountable for their 2005 vote on the Central American Free Trade Agreement, relative to roll call votes on other issues of the day. The article finds trade policy salience to be relatively low in terms of stated importance, in voters' knowledge of their representatives' policy positions, and in its effect on voters' propensity to vote for the incumbent. The low salience of trade policy, particularly among highly affected groups, calls into question voter-driven models of trade policy.","container-title":"International Organization","DOI":"10.1017/S0020818309090183","ISSN":"1531-5088, 0020-8183","issue":"3","language":"en","page":"533-557","source":"Cambridge Core","title":"Determining Trade Policy: Do Voters Hold Politicians Accountable?","title-short":"Determining Trade Policy","volume":"63","author":[{"family":"Guisinger","given":"Alexandra"}],"issued":{"date-parts":[["2009",7]]}}}],"schema":"https://github.com/citation-style-language/schema/raw/master/csl-citation.json"} </w:instrText>
      </w:r>
      <w:r>
        <w:fldChar w:fldCharType="separate"/>
      </w:r>
      <w:r w:rsidRPr="009E2FBB">
        <w:rPr>
          <w:rFonts w:ascii="Calibri" w:hAnsi="Calibri" w:cs="Calibri"/>
        </w:rPr>
        <w:t>(Guisinger 2009)</w:t>
      </w:r>
      <w:r>
        <w:fldChar w:fldCharType="end"/>
      </w:r>
      <w:r>
        <w:t>.</w:t>
      </w:r>
      <w:r w:rsidRPr="001F6BAE">
        <w:t xml:space="preserve"> </w:t>
      </w:r>
      <w:r>
        <w:t xml:space="preserve">Also not a “flexibility” welfare loss per se, currency crises and speculative attacks may also be a problem of fixed rates </w:t>
      </w:r>
      <w:r>
        <w:fldChar w:fldCharType="begin"/>
      </w:r>
      <w:r>
        <w:instrText xml:space="preserve"> ADDIN ZOTERO_ITEM CSL_CITATION {"citationID":"2085c1v9","properties":{"formattedCitation":"(Krugman 1979)","plainCitation":"(Krugman 1979)","noteIndex":2},"citationItems":[{"id":198,"uris":["http://zotero.org/users/5939705/items/2VCJ89LE"],"uri":["http://zotero.org/users/5939705/items/2VCJ89LE"],"itemData":{"id":198,"type":"article-journal","archive":"JSTOR","container-title":"Journal of Money, Credit and Banking","DOI":"10.2307/1991793","ISSN":"0022-2879","issue":"3","page":"311-325","source":"JSTOR","title":"A Model of Balance-of-Payments Crises","volume":"11","author":[{"family":"Krugman","given":"Paul"}],"issued":{"date-parts":[["1979"]]}}}],"schema":"https://github.com/citation-style-language/schema/raw/master/csl-citation.json"} </w:instrText>
      </w:r>
      <w:r>
        <w:fldChar w:fldCharType="separate"/>
      </w:r>
      <w:r w:rsidRPr="00F1072A">
        <w:rPr>
          <w:rFonts w:ascii="Calibri" w:hAnsi="Calibri" w:cs="Calibri"/>
        </w:rPr>
        <w:t>(Krugman 1979)</w:t>
      </w:r>
      <w:r>
        <w:fldChar w:fldCharType="end"/>
      </w:r>
      <w:r>
        <w:t>. These situations may be mitigated, however, if IMF lending can be obtained and credible commitment to the fixed rate can be established.</w:t>
      </w:r>
    </w:p>
    <w:p w14:paraId="3AA475C4" w14:textId="77777777" w:rsidR="00015B88" w:rsidRPr="005D127B" w:rsidRDefault="00015B88" w:rsidP="0084440C">
      <w:pPr>
        <w:pStyle w:val="FootnoteText"/>
      </w:pPr>
    </w:p>
  </w:footnote>
  <w:footnote w:id="4">
    <w:p w14:paraId="7A90463A" w14:textId="24790A1B" w:rsidR="00015B88" w:rsidRPr="00637973" w:rsidRDefault="00015B88">
      <w:pPr>
        <w:pStyle w:val="FootnoteText"/>
      </w:pPr>
      <w:r>
        <w:rPr>
          <w:rStyle w:val="FootnoteReference"/>
        </w:rPr>
        <w:footnoteRef/>
      </w:r>
      <w:r>
        <w:t xml:space="preserve"> One notable manner of escaping a fixed exchange rate constraint may come from the synchronization of electoral cycles identified as a growing trend worldwide </w:t>
      </w:r>
      <w:r>
        <w:fldChar w:fldCharType="begin"/>
      </w:r>
      <w:r>
        <w:instrText xml:space="preserve"> ADDIN ZOTERO_ITEM CSL_CITATION {"citationID":"rZqxbvic","properties":{"formattedCitation":"(Tufte 1980)","plainCitation":"(Tufte 1980)","noteIndex":3},"citationItems":[{"id":256,"uris":["http://zotero.org/users/5939705/items/ATHLW8P9"],"uri":["http://zotero.org/users/5939705/items/ATHLW8P9"],"itemData":{"id":256,"type":"book","edition":"1.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fldChar w:fldCharType="separate"/>
      </w:r>
      <w:r w:rsidRPr="00BC7406">
        <w:rPr>
          <w:rFonts w:ascii="Calibri" w:hAnsi="Calibri" w:cs="Calibri"/>
        </w:rPr>
        <w:t>(Tufte 1980)</w:t>
      </w:r>
      <w:r>
        <w:fldChar w:fldCharType="end"/>
      </w:r>
      <w:r>
        <w:t>. A synchronized electoral cycle may allow a nations monetary policy controlled from abroad through a pegged rate to again align with domestic political interests, provided that the nation which the currency is pegged to experiences its own political business cycles, perhaps due to factors such as a lack of central bank independence.</w:t>
      </w:r>
    </w:p>
  </w:footnote>
  <w:footnote w:id="5">
    <w:p w14:paraId="6DDDFD04" w14:textId="441013B4" w:rsidR="00015B88" w:rsidRPr="00847436" w:rsidRDefault="00015B88">
      <w:pPr>
        <w:pStyle w:val="FootnoteText"/>
      </w:pPr>
      <w:r>
        <w:rPr>
          <w:rStyle w:val="FootnoteReference"/>
        </w:rPr>
        <w:footnoteRef/>
      </w:r>
      <w:r>
        <w:t xml:space="preserve"> Argument for more widespread prospective voting in the literature does appear to be common, so the simplifying consensus here is perhaps </w:t>
      </w:r>
      <w:r w:rsidRPr="005D65AF">
        <w:t xml:space="preserve">overstated. US Index of Consumer Sentiment data seems to indicate that presidential approval ratings, for example, can be fully accounted for by prospective evaluations and forecasting </w:t>
      </w:r>
      <w:r w:rsidRPr="005D65AF">
        <w:fldChar w:fldCharType="begin"/>
      </w:r>
      <w:r>
        <w:instrText xml:space="preserve"> ADDIN ZOTERO_ITEM CSL_CITATION {"citationID":"mgK1DJlM","properties":{"formattedCitation":"(MacKuen, Erikson, and Stimson 1992)","plainCitation":"(MacKuen, Erikson, and Stimson 1992)","noteIndex":4},"citationItems":[{"id":263,"uris":["http://zotero.org/users/5939705/items/E3BYG6UH"],"uri":["http://zotero.org/users/5939705/items/E3BYG6UH"],"itemData":{"id":263,"type":"article-journal","abstract":"The usual model of electoral reaction to economic conditions assumes the \"retrospective\" economic voter who bases expectations solely on recent economic performance or personal economic experience (voter as \"peasant\"). A second model assumes a \"sophisticated\" economic voter who incorporates new information about the future into personal economic expectations (voter as \"banker\"). Using the components, both retrospective and prospective, of the Index of Consumer Sentiment (ICS) as intervening variables between economic conditions and approval, we find that the prospective component fully accounts for the presidential approval time series. With aggregate consumer expectations about long-term business conditions in the approval equation, neither the usual economic indicators not the other ICS components matter. Moreover, short-term changes in consumer expectations respond more to current forecasts than to the current economy. The qualitative result is a rational expectations outcome: the electorate anticipates the economic future and rewards or punishes the president for economic events before they happen.","archive":"JSTOR","container-title":"The American Political Science Review","DOI":"10.2307/1964124","ISSN":"0003-0554","issue":"3","page":"597-611","source":"JSTOR","title":"Peasants or Bankers? The American Electorate and the U.S. Economy","title-short":"Peasants or Bankers?","volume":"86","author":[{"family":"MacKuen","given":"Michael B."},{"family":"Erikson","given":"Robert S."},{"family":"Stimson","given":"James A."}],"issued":{"date-parts":[["1992"]]}}}],"schema":"https://github.com/citation-style-language/schema/raw/master/csl-citation.json"} </w:instrText>
      </w:r>
      <w:r w:rsidRPr="005D65AF">
        <w:fldChar w:fldCharType="separate"/>
      </w:r>
      <w:r w:rsidRPr="005D65AF">
        <w:rPr>
          <w:rFonts w:ascii="Calibri" w:hAnsi="Calibri" w:cs="Calibri"/>
        </w:rPr>
        <w:t>(MacKuen, Erikson, and Stimson 1992)</w:t>
      </w:r>
      <w:r w:rsidRPr="005D65AF">
        <w:fldChar w:fldCharType="end"/>
      </w:r>
      <w:r w:rsidRPr="005D65AF">
        <w:t>.</w:t>
      </w:r>
      <w:r>
        <w:t xml:space="preserve"> </w:t>
      </w:r>
    </w:p>
  </w:footnote>
  <w:footnote w:id="6">
    <w:p w14:paraId="7FA442D4" w14:textId="40105D51" w:rsidR="00015B88" w:rsidRPr="00DD2E76" w:rsidRDefault="00015B88">
      <w:pPr>
        <w:pStyle w:val="FootnoteText"/>
      </w:pPr>
      <w:r w:rsidRPr="00925F30">
        <w:rPr>
          <w:rStyle w:val="FootnoteReference"/>
        </w:rPr>
        <w:footnoteRef/>
      </w:r>
      <w:r w:rsidRPr="00925F30">
        <w:t xml:space="preserve"> In future work, I aim to more fully account for prospective cases by </w:t>
      </w:r>
      <w:r>
        <w:t xml:space="preserve">locating and </w:t>
      </w:r>
      <w:r w:rsidRPr="00925F30">
        <w:t>making use of data on whether incumbents are</w:t>
      </w:r>
      <w:r>
        <w:t xml:space="preserve"> running</w:t>
      </w:r>
      <w:r w:rsidRPr="00925F30">
        <w:t>.</w:t>
      </w:r>
    </w:p>
  </w:footnote>
  <w:footnote w:id="7">
    <w:p w14:paraId="145B66B6" w14:textId="20BF2F7D" w:rsidR="00015B88" w:rsidRPr="00F96F82" w:rsidRDefault="00015B88">
      <w:pPr>
        <w:pStyle w:val="FootnoteText"/>
      </w:pPr>
      <w:r>
        <w:rPr>
          <w:rStyle w:val="FootnoteReference"/>
        </w:rPr>
        <w:footnoteRef/>
      </w:r>
      <w:r>
        <w:t xml:space="preserve"> To my knowledge, there has been no statistical or cross-national analysis of politician beliefs on the importance of the economy to voters, or on which economic variables they think matter to voters.</w:t>
      </w:r>
    </w:p>
  </w:footnote>
  <w:footnote w:id="8">
    <w:p w14:paraId="6BEF2B9E" w14:textId="0610E72C" w:rsidR="00015B88" w:rsidRPr="00BE6C18" w:rsidRDefault="00015B88">
      <w:pPr>
        <w:pStyle w:val="FootnoteText"/>
        <w:rPr>
          <w:lang w:val="en-GB"/>
        </w:rPr>
      </w:pPr>
      <w:r>
        <w:rPr>
          <w:rStyle w:val="FootnoteReference"/>
        </w:rPr>
        <w:footnoteRef/>
      </w:r>
      <w:r>
        <w:t xml:space="preserve"> </w:t>
      </w:r>
      <w:r>
        <w:rPr>
          <w:lang w:val="en-GB"/>
        </w:rPr>
        <w:t>In rational opportunistic or partisan models covered in detail in earlier drafts of this paper, a similar mechanism is at play as incumbents try to demonstrate competence to society or the party but cannot do so under limits.</w:t>
      </w:r>
    </w:p>
  </w:footnote>
  <w:footnote w:id="9">
    <w:p w14:paraId="0C27FF02" w14:textId="0A1F2F17" w:rsidR="00015B88" w:rsidRPr="00EE1868" w:rsidRDefault="00015B88" w:rsidP="003D5ECA">
      <w:pPr>
        <w:pStyle w:val="FootnoteText"/>
        <w:rPr>
          <w:lang w:val="en-GB"/>
        </w:rPr>
      </w:pPr>
      <w:r>
        <w:rPr>
          <w:rStyle w:val="FootnoteReference"/>
        </w:rPr>
        <w:footnoteRef/>
      </w:r>
      <w:r>
        <w:t xml:space="preserve"> </w:t>
      </w:r>
      <w:r>
        <w:rPr>
          <w:lang w:val="en-GB"/>
        </w:rPr>
        <w:t>As a key difference, in my further explorations section, I employ data on capital controls and openness rather than making any temporal assumptions of this nature.</w:t>
      </w:r>
    </w:p>
  </w:footnote>
  <w:footnote w:id="10">
    <w:p w14:paraId="6584B3FA" w14:textId="1FD95808" w:rsidR="00015B88" w:rsidRPr="004A3546" w:rsidRDefault="00015B88">
      <w:pPr>
        <w:pStyle w:val="FootnoteText"/>
        <w:rPr>
          <w:lang w:val="en-GB"/>
        </w:rPr>
      </w:pPr>
      <w:r>
        <w:rPr>
          <w:rStyle w:val="FootnoteReference"/>
        </w:rPr>
        <w:footnoteRef/>
      </w:r>
      <w:r>
        <w:t xml:space="preserve"> </w:t>
      </w:r>
      <w:r>
        <w:rPr>
          <w:lang w:val="en-GB"/>
        </w:rPr>
        <w:t xml:space="preserve">The assumption here appears to be that fixed exchange rates actually free up access to fiscal policy manipulation (with increased access to capital), which is an acceptance of the counterargument mentioned near the end of the section “Political Business Cycle Effects of Limiting institutions” at the end of this paper. </w:t>
      </w:r>
      <w:r w:rsidRPr="00AA1C40">
        <w:rPr>
          <w:lang w:val="en-GB"/>
        </w:rPr>
        <w:t>This seems to contradict the evidence arguing fixed rates reduce manipulat</w:t>
      </w:r>
      <w:r>
        <w:rPr>
          <w:lang w:val="en-GB"/>
        </w:rPr>
        <w:t xml:space="preserve">ion </w:t>
      </w:r>
      <w:r w:rsidRPr="00AA1C40">
        <w:rPr>
          <w:lang w:val="en-GB"/>
        </w:rPr>
        <w:t xml:space="preserve">at least for output and unemployment </w:t>
      </w:r>
      <w:r w:rsidRPr="00AA1C40">
        <w:rPr>
          <w:lang w:val="en-GB"/>
        </w:rPr>
        <w:fldChar w:fldCharType="begin"/>
      </w:r>
      <w:r>
        <w:rPr>
          <w:lang w:val="en-GB"/>
        </w:rPr>
        <w:instrText xml:space="preserve"> ADDIN ZOTERO_ITEM CSL_CITATION {"citationID":"FiEx9s2m","properties":{"formattedCitation":"(William Roberts Clark et al. 1998)","plainCitation":"(William Roberts Clark et al. 1998)","noteIndex":9},"citationItems":[{"id":224,"uris":["http://zotero.org/users/5939705/items/3JPY4HEU"],"uri":["http://zotero.org/users/5939705/items/3JPY4HEU"],"itemData":{"id":224,"type":"article-journal","abstract":"The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Pr="00AA1C40">
        <w:rPr>
          <w:lang w:val="en-GB"/>
        </w:rPr>
        <w:fldChar w:fldCharType="separate"/>
      </w:r>
      <w:r w:rsidRPr="00AA1C40">
        <w:rPr>
          <w:rFonts w:ascii="Calibri" w:hAnsi="Calibri" w:cs="Calibri"/>
        </w:rPr>
        <w:t>(William Roberts Clark et al. 1998)</w:t>
      </w:r>
      <w:r w:rsidRPr="00AA1C40">
        <w:rPr>
          <w:lang w:val="en-GB"/>
        </w:rPr>
        <w:fldChar w:fldCharType="end"/>
      </w:r>
      <w:r w:rsidRPr="00AA1C40">
        <w:rPr>
          <w:lang w:val="en-GB"/>
        </w:rPr>
        <w:t>, although</w:t>
      </w:r>
      <w:r>
        <w:rPr>
          <w:lang w:val="en-GB"/>
        </w:rPr>
        <w:t xml:space="preserve"> (note again)</w:t>
      </w:r>
      <w:r w:rsidRPr="00AA1C40">
        <w:rPr>
          <w:lang w:val="en-GB"/>
        </w:rPr>
        <w:t xml:space="preserve"> results on this topic are tentative</w:t>
      </w:r>
      <w:r>
        <w:rPr>
          <w:lang w:val="en-GB"/>
        </w:rPr>
        <w:t xml:space="preserve"> (correctly signed but not very significant)</w:t>
      </w:r>
      <w:r w:rsidRPr="00AA1C40">
        <w:rPr>
          <w:lang w:val="en-GB"/>
        </w:rPr>
        <w:t xml:space="preserve"> and there may be other means of fiscal policy manipulation such as transfers not as easily detectable in the aggregate.</w:t>
      </w:r>
    </w:p>
  </w:footnote>
  <w:footnote w:id="11">
    <w:p w14:paraId="68B7FE49" w14:textId="63BB63E7" w:rsidR="00015B88" w:rsidRPr="00683319" w:rsidRDefault="00015B88">
      <w:pPr>
        <w:pStyle w:val="FootnoteText"/>
        <w:rPr>
          <w:lang w:val="en-GB"/>
        </w:rPr>
      </w:pPr>
      <w:r>
        <w:rPr>
          <w:rStyle w:val="FootnoteReference"/>
        </w:rPr>
        <w:footnoteRef/>
      </w:r>
      <w:r>
        <w:t xml:space="preserve"> </w:t>
      </w:r>
      <w:r>
        <w:rPr>
          <w:lang w:val="en-GB"/>
        </w:rPr>
        <w:t xml:space="preserve">Cox hazard models in particular may be vulnerable to endogeneity if there is rate dependence with time varying covariates </w:t>
      </w:r>
      <w:r>
        <w:rPr>
          <w:lang w:val="en-GB"/>
        </w:rPr>
        <w:fldChar w:fldCharType="begin"/>
      </w:r>
      <w:r>
        <w:rPr>
          <w:lang w:val="en-GB"/>
        </w:rPr>
        <w:instrText xml:space="preserve"> ADDIN ZOTERO_ITEM CSL_CITATION {"citationID":"9HxiO2wI","properties":{"formattedCitation":"(Goodliffe 2003)","plainCitation":"(Goodliffe 2003)","noteIndex":10},"citationItems":[{"id":66,"uris":["http://zotero.org/users/5939705/items/BPL5RHQY"],"uri":["http://zotero.org/users/5939705/items/BPL5RHQY"],"itemData":{"id":66,"type":"article-journal","abstract":"I examine the circumstances and consequences of endogenous time-varying covariates in duration models. I explore the e¤ect of endogeneity (or reverse causation) on di¤erent hazard models using Monte Carlo simulations. Like simultaneity bias, endogenous time-varying covariates cause bias (and inconsistency) in coe¢ cient estimates. I discuss di¤erent solutions to this problem, and then apply the results to estimate the e¤ect of war chests on challenger entry.","language":"en","page":"23","source":"Zotero","title":"The Hazards of Time-Varying Covariates","author":[{"family":"Goodliffe","given":"Jay"}],"issued":{"date-parts":[["2003"]]}}}],"schema":"https://github.com/citation-style-language/schema/raw/master/csl-citation.json"} </w:instrText>
      </w:r>
      <w:r>
        <w:rPr>
          <w:lang w:val="en-GB"/>
        </w:rPr>
        <w:fldChar w:fldCharType="separate"/>
      </w:r>
      <w:r w:rsidRPr="002E7B2B">
        <w:rPr>
          <w:rFonts w:ascii="Calibri" w:hAnsi="Calibri" w:cs="Calibri"/>
        </w:rPr>
        <w:t>(Goodliffe 2003)</w:t>
      </w:r>
      <w:r>
        <w:rPr>
          <w:lang w:val="en-GB"/>
        </w:rPr>
        <w:fldChar w:fldCharType="end"/>
      </w:r>
      <w:r>
        <w:rPr>
          <w:lang w:val="en-GB"/>
        </w:rPr>
        <w:t>. Decisions of political leaders may be affected by cabinet duration. To some extent, the inclusion of lags in regressions may mitigate such issues, and I deploy this solution for this project, but given that the question of correct specification is critical, I also use instrumental variables methods.</w:t>
      </w:r>
    </w:p>
  </w:footnote>
  <w:footnote w:id="12">
    <w:p w14:paraId="0FEC2B2D" w14:textId="77777777" w:rsidR="00015B88" w:rsidRPr="00F04E2C" w:rsidRDefault="00015B88" w:rsidP="00F04E2C">
      <w:pPr>
        <w:rPr>
          <w:sz w:val="20"/>
          <w:szCs w:val="20"/>
        </w:rPr>
      </w:pPr>
      <w:r w:rsidRPr="00F04E2C">
        <w:rPr>
          <w:rStyle w:val="FootnoteReference"/>
          <w:sz w:val="20"/>
          <w:szCs w:val="20"/>
        </w:rPr>
        <w:footnoteRef/>
      </w:r>
      <w:r w:rsidRPr="00F04E2C">
        <w:rPr>
          <w:sz w:val="20"/>
          <w:szCs w:val="20"/>
        </w:rPr>
        <w:t xml:space="preserve"> For on this instrument, I use percentage values (enrollment rates) rather than raw numbers of graduates (although these values could be easily calculated in future). It could be argued that a country only needs a certain raw number of tertiary graduates before it can run an independent central bank. However, it may also be the case that more populous nations may require more central bank staff. This may be particularly relevant when one considers the example of the system of regional Federal Reserve Banks in the United States. The use of percentages also better accounts for the actual availability of graduates for service to the central bank. Tertiary graduates are assumed to have a choice between occupations in the government or private sector; raw numbers do not necessarily mean more expertise available, and a large educated share of the populace provides a better proxy.</w:t>
      </w:r>
    </w:p>
    <w:p w14:paraId="5E6C7247" w14:textId="72412234" w:rsidR="00015B88" w:rsidRPr="00F04E2C" w:rsidRDefault="00015B88">
      <w:pPr>
        <w:pStyle w:val="FootnoteText"/>
        <w:rPr>
          <w:lang w:val="en-GB"/>
        </w:rPr>
      </w:pPr>
    </w:p>
  </w:footnote>
  <w:footnote w:id="13">
    <w:p w14:paraId="05915D9B" w14:textId="306DE7D1" w:rsidR="00015B88" w:rsidRPr="009547ED" w:rsidRDefault="00015B88" w:rsidP="009547ED">
      <w:pPr>
        <w:rPr>
          <w:highlight w:val="yellow"/>
        </w:rPr>
      </w:pPr>
      <w:r w:rsidRPr="009547ED">
        <w:rPr>
          <w:rStyle w:val="FootnoteReference"/>
        </w:rPr>
        <w:footnoteRef/>
      </w:r>
      <w:r w:rsidRPr="009547ED">
        <w:t xml:space="preserve"> </w:t>
      </w:r>
      <w:r w:rsidRPr="00451363">
        <w:rPr>
          <w:sz w:val="20"/>
          <w:szCs w:val="20"/>
        </w:rPr>
        <w:t>If data on constitutions and sufficient resources for correction were available, country coding could be adjusted to correct the situation by marking as missing years when a position did not have an election.</w:t>
      </w:r>
    </w:p>
  </w:footnote>
  <w:footnote w:id="14">
    <w:p w14:paraId="6B1BEE0D" w14:textId="77777777" w:rsidR="00015B88" w:rsidRPr="007C73AC" w:rsidRDefault="00015B88" w:rsidP="002E148D">
      <w:pPr>
        <w:pStyle w:val="FootnoteText"/>
        <w:rPr>
          <w:lang w:val="en-GB"/>
        </w:rPr>
      </w:pPr>
      <w:r>
        <w:rPr>
          <w:rStyle w:val="FootnoteReference"/>
        </w:rPr>
        <w:footnoteRef/>
      </w:r>
      <w:r>
        <w:t xml:space="preserve"> </w:t>
      </w:r>
      <w:r>
        <w:rPr>
          <w:lang w:val="en-GB"/>
        </w:rPr>
        <w:t>Please contact the author for this and other first stage results.</w:t>
      </w:r>
    </w:p>
  </w:footnote>
  <w:footnote w:id="15">
    <w:p w14:paraId="27E5DB31" w14:textId="77777777" w:rsidR="00015B88" w:rsidRPr="000A13FE" w:rsidRDefault="00015B88" w:rsidP="00AD3F95">
      <w:pPr>
        <w:pStyle w:val="EndnoteText"/>
        <w:rPr>
          <w:lang w:val="en-GB"/>
        </w:rPr>
      </w:pPr>
      <w:r>
        <w:rPr>
          <w:rStyle w:val="FootnoteReference"/>
        </w:rPr>
        <w:footnoteRef/>
      </w:r>
      <w:r>
        <w:t xml:space="preserve"> </w:t>
      </w:r>
      <w:r>
        <w:rPr>
          <w:lang w:val="en-GB"/>
        </w:rPr>
        <w:t>There were insufficient observations to make use of the OECD social science/business graduates instrument.</w:t>
      </w:r>
    </w:p>
    <w:p w14:paraId="394C0ED5" w14:textId="3816B5DA" w:rsidR="00015B88" w:rsidRPr="00AD3F95" w:rsidRDefault="00015B88">
      <w:pPr>
        <w:pStyle w:val="FootnoteText"/>
        <w:rPr>
          <w:lang w:val="en-GB"/>
        </w:rPr>
      </w:pPr>
    </w:p>
  </w:footnote>
  <w:footnote w:id="16">
    <w:p w14:paraId="26A47995" w14:textId="095E5D40" w:rsidR="00015B88" w:rsidRPr="003E5F55" w:rsidRDefault="00015B88">
      <w:pPr>
        <w:pStyle w:val="FootnoteText"/>
        <w:rPr>
          <w:lang w:val="en-GB"/>
        </w:rPr>
      </w:pPr>
      <w:r>
        <w:rPr>
          <w:rStyle w:val="FootnoteReference"/>
        </w:rPr>
        <w:footnoteRef/>
      </w:r>
      <w:r>
        <w:t xml:space="preserve"> </w:t>
      </w:r>
      <w:r>
        <w:rPr>
          <w:lang w:val="en-GB"/>
        </w:rPr>
        <w:t>Again, the sample size for the OECD instrument of social science and business graduates is too small.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964EE"/>
    <w:multiLevelType w:val="hybridMultilevel"/>
    <w:tmpl w:val="1C4E3A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27"/>
    <w:rsid w:val="0000041D"/>
    <w:rsid w:val="0000042E"/>
    <w:rsid w:val="000005C4"/>
    <w:rsid w:val="000009B8"/>
    <w:rsid w:val="00000C5C"/>
    <w:rsid w:val="00000E9D"/>
    <w:rsid w:val="00001130"/>
    <w:rsid w:val="00001ABB"/>
    <w:rsid w:val="00001DD5"/>
    <w:rsid w:val="000020D2"/>
    <w:rsid w:val="00002177"/>
    <w:rsid w:val="000022FF"/>
    <w:rsid w:val="0000293D"/>
    <w:rsid w:val="00002F0B"/>
    <w:rsid w:val="000030FA"/>
    <w:rsid w:val="0000313B"/>
    <w:rsid w:val="0000321A"/>
    <w:rsid w:val="0000465C"/>
    <w:rsid w:val="00004AD1"/>
    <w:rsid w:val="00004C88"/>
    <w:rsid w:val="00005242"/>
    <w:rsid w:val="000054ED"/>
    <w:rsid w:val="00005EE6"/>
    <w:rsid w:val="00005F7E"/>
    <w:rsid w:val="00006C83"/>
    <w:rsid w:val="00006F74"/>
    <w:rsid w:val="00007043"/>
    <w:rsid w:val="0000722D"/>
    <w:rsid w:val="00007602"/>
    <w:rsid w:val="0000795B"/>
    <w:rsid w:val="00007AB3"/>
    <w:rsid w:val="00007E23"/>
    <w:rsid w:val="0001032D"/>
    <w:rsid w:val="00011055"/>
    <w:rsid w:val="00011621"/>
    <w:rsid w:val="00011C8C"/>
    <w:rsid w:val="00011DB8"/>
    <w:rsid w:val="000121C2"/>
    <w:rsid w:val="00012955"/>
    <w:rsid w:val="00012C2A"/>
    <w:rsid w:val="000135B6"/>
    <w:rsid w:val="00013AD9"/>
    <w:rsid w:val="00013D33"/>
    <w:rsid w:val="00013EB4"/>
    <w:rsid w:val="00013F54"/>
    <w:rsid w:val="00014184"/>
    <w:rsid w:val="00014684"/>
    <w:rsid w:val="000146CE"/>
    <w:rsid w:val="00015068"/>
    <w:rsid w:val="00015B88"/>
    <w:rsid w:val="00015FF2"/>
    <w:rsid w:val="00016118"/>
    <w:rsid w:val="00016612"/>
    <w:rsid w:val="000166D8"/>
    <w:rsid w:val="00016923"/>
    <w:rsid w:val="00016E15"/>
    <w:rsid w:val="000171A5"/>
    <w:rsid w:val="000172C7"/>
    <w:rsid w:val="000174C7"/>
    <w:rsid w:val="000176BC"/>
    <w:rsid w:val="000178E0"/>
    <w:rsid w:val="00017D8D"/>
    <w:rsid w:val="00017FEE"/>
    <w:rsid w:val="00020376"/>
    <w:rsid w:val="000204BB"/>
    <w:rsid w:val="0002053B"/>
    <w:rsid w:val="00020549"/>
    <w:rsid w:val="000205EF"/>
    <w:rsid w:val="000206D3"/>
    <w:rsid w:val="00020BDA"/>
    <w:rsid w:val="00020D4D"/>
    <w:rsid w:val="00021899"/>
    <w:rsid w:val="000226EA"/>
    <w:rsid w:val="00022D00"/>
    <w:rsid w:val="00022FA5"/>
    <w:rsid w:val="0002331E"/>
    <w:rsid w:val="00023401"/>
    <w:rsid w:val="0002353E"/>
    <w:rsid w:val="00023567"/>
    <w:rsid w:val="000236C8"/>
    <w:rsid w:val="00023B3F"/>
    <w:rsid w:val="000240D1"/>
    <w:rsid w:val="000242C6"/>
    <w:rsid w:val="000249E3"/>
    <w:rsid w:val="00024BB7"/>
    <w:rsid w:val="00025124"/>
    <w:rsid w:val="0002545F"/>
    <w:rsid w:val="000258A3"/>
    <w:rsid w:val="000261EF"/>
    <w:rsid w:val="00026427"/>
    <w:rsid w:val="00026AA6"/>
    <w:rsid w:val="00026F25"/>
    <w:rsid w:val="00027285"/>
    <w:rsid w:val="0002743C"/>
    <w:rsid w:val="00027A1A"/>
    <w:rsid w:val="00027DC6"/>
    <w:rsid w:val="00030234"/>
    <w:rsid w:val="00030AB9"/>
    <w:rsid w:val="00030AC3"/>
    <w:rsid w:val="0003109B"/>
    <w:rsid w:val="0003116C"/>
    <w:rsid w:val="0003135B"/>
    <w:rsid w:val="00031C61"/>
    <w:rsid w:val="000325D9"/>
    <w:rsid w:val="000344D1"/>
    <w:rsid w:val="00035004"/>
    <w:rsid w:val="0003546A"/>
    <w:rsid w:val="000354A8"/>
    <w:rsid w:val="00035754"/>
    <w:rsid w:val="00035AB9"/>
    <w:rsid w:val="00035D3C"/>
    <w:rsid w:val="00035FAE"/>
    <w:rsid w:val="00036046"/>
    <w:rsid w:val="000362DC"/>
    <w:rsid w:val="00040749"/>
    <w:rsid w:val="000407F9"/>
    <w:rsid w:val="0004088D"/>
    <w:rsid w:val="000414C0"/>
    <w:rsid w:val="00041649"/>
    <w:rsid w:val="00041C5C"/>
    <w:rsid w:val="00042182"/>
    <w:rsid w:val="00042741"/>
    <w:rsid w:val="00042DC4"/>
    <w:rsid w:val="000430F9"/>
    <w:rsid w:val="00043875"/>
    <w:rsid w:val="00043961"/>
    <w:rsid w:val="00043B43"/>
    <w:rsid w:val="00043B4B"/>
    <w:rsid w:val="00043DC6"/>
    <w:rsid w:val="0004400B"/>
    <w:rsid w:val="000447C4"/>
    <w:rsid w:val="00044D23"/>
    <w:rsid w:val="000454A9"/>
    <w:rsid w:val="00045B66"/>
    <w:rsid w:val="00045C2F"/>
    <w:rsid w:val="00045CCC"/>
    <w:rsid w:val="00045E06"/>
    <w:rsid w:val="00045F50"/>
    <w:rsid w:val="00046019"/>
    <w:rsid w:val="0004683A"/>
    <w:rsid w:val="00046ED6"/>
    <w:rsid w:val="00047873"/>
    <w:rsid w:val="0005002F"/>
    <w:rsid w:val="00050547"/>
    <w:rsid w:val="00050794"/>
    <w:rsid w:val="00050C0F"/>
    <w:rsid w:val="00051192"/>
    <w:rsid w:val="000516B3"/>
    <w:rsid w:val="00052B23"/>
    <w:rsid w:val="00052B32"/>
    <w:rsid w:val="00053B1F"/>
    <w:rsid w:val="0005420F"/>
    <w:rsid w:val="00054284"/>
    <w:rsid w:val="00054B59"/>
    <w:rsid w:val="00054D3B"/>
    <w:rsid w:val="00055076"/>
    <w:rsid w:val="00055538"/>
    <w:rsid w:val="00055CD0"/>
    <w:rsid w:val="00055CE1"/>
    <w:rsid w:val="00055DBB"/>
    <w:rsid w:val="00056520"/>
    <w:rsid w:val="000566CB"/>
    <w:rsid w:val="00056BCA"/>
    <w:rsid w:val="00056CB3"/>
    <w:rsid w:val="00057307"/>
    <w:rsid w:val="000573DB"/>
    <w:rsid w:val="00057586"/>
    <w:rsid w:val="00057B5B"/>
    <w:rsid w:val="00057C68"/>
    <w:rsid w:val="00057D53"/>
    <w:rsid w:val="00057FA3"/>
    <w:rsid w:val="000604EC"/>
    <w:rsid w:val="00060909"/>
    <w:rsid w:val="0006109B"/>
    <w:rsid w:val="000618BD"/>
    <w:rsid w:val="00061E7B"/>
    <w:rsid w:val="00061E97"/>
    <w:rsid w:val="000627B0"/>
    <w:rsid w:val="00063823"/>
    <w:rsid w:val="00063E12"/>
    <w:rsid w:val="000640B2"/>
    <w:rsid w:val="000642ED"/>
    <w:rsid w:val="0006475E"/>
    <w:rsid w:val="00064994"/>
    <w:rsid w:val="00064D0E"/>
    <w:rsid w:val="0006511C"/>
    <w:rsid w:val="000659F2"/>
    <w:rsid w:val="00065EC4"/>
    <w:rsid w:val="0006642E"/>
    <w:rsid w:val="00066AB7"/>
    <w:rsid w:val="00066B25"/>
    <w:rsid w:val="0006705E"/>
    <w:rsid w:val="00067117"/>
    <w:rsid w:val="000673A4"/>
    <w:rsid w:val="0006798F"/>
    <w:rsid w:val="00067A9B"/>
    <w:rsid w:val="00067ABA"/>
    <w:rsid w:val="00067B37"/>
    <w:rsid w:val="00067E55"/>
    <w:rsid w:val="0007088C"/>
    <w:rsid w:val="0007099A"/>
    <w:rsid w:val="00070B58"/>
    <w:rsid w:val="00070FC8"/>
    <w:rsid w:val="00071929"/>
    <w:rsid w:val="00072237"/>
    <w:rsid w:val="00072C18"/>
    <w:rsid w:val="000730B4"/>
    <w:rsid w:val="000736FB"/>
    <w:rsid w:val="000737B1"/>
    <w:rsid w:val="00073ABA"/>
    <w:rsid w:val="00073DBB"/>
    <w:rsid w:val="000742FF"/>
    <w:rsid w:val="000746FF"/>
    <w:rsid w:val="0007488A"/>
    <w:rsid w:val="00074A43"/>
    <w:rsid w:val="00074E81"/>
    <w:rsid w:val="00074FC8"/>
    <w:rsid w:val="000751C0"/>
    <w:rsid w:val="000756D1"/>
    <w:rsid w:val="00075755"/>
    <w:rsid w:val="00075A6B"/>
    <w:rsid w:val="00076033"/>
    <w:rsid w:val="000762AB"/>
    <w:rsid w:val="000766D1"/>
    <w:rsid w:val="00076A45"/>
    <w:rsid w:val="00077435"/>
    <w:rsid w:val="00077829"/>
    <w:rsid w:val="000805AB"/>
    <w:rsid w:val="00080F1B"/>
    <w:rsid w:val="00081028"/>
    <w:rsid w:val="000810C8"/>
    <w:rsid w:val="00082742"/>
    <w:rsid w:val="00082D9D"/>
    <w:rsid w:val="0008325B"/>
    <w:rsid w:val="000838CA"/>
    <w:rsid w:val="00083916"/>
    <w:rsid w:val="00083A19"/>
    <w:rsid w:val="0008412D"/>
    <w:rsid w:val="0008447A"/>
    <w:rsid w:val="00084C18"/>
    <w:rsid w:val="00085506"/>
    <w:rsid w:val="00086776"/>
    <w:rsid w:val="00086E7C"/>
    <w:rsid w:val="000874F2"/>
    <w:rsid w:val="00087D6D"/>
    <w:rsid w:val="00090738"/>
    <w:rsid w:val="00091E8A"/>
    <w:rsid w:val="000932E5"/>
    <w:rsid w:val="0009330B"/>
    <w:rsid w:val="00093738"/>
    <w:rsid w:val="00094021"/>
    <w:rsid w:val="0009480B"/>
    <w:rsid w:val="00094B24"/>
    <w:rsid w:val="00094E3B"/>
    <w:rsid w:val="0009504E"/>
    <w:rsid w:val="000955D5"/>
    <w:rsid w:val="00095D96"/>
    <w:rsid w:val="000968BD"/>
    <w:rsid w:val="0009699E"/>
    <w:rsid w:val="00096A42"/>
    <w:rsid w:val="00096B06"/>
    <w:rsid w:val="00096C40"/>
    <w:rsid w:val="0009704D"/>
    <w:rsid w:val="0009791A"/>
    <w:rsid w:val="00097BD4"/>
    <w:rsid w:val="000A046C"/>
    <w:rsid w:val="000A047E"/>
    <w:rsid w:val="000A08E7"/>
    <w:rsid w:val="000A0C11"/>
    <w:rsid w:val="000A0DD6"/>
    <w:rsid w:val="000A102E"/>
    <w:rsid w:val="000A11FF"/>
    <w:rsid w:val="000A13DC"/>
    <w:rsid w:val="000A13FE"/>
    <w:rsid w:val="000A14E7"/>
    <w:rsid w:val="000A1C47"/>
    <w:rsid w:val="000A1D30"/>
    <w:rsid w:val="000A2681"/>
    <w:rsid w:val="000A29CC"/>
    <w:rsid w:val="000A2C87"/>
    <w:rsid w:val="000A3558"/>
    <w:rsid w:val="000A36BE"/>
    <w:rsid w:val="000A3972"/>
    <w:rsid w:val="000A3B5C"/>
    <w:rsid w:val="000A42BF"/>
    <w:rsid w:val="000A4BAB"/>
    <w:rsid w:val="000A4E9E"/>
    <w:rsid w:val="000A4EAA"/>
    <w:rsid w:val="000A51A5"/>
    <w:rsid w:val="000A55E7"/>
    <w:rsid w:val="000A68E2"/>
    <w:rsid w:val="000A722D"/>
    <w:rsid w:val="000A79F9"/>
    <w:rsid w:val="000B0071"/>
    <w:rsid w:val="000B0114"/>
    <w:rsid w:val="000B0122"/>
    <w:rsid w:val="000B03A5"/>
    <w:rsid w:val="000B0E10"/>
    <w:rsid w:val="000B13F8"/>
    <w:rsid w:val="000B188C"/>
    <w:rsid w:val="000B24FF"/>
    <w:rsid w:val="000B2BB7"/>
    <w:rsid w:val="000B2C68"/>
    <w:rsid w:val="000B2F74"/>
    <w:rsid w:val="000B36DB"/>
    <w:rsid w:val="000B3A22"/>
    <w:rsid w:val="000B4588"/>
    <w:rsid w:val="000B504B"/>
    <w:rsid w:val="000B52E8"/>
    <w:rsid w:val="000B5364"/>
    <w:rsid w:val="000B57B0"/>
    <w:rsid w:val="000B586D"/>
    <w:rsid w:val="000B59A3"/>
    <w:rsid w:val="000B5D26"/>
    <w:rsid w:val="000B71BB"/>
    <w:rsid w:val="000B7552"/>
    <w:rsid w:val="000B7A6A"/>
    <w:rsid w:val="000B7B01"/>
    <w:rsid w:val="000B7F36"/>
    <w:rsid w:val="000C00A9"/>
    <w:rsid w:val="000C03B9"/>
    <w:rsid w:val="000C0D71"/>
    <w:rsid w:val="000C1010"/>
    <w:rsid w:val="000C1F9A"/>
    <w:rsid w:val="000C2157"/>
    <w:rsid w:val="000C2D58"/>
    <w:rsid w:val="000C2E79"/>
    <w:rsid w:val="000C2ED9"/>
    <w:rsid w:val="000C33DF"/>
    <w:rsid w:val="000C360B"/>
    <w:rsid w:val="000C4220"/>
    <w:rsid w:val="000C45DE"/>
    <w:rsid w:val="000C463F"/>
    <w:rsid w:val="000C4870"/>
    <w:rsid w:val="000C49D0"/>
    <w:rsid w:val="000C4F48"/>
    <w:rsid w:val="000C5176"/>
    <w:rsid w:val="000C553D"/>
    <w:rsid w:val="000C5BED"/>
    <w:rsid w:val="000C5C7F"/>
    <w:rsid w:val="000C5FE0"/>
    <w:rsid w:val="000C621A"/>
    <w:rsid w:val="000C63D6"/>
    <w:rsid w:val="000C6D9A"/>
    <w:rsid w:val="000C7151"/>
    <w:rsid w:val="000C743F"/>
    <w:rsid w:val="000C75F2"/>
    <w:rsid w:val="000C7D1E"/>
    <w:rsid w:val="000C7ECF"/>
    <w:rsid w:val="000D03E8"/>
    <w:rsid w:val="000D04CE"/>
    <w:rsid w:val="000D05A5"/>
    <w:rsid w:val="000D0661"/>
    <w:rsid w:val="000D09CC"/>
    <w:rsid w:val="000D148F"/>
    <w:rsid w:val="000D14D2"/>
    <w:rsid w:val="000D163F"/>
    <w:rsid w:val="000D165A"/>
    <w:rsid w:val="000D1824"/>
    <w:rsid w:val="000D1991"/>
    <w:rsid w:val="000D208B"/>
    <w:rsid w:val="000D2BDC"/>
    <w:rsid w:val="000D2C12"/>
    <w:rsid w:val="000D3047"/>
    <w:rsid w:val="000D319F"/>
    <w:rsid w:val="000D38A8"/>
    <w:rsid w:val="000D397F"/>
    <w:rsid w:val="000D3A07"/>
    <w:rsid w:val="000D476A"/>
    <w:rsid w:val="000D556D"/>
    <w:rsid w:val="000D58EB"/>
    <w:rsid w:val="000D595E"/>
    <w:rsid w:val="000D5AC4"/>
    <w:rsid w:val="000D5BA0"/>
    <w:rsid w:val="000D64C2"/>
    <w:rsid w:val="000D6626"/>
    <w:rsid w:val="000D69EC"/>
    <w:rsid w:val="000D6B94"/>
    <w:rsid w:val="000D70F5"/>
    <w:rsid w:val="000D7269"/>
    <w:rsid w:val="000D7418"/>
    <w:rsid w:val="000E0B4A"/>
    <w:rsid w:val="000E11C8"/>
    <w:rsid w:val="000E12FA"/>
    <w:rsid w:val="000E19D9"/>
    <w:rsid w:val="000E1BA9"/>
    <w:rsid w:val="000E1BEA"/>
    <w:rsid w:val="000E1C46"/>
    <w:rsid w:val="000E23C9"/>
    <w:rsid w:val="000E24F6"/>
    <w:rsid w:val="000E284A"/>
    <w:rsid w:val="000E2E37"/>
    <w:rsid w:val="000E3654"/>
    <w:rsid w:val="000E373C"/>
    <w:rsid w:val="000E3949"/>
    <w:rsid w:val="000E39E6"/>
    <w:rsid w:val="000E3F1E"/>
    <w:rsid w:val="000E4758"/>
    <w:rsid w:val="000E49C8"/>
    <w:rsid w:val="000E5759"/>
    <w:rsid w:val="000E5A68"/>
    <w:rsid w:val="000E621E"/>
    <w:rsid w:val="000E646F"/>
    <w:rsid w:val="000E66FA"/>
    <w:rsid w:val="000E6E64"/>
    <w:rsid w:val="000E7215"/>
    <w:rsid w:val="000E7489"/>
    <w:rsid w:val="000E7C56"/>
    <w:rsid w:val="000E7CD3"/>
    <w:rsid w:val="000F0458"/>
    <w:rsid w:val="000F06A2"/>
    <w:rsid w:val="000F0C51"/>
    <w:rsid w:val="000F1001"/>
    <w:rsid w:val="000F165C"/>
    <w:rsid w:val="000F1AC8"/>
    <w:rsid w:val="000F1F5F"/>
    <w:rsid w:val="000F2058"/>
    <w:rsid w:val="000F2424"/>
    <w:rsid w:val="000F26CF"/>
    <w:rsid w:val="000F2BB2"/>
    <w:rsid w:val="000F2FEC"/>
    <w:rsid w:val="000F356C"/>
    <w:rsid w:val="000F4106"/>
    <w:rsid w:val="000F41B7"/>
    <w:rsid w:val="000F4254"/>
    <w:rsid w:val="000F43B9"/>
    <w:rsid w:val="000F45AF"/>
    <w:rsid w:val="000F5672"/>
    <w:rsid w:val="000F59CF"/>
    <w:rsid w:val="000F59E6"/>
    <w:rsid w:val="000F5E28"/>
    <w:rsid w:val="000F637D"/>
    <w:rsid w:val="000F6BB9"/>
    <w:rsid w:val="000F76BE"/>
    <w:rsid w:val="000F7809"/>
    <w:rsid w:val="000F7AB2"/>
    <w:rsid w:val="000F7D07"/>
    <w:rsid w:val="0010003F"/>
    <w:rsid w:val="0010091F"/>
    <w:rsid w:val="0010180E"/>
    <w:rsid w:val="00101A09"/>
    <w:rsid w:val="00101AF4"/>
    <w:rsid w:val="00101D6B"/>
    <w:rsid w:val="00101DC0"/>
    <w:rsid w:val="001023D1"/>
    <w:rsid w:val="001023E7"/>
    <w:rsid w:val="001027B8"/>
    <w:rsid w:val="001029CD"/>
    <w:rsid w:val="00102C68"/>
    <w:rsid w:val="001030B9"/>
    <w:rsid w:val="001031D9"/>
    <w:rsid w:val="001038CE"/>
    <w:rsid w:val="00103AD1"/>
    <w:rsid w:val="00103C54"/>
    <w:rsid w:val="00103F12"/>
    <w:rsid w:val="001044D8"/>
    <w:rsid w:val="00104663"/>
    <w:rsid w:val="0010502E"/>
    <w:rsid w:val="001050D6"/>
    <w:rsid w:val="0010524C"/>
    <w:rsid w:val="001052B3"/>
    <w:rsid w:val="0010559F"/>
    <w:rsid w:val="00106027"/>
    <w:rsid w:val="00106048"/>
    <w:rsid w:val="00106053"/>
    <w:rsid w:val="00106495"/>
    <w:rsid w:val="00106820"/>
    <w:rsid w:val="001068E4"/>
    <w:rsid w:val="00106A77"/>
    <w:rsid w:val="00106BF3"/>
    <w:rsid w:val="00106C5D"/>
    <w:rsid w:val="001076C1"/>
    <w:rsid w:val="00107703"/>
    <w:rsid w:val="001109FB"/>
    <w:rsid w:val="0011207A"/>
    <w:rsid w:val="00112093"/>
    <w:rsid w:val="001124AD"/>
    <w:rsid w:val="001126F5"/>
    <w:rsid w:val="00112DB6"/>
    <w:rsid w:val="001134D9"/>
    <w:rsid w:val="00113C79"/>
    <w:rsid w:val="001141C2"/>
    <w:rsid w:val="001145BE"/>
    <w:rsid w:val="001148AD"/>
    <w:rsid w:val="00114A4E"/>
    <w:rsid w:val="00114ACC"/>
    <w:rsid w:val="00114C3F"/>
    <w:rsid w:val="00115BFB"/>
    <w:rsid w:val="00115F0D"/>
    <w:rsid w:val="00116056"/>
    <w:rsid w:val="0011635B"/>
    <w:rsid w:val="00116367"/>
    <w:rsid w:val="001165CD"/>
    <w:rsid w:val="00116BEE"/>
    <w:rsid w:val="00116C88"/>
    <w:rsid w:val="0011729C"/>
    <w:rsid w:val="00117E35"/>
    <w:rsid w:val="001206F3"/>
    <w:rsid w:val="00120E30"/>
    <w:rsid w:val="00120EF8"/>
    <w:rsid w:val="00120F67"/>
    <w:rsid w:val="0012181F"/>
    <w:rsid w:val="001218DE"/>
    <w:rsid w:val="00121F76"/>
    <w:rsid w:val="0012230D"/>
    <w:rsid w:val="00122A86"/>
    <w:rsid w:val="00122CF2"/>
    <w:rsid w:val="00122EBC"/>
    <w:rsid w:val="00123BC2"/>
    <w:rsid w:val="00123DD1"/>
    <w:rsid w:val="00124042"/>
    <w:rsid w:val="00124804"/>
    <w:rsid w:val="001251D5"/>
    <w:rsid w:val="00125AF2"/>
    <w:rsid w:val="00125BD7"/>
    <w:rsid w:val="00126FE1"/>
    <w:rsid w:val="00127F4A"/>
    <w:rsid w:val="001306A8"/>
    <w:rsid w:val="00131AE2"/>
    <w:rsid w:val="00132966"/>
    <w:rsid w:val="00132B64"/>
    <w:rsid w:val="001339E1"/>
    <w:rsid w:val="00133EC5"/>
    <w:rsid w:val="001342F0"/>
    <w:rsid w:val="00134389"/>
    <w:rsid w:val="00134556"/>
    <w:rsid w:val="00135225"/>
    <w:rsid w:val="00135632"/>
    <w:rsid w:val="0013575F"/>
    <w:rsid w:val="00135F1C"/>
    <w:rsid w:val="00136B30"/>
    <w:rsid w:val="00136BC4"/>
    <w:rsid w:val="00136C15"/>
    <w:rsid w:val="00137457"/>
    <w:rsid w:val="001376CE"/>
    <w:rsid w:val="00137A86"/>
    <w:rsid w:val="001405B2"/>
    <w:rsid w:val="001406BA"/>
    <w:rsid w:val="00140B6E"/>
    <w:rsid w:val="00141863"/>
    <w:rsid w:val="001431B8"/>
    <w:rsid w:val="0014356D"/>
    <w:rsid w:val="00143602"/>
    <w:rsid w:val="00143A44"/>
    <w:rsid w:val="00143BF1"/>
    <w:rsid w:val="00144091"/>
    <w:rsid w:val="001441CE"/>
    <w:rsid w:val="00144426"/>
    <w:rsid w:val="0014482B"/>
    <w:rsid w:val="00144922"/>
    <w:rsid w:val="00145212"/>
    <w:rsid w:val="001465FB"/>
    <w:rsid w:val="00146BCE"/>
    <w:rsid w:val="0014724F"/>
    <w:rsid w:val="00147540"/>
    <w:rsid w:val="00147AEF"/>
    <w:rsid w:val="00147D07"/>
    <w:rsid w:val="00147D30"/>
    <w:rsid w:val="0015013E"/>
    <w:rsid w:val="00150279"/>
    <w:rsid w:val="00150457"/>
    <w:rsid w:val="00150BD3"/>
    <w:rsid w:val="00151ED6"/>
    <w:rsid w:val="00151F7D"/>
    <w:rsid w:val="001527B0"/>
    <w:rsid w:val="001528B3"/>
    <w:rsid w:val="0015296A"/>
    <w:rsid w:val="00153057"/>
    <w:rsid w:val="001543F0"/>
    <w:rsid w:val="0015484A"/>
    <w:rsid w:val="00154A51"/>
    <w:rsid w:val="00154D1E"/>
    <w:rsid w:val="00154F12"/>
    <w:rsid w:val="001554AA"/>
    <w:rsid w:val="001554C8"/>
    <w:rsid w:val="001555FB"/>
    <w:rsid w:val="0015567E"/>
    <w:rsid w:val="001557E3"/>
    <w:rsid w:val="00155856"/>
    <w:rsid w:val="00155984"/>
    <w:rsid w:val="00156298"/>
    <w:rsid w:val="0015659B"/>
    <w:rsid w:val="0015681A"/>
    <w:rsid w:val="00156A6B"/>
    <w:rsid w:val="00157659"/>
    <w:rsid w:val="00157684"/>
    <w:rsid w:val="001577D9"/>
    <w:rsid w:val="0016006E"/>
    <w:rsid w:val="00160F24"/>
    <w:rsid w:val="001612CF"/>
    <w:rsid w:val="00161B92"/>
    <w:rsid w:val="00162076"/>
    <w:rsid w:val="001622AD"/>
    <w:rsid w:val="0016260F"/>
    <w:rsid w:val="001627A8"/>
    <w:rsid w:val="00162DC9"/>
    <w:rsid w:val="00162E99"/>
    <w:rsid w:val="00162F42"/>
    <w:rsid w:val="001639E9"/>
    <w:rsid w:val="00163E10"/>
    <w:rsid w:val="00163FC2"/>
    <w:rsid w:val="00164075"/>
    <w:rsid w:val="0016411C"/>
    <w:rsid w:val="001648ED"/>
    <w:rsid w:val="00164920"/>
    <w:rsid w:val="00164A58"/>
    <w:rsid w:val="00164AD9"/>
    <w:rsid w:val="00165569"/>
    <w:rsid w:val="001662C9"/>
    <w:rsid w:val="00166354"/>
    <w:rsid w:val="0016666A"/>
    <w:rsid w:val="001667B7"/>
    <w:rsid w:val="00166A4A"/>
    <w:rsid w:val="00166DA6"/>
    <w:rsid w:val="00167425"/>
    <w:rsid w:val="0016750D"/>
    <w:rsid w:val="00167545"/>
    <w:rsid w:val="001679B7"/>
    <w:rsid w:val="001706F3"/>
    <w:rsid w:val="00170729"/>
    <w:rsid w:val="00170C69"/>
    <w:rsid w:val="00170D17"/>
    <w:rsid w:val="001710B0"/>
    <w:rsid w:val="00171244"/>
    <w:rsid w:val="00171F96"/>
    <w:rsid w:val="00172EFC"/>
    <w:rsid w:val="0017328E"/>
    <w:rsid w:val="0017344F"/>
    <w:rsid w:val="0017373D"/>
    <w:rsid w:val="00173F0A"/>
    <w:rsid w:val="00174B6B"/>
    <w:rsid w:val="00175032"/>
    <w:rsid w:val="00175507"/>
    <w:rsid w:val="0017590D"/>
    <w:rsid w:val="001760F8"/>
    <w:rsid w:val="00176C0A"/>
    <w:rsid w:val="00176D74"/>
    <w:rsid w:val="00176DEF"/>
    <w:rsid w:val="001778CD"/>
    <w:rsid w:val="001779BB"/>
    <w:rsid w:val="00177B30"/>
    <w:rsid w:val="00177D8E"/>
    <w:rsid w:val="0018016F"/>
    <w:rsid w:val="0018048E"/>
    <w:rsid w:val="00180CC4"/>
    <w:rsid w:val="00180EDC"/>
    <w:rsid w:val="00181649"/>
    <w:rsid w:val="00181CC8"/>
    <w:rsid w:val="00182013"/>
    <w:rsid w:val="001822BF"/>
    <w:rsid w:val="0018248E"/>
    <w:rsid w:val="0018292A"/>
    <w:rsid w:val="001829AC"/>
    <w:rsid w:val="00182CF7"/>
    <w:rsid w:val="00182FF6"/>
    <w:rsid w:val="001833CB"/>
    <w:rsid w:val="001834C9"/>
    <w:rsid w:val="001836BA"/>
    <w:rsid w:val="001848E1"/>
    <w:rsid w:val="001849A1"/>
    <w:rsid w:val="001858B6"/>
    <w:rsid w:val="00185907"/>
    <w:rsid w:val="00186446"/>
    <w:rsid w:val="001867FE"/>
    <w:rsid w:val="00186884"/>
    <w:rsid w:val="001871B8"/>
    <w:rsid w:val="00187B89"/>
    <w:rsid w:val="00190058"/>
    <w:rsid w:val="00190415"/>
    <w:rsid w:val="001904BA"/>
    <w:rsid w:val="001905D8"/>
    <w:rsid w:val="0019082E"/>
    <w:rsid w:val="00190956"/>
    <w:rsid w:val="00191D3E"/>
    <w:rsid w:val="00191D4A"/>
    <w:rsid w:val="00191F89"/>
    <w:rsid w:val="00192265"/>
    <w:rsid w:val="00192A85"/>
    <w:rsid w:val="00192AE2"/>
    <w:rsid w:val="00192D37"/>
    <w:rsid w:val="001935AE"/>
    <w:rsid w:val="001938D6"/>
    <w:rsid w:val="00193ECE"/>
    <w:rsid w:val="0019422E"/>
    <w:rsid w:val="00194281"/>
    <w:rsid w:val="00194B48"/>
    <w:rsid w:val="00194C98"/>
    <w:rsid w:val="00194F07"/>
    <w:rsid w:val="0019504D"/>
    <w:rsid w:val="0019515D"/>
    <w:rsid w:val="00195257"/>
    <w:rsid w:val="001952F4"/>
    <w:rsid w:val="001956FC"/>
    <w:rsid w:val="00195EE9"/>
    <w:rsid w:val="001967E8"/>
    <w:rsid w:val="00197792"/>
    <w:rsid w:val="001A00C7"/>
    <w:rsid w:val="001A077E"/>
    <w:rsid w:val="001A0908"/>
    <w:rsid w:val="001A0A65"/>
    <w:rsid w:val="001A13EC"/>
    <w:rsid w:val="001A1974"/>
    <w:rsid w:val="001A2030"/>
    <w:rsid w:val="001A2A19"/>
    <w:rsid w:val="001A2E4D"/>
    <w:rsid w:val="001A3AEE"/>
    <w:rsid w:val="001A405F"/>
    <w:rsid w:val="001A430E"/>
    <w:rsid w:val="001A47A1"/>
    <w:rsid w:val="001A4C17"/>
    <w:rsid w:val="001A4D29"/>
    <w:rsid w:val="001A515C"/>
    <w:rsid w:val="001A53B0"/>
    <w:rsid w:val="001A6077"/>
    <w:rsid w:val="001A65F3"/>
    <w:rsid w:val="001A771F"/>
    <w:rsid w:val="001A7948"/>
    <w:rsid w:val="001A7AD3"/>
    <w:rsid w:val="001A7D59"/>
    <w:rsid w:val="001B0163"/>
    <w:rsid w:val="001B043E"/>
    <w:rsid w:val="001B0692"/>
    <w:rsid w:val="001B09C4"/>
    <w:rsid w:val="001B0CA2"/>
    <w:rsid w:val="001B0EED"/>
    <w:rsid w:val="001B191E"/>
    <w:rsid w:val="001B1939"/>
    <w:rsid w:val="001B25B0"/>
    <w:rsid w:val="001B26AE"/>
    <w:rsid w:val="001B290B"/>
    <w:rsid w:val="001B29E3"/>
    <w:rsid w:val="001B3031"/>
    <w:rsid w:val="001B36A2"/>
    <w:rsid w:val="001B3A61"/>
    <w:rsid w:val="001B3C53"/>
    <w:rsid w:val="001B3D6A"/>
    <w:rsid w:val="001B4000"/>
    <w:rsid w:val="001B4222"/>
    <w:rsid w:val="001B46FC"/>
    <w:rsid w:val="001B4772"/>
    <w:rsid w:val="001B496E"/>
    <w:rsid w:val="001B4B21"/>
    <w:rsid w:val="001B4E19"/>
    <w:rsid w:val="001B525D"/>
    <w:rsid w:val="001B60A1"/>
    <w:rsid w:val="001B67C8"/>
    <w:rsid w:val="001B7423"/>
    <w:rsid w:val="001B7650"/>
    <w:rsid w:val="001C0A99"/>
    <w:rsid w:val="001C0B25"/>
    <w:rsid w:val="001C12A4"/>
    <w:rsid w:val="001C168E"/>
    <w:rsid w:val="001C2030"/>
    <w:rsid w:val="001C2D40"/>
    <w:rsid w:val="001C35C9"/>
    <w:rsid w:val="001C3967"/>
    <w:rsid w:val="001C473F"/>
    <w:rsid w:val="001C4CF2"/>
    <w:rsid w:val="001C546C"/>
    <w:rsid w:val="001C6808"/>
    <w:rsid w:val="001C7644"/>
    <w:rsid w:val="001C772B"/>
    <w:rsid w:val="001C7F09"/>
    <w:rsid w:val="001C7F82"/>
    <w:rsid w:val="001D05BB"/>
    <w:rsid w:val="001D0E33"/>
    <w:rsid w:val="001D1683"/>
    <w:rsid w:val="001D18A1"/>
    <w:rsid w:val="001D19A6"/>
    <w:rsid w:val="001D2495"/>
    <w:rsid w:val="001D2873"/>
    <w:rsid w:val="001D29BA"/>
    <w:rsid w:val="001D34D6"/>
    <w:rsid w:val="001D3913"/>
    <w:rsid w:val="001D3BA4"/>
    <w:rsid w:val="001D3DA3"/>
    <w:rsid w:val="001D483A"/>
    <w:rsid w:val="001D4C4F"/>
    <w:rsid w:val="001D505C"/>
    <w:rsid w:val="001D5139"/>
    <w:rsid w:val="001D520B"/>
    <w:rsid w:val="001D632A"/>
    <w:rsid w:val="001D6EF1"/>
    <w:rsid w:val="001D6F11"/>
    <w:rsid w:val="001D75BB"/>
    <w:rsid w:val="001D78B3"/>
    <w:rsid w:val="001D7BC6"/>
    <w:rsid w:val="001D7BE5"/>
    <w:rsid w:val="001D7F7F"/>
    <w:rsid w:val="001E006D"/>
    <w:rsid w:val="001E1548"/>
    <w:rsid w:val="001E18F3"/>
    <w:rsid w:val="001E231C"/>
    <w:rsid w:val="001E28F6"/>
    <w:rsid w:val="001E356E"/>
    <w:rsid w:val="001E362F"/>
    <w:rsid w:val="001E38CE"/>
    <w:rsid w:val="001E3B40"/>
    <w:rsid w:val="001E3BC1"/>
    <w:rsid w:val="001E403A"/>
    <w:rsid w:val="001E4293"/>
    <w:rsid w:val="001E4470"/>
    <w:rsid w:val="001E4A71"/>
    <w:rsid w:val="001E4DED"/>
    <w:rsid w:val="001E7006"/>
    <w:rsid w:val="001E712A"/>
    <w:rsid w:val="001E7539"/>
    <w:rsid w:val="001E7B30"/>
    <w:rsid w:val="001F10AC"/>
    <w:rsid w:val="001F11C0"/>
    <w:rsid w:val="001F1456"/>
    <w:rsid w:val="001F2071"/>
    <w:rsid w:val="001F2231"/>
    <w:rsid w:val="001F2794"/>
    <w:rsid w:val="001F27F5"/>
    <w:rsid w:val="001F2992"/>
    <w:rsid w:val="001F345C"/>
    <w:rsid w:val="001F3762"/>
    <w:rsid w:val="001F3793"/>
    <w:rsid w:val="001F37B7"/>
    <w:rsid w:val="001F3A7A"/>
    <w:rsid w:val="001F41AE"/>
    <w:rsid w:val="001F420C"/>
    <w:rsid w:val="001F565F"/>
    <w:rsid w:val="001F5EC9"/>
    <w:rsid w:val="001F65B8"/>
    <w:rsid w:val="001F6BAE"/>
    <w:rsid w:val="001F6F56"/>
    <w:rsid w:val="001F72E1"/>
    <w:rsid w:val="001F7FF8"/>
    <w:rsid w:val="0020041A"/>
    <w:rsid w:val="00200518"/>
    <w:rsid w:val="0020141A"/>
    <w:rsid w:val="002015F2"/>
    <w:rsid w:val="002016F0"/>
    <w:rsid w:val="00201D4C"/>
    <w:rsid w:val="00201E9B"/>
    <w:rsid w:val="002020A4"/>
    <w:rsid w:val="00202234"/>
    <w:rsid w:val="00202507"/>
    <w:rsid w:val="00202B29"/>
    <w:rsid w:val="0020367A"/>
    <w:rsid w:val="00204774"/>
    <w:rsid w:val="00204803"/>
    <w:rsid w:val="0020492A"/>
    <w:rsid w:val="002049EE"/>
    <w:rsid w:val="00204B93"/>
    <w:rsid w:val="00204BB9"/>
    <w:rsid w:val="00204CF9"/>
    <w:rsid w:val="00205A51"/>
    <w:rsid w:val="00205C0D"/>
    <w:rsid w:val="00205F0B"/>
    <w:rsid w:val="0020623B"/>
    <w:rsid w:val="00206589"/>
    <w:rsid w:val="00207061"/>
    <w:rsid w:val="0020722F"/>
    <w:rsid w:val="00207A74"/>
    <w:rsid w:val="00207BDA"/>
    <w:rsid w:val="002107D9"/>
    <w:rsid w:val="00210A30"/>
    <w:rsid w:val="0021171B"/>
    <w:rsid w:val="0021197C"/>
    <w:rsid w:val="00211BEE"/>
    <w:rsid w:val="00211F56"/>
    <w:rsid w:val="002123E5"/>
    <w:rsid w:val="00212952"/>
    <w:rsid w:val="00212AB2"/>
    <w:rsid w:val="00212FB2"/>
    <w:rsid w:val="00213064"/>
    <w:rsid w:val="0021309E"/>
    <w:rsid w:val="0021314C"/>
    <w:rsid w:val="00213386"/>
    <w:rsid w:val="002135DA"/>
    <w:rsid w:val="002135E4"/>
    <w:rsid w:val="00213723"/>
    <w:rsid w:val="00213E87"/>
    <w:rsid w:val="00213FC4"/>
    <w:rsid w:val="00214283"/>
    <w:rsid w:val="0021428E"/>
    <w:rsid w:val="002145FB"/>
    <w:rsid w:val="002146BD"/>
    <w:rsid w:val="00214CE7"/>
    <w:rsid w:val="0021517F"/>
    <w:rsid w:val="00215853"/>
    <w:rsid w:val="00215F88"/>
    <w:rsid w:val="00215FC4"/>
    <w:rsid w:val="00216225"/>
    <w:rsid w:val="002166BF"/>
    <w:rsid w:val="0021672B"/>
    <w:rsid w:val="002171FC"/>
    <w:rsid w:val="0021740B"/>
    <w:rsid w:val="00217794"/>
    <w:rsid w:val="00217B54"/>
    <w:rsid w:val="00217EE6"/>
    <w:rsid w:val="002202D5"/>
    <w:rsid w:val="00221350"/>
    <w:rsid w:val="00221430"/>
    <w:rsid w:val="0022170C"/>
    <w:rsid w:val="00221F94"/>
    <w:rsid w:val="00222408"/>
    <w:rsid w:val="0022245B"/>
    <w:rsid w:val="002225FD"/>
    <w:rsid w:val="00222733"/>
    <w:rsid w:val="002228F3"/>
    <w:rsid w:val="00222918"/>
    <w:rsid w:val="00222C4C"/>
    <w:rsid w:val="002230CF"/>
    <w:rsid w:val="0022310C"/>
    <w:rsid w:val="00223FAF"/>
    <w:rsid w:val="00224914"/>
    <w:rsid w:val="00224A38"/>
    <w:rsid w:val="0022548A"/>
    <w:rsid w:val="002258C5"/>
    <w:rsid w:val="00225ADE"/>
    <w:rsid w:val="00226151"/>
    <w:rsid w:val="00226316"/>
    <w:rsid w:val="00227FCE"/>
    <w:rsid w:val="0023029F"/>
    <w:rsid w:val="00230ADA"/>
    <w:rsid w:val="00231053"/>
    <w:rsid w:val="00231754"/>
    <w:rsid w:val="002322A9"/>
    <w:rsid w:val="00232597"/>
    <w:rsid w:val="002337F8"/>
    <w:rsid w:val="002338C3"/>
    <w:rsid w:val="00233DAC"/>
    <w:rsid w:val="00233E98"/>
    <w:rsid w:val="00233EDC"/>
    <w:rsid w:val="00234186"/>
    <w:rsid w:val="00234389"/>
    <w:rsid w:val="002347D4"/>
    <w:rsid w:val="002349F1"/>
    <w:rsid w:val="002356E2"/>
    <w:rsid w:val="002358CE"/>
    <w:rsid w:val="00235B31"/>
    <w:rsid w:val="00235D4E"/>
    <w:rsid w:val="0023618E"/>
    <w:rsid w:val="00236BDC"/>
    <w:rsid w:val="00236CCD"/>
    <w:rsid w:val="00237658"/>
    <w:rsid w:val="00237EDC"/>
    <w:rsid w:val="00237FF5"/>
    <w:rsid w:val="0024049B"/>
    <w:rsid w:val="0024071A"/>
    <w:rsid w:val="0024186E"/>
    <w:rsid w:val="00242042"/>
    <w:rsid w:val="00242366"/>
    <w:rsid w:val="0024247A"/>
    <w:rsid w:val="00243212"/>
    <w:rsid w:val="00243BA7"/>
    <w:rsid w:val="0024525A"/>
    <w:rsid w:val="002455F3"/>
    <w:rsid w:val="0024560B"/>
    <w:rsid w:val="00245804"/>
    <w:rsid w:val="00245B28"/>
    <w:rsid w:val="00245C6A"/>
    <w:rsid w:val="00245C94"/>
    <w:rsid w:val="00245E94"/>
    <w:rsid w:val="00245FFB"/>
    <w:rsid w:val="0024610C"/>
    <w:rsid w:val="00246136"/>
    <w:rsid w:val="0024645E"/>
    <w:rsid w:val="002464B3"/>
    <w:rsid w:val="0024678D"/>
    <w:rsid w:val="0024690A"/>
    <w:rsid w:val="00246E6A"/>
    <w:rsid w:val="00247122"/>
    <w:rsid w:val="00247552"/>
    <w:rsid w:val="00247936"/>
    <w:rsid w:val="0025003C"/>
    <w:rsid w:val="002500CD"/>
    <w:rsid w:val="00250944"/>
    <w:rsid w:val="00250A4C"/>
    <w:rsid w:val="00251479"/>
    <w:rsid w:val="002514A8"/>
    <w:rsid w:val="00251535"/>
    <w:rsid w:val="0025153C"/>
    <w:rsid w:val="00251657"/>
    <w:rsid w:val="002516C6"/>
    <w:rsid w:val="00251BCD"/>
    <w:rsid w:val="00251C27"/>
    <w:rsid w:val="0025228B"/>
    <w:rsid w:val="002526EE"/>
    <w:rsid w:val="002527DB"/>
    <w:rsid w:val="00252C86"/>
    <w:rsid w:val="00252D31"/>
    <w:rsid w:val="00252EF0"/>
    <w:rsid w:val="00253633"/>
    <w:rsid w:val="002538A1"/>
    <w:rsid w:val="00253C16"/>
    <w:rsid w:val="0025400F"/>
    <w:rsid w:val="002540A1"/>
    <w:rsid w:val="002543AB"/>
    <w:rsid w:val="002545FD"/>
    <w:rsid w:val="002549E8"/>
    <w:rsid w:val="00254CD7"/>
    <w:rsid w:val="00254DF1"/>
    <w:rsid w:val="002555E7"/>
    <w:rsid w:val="00255641"/>
    <w:rsid w:val="002559DC"/>
    <w:rsid w:val="00256633"/>
    <w:rsid w:val="00256721"/>
    <w:rsid w:val="00256B72"/>
    <w:rsid w:val="00256EDA"/>
    <w:rsid w:val="00256FF2"/>
    <w:rsid w:val="00257430"/>
    <w:rsid w:val="00257699"/>
    <w:rsid w:val="00257EF8"/>
    <w:rsid w:val="00260233"/>
    <w:rsid w:val="00260313"/>
    <w:rsid w:val="0026037A"/>
    <w:rsid w:val="002605F4"/>
    <w:rsid w:val="00260F26"/>
    <w:rsid w:val="00261956"/>
    <w:rsid w:val="00261A48"/>
    <w:rsid w:val="00261BCF"/>
    <w:rsid w:val="0026261B"/>
    <w:rsid w:val="002639FB"/>
    <w:rsid w:val="00263D9D"/>
    <w:rsid w:val="002640BD"/>
    <w:rsid w:val="00264751"/>
    <w:rsid w:val="0026486A"/>
    <w:rsid w:val="00264CC7"/>
    <w:rsid w:val="00265335"/>
    <w:rsid w:val="00265492"/>
    <w:rsid w:val="00266323"/>
    <w:rsid w:val="00266C89"/>
    <w:rsid w:val="00267034"/>
    <w:rsid w:val="00267809"/>
    <w:rsid w:val="00270509"/>
    <w:rsid w:val="002706F1"/>
    <w:rsid w:val="00270CE4"/>
    <w:rsid w:val="00270FE3"/>
    <w:rsid w:val="00271868"/>
    <w:rsid w:val="00271BEA"/>
    <w:rsid w:val="00271C88"/>
    <w:rsid w:val="00271E83"/>
    <w:rsid w:val="00272226"/>
    <w:rsid w:val="002728B4"/>
    <w:rsid w:val="00273A62"/>
    <w:rsid w:val="00273C9F"/>
    <w:rsid w:val="00273E80"/>
    <w:rsid w:val="0027404C"/>
    <w:rsid w:val="002747E7"/>
    <w:rsid w:val="002748E8"/>
    <w:rsid w:val="00274BE6"/>
    <w:rsid w:val="00275A76"/>
    <w:rsid w:val="00275E8F"/>
    <w:rsid w:val="00276292"/>
    <w:rsid w:val="0027662C"/>
    <w:rsid w:val="0027670C"/>
    <w:rsid w:val="0027671E"/>
    <w:rsid w:val="0027693E"/>
    <w:rsid w:val="0028004B"/>
    <w:rsid w:val="00280BAC"/>
    <w:rsid w:val="00281150"/>
    <w:rsid w:val="0028306B"/>
    <w:rsid w:val="0028343C"/>
    <w:rsid w:val="00283983"/>
    <w:rsid w:val="00283FB3"/>
    <w:rsid w:val="00284631"/>
    <w:rsid w:val="002847A9"/>
    <w:rsid w:val="00284837"/>
    <w:rsid w:val="00284B0A"/>
    <w:rsid w:val="00285954"/>
    <w:rsid w:val="00285B65"/>
    <w:rsid w:val="00285C83"/>
    <w:rsid w:val="002860F1"/>
    <w:rsid w:val="002863AA"/>
    <w:rsid w:val="00286DF3"/>
    <w:rsid w:val="002902B7"/>
    <w:rsid w:val="002910B9"/>
    <w:rsid w:val="002913A0"/>
    <w:rsid w:val="0029159E"/>
    <w:rsid w:val="00291AC3"/>
    <w:rsid w:val="00291C68"/>
    <w:rsid w:val="00291F01"/>
    <w:rsid w:val="00292679"/>
    <w:rsid w:val="00292947"/>
    <w:rsid w:val="002930AA"/>
    <w:rsid w:val="002930B1"/>
    <w:rsid w:val="002932AD"/>
    <w:rsid w:val="002933DC"/>
    <w:rsid w:val="00293665"/>
    <w:rsid w:val="00293C74"/>
    <w:rsid w:val="00293DEB"/>
    <w:rsid w:val="0029410D"/>
    <w:rsid w:val="00294550"/>
    <w:rsid w:val="002949C6"/>
    <w:rsid w:val="00294A13"/>
    <w:rsid w:val="002952AE"/>
    <w:rsid w:val="00295598"/>
    <w:rsid w:val="002961EC"/>
    <w:rsid w:val="0029647A"/>
    <w:rsid w:val="00296BF1"/>
    <w:rsid w:val="00296F64"/>
    <w:rsid w:val="002970A0"/>
    <w:rsid w:val="00297536"/>
    <w:rsid w:val="00297871"/>
    <w:rsid w:val="00297B6E"/>
    <w:rsid w:val="00297C06"/>
    <w:rsid w:val="00297CA4"/>
    <w:rsid w:val="00297D30"/>
    <w:rsid w:val="002A0297"/>
    <w:rsid w:val="002A0559"/>
    <w:rsid w:val="002A0643"/>
    <w:rsid w:val="002A083B"/>
    <w:rsid w:val="002A0DB8"/>
    <w:rsid w:val="002A11F5"/>
    <w:rsid w:val="002A12A2"/>
    <w:rsid w:val="002A1B53"/>
    <w:rsid w:val="002A1F0B"/>
    <w:rsid w:val="002A2289"/>
    <w:rsid w:val="002A23EA"/>
    <w:rsid w:val="002A2EFC"/>
    <w:rsid w:val="002A34F3"/>
    <w:rsid w:val="002A3530"/>
    <w:rsid w:val="002A3BAE"/>
    <w:rsid w:val="002A3FD3"/>
    <w:rsid w:val="002A431A"/>
    <w:rsid w:val="002A4B38"/>
    <w:rsid w:val="002A4CEF"/>
    <w:rsid w:val="002A4F0B"/>
    <w:rsid w:val="002A51B7"/>
    <w:rsid w:val="002A5362"/>
    <w:rsid w:val="002A5458"/>
    <w:rsid w:val="002A574E"/>
    <w:rsid w:val="002A57E9"/>
    <w:rsid w:val="002A5898"/>
    <w:rsid w:val="002A681A"/>
    <w:rsid w:val="002A69B5"/>
    <w:rsid w:val="002A7601"/>
    <w:rsid w:val="002A7C1E"/>
    <w:rsid w:val="002A7E3B"/>
    <w:rsid w:val="002A7FE8"/>
    <w:rsid w:val="002B0815"/>
    <w:rsid w:val="002B0968"/>
    <w:rsid w:val="002B09C5"/>
    <w:rsid w:val="002B0C0F"/>
    <w:rsid w:val="002B117D"/>
    <w:rsid w:val="002B13C4"/>
    <w:rsid w:val="002B2455"/>
    <w:rsid w:val="002B2CE3"/>
    <w:rsid w:val="002B3590"/>
    <w:rsid w:val="002B3715"/>
    <w:rsid w:val="002B3B56"/>
    <w:rsid w:val="002B47E8"/>
    <w:rsid w:val="002B4B8B"/>
    <w:rsid w:val="002B4D01"/>
    <w:rsid w:val="002B4D17"/>
    <w:rsid w:val="002B4DE4"/>
    <w:rsid w:val="002B539E"/>
    <w:rsid w:val="002B57B3"/>
    <w:rsid w:val="002B635B"/>
    <w:rsid w:val="002B654D"/>
    <w:rsid w:val="002B6FB7"/>
    <w:rsid w:val="002B7D22"/>
    <w:rsid w:val="002C002B"/>
    <w:rsid w:val="002C04D9"/>
    <w:rsid w:val="002C0630"/>
    <w:rsid w:val="002C063F"/>
    <w:rsid w:val="002C1D1A"/>
    <w:rsid w:val="002C2319"/>
    <w:rsid w:val="002C242E"/>
    <w:rsid w:val="002C2585"/>
    <w:rsid w:val="002C3192"/>
    <w:rsid w:val="002C324F"/>
    <w:rsid w:val="002C364A"/>
    <w:rsid w:val="002C3C14"/>
    <w:rsid w:val="002C3CD9"/>
    <w:rsid w:val="002C4432"/>
    <w:rsid w:val="002C4D49"/>
    <w:rsid w:val="002C591C"/>
    <w:rsid w:val="002C5F1B"/>
    <w:rsid w:val="002C5FDB"/>
    <w:rsid w:val="002C61A8"/>
    <w:rsid w:val="002C624E"/>
    <w:rsid w:val="002C63FC"/>
    <w:rsid w:val="002C6801"/>
    <w:rsid w:val="002C6A6A"/>
    <w:rsid w:val="002C7633"/>
    <w:rsid w:val="002C7880"/>
    <w:rsid w:val="002C7C0D"/>
    <w:rsid w:val="002D078E"/>
    <w:rsid w:val="002D0AD3"/>
    <w:rsid w:val="002D0C1A"/>
    <w:rsid w:val="002D0E78"/>
    <w:rsid w:val="002D13F9"/>
    <w:rsid w:val="002D1657"/>
    <w:rsid w:val="002D1B60"/>
    <w:rsid w:val="002D22D1"/>
    <w:rsid w:val="002D2452"/>
    <w:rsid w:val="002D2582"/>
    <w:rsid w:val="002D273B"/>
    <w:rsid w:val="002D2936"/>
    <w:rsid w:val="002D3951"/>
    <w:rsid w:val="002D3B9C"/>
    <w:rsid w:val="002D41B1"/>
    <w:rsid w:val="002D43F2"/>
    <w:rsid w:val="002D4975"/>
    <w:rsid w:val="002D4AB6"/>
    <w:rsid w:val="002D52FF"/>
    <w:rsid w:val="002D5586"/>
    <w:rsid w:val="002D5E20"/>
    <w:rsid w:val="002D5E98"/>
    <w:rsid w:val="002D5ED7"/>
    <w:rsid w:val="002D6626"/>
    <w:rsid w:val="002D6796"/>
    <w:rsid w:val="002D6D44"/>
    <w:rsid w:val="002D7282"/>
    <w:rsid w:val="002D72FF"/>
    <w:rsid w:val="002E0827"/>
    <w:rsid w:val="002E085F"/>
    <w:rsid w:val="002E08D4"/>
    <w:rsid w:val="002E08F6"/>
    <w:rsid w:val="002E0AF7"/>
    <w:rsid w:val="002E1386"/>
    <w:rsid w:val="002E148D"/>
    <w:rsid w:val="002E14E1"/>
    <w:rsid w:val="002E18F6"/>
    <w:rsid w:val="002E1B72"/>
    <w:rsid w:val="002E2DD8"/>
    <w:rsid w:val="002E32EF"/>
    <w:rsid w:val="002E33D9"/>
    <w:rsid w:val="002E38C1"/>
    <w:rsid w:val="002E3F6A"/>
    <w:rsid w:val="002E4065"/>
    <w:rsid w:val="002E4A87"/>
    <w:rsid w:val="002E4EE6"/>
    <w:rsid w:val="002E5345"/>
    <w:rsid w:val="002E54F0"/>
    <w:rsid w:val="002E61C0"/>
    <w:rsid w:val="002E6CEE"/>
    <w:rsid w:val="002E6E4F"/>
    <w:rsid w:val="002E6E70"/>
    <w:rsid w:val="002E6F59"/>
    <w:rsid w:val="002E72B3"/>
    <w:rsid w:val="002E74F8"/>
    <w:rsid w:val="002E750A"/>
    <w:rsid w:val="002E7790"/>
    <w:rsid w:val="002E7B2B"/>
    <w:rsid w:val="002E7CD6"/>
    <w:rsid w:val="002F005D"/>
    <w:rsid w:val="002F035D"/>
    <w:rsid w:val="002F04E6"/>
    <w:rsid w:val="002F076C"/>
    <w:rsid w:val="002F14BD"/>
    <w:rsid w:val="002F1B3C"/>
    <w:rsid w:val="002F230C"/>
    <w:rsid w:val="002F234E"/>
    <w:rsid w:val="002F280C"/>
    <w:rsid w:val="002F28E1"/>
    <w:rsid w:val="002F35E5"/>
    <w:rsid w:val="002F362C"/>
    <w:rsid w:val="002F39A7"/>
    <w:rsid w:val="002F3F1C"/>
    <w:rsid w:val="002F40CB"/>
    <w:rsid w:val="002F40F5"/>
    <w:rsid w:val="002F4130"/>
    <w:rsid w:val="002F4D98"/>
    <w:rsid w:val="002F5137"/>
    <w:rsid w:val="002F5362"/>
    <w:rsid w:val="002F600F"/>
    <w:rsid w:val="002F6A15"/>
    <w:rsid w:val="002F736F"/>
    <w:rsid w:val="002F73B4"/>
    <w:rsid w:val="002F74F1"/>
    <w:rsid w:val="002F7B19"/>
    <w:rsid w:val="002F7D91"/>
    <w:rsid w:val="002F7EAB"/>
    <w:rsid w:val="00300165"/>
    <w:rsid w:val="003001C5"/>
    <w:rsid w:val="0030065A"/>
    <w:rsid w:val="00300893"/>
    <w:rsid w:val="003008AA"/>
    <w:rsid w:val="00300970"/>
    <w:rsid w:val="003009A8"/>
    <w:rsid w:val="003013B4"/>
    <w:rsid w:val="00301A6D"/>
    <w:rsid w:val="003020F1"/>
    <w:rsid w:val="00302280"/>
    <w:rsid w:val="00302863"/>
    <w:rsid w:val="00302965"/>
    <w:rsid w:val="00303041"/>
    <w:rsid w:val="00303092"/>
    <w:rsid w:val="003034C9"/>
    <w:rsid w:val="00304010"/>
    <w:rsid w:val="00304DB2"/>
    <w:rsid w:val="00304E71"/>
    <w:rsid w:val="0030680E"/>
    <w:rsid w:val="00306BA3"/>
    <w:rsid w:val="00311577"/>
    <w:rsid w:val="0031211E"/>
    <w:rsid w:val="00312412"/>
    <w:rsid w:val="00312B2D"/>
    <w:rsid w:val="00312B7A"/>
    <w:rsid w:val="003131E8"/>
    <w:rsid w:val="00313403"/>
    <w:rsid w:val="003137E5"/>
    <w:rsid w:val="00314160"/>
    <w:rsid w:val="003143B0"/>
    <w:rsid w:val="003146E7"/>
    <w:rsid w:val="00314851"/>
    <w:rsid w:val="003151EC"/>
    <w:rsid w:val="003157B8"/>
    <w:rsid w:val="003159DE"/>
    <w:rsid w:val="00315DBC"/>
    <w:rsid w:val="0031618D"/>
    <w:rsid w:val="00316640"/>
    <w:rsid w:val="00316677"/>
    <w:rsid w:val="003167D2"/>
    <w:rsid w:val="0031687D"/>
    <w:rsid w:val="00316F0C"/>
    <w:rsid w:val="0031755B"/>
    <w:rsid w:val="0031761A"/>
    <w:rsid w:val="00317723"/>
    <w:rsid w:val="00317B70"/>
    <w:rsid w:val="00320DC7"/>
    <w:rsid w:val="00320E7A"/>
    <w:rsid w:val="00320EF3"/>
    <w:rsid w:val="00320F91"/>
    <w:rsid w:val="00321B3F"/>
    <w:rsid w:val="00321B4E"/>
    <w:rsid w:val="00322247"/>
    <w:rsid w:val="003222A7"/>
    <w:rsid w:val="003226A0"/>
    <w:rsid w:val="00322A07"/>
    <w:rsid w:val="00322F04"/>
    <w:rsid w:val="00322F63"/>
    <w:rsid w:val="00322FE8"/>
    <w:rsid w:val="003232BC"/>
    <w:rsid w:val="00323438"/>
    <w:rsid w:val="00323A5C"/>
    <w:rsid w:val="00323A61"/>
    <w:rsid w:val="00323AAD"/>
    <w:rsid w:val="00323FBD"/>
    <w:rsid w:val="00324746"/>
    <w:rsid w:val="003253C7"/>
    <w:rsid w:val="00325E27"/>
    <w:rsid w:val="0032626D"/>
    <w:rsid w:val="0032659B"/>
    <w:rsid w:val="003265AE"/>
    <w:rsid w:val="0032661B"/>
    <w:rsid w:val="00326DB4"/>
    <w:rsid w:val="00330FA7"/>
    <w:rsid w:val="00331019"/>
    <w:rsid w:val="00331253"/>
    <w:rsid w:val="00331757"/>
    <w:rsid w:val="0033197D"/>
    <w:rsid w:val="00331ABD"/>
    <w:rsid w:val="003322AC"/>
    <w:rsid w:val="003329C7"/>
    <w:rsid w:val="00332AAC"/>
    <w:rsid w:val="0033300B"/>
    <w:rsid w:val="00333053"/>
    <w:rsid w:val="003335E4"/>
    <w:rsid w:val="0033373E"/>
    <w:rsid w:val="00333860"/>
    <w:rsid w:val="00334024"/>
    <w:rsid w:val="00334058"/>
    <w:rsid w:val="00334389"/>
    <w:rsid w:val="00334E1A"/>
    <w:rsid w:val="00335491"/>
    <w:rsid w:val="003361FD"/>
    <w:rsid w:val="00336751"/>
    <w:rsid w:val="00337CD0"/>
    <w:rsid w:val="00337EC9"/>
    <w:rsid w:val="00340562"/>
    <w:rsid w:val="003410D3"/>
    <w:rsid w:val="00341652"/>
    <w:rsid w:val="00341732"/>
    <w:rsid w:val="003420D1"/>
    <w:rsid w:val="00342340"/>
    <w:rsid w:val="00342B75"/>
    <w:rsid w:val="00342ED6"/>
    <w:rsid w:val="00342F60"/>
    <w:rsid w:val="00343457"/>
    <w:rsid w:val="003440A7"/>
    <w:rsid w:val="00344F69"/>
    <w:rsid w:val="00345A3B"/>
    <w:rsid w:val="00346C78"/>
    <w:rsid w:val="00346E2C"/>
    <w:rsid w:val="00346E46"/>
    <w:rsid w:val="003476CB"/>
    <w:rsid w:val="00347B85"/>
    <w:rsid w:val="00350C94"/>
    <w:rsid w:val="003510E8"/>
    <w:rsid w:val="00351740"/>
    <w:rsid w:val="003523C0"/>
    <w:rsid w:val="00353239"/>
    <w:rsid w:val="00353450"/>
    <w:rsid w:val="0035385A"/>
    <w:rsid w:val="00353CA0"/>
    <w:rsid w:val="00354336"/>
    <w:rsid w:val="00354622"/>
    <w:rsid w:val="00354E82"/>
    <w:rsid w:val="00355736"/>
    <w:rsid w:val="00356462"/>
    <w:rsid w:val="003564DA"/>
    <w:rsid w:val="0035655D"/>
    <w:rsid w:val="00357595"/>
    <w:rsid w:val="00357833"/>
    <w:rsid w:val="0035797A"/>
    <w:rsid w:val="00357C04"/>
    <w:rsid w:val="00357C4D"/>
    <w:rsid w:val="003605C7"/>
    <w:rsid w:val="00360707"/>
    <w:rsid w:val="00361248"/>
    <w:rsid w:val="0036146F"/>
    <w:rsid w:val="0036224D"/>
    <w:rsid w:val="003627FE"/>
    <w:rsid w:val="003636F5"/>
    <w:rsid w:val="0036370F"/>
    <w:rsid w:val="00363FB8"/>
    <w:rsid w:val="003640EC"/>
    <w:rsid w:val="00364341"/>
    <w:rsid w:val="00364DE0"/>
    <w:rsid w:val="00366625"/>
    <w:rsid w:val="00366635"/>
    <w:rsid w:val="0036677D"/>
    <w:rsid w:val="00366DBF"/>
    <w:rsid w:val="00367017"/>
    <w:rsid w:val="0036734D"/>
    <w:rsid w:val="00367B84"/>
    <w:rsid w:val="0037019E"/>
    <w:rsid w:val="003702C4"/>
    <w:rsid w:val="003704F1"/>
    <w:rsid w:val="00370836"/>
    <w:rsid w:val="00370F59"/>
    <w:rsid w:val="003711A4"/>
    <w:rsid w:val="003714FA"/>
    <w:rsid w:val="0037160F"/>
    <w:rsid w:val="00371967"/>
    <w:rsid w:val="00371EF4"/>
    <w:rsid w:val="003722F4"/>
    <w:rsid w:val="00373043"/>
    <w:rsid w:val="003732DC"/>
    <w:rsid w:val="0037374F"/>
    <w:rsid w:val="00373C41"/>
    <w:rsid w:val="00373CBD"/>
    <w:rsid w:val="003741A1"/>
    <w:rsid w:val="003744A9"/>
    <w:rsid w:val="00374CA0"/>
    <w:rsid w:val="00375048"/>
    <w:rsid w:val="00375137"/>
    <w:rsid w:val="00375AF8"/>
    <w:rsid w:val="00375D36"/>
    <w:rsid w:val="00375EFD"/>
    <w:rsid w:val="003760D9"/>
    <w:rsid w:val="003761D6"/>
    <w:rsid w:val="00376350"/>
    <w:rsid w:val="0037651B"/>
    <w:rsid w:val="00376D73"/>
    <w:rsid w:val="003772BD"/>
    <w:rsid w:val="003774A4"/>
    <w:rsid w:val="00377510"/>
    <w:rsid w:val="00377612"/>
    <w:rsid w:val="00377807"/>
    <w:rsid w:val="0037796F"/>
    <w:rsid w:val="00377A0B"/>
    <w:rsid w:val="003800D8"/>
    <w:rsid w:val="003803A8"/>
    <w:rsid w:val="0038076E"/>
    <w:rsid w:val="00380BA4"/>
    <w:rsid w:val="00380F0A"/>
    <w:rsid w:val="003811D4"/>
    <w:rsid w:val="0038205C"/>
    <w:rsid w:val="00382B61"/>
    <w:rsid w:val="00382C00"/>
    <w:rsid w:val="00382F77"/>
    <w:rsid w:val="0038397F"/>
    <w:rsid w:val="003844B1"/>
    <w:rsid w:val="003844B3"/>
    <w:rsid w:val="003846C4"/>
    <w:rsid w:val="00384CAF"/>
    <w:rsid w:val="00384E0D"/>
    <w:rsid w:val="003852AD"/>
    <w:rsid w:val="00385642"/>
    <w:rsid w:val="00385764"/>
    <w:rsid w:val="00385DC5"/>
    <w:rsid w:val="003862FF"/>
    <w:rsid w:val="003863AC"/>
    <w:rsid w:val="00386535"/>
    <w:rsid w:val="00387F5D"/>
    <w:rsid w:val="00390AE9"/>
    <w:rsid w:val="0039171A"/>
    <w:rsid w:val="003918F4"/>
    <w:rsid w:val="00391C1A"/>
    <w:rsid w:val="00391C6E"/>
    <w:rsid w:val="003934D4"/>
    <w:rsid w:val="0039412D"/>
    <w:rsid w:val="003942B9"/>
    <w:rsid w:val="00394763"/>
    <w:rsid w:val="0039495D"/>
    <w:rsid w:val="00395453"/>
    <w:rsid w:val="00395BA0"/>
    <w:rsid w:val="00395CBE"/>
    <w:rsid w:val="00395D8C"/>
    <w:rsid w:val="00396218"/>
    <w:rsid w:val="0039660B"/>
    <w:rsid w:val="00396784"/>
    <w:rsid w:val="00396DF1"/>
    <w:rsid w:val="003978F5"/>
    <w:rsid w:val="00397E24"/>
    <w:rsid w:val="003A03FF"/>
    <w:rsid w:val="003A04FB"/>
    <w:rsid w:val="003A1E25"/>
    <w:rsid w:val="003A2119"/>
    <w:rsid w:val="003A26BC"/>
    <w:rsid w:val="003A27C5"/>
    <w:rsid w:val="003A2C4B"/>
    <w:rsid w:val="003A30CF"/>
    <w:rsid w:val="003A3222"/>
    <w:rsid w:val="003A323F"/>
    <w:rsid w:val="003A34A2"/>
    <w:rsid w:val="003A388E"/>
    <w:rsid w:val="003A3E08"/>
    <w:rsid w:val="003A3E95"/>
    <w:rsid w:val="003A456A"/>
    <w:rsid w:val="003A4597"/>
    <w:rsid w:val="003A4683"/>
    <w:rsid w:val="003A676F"/>
    <w:rsid w:val="003A6DA7"/>
    <w:rsid w:val="003A6DEA"/>
    <w:rsid w:val="003A6DFF"/>
    <w:rsid w:val="003A7135"/>
    <w:rsid w:val="003A75CC"/>
    <w:rsid w:val="003A76B4"/>
    <w:rsid w:val="003A7BB7"/>
    <w:rsid w:val="003A7CE8"/>
    <w:rsid w:val="003B07FA"/>
    <w:rsid w:val="003B09DC"/>
    <w:rsid w:val="003B0DE4"/>
    <w:rsid w:val="003B11CF"/>
    <w:rsid w:val="003B1435"/>
    <w:rsid w:val="003B1EE8"/>
    <w:rsid w:val="003B226D"/>
    <w:rsid w:val="003B27DF"/>
    <w:rsid w:val="003B2B0A"/>
    <w:rsid w:val="003B32A4"/>
    <w:rsid w:val="003B3C30"/>
    <w:rsid w:val="003B48E8"/>
    <w:rsid w:val="003B5582"/>
    <w:rsid w:val="003B5B20"/>
    <w:rsid w:val="003B5E78"/>
    <w:rsid w:val="003B6636"/>
    <w:rsid w:val="003B69C5"/>
    <w:rsid w:val="003B6F34"/>
    <w:rsid w:val="003B6F68"/>
    <w:rsid w:val="003B6FDC"/>
    <w:rsid w:val="003B71D1"/>
    <w:rsid w:val="003B7EEE"/>
    <w:rsid w:val="003C0254"/>
    <w:rsid w:val="003C0365"/>
    <w:rsid w:val="003C07C3"/>
    <w:rsid w:val="003C0AAA"/>
    <w:rsid w:val="003C0AEF"/>
    <w:rsid w:val="003C0B59"/>
    <w:rsid w:val="003C0C96"/>
    <w:rsid w:val="003C0EA6"/>
    <w:rsid w:val="003C1252"/>
    <w:rsid w:val="003C14C4"/>
    <w:rsid w:val="003C15B0"/>
    <w:rsid w:val="003C1BD7"/>
    <w:rsid w:val="003C2443"/>
    <w:rsid w:val="003C2683"/>
    <w:rsid w:val="003C2725"/>
    <w:rsid w:val="003C2C45"/>
    <w:rsid w:val="003C2FB4"/>
    <w:rsid w:val="003C3452"/>
    <w:rsid w:val="003C3726"/>
    <w:rsid w:val="003C40FE"/>
    <w:rsid w:val="003C5681"/>
    <w:rsid w:val="003C58EB"/>
    <w:rsid w:val="003C5C4C"/>
    <w:rsid w:val="003C5C8C"/>
    <w:rsid w:val="003C61F7"/>
    <w:rsid w:val="003C6CD4"/>
    <w:rsid w:val="003C701A"/>
    <w:rsid w:val="003C74CC"/>
    <w:rsid w:val="003C76EA"/>
    <w:rsid w:val="003C7DB9"/>
    <w:rsid w:val="003D050C"/>
    <w:rsid w:val="003D1146"/>
    <w:rsid w:val="003D1185"/>
    <w:rsid w:val="003D1567"/>
    <w:rsid w:val="003D1CF1"/>
    <w:rsid w:val="003D2056"/>
    <w:rsid w:val="003D2646"/>
    <w:rsid w:val="003D27D8"/>
    <w:rsid w:val="003D27F5"/>
    <w:rsid w:val="003D2A95"/>
    <w:rsid w:val="003D3350"/>
    <w:rsid w:val="003D35E2"/>
    <w:rsid w:val="003D3D17"/>
    <w:rsid w:val="003D3DCA"/>
    <w:rsid w:val="003D3DDC"/>
    <w:rsid w:val="003D44F2"/>
    <w:rsid w:val="003D4E3A"/>
    <w:rsid w:val="003D51D5"/>
    <w:rsid w:val="003D55CB"/>
    <w:rsid w:val="003D5600"/>
    <w:rsid w:val="003D58F3"/>
    <w:rsid w:val="003D5D27"/>
    <w:rsid w:val="003D5ECA"/>
    <w:rsid w:val="003D6361"/>
    <w:rsid w:val="003D63FF"/>
    <w:rsid w:val="003D6BAD"/>
    <w:rsid w:val="003D735D"/>
    <w:rsid w:val="003D7463"/>
    <w:rsid w:val="003D775A"/>
    <w:rsid w:val="003D794D"/>
    <w:rsid w:val="003D7BDE"/>
    <w:rsid w:val="003D7D4B"/>
    <w:rsid w:val="003E00CB"/>
    <w:rsid w:val="003E0547"/>
    <w:rsid w:val="003E06E6"/>
    <w:rsid w:val="003E0F49"/>
    <w:rsid w:val="003E1C37"/>
    <w:rsid w:val="003E1F92"/>
    <w:rsid w:val="003E2243"/>
    <w:rsid w:val="003E2F60"/>
    <w:rsid w:val="003E38A3"/>
    <w:rsid w:val="003E3CA9"/>
    <w:rsid w:val="003E4229"/>
    <w:rsid w:val="003E46A7"/>
    <w:rsid w:val="003E4CE2"/>
    <w:rsid w:val="003E4D70"/>
    <w:rsid w:val="003E4FE7"/>
    <w:rsid w:val="003E557B"/>
    <w:rsid w:val="003E5F55"/>
    <w:rsid w:val="003E600C"/>
    <w:rsid w:val="003E609E"/>
    <w:rsid w:val="003E6324"/>
    <w:rsid w:val="003E63D2"/>
    <w:rsid w:val="003E653E"/>
    <w:rsid w:val="003E77B5"/>
    <w:rsid w:val="003E7946"/>
    <w:rsid w:val="003E7A80"/>
    <w:rsid w:val="003E7B18"/>
    <w:rsid w:val="003F023F"/>
    <w:rsid w:val="003F0412"/>
    <w:rsid w:val="003F0465"/>
    <w:rsid w:val="003F069F"/>
    <w:rsid w:val="003F07D9"/>
    <w:rsid w:val="003F0EDC"/>
    <w:rsid w:val="003F1AEC"/>
    <w:rsid w:val="003F1D19"/>
    <w:rsid w:val="003F266F"/>
    <w:rsid w:val="003F2AA8"/>
    <w:rsid w:val="003F3498"/>
    <w:rsid w:val="003F41D0"/>
    <w:rsid w:val="003F4580"/>
    <w:rsid w:val="003F4876"/>
    <w:rsid w:val="003F526A"/>
    <w:rsid w:val="003F570F"/>
    <w:rsid w:val="003F5764"/>
    <w:rsid w:val="003F61A9"/>
    <w:rsid w:val="003F6735"/>
    <w:rsid w:val="003F69B7"/>
    <w:rsid w:val="003F7233"/>
    <w:rsid w:val="003F7854"/>
    <w:rsid w:val="003F7D84"/>
    <w:rsid w:val="003F7FB2"/>
    <w:rsid w:val="00400C54"/>
    <w:rsid w:val="0040228B"/>
    <w:rsid w:val="004023E4"/>
    <w:rsid w:val="004028E9"/>
    <w:rsid w:val="00402E47"/>
    <w:rsid w:val="00402F75"/>
    <w:rsid w:val="0040423E"/>
    <w:rsid w:val="00404292"/>
    <w:rsid w:val="004045CA"/>
    <w:rsid w:val="00404EA0"/>
    <w:rsid w:val="00404EA4"/>
    <w:rsid w:val="00405477"/>
    <w:rsid w:val="00406038"/>
    <w:rsid w:val="0040614A"/>
    <w:rsid w:val="00406826"/>
    <w:rsid w:val="004069E9"/>
    <w:rsid w:val="00406FED"/>
    <w:rsid w:val="004071B3"/>
    <w:rsid w:val="004079CD"/>
    <w:rsid w:val="0041065D"/>
    <w:rsid w:val="004106E1"/>
    <w:rsid w:val="0041079E"/>
    <w:rsid w:val="00410D32"/>
    <w:rsid w:val="00411661"/>
    <w:rsid w:val="004119E2"/>
    <w:rsid w:val="00411AE3"/>
    <w:rsid w:val="00411E2C"/>
    <w:rsid w:val="0041210D"/>
    <w:rsid w:val="00412824"/>
    <w:rsid w:val="00412A95"/>
    <w:rsid w:val="00412C9D"/>
    <w:rsid w:val="00413463"/>
    <w:rsid w:val="004137E8"/>
    <w:rsid w:val="00413A27"/>
    <w:rsid w:val="00414236"/>
    <w:rsid w:val="00414EDC"/>
    <w:rsid w:val="00415F77"/>
    <w:rsid w:val="00416200"/>
    <w:rsid w:val="004162EB"/>
    <w:rsid w:val="00416620"/>
    <w:rsid w:val="00417139"/>
    <w:rsid w:val="004171E0"/>
    <w:rsid w:val="00417D9D"/>
    <w:rsid w:val="00420202"/>
    <w:rsid w:val="00420C1A"/>
    <w:rsid w:val="00421CAB"/>
    <w:rsid w:val="00421E68"/>
    <w:rsid w:val="004225BA"/>
    <w:rsid w:val="00422C65"/>
    <w:rsid w:val="00422E59"/>
    <w:rsid w:val="0042359F"/>
    <w:rsid w:val="004248EF"/>
    <w:rsid w:val="00424968"/>
    <w:rsid w:val="00424A75"/>
    <w:rsid w:val="00424A93"/>
    <w:rsid w:val="00424C3C"/>
    <w:rsid w:val="00425405"/>
    <w:rsid w:val="00425E71"/>
    <w:rsid w:val="00427283"/>
    <w:rsid w:val="00427ABC"/>
    <w:rsid w:val="00427C84"/>
    <w:rsid w:val="00427F01"/>
    <w:rsid w:val="00427FAA"/>
    <w:rsid w:val="004302D1"/>
    <w:rsid w:val="00430428"/>
    <w:rsid w:val="00430561"/>
    <w:rsid w:val="00430668"/>
    <w:rsid w:val="00430BAD"/>
    <w:rsid w:val="00430D41"/>
    <w:rsid w:val="00430DDC"/>
    <w:rsid w:val="004311CA"/>
    <w:rsid w:val="004311DF"/>
    <w:rsid w:val="00431368"/>
    <w:rsid w:val="004314A6"/>
    <w:rsid w:val="004317BC"/>
    <w:rsid w:val="00431B08"/>
    <w:rsid w:val="00431C27"/>
    <w:rsid w:val="00431F74"/>
    <w:rsid w:val="0043219D"/>
    <w:rsid w:val="00432272"/>
    <w:rsid w:val="00432C4E"/>
    <w:rsid w:val="004330CF"/>
    <w:rsid w:val="00433473"/>
    <w:rsid w:val="00433864"/>
    <w:rsid w:val="00433A26"/>
    <w:rsid w:val="0043402C"/>
    <w:rsid w:val="004342DE"/>
    <w:rsid w:val="004344FA"/>
    <w:rsid w:val="00434E12"/>
    <w:rsid w:val="00434FAF"/>
    <w:rsid w:val="0043500E"/>
    <w:rsid w:val="00435142"/>
    <w:rsid w:val="00435A70"/>
    <w:rsid w:val="004363A6"/>
    <w:rsid w:val="00436405"/>
    <w:rsid w:val="004368B9"/>
    <w:rsid w:val="004369DA"/>
    <w:rsid w:val="0043771D"/>
    <w:rsid w:val="004379C9"/>
    <w:rsid w:val="00437D58"/>
    <w:rsid w:val="00440A07"/>
    <w:rsid w:val="00440D02"/>
    <w:rsid w:val="00441776"/>
    <w:rsid w:val="00441B15"/>
    <w:rsid w:val="00442124"/>
    <w:rsid w:val="0044225E"/>
    <w:rsid w:val="004429CA"/>
    <w:rsid w:val="00442DF5"/>
    <w:rsid w:val="0044317F"/>
    <w:rsid w:val="00443254"/>
    <w:rsid w:val="00443721"/>
    <w:rsid w:val="004443A2"/>
    <w:rsid w:val="004445EC"/>
    <w:rsid w:val="004447D4"/>
    <w:rsid w:val="00444C88"/>
    <w:rsid w:val="00444FA3"/>
    <w:rsid w:val="0044513C"/>
    <w:rsid w:val="004451B9"/>
    <w:rsid w:val="004465A2"/>
    <w:rsid w:val="0044680C"/>
    <w:rsid w:val="00446E54"/>
    <w:rsid w:val="00446F7D"/>
    <w:rsid w:val="004470F7"/>
    <w:rsid w:val="00447196"/>
    <w:rsid w:val="00447240"/>
    <w:rsid w:val="00450331"/>
    <w:rsid w:val="00450616"/>
    <w:rsid w:val="00450AA1"/>
    <w:rsid w:val="00450C70"/>
    <w:rsid w:val="004510B5"/>
    <w:rsid w:val="0045111C"/>
    <w:rsid w:val="0045119B"/>
    <w:rsid w:val="00451363"/>
    <w:rsid w:val="00451E4B"/>
    <w:rsid w:val="00452CE3"/>
    <w:rsid w:val="004538AC"/>
    <w:rsid w:val="00453C7D"/>
    <w:rsid w:val="00454919"/>
    <w:rsid w:val="00454D6B"/>
    <w:rsid w:val="004559D8"/>
    <w:rsid w:val="00455EE5"/>
    <w:rsid w:val="004560AD"/>
    <w:rsid w:val="004563CA"/>
    <w:rsid w:val="0045684E"/>
    <w:rsid w:val="0045785A"/>
    <w:rsid w:val="00460363"/>
    <w:rsid w:val="00460624"/>
    <w:rsid w:val="004606BE"/>
    <w:rsid w:val="00460A41"/>
    <w:rsid w:val="00460DBB"/>
    <w:rsid w:val="004610EF"/>
    <w:rsid w:val="00461658"/>
    <w:rsid w:val="0046189F"/>
    <w:rsid w:val="00461BF3"/>
    <w:rsid w:val="004632D7"/>
    <w:rsid w:val="00463AA5"/>
    <w:rsid w:val="00463ECE"/>
    <w:rsid w:val="00463F20"/>
    <w:rsid w:val="00463F27"/>
    <w:rsid w:val="004640CC"/>
    <w:rsid w:val="004642DB"/>
    <w:rsid w:val="00464EB6"/>
    <w:rsid w:val="004650A7"/>
    <w:rsid w:val="0046548F"/>
    <w:rsid w:val="004658B4"/>
    <w:rsid w:val="00465C95"/>
    <w:rsid w:val="004661B8"/>
    <w:rsid w:val="00466339"/>
    <w:rsid w:val="004663EB"/>
    <w:rsid w:val="00466543"/>
    <w:rsid w:val="00466806"/>
    <w:rsid w:val="00466E75"/>
    <w:rsid w:val="00466F44"/>
    <w:rsid w:val="00467A9F"/>
    <w:rsid w:val="00467C46"/>
    <w:rsid w:val="00467D91"/>
    <w:rsid w:val="00467F7A"/>
    <w:rsid w:val="0047051D"/>
    <w:rsid w:val="00471587"/>
    <w:rsid w:val="00471649"/>
    <w:rsid w:val="004716F6"/>
    <w:rsid w:val="0047172D"/>
    <w:rsid w:val="00472025"/>
    <w:rsid w:val="0047253D"/>
    <w:rsid w:val="00472E49"/>
    <w:rsid w:val="004730B9"/>
    <w:rsid w:val="004732A0"/>
    <w:rsid w:val="004736E1"/>
    <w:rsid w:val="00473C40"/>
    <w:rsid w:val="00473D19"/>
    <w:rsid w:val="00473E87"/>
    <w:rsid w:val="00474AE0"/>
    <w:rsid w:val="00474B63"/>
    <w:rsid w:val="00474BB6"/>
    <w:rsid w:val="004754C0"/>
    <w:rsid w:val="00475E98"/>
    <w:rsid w:val="00475F25"/>
    <w:rsid w:val="00476406"/>
    <w:rsid w:val="0047676E"/>
    <w:rsid w:val="00476F12"/>
    <w:rsid w:val="004772C0"/>
    <w:rsid w:val="004775E3"/>
    <w:rsid w:val="004778FD"/>
    <w:rsid w:val="00477C82"/>
    <w:rsid w:val="0048030B"/>
    <w:rsid w:val="004809BC"/>
    <w:rsid w:val="00481035"/>
    <w:rsid w:val="004810C7"/>
    <w:rsid w:val="004822A2"/>
    <w:rsid w:val="00482956"/>
    <w:rsid w:val="004829DB"/>
    <w:rsid w:val="00482D37"/>
    <w:rsid w:val="004830F3"/>
    <w:rsid w:val="0048356D"/>
    <w:rsid w:val="00483813"/>
    <w:rsid w:val="00483905"/>
    <w:rsid w:val="00484141"/>
    <w:rsid w:val="004841BF"/>
    <w:rsid w:val="004844CD"/>
    <w:rsid w:val="00484A01"/>
    <w:rsid w:val="004850B5"/>
    <w:rsid w:val="004850B6"/>
    <w:rsid w:val="004859DA"/>
    <w:rsid w:val="00486363"/>
    <w:rsid w:val="00486525"/>
    <w:rsid w:val="00486814"/>
    <w:rsid w:val="00486991"/>
    <w:rsid w:val="00486A6D"/>
    <w:rsid w:val="0048714A"/>
    <w:rsid w:val="004876D4"/>
    <w:rsid w:val="00487D37"/>
    <w:rsid w:val="0049027B"/>
    <w:rsid w:val="004909D9"/>
    <w:rsid w:val="00491168"/>
    <w:rsid w:val="004918F0"/>
    <w:rsid w:val="00491A05"/>
    <w:rsid w:val="00491A83"/>
    <w:rsid w:val="00491B9D"/>
    <w:rsid w:val="00491D6E"/>
    <w:rsid w:val="0049217F"/>
    <w:rsid w:val="00492536"/>
    <w:rsid w:val="0049303D"/>
    <w:rsid w:val="00493062"/>
    <w:rsid w:val="00493ABE"/>
    <w:rsid w:val="00493ED8"/>
    <w:rsid w:val="00494223"/>
    <w:rsid w:val="004944C6"/>
    <w:rsid w:val="0049494C"/>
    <w:rsid w:val="00495807"/>
    <w:rsid w:val="00495F7D"/>
    <w:rsid w:val="00495FEE"/>
    <w:rsid w:val="00496095"/>
    <w:rsid w:val="00496385"/>
    <w:rsid w:val="00496D68"/>
    <w:rsid w:val="004A08D9"/>
    <w:rsid w:val="004A0987"/>
    <w:rsid w:val="004A1B19"/>
    <w:rsid w:val="004A290F"/>
    <w:rsid w:val="004A2E1E"/>
    <w:rsid w:val="004A3546"/>
    <w:rsid w:val="004A3CCC"/>
    <w:rsid w:val="004A4235"/>
    <w:rsid w:val="004A45FF"/>
    <w:rsid w:val="004A5082"/>
    <w:rsid w:val="004A5390"/>
    <w:rsid w:val="004A6AFE"/>
    <w:rsid w:val="004A7E46"/>
    <w:rsid w:val="004A7ED6"/>
    <w:rsid w:val="004B0BE6"/>
    <w:rsid w:val="004B1A3C"/>
    <w:rsid w:val="004B219E"/>
    <w:rsid w:val="004B2254"/>
    <w:rsid w:val="004B31DE"/>
    <w:rsid w:val="004B3238"/>
    <w:rsid w:val="004B32A1"/>
    <w:rsid w:val="004B35A3"/>
    <w:rsid w:val="004B4E09"/>
    <w:rsid w:val="004B5050"/>
    <w:rsid w:val="004B5169"/>
    <w:rsid w:val="004B53F3"/>
    <w:rsid w:val="004B547E"/>
    <w:rsid w:val="004B5ADC"/>
    <w:rsid w:val="004B5D30"/>
    <w:rsid w:val="004B6027"/>
    <w:rsid w:val="004B64D9"/>
    <w:rsid w:val="004B6836"/>
    <w:rsid w:val="004B6B8C"/>
    <w:rsid w:val="004B6D1E"/>
    <w:rsid w:val="004B7227"/>
    <w:rsid w:val="004B76D3"/>
    <w:rsid w:val="004B773C"/>
    <w:rsid w:val="004B77E2"/>
    <w:rsid w:val="004B7D30"/>
    <w:rsid w:val="004C01EF"/>
    <w:rsid w:val="004C024D"/>
    <w:rsid w:val="004C0E80"/>
    <w:rsid w:val="004C0E90"/>
    <w:rsid w:val="004C1A69"/>
    <w:rsid w:val="004C1E22"/>
    <w:rsid w:val="004C266B"/>
    <w:rsid w:val="004C274F"/>
    <w:rsid w:val="004C2774"/>
    <w:rsid w:val="004C2C7B"/>
    <w:rsid w:val="004C2CAD"/>
    <w:rsid w:val="004C31CF"/>
    <w:rsid w:val="004C412B"/>
    <w:rsid w:val="004C4333"/>
    <w:rsid w:val="004C49FF"/>
    <w:rsid w:val="004C4B9D"/>
    <w:rsid w:val="004C4D8D"/>
    <w:rsid w:val="004C4E0F"/>
    <w:rsid w:val="004C58B8"/>
    <w:rsid w:val="004C5E72"/>
    <w:rsid w:val="004C6271"/>
    <w:rsid w:val="004C6B22"/>
    <w:rsid w:val="004C6C6B"/>
    <w:rsid w:val="004C73C5"/>
    <w:rsid w:val="004C7FF1"/>
    <w:rsid w:val="004D01D3"/>
    <w:rsid w:val="004D0651"/>
    <w:rsid w:val="004D097D"/>
    <w:rsid w:val="004D0B74"/>
    <w:rsid w:val="004D1615"/>
    <w:rsid w:val="004D1AAC"/>
    <w:rsid w:val="004D1CBA"/>
    <w:rsid w:val="004D1EA1"/>
    <w:rsid w:val="004D20B7"/>
    <w:rsid w:val="004D29DD"/>
    <w:rsid w:val="004D2A1C"/>
    <w:rsid w:val="004D3887"/>
    <w:rsid w:val="004D3A2F"/>
    <w:rsid w:val="004D3BC2"/>
    <w:rsid w:val="004D3BC9"/>
    <w:rsid w:val="004D3E22"/>
    <w:rsid w:val="004D4E0F"/>
    <w:rsid w:val="004D5196"/>
    <w:rsid w:val="004D5799"/>
    <w:rsid w:val="004D6E5C"/>
    <w:rsid w:val="004D7053"/>
    <w:rsid w:val="004D7397"/>
    <w:rsid w:val="004D73ED"/>
    <w:rsid w:val="004D7811"/>
    <w:rsid w:val="004D7DAD"/>
    <w:rsid w:val="004E0295"/>
    <w:rsid w:val="004E0499"/>
    <w:rsid w:val="004E04CD"/>
    <w:rsid w:val="004E088C"/>
    <w:rsid w:val="004E0BE0"/>
    <w:rsid w:val="004E1B60"/>
    <w:rsid w:val="004E1F78"/>
    <w:rsid w:val="004E2A3D"/>
    <w:rsid w:val="004E2AC7"/>
    <w:rsid w:val="004E2B3D"/>
    <w:rsid w:val="004E2E4B"/>
    <w:rsid w:val="004E31DC"/>
    <w:rsid w:val="004E3FB6"/>
    <w:rsid w:val="004E4714"/>
    <w:rsid w:val="004E4D18"/>
    <w:rsid w:val="004E4F2F"/>
    <w:rsid w:val="004E52B9"/>
    <w:rsid w:val="004E5329"/>
    <w:rsid w:val="004E57C0"/>
    <w:rsid w:val="004E59FE"/>
    <w:rsid w:val="004E5ECD"/>
    <w:rsid w:val="004E6192"/>
    <w:rsid w:val="004E63BB"/>
    <w:rsid w:val="004E689C"/>
    <w:rsid w:val="004E6BB3"/>
    <w:rsid w:val="004E7600"/>
    <w:rsid w:val="004F0A1F"/>
    <w:rsid w:val="004F1368"/>
    <w:rsid w:val="004F16CA"/>
    <w:rsid w:val="004F1760"/>
    <w:rsid w:val="004F1979"/>
    <w:rsid w:val="004F1F1D"/>
    <w:rsid w:val="004F24F4"/>
    <w:rsid w:val="004F2FCB"/>
    <w:rsid w:val="004F3507"/>
    <w:rsid w:val="004F4236"/>
    <w:rsid w:val="004F43AA"/>
    <w:rsid w:val="004F43CD"/>
    <w:rsid w:val="004F455D"/>
    <w:rsid w:val="004F4746"/>
    <w:rsid w:val="004F4ABE"/>
    <w:rsid w:val="004F51EB"/>
    <w:rsid w:val="004F521A"/>
    <w:rsid w:val="004F5CFF"/>
    <w:rsid w:val="004F65A9"/>
    <w:rsid w:val="004F788E"/>
    <w:rsid w:val="004F79A6"/>
    <w:rsid w:val="004F7B91"/>
    <w:rsid w:val="004F7C58"/>
    <w:rsid w:val="004F7F2D"/>
    <w:rsid w:val="0050020E"/>
    <w:rsid w:val="00500325"/>
    <w:rsid w:val="00500908"/>
    <w:rsid w:val="00501458"/>
    <w:rsid w:val="00501569"/>
    <w:rsid w:val="005019D4"/>
    <w:rsid w:val="00502BBD"/>
    <w:rsid w:val="00502C35"/>
    <w:rsid w:val="00502F17"/>
    <w:rsid w:val="0050326E"/>
    <w:rsid w:val="005033AD"/>
    <w:rsid w:val="00503E15"/>
    <w:rsid w:val="00503F38"/>
    <w:rsid w:val="00503F9F"/>
    <w:rsid w:val="00504057"/>
    <w:rsid w:val="0050460B"/>
    <w:rsid w:val="005049A9"/>
    <w:rsid w:val="00504A07"/>
    <w:rsid w:val="00504AE1"/>
    <w:rsid w:val="00506932"/>
    <w:rsid w:val="0050717A"/>
    <w:rsid w:val="0050759A"/>
    <w:rsid w:val="0050759D"/>
    <w:rsid w:val="00507E4B"/>
    <w:rsid w:val="005108A9"/>
    <w:rsid w:val="005111C9"/>
    <w:rsid w:val="00511401"/>
    <w:rsid w:val="0051151A"/>
    <w:rsid w:val="00511B21"/>
    <w:rsid w:val="00511E3A"/>
    <w:rsid w:val="00511F08"/>
    <w:rsid w:val="0051228F"/>
    <w:rsid w:val="0051263B"/>
    <w:rsid w:val="00512C5E"/>
    <w:rsid w:val="00512DC3"/>
    <w:rsid w:val="00513E3B"/>
    <w:rsid w:val="005141B7"/>
    <w:rsid w:val="005144E0"/>
    <w:rsid w:val="00514A91"/>
    <w:rsid w:val="00514D03"/>
    <w:rsid w:val="00516616"/>
    <w:rsid w:val="00516CA4"/>
    <w:rsid w:val="00516DF7"/>
    <w:rsid w:val="0051717E"/>
    <w:rsid w:val="00517C0B"/>
    <w:rsid w:val="00517DBF"/>
    <w:rsid w:val="00520205"/>
    <w:rsid w:val="005202D6"/>
    <w:rsid w:val="00520573"/>
    <w:rsid w:val="005205DF"/>
    <w:rsid w:val="0052174F"/>
    <w:rsid w:val="00521D48"/>
    <w:rsid w:val="00521D95"/>
    <w:rsid w:val="005224AC"/>
    <w:rsid w:val="00523108"/>
    <w:rsid w:val="00523AE4"/>
    <w:rsid w:val="00523DF1"/>
    <w:rsid w:val="00524578"/>
    <w:rsid w:val="00524610"/>
    <w:rsid w:val="005247E7"/>
    <w:rsid w:val="00524B4F"/>
    <w:rsid w:val="00524E33"/>
    <w:rsid w:val="00525F5B"/>
    <w:rsid w:val="005268EB"/>
    <w:rsid w:val="00526B95"/>
    <w:rsid w:val="00526F0F"/>
    <w:rsid w:val="00527830"/>
    <w:rsid w:val="005303B0"/>
    <w:rsid w:val="005312C4"/>
    <w:rsid w:val="0053153A"/>
    <w:rsid w:val="00531DCC"/>
    <w:rsid w:val="0053203E"/>
    <w:rsid w:val="005323A6"/>
    <w:rsid w:val="00532889"/>
    <w:rsid w:val="00532D71"/>
    <w:rsid w:val="00532D7C"/>
    <w:rsid w:val="00533DED"/>
    <w:rsid w:val="005346F1"/>
    <w:rsid w:val="0053471A"/>
    <w:rsid w:val="00534F04"/>
    <w:rsid w:val="00535078"/>
    <w:rsid w:val="005358C9"/>
    <w:rsid w:val="00535958"/>
    <w:rsid w:val="0053595C"/>
    <w:rsid w:val="00536188"/>
    <w:rsid w:val="00536521"/>
    <w:rsid w:val="00540005"/>
    <w:rsid w:val="0054076D"/>
    <w:rsid w:val="005408AC"/>
    <w:rsid w:val="0054097C"/>
    <w:rsid w:val="00540D14"/>
    <w:rsid w:val="00540FB7"/>
    <w:rsid w:val="005410B1"/>
    <w:rsid w:val="005419C4"/>
    <w:rsid w:val="00541CD1"/>
    <w:rsid w:val="00541FFC"/>
    <w:rsid w:val="0054205E"/>
    <w:rsid w:val="00542217"/>
    <w:rsid w:val="005422C7"/>
    <w:rsid w:val="0054248A"/>
    <w:rsid w:val="00542BD0"/>
    <w:rsid w:val="00543208"/>
    <w:rsid w:val="00543C0B"/>
    <w:rsid w:val="00544612"/>
    <w:rsid w:val="00544DA1"/>
    <w:rsid w:val="00545543"/>
    <w:rsid w:val="00545A9C"/>
    <w:rsid w:val="0054639E"/>
    <w:rsid w:val="0054658B"/>
    <w:rsid w:val="00547156"/>
    <w:rsid w:val="00547244"/>
    <w:rsid w:val="005501F5"/>
    <w:rsid w:val="005502E5"/>
    <w:rsid w:val="00550795"/>
    <w:rsid w:val="00551377"/>
    <w:rsid w:val="00551B33"/>
    <w:rsid w:val="00551B65"/>
    <w:rsid w:val="00551D85"/>
    <w:rsid w:val="005520D1"/>
    <w:rsid w:val="00552160"/>
    <w:rsid w:val="00552B9B"/>
    <w:rsid w:val="005532EB"/>
    <w:rsid w:val="0055363A"/>
    <w:rsid w:val="00553804"/>
    <w:rsid w:val="005539E7"/>
    <w:rsid w:val="00553CCC"/>
    <w:rsid w:val="005543CC"/>
    <w:rsid w:val="00554560"/>
    <w:rsid w:val="00554B79"/>
    <w:rsid w:val="00554E28"/>
    <w:rsid w:val="00554FF2"/>
    <w:rsid w:val="00555FC9"/>
    <w:rsid w:val="00556171"/>
    <w:rsid w:val="00556574"/>
    <w:rsid w:val="0055665A"/>
    <w:rsid w:val="005567A7"/>
    <w:rsid w:val="00557130"/>
    <w:rsid w:val="0055714B"/>
    <w:rsid w:val="00557D2B"/>
    <w:rsid w:val="00557D68"/>
    <w:rsid w:val="00557E4C"/>
    <w:rsid w:val="00560322"/>
    <w:rsid w:val="00561220"/>
    <w:rsid w:val="00561955"/>
    <w:rsid w:val="005619A9"/>
    <w:rsid w:val="00561B48"/>
    <w:rsid w:val="00561B91"/>
    <w:rsid w:val="005620CB"/>
    <w:rsid w:val="00562449"/>
    <w:rsid w:val="00562492"/>
    <w:rsid w:val="005627F1"/>
    <w:rsid w:val="00563146"/>
    <w:rsid w:val="005631EC"/>
    <w:rsid w:val="0056326F"/>
    <w:rsid w:val="005636BE"/>
    <w:rsid w:val="00563755"/>
    <w:rsid w:val="00563D81"/>
    <w:rsid w:val="00564921"/>
    <w:rsid w:val="00564D17"/>
    <w:rsid w:val="005654CE"/>
    <w:rsid w:val="00566042"/>
    <w:rsid w:val="00566781"/>
    <w:rsid w:val="005667DC"/>
    <w:rsid w:val="00567141"/>
    <w:rsid w:val="0056783C"/>
    <w:rsid w:val="00567D8E"/>
    <w:rsid w:val="00570786"/>
    <w:rsid w:val="00570AC2"/>
    <w:rsid w:val="00570E0B"/>
    <w:rsid w:val="0057189D"/>
    <w:rsid w:val="00571AF2"/>
    <w:rsid w:val="00572916"/>
    <w:rsid w:val="00572DF5"/>
    <w:rsid w:val="00573102"/>
    <w:rsid w:val="005732DA"/>
    <w:rsid w:val="0057354C"/>
    <w:rsid w:val="0057386A"/>
    <w:rsid w:val="00574767"/>
    <w:rsid w:val="005754B2"/>
    <w:rsid w:val="005754EC"/>
    <w:rsid w:val="00575BD0"/>
    <w:rsid w:val="00575C54"/>
    <w:rsid w:val="0057653C"/>
    <w:rsid w:val="00576B3B"/>
    <w:rsid w:val="0057758F"/>
    <w:rsid w:val="00577E2C"/>
    <w:rsid w:val="00580B25"/>
    <w:rsid w:val="00580B6C"/>
    <w:rsid w:val="00580C12"/>
    <w:rsid w:val="00580C37"/>
    <w:rsid w:val="00580E64"/>
    <w:rsid w:val="005813F0"/>
    <w:rsid w:val="0058177F"/>
    <w:rsid w:val="0058195D"/>
    <w:rsid w:val="00582599"/>
    <w:rsid w:val="00582BEF"/>
    <w:rsid w:val="00582C4A"/>
    <w:rsid w:val="00582CAD"/>
    <w:rsid w:val="00583CA9"/>
    <w:rsid w:val="00584922"/>
    <w:rsid w:val="00585022"/>
    <w:rsid w:val="005850C7"/>
    <w:rsid w:val="00585181"/>
    <w:rsid w:val="005854AA"/>
    <w:rsid w:val="00586085"/>
    <w:rsid w:val="005868DD"/>
    <w:rsid w:val="00586A1F"/>
    <w:rsid w:val="00586B5C"/>
    <w:rsid w:val="00586C33"/>
    <w:rsid w:val="00587713"/>
    <w:rsid w:val="005878A4"/>
    <w:rsid w:val="005879DB"/>
    <w:rsid w:val="00587AB5"/>
    <w:rsid w:val="00587F89"/>
    <w:rsid w:val="00590632"/>
    <w:rsid w:val="005912FA"/>
    <w:rsid w:val="0059139E"/>
    <w:rsid w:val="00591C7D"/>
    <w:rsid w:val="0059220F"/>
    <w:rsid w:val="005922A7"/>
    <w:rsid w:val="005929D3"/>
    <w:rsid w:val="00593607"/>
    <w:rsid w:val="005936F5"/>
    <w:rsid w:val="0059492C"/>
    <w:rsid w:val="00594ED4"/>
    <w:rsid w:val="0059593E"/>
    <w:rsid w:val="00595BB5"/>
    <w:rsid w:val="00596B96"/>
    <w:rsid w:val="00597015"/>
    <w:rsid w:val="005A0360"/>
    <w:rsid w:val="005A0834"/>
    <w:rsid w:val="005A0BCD"/>
    <w:rsid w:val="005A0FB7"/>
    <w:rsid w:val="005A10A2"/>
    <w:rsid w:val="005A10C4"/>
    <w:rsid w:val="005A1299"/>
    <w:rsid w:val="005A1351"/>
    <w:rsid w:val="005A1D2F"/>
    <w:rsid w:val="005A220D"/>
    <w:rsid w:val="005A3E42"/>
    <w:rsid w:val="005A4315"/>
    <w:rsid w:val="005A44C0"/>
    <w:rsid w:val="005A4787"/>
    <w:rsid w:val="005A4E07"/>
    <w:rsid w:val="005A531B"/>
    <w:rsid w:val="005A57B5"/>
    <w:rsid w:val="005A58F8"/>
    <w:rsid w:val="005A6367"/>
    <w:rsid w:val="005A6E41"/>
    <w:rsid w:val="005B0400"/>
    <w:rsid w:val="005B09A6"/>
    <w:rsid w:val="005B0C6C"/>
    <w:rsid w:val="005B12FD"/>
    <w:rsid w:val="005B1BCE"/>
    <w:rsid w:val="005B1ED8"/>
    <w:rsid w:val="005B2BE9"/>
    <w:rsid w:val="005B2EA4"/>
    <w:rsid w:val="005B3C1D"/>
    <w:rsid w:val="005B3C3C"/>
    <w:rsid w:val="005B3D0F"/>
    <w:rsid w:val="005B40A6"/>
    <w:rsid w:val="005B465C"/>
    <w:rsid w:val="005B4AA1"/>
    <w:rsid w:val="005B5605"/>
    <w:rsid w:val="005B6287"/>
    <w:rsid w:val="005B6492"/>
    <w:rsid w:val="005B67DD"/>
    <w:rsid w:val="005B6B5B"/>
    <w:rsid w:val="005B6C03"/>
    <w:rsid w:val="005B777C"/>
    <w:rsid w:val="005B77B1"/>
    <w:rsid w:val="005B7AE6"/>
    <w:rsid w:val="005B7BAB"/>
    <w:rsid w:val="005B7F74"/>
    <w:rsid w:val="005C013D"/>
    <w:rsid w:val="005C018A"/>
    <w:rsid w:val="005C026F"/>
    <w:rsid w:val="005C07B3"/>
    <w:rsid w:val="005C11B4"/>
    <w:rsid w:val="005C1320"/>
    <w:rsid w:val="005C149D"/>
    <w:rsid w:val="005C15E6"/>
    <w:rsid w:val="005C1D57"/>
    <w:rsid w:val="005C2150"/>
    <w:rsid w:val="005C2153"/>
    <w:rsid w:val="005C23E2"/>
    <w:rsid w:val="005C2859"/>
    <w:rsid w:val="005C2BAE"/>
    <w:rsid w:val="005C2E4C"/>
    <w:rsid w:val="005C2F54"/>
    <w:rsid w:val="005C3060"/>
    <w:rsid w:val="005C313C"/>
    <w:rsid w:val="005C317C"/>
    <w:rsid w:val="005C332D"/>
    <w:rsid w:val="005C35A4"/>
    <w:rsid w:val="005C3667"/>
    <w:rsid w:val="005C47E5"/>
    <w:rsid w:val="005C4973"/>
    <w:rsid w:val="005C4A17"/>
    <w:rsid w:val="005C4B05"/>
    <w:rsid w:val="005C547E"/>
    <w:rsid w:val="005C5BFF"/>
    <w:rsid w:val="005C6441"/>
    <w:rsid w:val="005C7567"/>
    <w:rsid w:val="005C7CE4"/>
    <w:rsid w:val="005D03C9"/>
    <w:rsid w:val="005D0455"/>
    <w:rsid w:val="005D0566"/>
    <w:rsid w:val="005D087B"/>
    <w:rsid w:val="005D08F3"/>
    <w:rsid w:val="005D0936"/>
    <w:rsid w:val="005D0943"/>
    <w:rsid w:val="005D127B"/>
    <w:rsid w:val="005D150B"/>
    <w:rsid w:val="005D193C"/>
    <w:rsid w:val="005D1988"/>
    <w:rsid w:val="005D222E"/>
    <w:rsid w:val="005D23E4"/>
    <w:rsid w:val="005D257B"/>
    <w:rsid w:val="005D38EA"/>
    <w:rsid w:val="005D3EF3"/>
    <w:rsid w:val="005D40E3"/>
    <w:rsid w:val="005D43B7"/>
    <w:rsid w:val="005D45BB"/>
    <w:rsid w:val="005D53C0"/>
    <w:rsid w:val="005D57D4"/>
    <w:rsid w:val="005D5B07"/>
    <w:rsid w:val="005D65AF"/>
    <w:rsid w:val="005D6CE4"/>
    <w:rsid w:val="005D6EB0"/>
    <w:rsid w:val="005D73CF"/>
    <w:rsid w:val="005D7B7D"/>
    <w:rsid w:val="005D7D56"/>
    <w:rsid w:val="005E0562"/>
    <w:rsid w:val="005E1A60"/>
    <w:rsid w:val="005E2229"/>
    <w:rsid w:val="005E226F"/>
    <w:rsid w:val="005E2A9F"/>
    <w:rsid w:val="005E2E1A"/>
    <w:rsid w:val="005E3C3C"/>
    <w:rsid w:val="005E425B"/>
    <w:rsid w:val="005E4565"/>
    <w:rsid w:val="005E47D7"/>
    <w:rsid w:val="005E5D24"/>
    <w:rsid w:val="005E5D79"/>
    <w:rsid w:val="005E6AA1"/>
    <w:rsid w:val="005E6F8F"/>
    <w:rsid w:val="005E7330"/>
    <w:rsid w:val="005E7A36"/>
    <w:rsid w:val="005F07BE"/>
    <w:rsid w:val="005F10C1"/>
    <w:rsid w:val="005F115D"/>
    <w:rsid w:val="005F21F2"/>
    <w:rsid w:val="005F24C2"/>
    <w:rsid w:val="005F32C7"/>
    <w:rsid w:val="005F38FF"/>
    <w:rsid w:val="005F3D76"/>
    <w:rsid w:val="005F43D0"/>
    <w:rsid w:val="005F4A75"/>
    <w:rsid w:val="005F57D3"/>
    <w:rsid w:val="005F5992"/>
    <w:rsid w:val="005F5F66"/>
    <w:rsid w:val="005F6027"/>
    <w:rsid w:val="005F649F"/>
    <w:rsid w:val="005F6D8B"/>
    <w:rsid w:val="005F6FA6"/>
    <w:rsid w:val="005F7222"/>
    <w:rsid w:val="005F78EB"/>
    <w:rsid w:val="005F7BBE"/>
    <w:rsid w:val="005F7BDB"/>
    <w:rsid w:val="005F7C84"/>
    <w:rsid w:val="00600356"/>
    <w:rsid w:val="00600835"/>
    <w:rsid w:val="0060093A"/>
    <w:rsid w:val="00600DD5"/>
    <w:rsid w:val="00600E50"/>
    <w:rsid w:val="00600F56"/>
    <w:rsid w:val="00601541"/>
    <w:rsid w:val="0060169E"/>
    <w:rsid w:val="006027AA"/>
    <w:rsid w:val="0060295E"/>
    <w:rsid w:val="00602E04"/>
    <w:rsid w:val="00604975"/>
    <w:rsid w:val="00604D7B"/>
    <w:rsid w:val="00604DDC"/>
    <w:rsid w:val="00604EEE"/>
    <w:rsid w:val="00605299"/>
    <w:rsid w:val="0060564B"/>
    <w:rsid w:val="00605CEE"/>
    <w:rsid w:val="00605F18"/>
    <w:rsid w:val="006071DE"/>
    <w:rsid w:val="006076AB"/>
    <w:rsid w:val="00607A50"/>
    <w:rsid w:val="00610623"/>
    <w:rsid w:val="00611437"/>
    <w:rsid w:val="006114B9"/>
    <w:rsid w:val="006118DC"/>
    <w:rsid w:val="00611BCE"/>
    <w:rsid w:val="006123D2"/>
    <w:rsid w:val="00612660"/>
    <w:rsid w:val="00612782"/>
    <w:rsid w:val="00612A8B"/>
    <w:rsid w:val="00612AEA"/>
    <w:rsid w:val="00612CE1"/>
    <w:rsid w:val="00612DEB"/>
    <w:rsid w:val="00613027"/>
    <w:rsid w:val="006132E2"/>
    <w:rsid w:val="00613401"/>
    <w:rsid w:val="0061349B"/>
    <w:rsid w:val="0061387D"/>
    <w:rsid w:val="00613ABB"/>
    <w:rsid w:val="00613BA6"/>
    <w:rsid w:val="00613F50"/>
    <w:rsid w:val="00614246"/>
    <w:rsid w:val="00614B6C"/>
    <w:rsid w:val="00614D2C"/>
    <w:rsid w:val="0061557F"/>
    <w:rsid w:val="006157C7"/>
    <w:rsid w:val="00615980"/>
    <w:rsid w:val="006173D5"/>
    <w:rsid w:val="006179C9"/>
    <w:rsid w:val="00617B84"/>
    <w:rsid w:val="00617D8D"/>
    <w:rsid w:val="00620792"/>
    <w:rsid w:val="00620CBB"/>
    <w:rsid w:val="00622612"/>
    <w:rsid w:val="00622F2D"/>
    <w:rsid w:val="00622F4D"/>
    <w:rsid w:val="00623308"/>
    <w:rsid w:val="00623CED"/>
    <w:rsid w:val="00623EED"/>
    <w:rsid w:val="00624208"/>
    <w:rsid w:val="00624632"/>
    <w:rsid w:val="00624661"/>
    <w:rsid w:val="00624726"/>
    <w:rsid w:val="00624DA1"/>
    <w:rsid w:val="00624EF2"/>
    <w:rsid w:val="00625753"/>
    <w:rsid w:val="00625AEC"/>
    <w:rsid w:val="00625EDA"/>
    <w:rsid w:val="00626273"/>
    <w:rsid w:val="0062653B"/>
    <w:rsid w:val="00626606"/>
    <w:rsid w:val="006271E0"/>
    <w:rsid w:val="0062732D"/>
    <w:rsid w:val="00627719"/>
    <w:rsid w:val="00627819"/>
    <w:rsid w:val="00627F1A"/>
    <w:rsid w:val="00630195"/>
    <w:rsid w:val="00630224"/>
    <w:rsid w:val="00630324"/>
    <w:rsid w:val="006303F4"/>
    <w:rsid w:val="00630631"/>
    <w:rsid w:val="00630CF6"/>
    <w:rsid w:val="00631343"/>
    <w:rsid w:val="00631531"/>
    <w:rsid w:val="00632009"/>
    <w:rsid w:val="00632018"/>
    <w:rsid w:val="00632076"/>
    <w:rsid w:val="006325FC"/>
    <w:rsid w:val="00632839"/>
    <w:rsid w:val="006330E1"/>
    <w:rsid w:val="00633813"/>
    <w:rsid w:val="00633B1C"/>
    <w:rsid w:val="00633C2C"/>
    <w:rsid w:val="00633EDB"/>
    <w:rsid w:val="00633FA5"/>
    <w:rsid w:val="0063401A"/>
    <w:rsid w:val="00634205"/>
    <w:rsid w:val="00634F62"/>
    <w:rsid w:val="00635437"/>
    <w:rsid w:val="00635F24"/>
    <w:rsid w:val="00636467"/>
    <w:rsid w:val="006368D6"/>
    <w:rsid w:val="006369BA"/>
    <w:rsid w:val="00636AD3"/>
    <w:rsid w:val="00636F50"/>
    <w:rsid w:val="006371C5"/>
    <w:rsid w:val="00637973"/>
    <w:rsid w:val="00637E06"/>
    <w:rsid w:val="00637E8B"/>
    <w:rsid w:val="0064003A"/>
    <w:rsid w:val="00640220"/>
    <w:rsid w:val="0064078B"/>
    <w:rsid w:val="006407D6"/>
    <w:rsid w:val="0064163D"/>
    <w:rsid w:val="0064188D"/>
    <w:rsid w:val="006418F8"/>
    <w:rsid w:val="00641904"/>
    <w:rsid w:val="00641F31"/>
    <w:rsid w:val="006422D5"/>
    <w:rsid w:val="0064262F"/>
    <w:rsid w:val="00642783"/>
    <w:rsid w:val="00642DAC"/>
    <w:rsid w:val="00642EFE"/>
    <w:rsid w:val="006430B2"/>
    <w:rsid w:val="0064323B"/>
    <w:rsid w:val="00643312"/>
    <w:rsid w:val="00643910"/>
    <w:rsid w:val="006442A3"/>
    <w:rsid w:val="00644977"/>
    <w:rsid w:val="0064506E"/>
    <w:rsid w:val="00645479"/>
    <w:rsid w:val="00645612"/>
    <w:rsid w:val="006462C4"/>
    <w:rsid w:val="00646411"/>
    <w:rsid w:val="00646477"/>
    <w:rsid w:val="00646EDC"/>
    <w:rsid w:val="00646F67"/>
    <w:rsid w:val="006470F9"/>
    <w:rsid w:val="0064715A"/>
    <w:rsid w:val="00647911"/>
    <w:rsid w:val="00647A51"/>
    <w:rsid w:val="006501B0"/>
    <w:rsid w:val="0065026C"/>
    <w:rsid w:val="0065040C"/>
    <w:rsid w:val="00650597"/>
    <w:rsid w:val="00650D5B"/>
    <w:rsid w:val="00650DAA"/>
    <w:rsid w:val="00650FE9"/>
    <w:rsid w:val="00651563"/>
    <w:rsid w:val="00651AA5"/>
    <w:rsid w:val="006520FB"/>
    <w:rsid w:val="00652115"/>
    <w:rsid w:val="00652183"/>
    <w:rsid w:val="0065287A"/>
    <w:rsid w:val="00652F62"/>
    <w:rsid w:val="00653942"/>
    <w:rsid w:val="00653E2A"/>
    <w:rsid w:val="00654485"/>
    <w:rsid w:val="00654529"/>
    <w:rsid w:val="00654FAD"/>
    <w:rsid w:val="00655299"/>
    <w:rsid w:val="006554D8"/>
    <w:rsid w:val="00655BB5"/>
    <w:rsid w:val="00655DAE"/>
    <w:rsid w:val="0065667D"/>
    <w:rsid w:val="00656A8E"/>
    <w:rsid w:val="006570EE"/>
    <w:rsid w:val="0065745D"/>
    <w:rsid w:val="00657925"/>
    <w:rsid w:val="00657DB1"/>
    <w:rsid w:val="006606CF"/>
    <w:rsid w:val="0066099B"/>
    <w:rsid w:val="00660CA5"/>
    <w:rsid w:val="00660F10"/>
    <w:rsid w:val="006611B8"/>
    <w:rsid w:val="006612D1"/>
    <w:rsid w:val="006616B3"/>
    <w:rsid w:val="00661895"/>
    <w:rsid w:val="00662550"/>
    <w:rsid w:val="00662A99"/>
    <w:rsid w:val="00663A0C"/>
    <w:rsid w:val="00664DC0"/>
    <w:rsid w:val="006654B8"/>
    <w:rsid w:val="006655D6"/>
    <w:rsid w:val="00665DA3"/>
    <w:rsid w:val="00665F7D"/>
    <w:rsid w:val="00665FA3"/>
    <w:rsid w:val="00666050"/>
    <w:rsid w:val="0066627A"/>
    <w:rsid w:val="006666E4"/>
    <w:rsid w:val="00666B83"/>
    <w:rsid w:val="00666D41"/>
    <w:rsid w:val="00666F8E"/>
    <w:rsid w:val="0066710F"/>
    <w:rsid w:val="006671C9"/>
    <w:rsid w:val="00667CC7"/>
    <w:rsid w:val="00670248"/>
    <w:rsid w:val="00670769"/>
    <w:rsid w:val="00670B74"/>
    <w:rsid w:val="0067117F"/>
    <w:rsid w:val="00671B69"/>
    <w:rsid w:val="00671C40"/>
    <w:rsid w:val="00671EAE"/>
    <w:rsid w:val="006726AD"/>
    <w:rsid w:val="00672A8B"/>
    <w:rsid w:val="006735F9"/>
    <w:rsid w:val="0067384D"/>
    <w:rsid w:val="00673D17"/>
    <w:rsid w:val="00673DC5"/>
    <w:rsid w:val="00673FD9"/>
    <w:rsid w:val="00674177"/>
    <w:rsid w:val="006746AD"/>
    <w:rsid w:val="0067532D"/>
    <w:rsid w:val="00675AE6"/>
    <w:rsid w:val="00675DBD"/>
    <w:rsid w:val="00676413"/>
    <w:rsid w:val="00676474"/>
    <w:rsid w:val="00676814"/>
    <w:rsid w:val="00676B75"/>
    <w:rsid w:val="00676BA9"/>
    <w:rsid w:val="00676CED"/>
    <w:rsid w:val="0067704E"/>
    <w:rsid w:val="00677478"/>
    <w:rsid w:val="00677A50"/>
    <w:rsid w:val="00677B1D"/>
    <w:rsid w:val="00677B73"/>
    <w:rsid w:val="00677DAF"/>
    <w:rsid w:val="00677EF5"/>
    <w:rsid w:val="00680697"/>
    <w:rsid w:val="00680BD1"/>
    <w:rsid w:val="00680EEB"/>
    <w:rsid w:val="006811CF"/>
    <w:rsid w:val="006813C2"/>
    <w:rsid w:val="00681467"/>
    <w:rsid w:val="00681B12"/>
    <w:rsid w:val="00681B76"/>
    <w:rsid w:val="0068208D"/>
    <w:rsid w:val="006821AF"/>
    <w:rsid w:val="00682329"/>
    <w:rsid w:val="0068256B"/>
    <w:rsid w:val="0068270C"/>
    <w:rsid w:val="00682C29"/>
    <w:rsid w:val="00682C56"/>
    <w:rsid w:val="00682D40"/>
    <w:rsid w:val="00683319"/>
    <w:rsid w:val="00683EBA"/>
    <w:rsid w:val="00684B1B"/>
    <w:rsid w:val="00684FE3"/>
    <w:rsid w:val="006850C1"/>
    <w:rsid w:val="00685844"/>
    <w:rsid w:val="00685903"/>
    <w:rsid w:val="00685A19"/>
    <w:rsid w:val="00686650"/>
    <w:rsid w:val="00687175"/>
    <w:rsid w:val="00687238"/>
    <w:rsid w:val="006875CA"/>
    <w:rsid w:val="00690451"/>
    <w:rsid w:val="00690CAC"/>
    <w:rsid w:val="0069221A"/>
    <w:rsid w:val="006923BA"/>
    <w:rsid w:val="00692552"/>
    <w:rsid w:val="006934F0"/>
    <w:rsid w:val="00693758"/>
    <w:rsid w:val="00693E4F"/>
    <w:rsid w:val="00693E5C"/>
    <w:rsid w:val="00693E71"/>
    <w:rsid w:val="006946DC"/>
    <w:rsid w:val="006949EA"/>
    <w:rsid w:val="00694EC9"/>
    <w:rsid w:val="00695830"/>
    <w:rsid w:val="00695C27"/>
    <w:rsid w:val="0069682D"/>
    <w:rsid w:val="00696A81"/>
    <w:rsid w:val="00696C59"/>
    <w:rsid w:val="0069722B"/>
    <w:rsid w:val="00697968"/>
    <w:rsid w:val="00697B50"/>
    <w:rsid w:val="00697E17"/>
    <w:rsid w:val="006A0418"/>
    <w:rsid w:val="006A05E1"/>
    <w:rsid w:val="006A0819"/>
    <w:rsid w:val="006A0C0B"/>
    <w:rsid w:val="006A1FE4"/>
    <w:rsid w:val="006A2645"/>
    <w:rsid w:val="006A26A0"/>
    <w:rsid w:val="006A2982"/>
    <w:rsid w:val="006A2B64"/>
    <w:rsid w:val="006A317B"/>
    <w:rsid w:val="006A3800"/>
    <w:rsid w:val="006A4620"/>
    <w:rsid w:val="006A4A1E"/>
    <w:rsid w:val="006A4ABC"/>
    <w:rsid w:val="006A4F42"/>
    <w:rsid w:val="006A540B"/>
    <w:rsid w:val="006A57E4"/>
    <w:rsid w:val="006A5977"/>
    <w:rsid w:val="006A5B75"/>
    <w:rsid w:val="006A5F4E"/>
    <w:rsid w:val="006A66F1"/>
    <w:rsid w:val="006A6994"/>
    <w:rsid w:val="006A6E6A"/>
    <w:rsid w:val="006A6F5A"/>
    <w:rsid w:val="006A78A0"/>
    <w:rsid w:val="006A7B11"/>
    <w:rsid w:val="006A7E1D"/>
    <w:rsid w:val="006B0763"/>
    <w:rsid w:val="006B09A9"/>
    <w:rsid w:val="006B09F7"/>
    <w:rsid w:val="006B1133"/>
    <w:rsid w:val="006B1503"/>
    <w:rsid w:val="006B1B83"/>
    <w:rsid w:val="006B32AA"/>
    <w:rsid w:val="006B344F"/>
    <w:rsid w:val="006B3728"/>
    <w:rsid w:val="006B3A71"/>
    <w:rsid w:val="006B3C13"/>
    <w:rsid w:val="006B3D32"/>
    <w:rsid w:val="006B3FF5"/>
    <w:rsid w:val="006B4675"/>
    <w:rsid w:val="006B48D8"/>
    <w:rsid w:val="006B4C1A"/>
    <w:rsid w:val="006B5B60"/>
    <w:rsid w:val="006B6EF7"/>
    <w:rsid w:val="006B755A"/>
    <w:rsid w:val="006B757A"/>
    <w:rsid w:val="006C014C"/>
    <w:rsid w:val="006C108A"/>
    <w:rsid w:val="006C12FF"/>
    <w:rsid w:val="006C1681"/>
    <w:rsid w:val="006C1A37"/>
    <w:rsid w:val="006C1A59"/>
    <w:rsid w:val="006C252A"/>
    <w:rsid w:val="006C2717"/>
    <w:rsid w:val="006C2CE7"/>
    <w:rsid w:val="006C3083"/>
    <w:rsid w:val="006C446B"/>
    <w:rsid w:val="006C47FF"/>
    <w:rsid w:val="006C4B39"/>
    <w:rsid w:val="006C4F2A"/>
    <w:rsid w:val="006C5380"/>
    <w:rsid w:val="006C5F06"/>
    <w:rsid w:val="006C6A3E"/>
    <w:rsid w:val="006C6CC8"/>
    <w:rsid w:val="006C6F73"/>
    <w:rsid w:val="006C7522"/>
    <w:rsid w:val="006C7B4F"/>
    <w:rsid w:val="006C7F5B"/>
    <w:rsid w:val="006D00C5"/>
    <w:rsid w:val="006D028A"/>
    <w:rsid w:val="006D072F"/>
    <w:rsid w:val="006D0C0A"/>
    <w:rsid w:val="006D1538"/>
    <w:rsid w:val="006D1640"/>
    <w:rsid w:val="006D1866"/>
    <w:rsid w:val="006D18EE"/>
    <w:rsid w:val="006D1BB3"/>
    <w:rsid w:val="006D2624"/>
    <w:rsid w:val="006D299B"/>
    <w:rsid w:val="006D34FD"/>
    <w:rsid w:val="006D3D0A"/>
    <w:rsid w:val="006D43AE"/>
    <w:rsid w:val="006D4546"/>
    <w:rsid w:val="006D4828"/>
    <w:rsid w:val="006D4938"/>
    <w:rsid w:val="006D5377"/>
    <w:rsid w:val="006D562E"/>
    <w:rsid w:val="006D65C6"/>
    <w:rsid w:val="006D69BE"/>
    <w:rsid w:val="006D7A77"/>
    <w:rsid w:val="006E0CDD"/>
    <w:rsid w:val="006E0D2B"/>
    <w:rsid w:val="006E1A93"/>
    <w:rsid w:val="006E1DE2"/>
    <w:rsid w:val="006E21D6"/>
    <w:rsid w:val="006E2378"/>
    <w:rsid w:val="006E2F01"/>
    <w:rsid w:val="006E372B"/>
    <w:rsid w:val="006E396F"/>
    <w:rsid w:val="006E45D6"/>
    <w:rsid w:val="006E4646"/>
    <w:rsid w:val="006E4961"/>
    <w:rsid w:val="006E4F29"/>
    <w:rsid w:val="006E4FC9"/>
    <w:rsid w:val="006E5056"/>
    <w:rsid w:val="006E5435"/>
    <w:rsid w:val="006E568E"/>
    <w:rsid w:val="006E6342"/>
    <w:rsid w:val="006E64DE"/>
    <w:rsid w:val="006E784B"/>
    <w:rsid w:val="006E7F58"/>
    <w:rsid w:val="006F0B4D"/>
    <w:rsid w:val="006F0F63"/>
    <w:rsid w:val="006F22D7"/>
    <w:rsid w:val="006F23FD"/>
    <w:rsid w:val="006F24F4"/>
    <w:rsid w:val="006F2650"/>
    <w:rsid w:val="006F277E"/>
    <w:rsid w:val="006F2982"/>
    <w:rsid w:val="006F2CA5"/>
    <w:rsid w:val="006F3978"/>
    <w:rsid w:val="006F3F5C"/>
    <w:rsid w:val="006F42C3"/>
    <w:rsid w:val="006F4B67"/>
    <w:rsid w:val="006F5902"/>
    <w:rsid w:val="006F683C"/>
    <w:rsid w:val="006F6B31"/>
    <w:rsid w:val="006F705B"/>
    <w:rsid w:val="006F7081"/>
    <w:rsid w:val="006F7D4E"/>
    <w:rsid w:val="00700001"/>
    <w:rsid w:val="00700702"/>
    <w:rsid w:val="00700E3C"/>
    <w:rsid w:val="00701476"/>
    <w:rsid w:val="007018B4"/>
    <w:rsid w:val="0070195D"/>
    <w:rsid w:val="00701B30"/>
    <w:rsid w:val="00702350"/>
    <w:rsid w:val="00702593"/>
    <w:rsid w:val="00702DA7"/>
    <w:rsid w:val="007039A5"/>
    <w:rsid w:val="00703FA0"/>
    <w:rsid w:val="00704103"/>
    <w:rsid w:val="0070417E"/>
    <w:rsid w:val="0070480F"/>
    <w:rsid w:val="0070489F"/>
    <w:rsid w:val="00705383"/>
    <w:rsid w:val="0070540E"/>
    <w:rsid w:val="0070569E"/>
    <w:rsid w:val="00705B6D"/>
    <w:rsid w:val="00705D0F"/>
    <w:rsid w:val="00706380"/>
    <w:rsid w:val="00706B14"/>
    <w:rsid w:val="00707446"/>
    <w:rsid w:val="0070766F"/>
    <w:rsid w:val="00710009"/>
    <w:rsid w:val="00710658"/>
    <w:rsid w:val="00710D8D"/>
    <w:rsid w:val="007113C2"/>
    <w:rsid w:val="0071244D"/>
    <w:rsid w:val="00712473"/>
    <w:rsid w:val="007124D9"/>
    <w:rsid w:val="007128AE"/>
    <w:rsid w:val="00712A25"/>
    <w:rsid w:val="00714CD2"/>
    <w:rsid w:val="00714EE2"/>
    <w:rsid w:val="00715141"/>
    <w:rsid w:val="00715D77"/>
    <w:rsid w:val="00715F96"/>
    <w:rsid w:val="00716081"/>
    <w:rsid w:val="00716088"/>
    <w:rsid w:val="0071620C"/>
    <w:rsid w:val="00716296"/>
    <w:rsid w:val="00716DFD"/>
    <w:rsid w:val="007173F2"/>
    <w:rsid w:val="0072013C"/>
    <w:rsid w:val="00721147"/>
    <w:rsid w:val="0072123F"/>
    <w:rsid w:val="007217AA"/>
    <w:rsid w:val="00721F1A"/>
    <w:rsid w:val="007220B9"/>
    <w:rsid w:val="007220D3"/>
    <w:rsid w:val="0072241F"/>
    <w:rsid w:val="007225FD"/>
    <w:rsid w:val="007229EA"/>
    <w:rsid w:val="00722B28"/>
    <w:rsid w:val="00722C77"/>
    <w:rsid w:val="00722CDF"/>
    <w:rsid w:val="00722DBB"/>
    <w:rsid w:val="00722F8F"/>
    <w:rsid w:val="00722FA1"/>
    <w:rsid w:val="0072312E"/>
    <w:rsid w:val="007241F8"/>
    <w:rsid w:val="007243F6"/>
    <w:rsid w:val="00724932"/>
    <w:rsid w:val="00725BB1"/>
    <w:rsid w:val="00725E5E"/>
    <w:rsid w:val="00726688"/>
    <w:rsid w:val="007268EA"/>
    <w:rsid w:val="007271BD"/>
    <w:rsid w:val="007272F8"/>
    <w:rsid w:val="00727430"/>
    <w:rsid w:val="007279E9"/>
    <w:rsid w:val="00730930"/>
    <w:rsid w:val="00730BAB"/>
    <w:rsid w:val="00730C66"/>
    <w:rsid w:val="00731272"/>
    <w:rsid w:val="00731536"/>
    <w:rsid w:val="00731ED3"/>
    <w:rsid w:val="0073232D"/>
    <w:rsid w:val="007323BE"/>
    <w:rsid w:val="00732762"/>
    <w:rsid w:val="00732B92"/>
    <w:rsid w:val="00732BF0"/>
    <w:rsid w:val="00732D25"/>
    <w:rsid w:val="00733B04"/>
    <w:rsid w:val="00733CCC"/>
    <w:rsid w:val="00733E99"/>
    <w:rsid w:val="00734926"/>
    <w:rsid w:val="00734B1E"/>
    <w:rsid w:val="00736932"/>
    <w:rsid w:val="00736C90"/>
    <w:rsid w:val="007375E5"/>
    <w:rsid w:val="00737D03"/>
    <w:rsid w:val="0074033A"/>
    <w:rsid w:val="007404BE"/>
    <w:rsid w:val="00740538"/>
    <w:rsid w:val="007405B4"/>
    <w:rsid w:val="00740651"/>
    <w:rsid w:val="007406D0"/>
    <w:rsid w:val="007408C2"/>
    <w:rsid w:val="00740978"/>
    <w:rsid w:val="00740B03"/>
    <w:rsid w:val="00740FAF"/>
    <w:rsid w:val="00742814"/>
    <w:rsid w:val="007429F5"/>
    <w:rsid w:val="00742AE1"/>
    <w:rsid w:val="00742BFB"/>
    <w:rsid w:val="00743456"/>
    <w:rsid w:val="007440C3"/>
    <w:rsid w:val="007441DF"/>
    <w:rsid w:val="00744286"/>
    <w:rsid w:val="0074445E"/>
    <w:rsid w:val="007445B3"/>
    <w:rsid w:val="007448FC"/>
    <w:rsid w:val="00744C43"/>
    <w:rsid w:val="00744C9A"/>
    <w:rsid w:val="00744FAD"/>
    <w:rsid w:val="007456C7"/>
    <w:rsid w:val="007457FB"/>
    <w:rsid w:val="00745AE5"/>
    <w:rsid w:val="007460FF"/>
    <w:rsid w:val="00746CB4"/>
    <w:rsid w:val="00747176"/>
    <w:rsid w:val="007476A9"/>
    <w:rsid w:val="00747B66"/>
    <w:rsid w:val="007506EC"/>
    <w:rsid w:val="007509DC"/>
    <w:rsid w:val="007509F2"/>
    <w:rsid w:val="007509F4"/>
    <w:rsid w:val="00750AE1"/>
    <w:rsid w:val="00751606"/>
    <w:rsid w:val="00751847"/>
    <w:rsid w:val="00751F1D"/>
    <w:rsid w:val="00751F4D"/>
    <w:rsid w:val="007528C3"/>
    <w:rsid w:val="00753121"/>
    <w:rsid w:val="007534CC"/>
    <w:rsid w:val="007534DB"/>
    <w:rsid w:val="007537D6"/>
    <w:rsid w:val="00753814"/>
    <w:rsid w:val="00753A4A"/>
    <w:rsid w:val="00753B87"/>
    <w:rsid w:val="00753F2A"/>
    <w:rsid w:val="0075445D"/>
    <w:rsid w:val="00754605"/>
    <w:rsid w:val="00754DDB"/>
    <w:rsid w:val="00754F09"/>
    <w:rsid w:val="0075529D"/>
    <w:rsid w:val="007554F9"/>
    <w:rsid w:val="007556B8"/>
    <w:rsid w:val="007557CB"/>
    <w:rsid w:val="00755DE1"/>
    <w:rsid w:val="00755FDB"/>
    <w:rsid w:val="0075662D"/>
    <w:rsid w:val="00756813"/>
    <w:rsid w:val="00756EE6"/>
    <w:rsid w:val="00757D46"/>
    <w:rsid w:val="00760999"/>
    <w:rsid w:val="00760EE4"/>
    <w:rsid w:val="007613B5"/>
    <w:rsid w:val="00761BEE"/>
    <w:rsid w:val="00761FEB"/>
    <w:rsid w:val="007621E1"/>
    <w:rsid w:val="0076256F"/>
    <w:rsid w:val="00762BB3"/>
    <w:rsid w:val="007631C4"/>
    <w:rsid w:val="007633D2"/>
    <w:rsid w:val="00763E87"/>
    <w:rsid w:val="00764530"/>
    <w:rsid w:val="00765247"/>
    <w:rsid w:val="00765341"/>
    <w:rsid w:val="0076538C"/>
    <w:rsid w:val="00765E65"/>
    <w:rsid w:val="00765EFE"/>
    <w:rsid w:val="007668FD"/>
    <w:rsid w:val="007671E3"/>
    <w:rsid w:val="00767CC1"/>
    <w:rsid w:val="007701A2"/>
    <w:rsid w:val="007703B8"/>
    <w:rsid w:val="00770673"/>
    <w:rsid w:val="00771418"/>
    <w:rsid w:val="00771B8D"/>
    <w:rsid w:val="00771F6C"/>
    <w:rsid w:val="00772D50"/>
    <w:rsid w:val="00773591"/>
    <w:rsid w:val="007742B8"/>
    <w:rsid w:val="007745B1"/>
    <w:rsid w:val="00774660"/>
    <w:rsid w:val="00775AF6"/>
    <w:rsid w:val="00775BD6"/>
    <w:rsid w:val="00775C1B"/>
    <w:rsid w:val="00775CFF"/>
    <w:rsid w:val="00776EBB"/>
    <w:rsid w:val="0077759A"/>
    <w:rsid w:val="007776F2"/>
    <w:rsid w:val="007778C3"/>
    <w:rsid w:val="00777BFA"/>
    <w:rsid w:val="00777E88"/>
    <w:rsid w:val="00780385"/>
    <w:rsid w:val="007807EB"/>
    <w:rsid w:val="007808FB"/>
    <w:rsid w:val="00780AD2"/>
    <w:rsid w:val="00781AC5"/>
    <w:rsid w:val="00781AF7"/>
    <w:rsid w:val="00781C53"/>
    <w:rsid w:val="00782293"/>
    <w:rsid w:val="00783030"/>
    <w:rsid w:val="00783601"/>
    <w:rsid w:val="00783E87"/>
    <w:rsid w:val="0078432E"/>
    <w:rsid w:val="0078438D"/>
    <w:rsid w:val="007857E9"/>
    <w:rsid w:val="007858D1"/>
    <w:rsid w:val="00785BF4"/>
    <w:rsid w:val="007864E9"/>
    <w:rsid w:val="00786CE1"/>
    <w:rsid w:val="00787242"/>
    <w:rsid w:val="007875E9"/>
    <w:rsid w:val="00787681"/>
    <w:rsid w:val="00790435"/>
    <w:rsid w:val="00790482"/>
    <w:rsid w:val="00790717"/>
    <w:rsid w:val="00790BEE"/>
    <w:rsid w:val="00790C70"/>
    <w:rsid w:val="00790E13"/>
    <w:rsid w:val="00790EF6"/>
    <w:rsid w:val="00791365"/>
    <w:rsid w:val="007913AB"/>
    <w:rsid w:val="00791801"/>
    <w:rsid w:val="0079181A"/>
    <w:rsid w:val="00791CF5"/>
    <w:rsid w:val="00791EC3"/>
    <w:rsid w:val="00791FD3"/>
    <w:rsid w:val="00792461"/>
    <w:rsid w:val="007937ED"/>
    <w:rsid w:val="00793C50"/>
    <w:rsid w:val="00793E3A"/>
    <w:rsid w:val="00794222"/>
    <w:rsid w:val="00794252"/>
    <w:rsid w:val="00794666"/>
    <w:rsid w:val="007949CB"/>
    <w:rsid w:val="00794B0E"/>
    <w:rsid w:val="00795316"/>
    <w:rsid w:val="00795324"/>
    <w:rsid w:val="00796037"/>
    <w:rsid w:val="0079691A"/>
    <w:rsid w:val="007A010B"/>
    <w:rsid w:val="007A0792"/>
    <w:rsid w:val="007A0954"/>
    <w:rsid w:val="007A0A79"/>
    <w:rsid w:val="007A1113"/>
    <w:rsid w:val="007A1893"/>
    <w:rsid w:val="007A18DF"/>
    <w:rsid w:val="007A1F49"/>
    <w:rsid w:val="007A23B1"/>
    <w:rsid w:val="007A2641"/>
    <w:rsid w:val="007A2B6A"/>
    <w:rsid w:val="007A2C31"/>
    <w:rsid w:val="007A3E12"/>
    <w:rsid w:val="007A4823"/>
    <w:rsid w:val="007A4FC4"/>
    <w:rsid w:val="007A6118"/>
    <w:rsid w:val="007A638E"/>
    <w:rsid w:val="007A660B"/>
    <w:rsid w:val="007A69FD"/>
    <w:rsid w:val="007A7524"/>
    <w:rsid w:val="007A7583"/>
    <w:rsid w:val="007B01F4"/>
    <w:rsid w:val="007B1328"/>
    <w:rsid w:val="007B15B9"/>
    <w:rsid w:val="007B1D56"/>
    <w:rsid w:val="007B2161"/>
    <w:rsid w:val="007B24EA"/>
    <w:rsid w:val="007B2ACA"/>
    <w:rsid w:val="007B3912"/>
    <w:rsid w:val="007B3D31"/>
    <w:rsid w:val="007B4970"/>
    <w:rsid w:val="007B4ED3"/>
    <w:rsid w:val="007B57E0"/>
    <w:rsid w:val="007B5A9E"/>
    <w:rsid w:val="007B5F96"/>
    <w:rsid w:val="007B62B6"/>
    <w:rsid w:val="007B6F16"/>
    <w:rsid w:val="007B70F7"/>
    <w:rsid w:val="007B721C"/>
    <w:rsid w:val="007B768A"/>
    <w:rsid w:val="007B7D9C"/>
    <w:rsid w:val="007C047E"/>
    <w:rsid w:val="007C0B89"/>
    <w:rsid w:val="007C1115"/>
    <w:rsid w:val="007C12DB"/>
    <w:rsid w:val="007C1BF2"/>
    <w:rsid w:val="007C1D29"/>
    <w:rsid w:val="007C2A33"/>
    <w:rsid w:val="007C2AC5"/>
    <w:rsid w:val="007C3095"/>
    <w:rsid w:val="007C3491"/>
    <w:rsid w:val="007C367B"/>
    <w:rsid w:val="007C42ED"/>
    <w:rsid w:val="007C52C4"/>
    <w:rsid w:val="007C55C0"/>
    <w:rsid w:val="007C63EE"/>
    <w:rsid w:val="007C66F6"/>
    <w:rsid w:val="007C6AD2"/>
    <w:rsid w:val="007C73AC"/>
    <w:rsid w:val="007C751B"/>
    <w:rsid w:val="007C78DA"/>
    <w:rsid w:val="007C798E"/>
    <w:rsid w:val="007D0C19"/>
    <w:rsid w:val="007D106F"/>
    <w:rsid w:val="007D167E"/>
    <w:rsid w:val="007D1E5B"/>
    <w:rsid w:val="007D1EB0"/>
    <w:rsid w:val="007D21A6"/>
    <w:rsid w:val="007D321A"/>
    <w:rsid w:val="007D32E7"/>
    <w:rsid w:val="007D33D9"/>
    <w:rsid w:val="007D371A"/>
    <w:rsid w:val="007D3C12"/>
    <w:rsid w:val="007D3C86"/>
    <w:rsid w:val="007D4414"/>
    <w:rsid w:val="007D5641"/>
    <w:rsid w:val="007D58F2"/>
    <w:rsid w:val="007D5CB8"/>
    <w:rsid w:val="007D5D37"/>
    <w:rsid w:val="007D5D62"/>
    <w:rsid w:val="007D5FCE"/>
    <w:rsid w:val="007D648F"/>
    <w:rsid w:val="007D6936"/>
    <w:rsid w:val="007D72D2"/>
    <w:rsid w:val="007D7772"/>
    <w:rsid w:val="007D7C09"/>
    <w:rsid w:val="007D7FE1"/>
    <w:rsid w:val="007E0903"/>
    <w:rsid w:val="007E0B0C"/>
    <w:rsid w:val="007E0D04"/>
    <w:rsid w:val="007E0EA8"/>
    <w:rsid w:val="007E0EAC"/>
    <w:rsid w:val="007E23F0"/>
    <w:rsid w:val="007E297A"/>
    <w:rsid w:val="007E2E8E"/>
    <w:rsid w:val="007E2FE1"/>
    <w:rsid w:val="007E3061"/>
    <w:rsid w:val="007E32C6"/>
    <w:rsid w:val="007E3580"/>
    <w:rsid w:val="007E3BA6"/>
    <w:rsid w:val="007E3F37"/>
    <w:rsid w:val="007E421E"/>
    <w:rsid w:val="007E42DC"/>
    <w:rsid w:val="007E459B"/>
    <w:rsid w:val="007E4B72"/>
    <w:rsid w:val="007E4DA2"/>
    <w:rsid w:val="007E4DB8"/>
    <w:rsid w:val="007E51BF"/>
    <w:rsid w:val="007E56A4"/>
    <w:rsid w:val="007E5A0F"/>
    <w:rsid w:val="007E639A"/>
    <w:rsid w:val="007E6413"/>
    <w:rsid w:val="007E7107"/>
    <w:rsid w:val="007E790D"/>
    <w:rsid w:val="007F029C"/>
    <w:rsid w:val="007F0D12"/>
    <w:rsid w:val="007F139D"/>
    <w:rsid w:val="007F146A"/>
    <w:rsid w:val="007F177C"/>
    <w:rsid w:val="007F1DA9"/>
    <w:rsid w:val="007F2925"/>
    <w:rsid w:val="007F304B"/>
    <w:rsid w:val="007F3168"/>
    <w:rsid w:val="007F33C6"/>
    <w:rsid w:val="007F3B21"/>
    <w:rsid w:val="007F4032"/>
    <w:rsid w:val="007F479A"/>
    <w:rsid w:val="007F50BA"/>
    <w:rsid w:val="007F5176"/>
    <w:rsid w:val="007F5CB9"/>
    <w:rsid w:val="007F61A0"/>
    <w:rsid w:val="007F66B6"/>
    <w:rsid w:val="007F7518"/>
    <w:rsid w:val="007F7C37"/>
    <w:rsid w:val="0080073F"/>
    <w:rsid w:val="00800770"/>
    <w:rsid w:val="00800815"/>
    <w:rsid w:val="0080088E"/>
    <w:rsid w:val="008008DE"/>
    <w:rsid w:val="00800A9D"/>
    <w:rsid w:val="00800AD6"/>
    <w:rsid w:val="00801107"/>
    <w:rsid w:val="008015D8"/>
    <w:rsid w:val="00801A86"/>
    <w:rsid w:val="0080229D"/>
    <w:rsid w:val="008035FD"/>
    <w:rsid w:val="0080493E"/>
    <w:rsid w:val="00805521"/>
    <w:rsid w:val="008063D5"/>
    <w:rsid w:val="00806A17"/>
    <w:rsid w:val="008072FA"/>
    <w:rsid w:val="0080735C"/>
    <w:rsid w:val="00807B4F"/>
    <w:rsid w:val="00810900"/>
    <w:rsid w:val="0081172D"/>
    <w:rsid w:val="008120B7"/>
    <w:rsid w:val="00812567"/>
    <w:rsid w:val="00812D61"/>
    <w:rsid w:val="00812E1A"/>
    <w:rsid w:val="00813038"/>
    <w:rsid w:val="0081329B"/>
    <w:rsid w:val="0081379A"/>
    <w:rsid w:val="00813C26"/>
    <w:rsid w:val="00814740"/>
    <w:rsid w:val="008147E3"/>
    <w:rsid w:val="008155C1"/>
    <w:rsid w:val="0081573C"/>
    <w:rsid w:val="0081597D"/>
    <w:rsid w:val="00815F9E"/>
    <w:rsid w:val="00815FB6"/>
    <w:rsid w:val="00816127"/>
    <w:rsid w:val="00816355"/>
    <w:rsid w:val="00816439"/>
    <w:rsid w:val="0081646C"/>
    <w:rsid w:val="00816FDF"/>
    <w:rsid w:val="0082030A"/>
    <w:rsid w:val="00820BED"/>
    <w:rsid w:val="00821978"/>
    <w:rsid w:val="00821D4C"/>
    <w:rsid w:val="00821FAD"/>
    <w:rsid w:val="00822198"/>
    <w:rsid w:val="00822232"/>
    <w:rsid w:val="0082262C"/>
    <w:rsid w:val="0082295B"/>
    <w:rsid w:val="00823E45"/>
    <w:rsid w:val="00824179"/>
    <w:rsid w:val="00824594"/>
    <w:rsid w:val="00824887"/>
    <w:rsid w:val="008249CD"/>
    <w:rsid w:val="00825042"/>
    <w:rsid w:val="008258F7"/>
    <w:rsid w:val="00825B93"/>
    <w:rsid w:val="00825CC9"/>
    <w:rsid w:val="00825FCA"/>
    <w:rsid w:val="008265B0"/>
    <w:rsid w:val="008277D1"/>
    <w:rsid w:val="00827901"/>
    <w:rsid w:val="00827C1C"/>
    <w:rsid w:val="00827CE0"/>
    <w:rsid w:val="00827CFB"/>
    <w:rsid w:val="00827E3F"/>
    <w:rsid w:val="00832321"/>
    <w:rsid w:val="008323D0"/>
    <w:rsid w:val="0083258E"/>
    <w:rsid w:val="0083263E"/>
    <w:rsid w:val="00832B61"/>
    <w:rsid w:val="00833081"/>
    <w:rsid w:val="008334B8"/>
    <w:rsid w:val="00834079"/>
    <w:rsid w:val="00834102"/>
    <w:rsid w:val="008342A7"/>
    <w:rsid w:val="008345F1"/>
    <w:rsid w:val="00834634"/>
    <w:rsid w:val="00834825"/>
    <w:rsid w:val="008350DE"/>
    <w:rsid w:val="008351E6"/>
    <w:rsid w:val="008352E6"/>
    <w:rsid w:val="008355AD"/>
    <w:rsid w:val="008358ED"/>
    <w:rsid w:val="00835DD6"/>
    <w:rsid w:val="00835E7A"/>
    <w:rsid w:val="00835EC9"/>
    <w:rsid w:val="00835ECA"/>
    <w:rsid w:val="008364A3"/>
    <w:rsid w:val="00836562"/>
    <w:rsid w:val="0083675F"/>
    <w:rsid w:val="0083693D"/>
    <w:rsid w:val="008369E4"/>
    <w:rsid w:val="00837A2F"/>
    <w:rsid w:val="00837A96"/>
    <w:rsid w:val="00837DB8"/>
    <w:rsid w:val="00837E5B"/>
    <w:rsid w:val="00840073"/>
    <w:rsid w:val="00840B81"/>
    <w:rsid w:val="00841FF5"/>
    <w:rsid w:val="00842237"/>
    <w:rsid w:val="00842B85"/>
    <w:rsid w:val="00842DEC"/>
    <w:rsid w:val="00844143"/>
    <w:rsid w:val="0084440C"/>
    <w:rsid w:val="00844636"/>
    <w:rsid w:val="00844DE3"/>
    <w:rsid w:val="00844E40"/>
    <w:rsid w:val="00845723"/>
    <w:rsid w:val="0084609B"/>
    <w:rsid w:val="00846E7B"/>
    <w:rsid w:val="00847029"/>
    <w:rsid w:val="00847436"/>
    <w:rsid w:val="008474A5"/>
    <w:rsid w:val="00850233"/>
    <w:rsid w:val="008513DA"/>
    <w:rsid w:val="00851801"/>
    <w:rsid w:val="008537C7"/>
    <w:rsid w:val="00853A13"/>
    <w:rsid w:val="00854AED"/>
    <w:rsid w:val="00854CF7"/>
    <w:rsid w:val="00854E80"/>
    <w:rsid w:val="00855A88"/>
    <w:rsid w:val="00855CBB"/>
    <w:rsid w:val="00856591"/>
    <w:rsid w:val="0085660E"/>
    <w:rsid w:val="00856975"/>
    <w:rsid w:val="008574E0"/>
    <w:rsid w:val="00860412"/>
    <w:rsid w:val="00860413"/>
    <w:rsid w:val="00860613"/>
    <w:rsid w:val="00860630"/>
    <w:rsid w:val="00860782"/>
    <w:rsid w:val="00860FFF"/>
    <w:rsid w:val="008610AD"/>
    <w:rsid w:val="0086119C"/>
    <w:rsid w:val="008617CC"/>
    <w:rsid w:val="00861874"/>
    <w:rsid w:val="008622C5"/>
    <w:rsid w:val="008624F9"/>
    <w:rsid w:val="00863359"/>
    <w:rsid w:val="00863514"/>
    <w:rsid w:val="0086366E"/>
    <w:rsid w:val="00864051"/>
    <w:rsid w:val="00864634"/>
    <w:rsid w:val="00864CD1"/>
    <w:rsid w:val="00864D10"/>
    <w:rsid w:val="00866096"/>
    <w:rsid w:val="008666CE"/>
    <w:rsid w:val="008668A6"/>
    <w:rsid w:val="00866D90"/>
    <w:rsid w:val="00866E29"/>
    <w:rsid w:val="00866F4F"/>
    <w:rsid w:val="00866FE7"/>
    <w:rsid w:val="00867B22"/>
    <w:rsid w:val="00870558"/>
    <w:rsid w:val="008707A0"/>
    <w:rsid w:val="0087084D"/>
    <w:rsid w:val="00870B0D"/>
    <w:rsid w:val="008712EB"/>
    <w:rsid w:val="0087138F"/>
    <w:rsid w:val="008713EA"/>
    <w:rsid w:val="00871478"/>
    <w:rsid w:val="008716C7"/>
    <w:rsid w:val="00871CFA"/>
    <w:rsid w:val="0087221E"/>
    <w:rsid w:val="008722BB"/>
    <w:rsid w:val="00872583"/>
    <w:rsid w:val="008728AC"/>
    <w:rsid w:val="008728C1"/>
    <w:rsid w:val="00872E1C"/>
    <w:rsid w:val="00872EA0"/>
    <w:rsid w:val="008742B7"/>
    <w:rsid w:val="008743E5"/>
    <w:rsid w:val="008748D7"/>
    <w:rsid w:val="00874B8E"/>
    <w:rsid w:val="00874BEA"/>
    <w:rsid w:val="00876392"/>
    <w:rsid w:val="008763D2"/>
    <w:rsid w:val="00876AC5"/>
    <w:rsid w:val="008779C5"/>
    <w:rsid w:val="00877B30"/>
    <w:rsid w:val="008800DC"/>
    <w:rsid w:val="0088011B"/>
    <w:rsid w:val="00880D7B"/>
    <w:rsid w:val="008813EB"/>
    <w:rsid w:val="0088178D"/>
    <w:rsid w:val="008819DA"/>
    <w:rsid w:val="00881BC7"/>
    <w:rsid w:val="0088206D"/>
    <w:rsid w:val="0088230D"/>
    <w:rsid w:val="00882DD1"/>
    <w:rsid w:val="00882E25"/>
    <w:rsid w:val="00882F74"/>
    <w:rsid w:val="008830EA"/>
    <w:rsid w:val="0088346C"/>
    <w:rsid w:val="008839F9"/>
    <w:rsid w:val="00883FDA"/>
    <w:rsid w:val="008842C0"/>
    <w:rsid w:val="00884369"/>
    <w:rsid w:val="0088480A"/>
    <w:rsid w:val="00884DFD"/>
    <w:rsid w:val="00884F35"/>
    <w:rsid w:val="008850C0"/>
    <w:rsid w:val="008851EB"/>
    <w:rsid w:val="00885356"/>
    <w:rsid w:val="00885F8C"/>
    <w:rsid w:val="00887065"/>
    <w:rsid w:val="00887E76"/>
    <w:rsid w:val="008902AD"/>
    <w:rsid w:val="0089039A"/>
    <w:rsid w:val="00890B2F"/>
    <w:rsid w:val="00890B81"/>
    <w:rsid w:val="00890CD3"/>
    <w:rsid w:val="00891008"/>
    <w:rsid w:val="008910CF"/>
    <w:rsid w:val="0089119D"/>
    <w:rsid w:val="008913F4"/>
    <w:rsid w:val="008917DC"/>
    <w:rsid w:val="0089184D"/>
    <w:rsid w:val="008924EB"/>
    <w:rsid w:val="00892B57"/>
    <w:rsid w:val="00892F18"/>
    <w:rsid w:val="008931FA"/>
    <w:rsid w:val="00893212"/>
    <w:rsid w:val="00893CD8"/>
    <w:rsid w:val="00894361"/>
    <w:rsid w:val="00894B3A"/>
    <w:rsid w:val="008956FE"/>
    <w:rsid w:val="00895A14"/>
    <w:rsid w:val="00895C6A"/>
    <w:rsid w:val="00895D38"/>
    <w:rsid w:val="008965F1"/>
    <w:rsid w:val="00896A26"/>
    <w:rsid w:val="008972FA"/>
    <w:rsid w:val="008974D8"/>
    <w:rsid w:val="008978D0"/>
    <w:rsid w:val="00897D3D"/>
    <w:rsid w:val="008A0321"/>
    <w:rsid w:val="008A037B"/>
    <w:rsid w:val="008A04E9"/>
    <w:rsid w:val="008A0692"/>
    <w:rsid w:val="008A07B7"/>
    <w:rsid w:val="008A114C"/>
    <w:rsid w:val="008A12AA"/>
    <w:rsid w:val="008A1352"/>
    <w:rsid w:val="008A15AC"/>
    <w:rsid w:val="008A15FC"/>
    <w:rsid w:val="008A1DA6"/>
    <w:rsid w:val="008A26C0"/>
    <w:rsid w:val="008A2F8D"/>
    <w:rsid w:val="008A3635"/>
    <w:rsid w:val="008A3B78"/>
    <w:rsid w:val="008A4BFA"/>
    <w:rsid w:val="008A4E56"/>
    <w:rsid w:val="008A5D23"/>
    <w:rsid w:val="008A5F49"/>
    <w:rsid w:val="008A6324"/>
    <w:rsid w:val="008A6823"/>
    <w:rsid w:val="008A6CF4"/>
    <w:rsid w:val="008A6E70"/>
    <w:rsid w:val="008A70F0"/>
    <w:rsid w:val="008A7CA6"/>
    <w:rsid w:val="008A7CFB"/>
    <w:rsid w:val="008B034E"/>
    <w:rsid w:val="008B05A2"/>
    <w:rsid w:val="008B15F6"/>
    <w:rsid w:val="008B1851"/>
    <w:rsid w:val="008B1A95"/>
    <w:rsid w:val="008B1CB0"/>
    <w:rsid w:val="008B2201"/>
    <w:rsid w:val="008B2411"/>
    <w:rsid w:val="008B2D64"/>
    <w:rsid w:val="008B30FD"/>
    <w:rsid w:val="008B34F7"/>
    <w:rsid w:val="008B3B02"/>
    <w:rsid w:val="008B3D91"/>
    <w:rsid w:val="008B421B"/>
    <w:rsid w:val="008B45A8"/>
    <w:rsid w:val="008B4804"/>
    <w:rsid w:val="008B4CB2"/>
    <w:rsid w:val="008B4F7F"/>
    <w:rsid w:val="008B551D"/>
    <w:rsid w:val="008B561B"/>
    <w:rsid w:val="008B5A8D"/>
    <w:rsid w:val="008B5E96"/>
    <w:rsid w:val="008B60B4"/>
    <w:rsid w:val="008B6245"/>
    <w:rsid w:val="008B67E7"/>
    <w:rsid w:val="008B67EE"/>
    <w:rsid w:val="008B6F5F"/>
    <w:rsid w:val="008B6FB2"/>
    <w:rsid w:val="008B7998"/>
    <w:rsid w:val="008B7EF7"/>
    <w:rsid w:val="008C0044"/>
    <w:rsid w:val="008C0534"/>
    <w:rsid w:val="008C05E8"/>
    <w:rsid w:val="008C08F8"/>
    <w:rsid w:val="008C0A8B"/>
    <w:rsid w:val="008C1125"/>
    <w:rsid w:val="008C1D41"/>
    <w:rsid w:val="008C1F67"/>
    <w:rsid w:val="008C2324"/>
    <w:rsid w:val="008C2956"/>
    <w:rsid w:val="008C2E48"/>
    <w:rsid w:val="008C2E92"/>
    <w:rsid w:val="008C3735"/>
    <w:rsid w:val="008C3CA3"/>
    <w:rsid w:val="008C3FEC"/>
    <w:rsid w:val="008C429A"/>
    <w:rsid w:val="008C454F"/>
    <w:rsid w:val="008C46EA"/>
    <w:rsid w:val="008C492D"/>
    <w:rsid w:val="008C4A70"/>
    <w:rsid w:val="008C4E87"/>
    <w:rsid w:val="008C51A1"/>
    <w:rsid w:val="008C54AE"/>
    <w:rsid w:val="008C5504"/>
    <w:rsid w:val="008C6157"/>
    <w:rsid w:val="008C6BA5"/>
    <w:rsid w:val="008C6E6B"/>
    <w:rsid w:val="008C73C5"/>
    <w:rsid w:val="008C740B"/>
    <w:rsid w:val="008C74D6"/>
    <w:rsid w:val="008C7AD7"/>
    <w:rsid w:val="008C7E36"/>
    <w:rsid w:val="008D017C"/>
    <w:rsid w:val="008D041D"/>
    <w:rsid w:val="008D06E1"/>
    <w:rsid w:val="008D09C0"/>
    <w:rsid w:val="008D1093"/>
    <w:rsid w:val="008D10A7"/>
    <w:rsid w:val="008D17B2"/>
    <w:rsid w:val="008D1A09"/>
    <w:rsid w:val="008D2097"/>
    <w:rsid w:val="008D2736"/>
    <w:rsid w:val="008D27FB"/>
    <w:rsid w:val="008D2911"/>
    <w:rsid w:val="008D2CAC"/>
    <w:rsid w:val="008D311E"/>
    <w:rsid w:val="008D43E9"/>
    <w:rsid w:val="008D4523"/>
    <w:rsid w:val="008D4A88"/>
    <w:rsid w:val="008D4F0A"/>
    <w:rsid w:val="008D5527"/>
    <w:rsid w:val="008D5A82"/>
    <w:rsid w:val="008D67F4"/>
    <w:rsid w:val="008D6EDB"/>
    <w:rsid w:val="008D76D2"/>
    <w:rsid w:val="008D77F7"/>
    <w:rsid w:val="008D7A0C"/>
    <w:rsid w:val="008E0535"/>
    <w:rsid w:val="008E08A6"/>
    <w:rsid w:val="008E08FD"/>
    <w:rsid w:val="008E0FBE"/>
    <w:rsid w:val="008E169A"/>
    <w:rsid w:val="008E23B8"/>
    <w:rsid w:val="008E23F9"/>
    <w:rsid w:val="008E2773"/>
    <w:rsid w:val="008E2B3F"/>
    <w:rsid w:val="008E2CB7"/>
    <w:rsid w:val="008E2F67"/>
    <w:rsid w:val="008E305E"/>
    <w:rsid w:val="008E3481"/>
    <w:rsid w:val="008E38C8"/>
    <w:rsid w:val="008E396A"/>
    <w:rsid w:val="008E3A52"/>
    <w:rsid w:val="008E4001"/>
    <w:rsid w:val="008E4009"/>
    <w:rsid w:val="008E45F8"/>
    <w:rsid w:val="008E54AE"/>
    <w:rsid w:val="008E5B8E"/>
    <w:rsid w:val="008E609A"/>
    <w:rsid w:val="008E65F3"/>
    <w:rsid w:val="008E6B42"/>
    <w:rsid w:val="008E6B65"/>
    <w:rsid w:val="008E74FB"/>
    <w:rsid w:val="008E75BB"/>
    <w:rsid w:val="008E7D4B"/>
    <w:rsid w:val="008F0628"/>
    <w:rsid w:val="008F0C69"/>
    <w:rsid w:val="008F0ED0"/>
    <w:rsid w:val="008F1479"/>
    <w:rsid w:val="008F21EA"/>
    <w:rsid w:val="008F2374"/>
    <w:rsid w:val="008F28BA"/>
    <w:rsid w:val="008F3146"/>
    <w:rsid w:val="008F379B"/>
    <w:rsid w:val="008F3E5F"/>
    <w:rsid w:val="008F3ED4"/>
    <w:rsid w:val="008F3F70"/>
    <w:rsid w:val="008F4155"/>
    <w:rsid w:val="008F4314"/>
    <w:rsid w:val="008F502D"/>
    <w:rsid w:val="008F54B5"/>
    <w:rsid w:val="008F63EC"/>
    <w:rsid w:val="008F64E1"/>
    <w:rsid w:val="008F672C"/>
    <w:rsid w:val="008F6743"/>
    <w:rsid w:val="008F6A49"/>
    <w:rsid w:val="008F7735"/>
    <w:rsid w:val="0090028F"/>
    <w:rsid w:val="009005F9"/>
    <w:rsid w:val="009007DF"/>
    <w:rsid w:val="00900870"/>
    <w:rsid w:val="00900BD6"/>
    <w:rsid w:val="0090159C"/>
    <w:rsid w:val="009017A2"/>
    <w:rsid w:val="00901CCB"/>
    <w:rsid w:val="0090203B"/>
    <w:rsid w:val="00902DCF"/>
    <w:rsid w:val="00902ECE"/>
    <w:rsid w:val="009030BF"/>
    <w:rsid w:val="009032A9"/>
    <w:rsid w:val="009033A6"/>
    <w:rsid w:val="00903AF9"/>
    <w:rsid w:val="00903E3D"/>
    <w:rsid w:val="00904546"/>
    <w:rsid w:val="009046C2"/>
    <w:rsid w:val="00904B3A"/>
    <w:rsid w:val="00904CA3"/>
    <w:rsid w:val="00905042"/>
    <w:rsid w:val="00905264"/>
    <w:rsid w:val="00905331"/>
    <w:rsid w:val="00905658"/>
    <w:rsid w:val="00906581"/>
    <w:rsid w:val="009066DF"/>
    <w:rsid w:val="00906A20"/>
    <w:rsid w:val="0090700F"/>
    <w:rsid w:val="0090713F"/>
    <w:rsid w:val="0090741C"/>
    <w:rsid w:val="00907525"/>
    <w:rsid w:val="00907583"/>
    <w:rsid w:val="0091081F"/>
    <w:rsid w:val="00910F21"/>
    <w:rsid w:val="0091123E"/>
    <w:rsid w:val="00911285"/>
    <w:rsid w:val="009114F5"/>
    <w:rsid w:val="0091198E"/>
    <w:rsid w:val="009119D9"/>
    <w:rsid w:val="00911AAD"/>
    <w:rsid w:val="009127F8"/>
    <w:rsid w:val="00912BEA"/>
    <w:rsid w:val="009136E1"/>
    <w:rsid w:val="00913A6F"/>
    <w:rsid w:val="00913CA8"/>
    <w:rsid w:val="0091404A"/>
    <w:rsid w:val="0091430A"/>
    <w:rsid w:val="00914322"/>
    <w:rsid w:val="0091456A"/>
    <w:rsid w:val="00914634"/>
    <w:rsid w:val="009148DC"/>
    <w:rsid w:val="00914EE0"/>
    <w:rsid w:val="00915111"/>
    <w:rsid w:val="009151A0"/>
    <w:rsid w:val="009151F5"/>
    <w:rsid w:val="00915A00"/>
    <w:rsid w:val="00915D10"/>
    <w:rsid w:val="009163F9"/>
    <w:rsid w:val="00916BD7"/>
    <w:rsid w:val="00916D06"/>
    <w:rsid w:val="00916EFC"/>
    <w:rsid w:val="00916F2B"/>
    <w:rsid w:val="009177E1"/>
    <w:rsid w:val="00920ACE"/>
    <w:rsid w:val="00920FBC"/>
    <w:rsid w:val="009214D9"/>
    <w:rsid w:val="0092231D"/>
    <w:rsid w:val="0092238D"/>
    <w:rsid w:val="0092257A"/>
    <w:rsid w:val="00922A5D"/>
    <w:rsid w:val="00922D93"/>
    <w:rsid w:val="00922F8D"/>
    <w:rsid w:val="00923689"/>
    <w:rsid w:val="009238A5"/>
    <w:rsid w:val="00923B9F"/>
    <w:rsid w:val="00924DCF"/>
    <w:rsid w:val="009253C2"/>
    <w:rsid w:val="00925C1E"/>
    <w:rsid w:val="00925F30"/>
    <w:rsid w:val="0092634B"/>
    <w:rsid w:val="00926FD5"/>
    <w:rsid w:val="009278D7"/>
    <w:rsid w:val="009300BF"/>
    <w:rsid w:val="0093018B"/>
    <w:rsid w:val="0093018F"/>
    <w:rsid w:val="00930246"/>
    <w:rsid w:val="00930DBE"/>
    <w:rsid w:val="0093114C"/>
    <w:rsid w:val="00931437"/>
    <w:rsid w:val="009314C2"/>
    <w:rsid w:val="00931DB1"/>
    <w:rsid w:val="0093210B"/>
    <w:rsid w:val="00932845"/>
    <w:rsid w:val="0093287E"/>
    <w:rsid w:val="00932F1D"/>
    <w:rsid w:val="009337DE"/>
    <w:rsid w:val="00934386"/>
    <w:rsid w:val="00934D26"/>
    <w:rsid w:val="00935684"/>
    <w:rsid w:val="0093585C"/>
    <w:rsid w:val="00935F75"/>
    <w:rsid w:val="00936617"/>
    <w:rsid w:val="0093668B"/>
    <w:rsid w:val="00936BCA"/>
    <w:rsid w:val="00936D4C"/>
    <w:rsid w:val="00937B39"/>
    <w:rsid w:val="00937E6D"/>
    <w:rsid w:val="00937F1E"/>
    <w:rsid w:val="00937F94"/>
    <w:rsid w:val="0094051E"/>
    <w:rsid w:val="00940A1A"/>
    <w:rsid w:val="00940A6A"/>
    <w:rsid w:val="00940C16"/>
    <w:rsid w:val="009413F8"/>
    <w:rsid w:val="009418AE"/>
    <w:rsid w:val="0094230C"/>
    <w:rsid w:val="009428AF"/>
    <w:rsid w:val="00942A76"/>
    <w:rsid w:val="009433C2"/>
    <w:rsid w:val="00944255"/>
    <w:rsid w:val="009447DF"/>
    <w:rsid w:val="009449CC"/>
    <w:rsid w:val="009459E9"/>
    <w:rsid w:val="00945AB4"/>
    <w:rsid w:val="00945F02"/>
    <w:rsid w:val="00946D33"/>
    <w:rsid w:val="00947224"/>
    <w:rsid w:val="00947294"/>
    <w:rsid w:val="00947D5F"/>
    <w:rsid w:val="00947E02"/>
    <w:rsid w:val="00950485"/>
    <w:rsid w:val="00950687"/>
    <w:rsid w:val="00950C64"/>
    <w:rsid w:val="00952211"/>
    <w:rsid w:val="009522B4"/>
    <w:rsid w:val="00952E20"/>
    <w:rsid w:val="009533F7"/>
    <w:rsid w:val="00953674"/>
    <w:rsid w:val="00953E3B"/>
    <w:rsid w:val="00953F90"/>
    <w:rsid w:val="009547ED"/>
    <w:rsid w:val="009547F1"/>
    <w:rsid w:val="00954896"/>
    <w:rsid w:val="00954DFE"/>
    <w:rsid w:val="0095543F"/>
    <w:rsid w:val="00955441"/>
    <w:rsid w:val="009554E8"/>
    <w:rsid w:val="0095563F"/>
    <w:rsid w:val="0095576C"/>
    <w:rsid w:val="009558D7"/>
    <w:rsid w:val="0095619A"/>
    <w:rsid w:val="009562B0"/>
    <w:rsid w:val="0095646F"/>
    <w:rsid w:val="00956ADA"/>
    <w:rsid w:val="00956AE4"/>
    <w:rsid w:val="00956DD3"/>
    <w:rsid w:val="00956E4F"/>
    <w:rsid w:val="0095713C"/>
    <w:rsid w:val="009605E9"/>
    <w:rsid w:val="009606BC"/>
    <w:rsid w:val="00960FC7"/>
    <w:rsid w:val="00961F08"/>
    <w:rsid w:val="00962BAC"/>
    <w:rsid w:val="00962CA4"/>
    <w:rsid w:val="009634D1"/>
    <w:rsid w:val="00963D4E"/>
    <w:rsid w:val="00963F1D"/>
    <w:rsid w:val="00963F68"/>
    <w:rsid w:val="009644AD"/>
    <w:rsid w:val="0096495D"/>
    <w:rsid w:val="009651C7"/>
    <w:rsid w:val="009656C8"/>
    <w:rsid w:val="009657EB"/>
    <w:rsid w:val="009658E4"/>
    <w:rsid w:val="00966031"/>
    <w:rsid w:val="0096603E"/>
    <w:rsid w:val="00966DA4"/>
    <w:rsid w:val="00967128"/>
    <w:rsid w:val="009671B3"/>
    <w:rsid w:val="009676CB"/>
    <w:rsid w:val="0096787B"/>
    <w:rsid w:val="00967A1F"/>
    <w:rsid w:val="00967BCD"/>
    <w:rsid w:val="00967C9A"/>
    <w:rsid w:val="00967D07"/>
    <w:rsid w:val="00967ED5"/>
    <w:rsid w:val="00970501"/>
    <w:rsid w:val="0097063D"/>
    <w:rsid w:val="00971337"/>
    <w:rsid w:val="00971851"/>
    <w:rsid w:val="00971A3B"/>
    <w:rsid w:val="00971BBF"/>
    <w:rsid w:val="00971C3D"/>
    <w:rsid w:val="00972324"/>
    <w:rsid w:val="00972538"/>
    <w:rsid w:val="0097297D"/>
    <w:rsid w:val="00972C14"/>
    <w:rsid w:val="00972D16"/>
    <w:rsid w:val="00972D48"/>
    <w:rsid w:val="00973295"/>
    <w:rsid w:val="00973BBA"/>
    <w:rsid w:val="00974744"/>
    <w:rsid w:val="00974955"/>
    <w:rsid w:val="00974C5F"/>
    <w:rsid w:val="0097515C"/>
    <w:rsid w:val="0097517F"/>
    <w:rsid w:val="00975A6E"/>
    <w:rsid w:val="00975C7D"/>
    <w:rsid w:val="00975E52"/>
    <w:rsid w:val="0097638B"/>
    <w:rsid w:val="009764BC"/>
    <w:rsid w:val="009765E0"/>
    <w:rsid w:val="00976966"/>
    <w:rsid w:val="009771C7"/>
    <w:rsid w:val="00977D6C"/>
    <w:rsid w:val="00977E29"/>
    <w:rsid w:val="0098023B"/>
    <w:rsid w:val="009808DB"/>
    <w:rsid w:val="009810D6"/>
    <w:rsid w:val="00981337"/>
    <w:rsid w:val="009815EA"/>
    <w:rsid w:val="009825B3"/>
    <w:rsid w:val="0098286F"/>
    <w:rsid w:val="00982C9E"/>
    <w:rsid w:val="00982CE1"/>
    <w:rsid w:val="00982E20"/>
    <w:rsid w:val="00982FA1"/>
    <w:rsid w:val="00983C85"/>
    <w:rsid w:val="00983DCD"/>
    <w:rsid w:val="00983FD5"/>
    <w:rsid w:val="00984579"/>
    <w:rsid w:val="00984855"/>
    <w:rsid w:val="0098490B"/>
    <w:rsid w:val="00984EBB"/>
    <w:rsid w:val="00984EE0"/>
    <w:rsid w:val="00985BB9"/>
    <w:rsid w:val="00985DF7"/>
    <w:rsid w:val="00985EC3"/>
    <w:rsid w:val="00985F22"/>
    <w:rsid w:val="00985F83"/>
    <w:rsid w:val="0098600E"/>
    <w:rsid w:val="0098615F"/>
    <w:rsid w:val="0098680C"/>
    <w:rsid w:val="00986FFE"/>
    <w:rsid w:val="009875A5"/>
    <w:rsid w:val="0098780F"/>
    <w:rsid w:val="009906EA"/>
    <w:rsid w:val="00991357"/>
    <w:rsid w:val="00991A37"/>
    <w:rsid w:val="00991B35"/>
    <w:rsid w:val="00991C9B"/>
    <w:rsid w:val="009921C3"/>
    <w:rsid w:val="009926E5"/>
    <w:rsid w:val="0099273B"/>
    <w:rsid w:val="00992AC2"/>
    <w:rsid w:val="00992BD2"/>
    <w:rsid w:val="009934B1"/>
    <w:rsid w:val="00993627"/>
    <w:rsid w:val="009939C8"/>
    <w:rsid w:val="0099464D"/>
    <w:rsid w:val="00994FA9"/>
    <w:rsid w:val="00995BF5"/>
    <w:rsid w:val="00995CA5"/>
    <w:rsid w:val="009970F3"/>
    <w:rsid w:val="0099735D"/>
    <w:rsid w:val="009973E9"/>
    <w:rsid w:val="00997539"/>
    <w:rsid w:val="0099759D"/>
    <w:rsid w:val="00997D24"/>
    <w:rsid w:val="00997E09"/>
    <w:rsid w:val="009A1185"/>
    <w:rsid w:val="009A234E"/>
    <w:rsid w:val="009A243D"/>
    <w:rsid w:val="009A29C7"/>
    <w:rsid w:val="009A3005"/>
    <w:rsid w:val="009A308F"/>
    <w:rsid w:val="009A37E4"/>
    <w:rsid w:val="009A3CC7"/>
    <w:rsid w:val="009A4143"/>
    <w:rsid w:val="009A5860"/>
    <w:rsid w:val="009A589C"/>
    <w:rsid w:val="009A5E5B"/>
    <w:rsid w:val="009A5FF3"/>
    <w:rsid w:val="009A63BA"/>
    <w:rsid w:val="009A677E"/>
    <w:rsid w:val="009A6813"/>
    <w:rsid w:val="009A6CAB"/>
    <w:rsid w:val="009A79F8"/>
    <w:rsid w:val="009A7BDB"/>
    <w:rsid w:val="009B0863"/>
    <w:rsid w:val="009B089B"/>
    <w:rsid w:val="009B0AD6"/>
    <w:rsid w:val="009B0EAE"/>
    <w:rsid w:val="009B14E1"/>
    <w:rsid w:val="009B1F0F"/>
    <w:rsid w:val="009B2B0F"/>
    <w:rsid w:val="009B2B16"/>
    <w:rsid w:val="009B3413"/>
    <w:rsid w:val="009B3B28"/>
    <w:rsid w:val="009B3B73"/>
    <w:rsid w:val="009B3F69"/>
    <w:rsid w:val="009B4482"/>
    <w:rsid w:val="009B47A3"/>
    <w:rsid w:val="009B4FBB"/>
    <w:rsid w:val="009B536E"/>
    <w:rsid w:val="009B555F"/>
    <w:rsid w:val="009B6169"/>
    <w:rsid w:val="009B63C0"/>
    <w:rsid w:val="009B6844"/>
    <w:rsid w:val="009B725E"/>
    <w:rsid w:val="009B75C3"/>
    <w:rsid w:val="009B7C76"/>
    <w:rsid w:val="009C03E2"/>
    <w:rsid w:val="009C05C5"/>
    <w:rsid w:val="009C0AB5"/>
    <w:rsid w:val="009C1B4A"/>
    <w:rsid w:val="009C1FCA"/>
    <w:rsid w:val="009C23E1"/>
    <w:rsid w:val="009C25C6"/>
    <w:rsid w:val="009C2BF7"/>
    <w:rsid w:val="009C3344"/>
    <w:rsid w:val="009C44F5"/>
    <w:rsid w:val="009C480C"/>
    <w:rsid w:val="009C4A90"/>
    <w:rsid w:val="009C4BF1"/>
    <w:rsid w:val="009C4C0B"/>
    <w:rsid w:val="009C5123"/>
    <w:rsid w:val="009C64A3"/>
    <w:rsid w:val="009C66BC"/>
    <w:rsid w:val="009C6CC5"/>
    <w:rsid w:val="009C7912"/>
    <w:rsid w:val="009C7C10"/>
    <w:rsid w:val="009D02F3"/>
    <w:rsid w:val="009D05B7"/>
    <w:rsid w:val="009D0AED"/>
    <w:rsid w:val="009D0C87"/>
    <w:rsid w:val="009D1522"/>
    <w:rsid w:val="009D192F"/>
    <w:rsid w:val="009D241B"/>
    <w:rsid w:val="009D2485"/>
    <w:rsid w:val="009D270E"/>
    <w:rsid w:val="009D2A1F"/>
    <w:rsid w:val="009D3179"/>
    <w:rsid w:val="009D3396"/>
    <w:rsid w:val="009D33A9"/>
    <w:rsid w:val="009D34ED"/>
    <w:rsid w:val="009D37BD"/>
    <w:rsid w:val="009D38C6"/>
    <w:rsid w:val="009D3B21"/>
    <w:rsid w:val="009D42E8"/>
    <w:rsid w:val="009D4451"/>
    <w:rsid w:val="009D4D2C"/>
    <w:rsid w:val="009D4FCB"/>
    <w:rsid w:val="009D5117"/>
    <w:rsid w:val="009D5CAC"/>
    <w:rsid w:val="009D613F"/>
    <w:rsid w:val="009D6AE7"/>
    <w:rsid w:val="009D75C7"/>
    <w:rsid w:val="009D7E9F"/>
    <w:rsid w:val="009D7FB2"/>
    <w:rsid w:val="009E03BC"/>
    <w:rsid w:val="009E0A82"/>
    <w:rsid w:val="009E0B40"/>
    <w:rsid w:val="009E1EFC"/>
    <w:rsid w:val="009E2D26"/>
    <w:rsid w:val="009E2FBB"/>
    <w:rsid w:val="009E3801"/>
    <w:rsid w:val="009E3DED"/>
    <w:rsid w:val="009E47FC"/>
    <w:rsid w:val="009E51FA"/>
    <w:rsid w:val="009E5457"/>
    <w:rsid w:val="009E54BD"/>
    <w:rsid w:val="009E576F"/>
    <w:rsid w:val="009E5B56"/>
    <w:rsid w:val="009E6174"/>
    <w:rsid w:val="009E6774"/>
    <w:rsid w:val="009E67E1"/>
    <w:rsid w:val="009E6862"/>
    <w:rsid w:val="009E6E0E"/>
    <w:rsid w:val="009E7271"/>
    <w:rsid w:val="009E75CF"/>
    <w:rsid w:val="009E767D"/>
    <w:rsid w:val="009E79FC"/>
    <w:rsid w:val="009E7F4F"/>
    <w:rsid w:val="009E7FD6"/>
    <w:rsid w:val="009F0B05"/>
    <w:rsid w:val="009F0ED2"/>
    <w:rsid w:val="009F1AE1"/>
    <w:rsid w:val="009F21CF"/>
    <w:rsid w:val="009F22D1"/>
    <w:rsid w:val="009F2A65"/>
    <w:rsid w:val="009F2F62"/>
    <w:rsid w:val="009F3BB3"/>
    <w:rsid w:val="009F3EE4"/>
    <w:rsid w:val="009F4A94"/>
    <w:rsid w:val="009F502B"/>
    <w:rsid w:val="009F5315"/>
    <w:rsid w:val="009F5F66"/>
    <w:rsid w:val="009F5FC4"/>
    <w:rsid w:val="009F6050"/>
    <w:rsid w:val="009F668F"/>
    <w:rsid w:val="009F66EC"/>
    <w:rsid w:val="009F75B8"/>
    <w:rsid w:val="009F767E"/>
    <w:rsid w:val="009F7C96"/>
    <w:rsid w:val="00A002D9"/>
    <w:rsid w:val="00A00919"/>
    <w:rsid w:val="00A00AE5"/>
    <w:rsid w:val="00A00C14"/>
    <w:rsid w:val="00A00E9D"/>
    <w:rsid w:val="00A00ED5"/>
    <w:rsid w:val="00A0119C"/>
    <w:rsid w:val="00A0128C"/>
    <w:rsid w:val="00A01A7A"/>
    <w:rsid w:val="00A01FE0"/>
    <w:rsid w:val="00A0382F"/>
    <w:rsid w:val="00A038CE"/>
    <w:rsid w:val="00A03DCD"/>
    <w:rsid w:val="00A043B4"/>
    <w:rsid w:val="00A046EA"/>
    <w:rsid w:val="00A04C8C"/>
    <w:rsid w:val="00A0566E"/>
    <w:rsid w:val="00A057AD"/>
    <w:rsid w:val="00A05D88"/>
    <w:rsid w:val="00A06351"/>
    <w:rsid w:val="00A06648"/>
    <w:rsid w:val="00A069A2"/>
    <w:rsid w:val="00A069EB"/>
    <w:rsid w:val="00A06D01"/>
    <w:rsid w:val="00A07210"/>
    <w:rsid w:val="00A072E9"/>
    <w:rsid w:val="00A077C7"/>
    <w:rsid w:val="00A07A76"/>
    <w:rsid w:val="00A10AE1"/>
    <w:rsid w:val="00A10B32"/>
    <w:rsid w:val="00A10F4E"/>
    <w:rsid w:val="00A11015"/>
    <w:rsid w:val="00A11614"/>
    <w:rsid w:val="00A116AF"/>
    <w:rsid w:val="00A12A8F"/>
    <w:rsid w:val="00A133CB"/>
    <w:rsid w:val="00A13A12"/>
    <w:rsid w:val="00A1426E"/>
    <w:rsid w:val="00A14985"/>
    <w:rsid w:val="00A15312"/>
    <w:rsid w:val="00A15D98"/>
    <w:rsid w:val="00A176B2"/>
    <w:rsid w:val="00A17930"/>
    <w:rsid w:val="00A17DB3"/>
    <w:rsid w:val="00A208A6"/>
    <w:rsid w:val="00A20F47"/>
    <w:rsid w:val="00A2130B"/>
    <w:rsid w:val="00A2147F"/>
    <w:rsid w:val="00A22657"/>
    <w:rsid w:val="00A22E37"/>
    <w:rsid w:val="00A247DE"/>
    <w:rsid w:val="00A24C9E"/>
    <w:rsid w:val="00A2509A"/>
    <w:rsid w:val="00A25197"/>
    <w:rsid w:val="00A2548E"/>
    <w:rsid w:val="00A25495"/>
    <w:rsid w:val="00A2555B"/>
    <w:rsid w:val="00A258FA"/>
    <w:rsid w:val="00A25D8C"/>
    <w:rsid w:val="00A26381"/>
    <w:rsid w:val="00A273D1"/>
    <w:rsid w:val="00A27755"/>
    <w:rsid w:val="00A277A4"/>
    <w:rsid w:val="00A27A9F"/>
    <w:rsid w:val="00A27DDC"/>
    <w:rsid w:val="00A30454"/>
    <w:rsid w:val="00A30572"/>
    <w:rsid w:val="00A31B1B"/>
    <w:rsid w:val="00A323DF"/>
    <w:rsid w:val="00A32538"/>
    <w:rsid w:val="00A32A48"/>
    <w:rsid w:val="00A32F38"/>
    <w:rsid w:val="00A343FA"/>
    <w:rsid w:val="00A34CBB"/>
    <w:rsid w:val="00A35A93"/>
    <w:rsid w:val="00A3648C"/>
    <w:rsid w:val="00A36AF5"/>
    <w:rsid w:val="00A36D6A"/>
    <w:rsid w:val="00A372AE"/>
    <w:rsid w:val="00A40325"/>
    <w:rsid w:val="00A40D72"/>
    <w:rsid w:val="00A40ED9"/>
    <w:rsid w:val="00A4107C"/>
    <w:rsid w:val="00A41145"/>
    <w:rsid w:val="00A4124B"/>
    <w:rsid w:val="00A4168F"/>
    <w:rsid w:val="00A41B2C"/>
    <w:rsid w:val="00A41F42"/>
    <w:rsid w:val="00A427D0"/>
    <w:rsid w:val="00A42B77"/>
    <w:rsid w:val="00A42D42"/>
    <w:rsid w:val="00A44050"/>
    <w:rsid w:val="00A44AB0"/>
    <w:rsid w:val="00A44D73"/>
    <w:rsid w:val="00A4513B"/>
    <w:rsid w:val="00A451E0"/>
    <w:rsid w:val="00A456A8"/>
    <w:rsid w:val="00A45A03"/>
    <w:rsid w:val="00A45A20"/>
    <w:rsid w:val="00A45B07"/>
    <w:rsid w:val="00A45C4C"/>
    <w:rsid w:val="00A45E62"/>
    <w:rsid w:val="00A45F3C"/>
    <w:rsid w:val="00A45FAE"/>
    <w:rsid w:val="00A461D3"/>
    <w:rsid w:val="00A4633D"/>
    <w:rsid w:val="00A46DBB"/>
    <w:rsid w:val="00A46E9B"/>
    <w:rsid w:val="00A4766B"/>
    <w:rsid w:val="00A4786B"/>
    <w:rsid w:val="00A4788E"/>
    <w:rsid w:val="00A47B1F"/>
    <w:rsid w:val="00A47C8F"/>
    <w:rsid w:val="00A50065"/>
    <w:rsid w:val="00A5009B"/>
    <w:rsid w:val="00A501C9"/>
    <w:rsid w:val="00A50275"/>
    <w:rsid w:val="00A50341"/>
    <w:rsid w:val="00A509A3"/>
    <w:rsid w:val="00A50ABC"/>
    <w:rsid w:val="00A51B74"/>
    <w:rsid w:val="00A51D20"/>
    <w:rsid w:val="00A51EF0"/>
    <w:rsid w:val="00A5215E"/>
    <w:rsid w:val="00A521CB"/>
    <w:rsid w:val="00A5250C"/>
    <w:rsid w:val="00A53B2A"/>
    <w:rsid w:val="00A53CAD"/>
    <w:rsid w:val="00A53D51"/>
    <w:rsid w:val="00A549AB"/>
    <w:rsid w:val="00A549B7"/>
    <w:rsid w:val="00A55036"/>
    <w:rsid w:val="00A55522"/>
    <w:rsid w:val="00A560C2"/>
    <w:rsid w:val="00A56418"/>
    <w:rsid w:val="00A565DA"/>
    <w:rsid w:val="00A57603"/>
    <w:rsid w:val="00A60491"/>
    <w:rsid w:val="00A609AE"/>
    <w:rsid w:val="00A60AF8"/>
    <w:rsid w:val="00A6149B"/>
    <w:rsid w:val="00A61DC7"/>
    <w:rsid w:val="00A61E9A"/>
    <w:rsid w:val="00A6232F"/>
    <w:rsid w:val="00A627E3"/>
    <w:rsid w:val="00A6289B"/>
    <w:rsid w:val="00A62B18"/>
    <w:rsid w:val="00A6393E"/>
    <w:rsid w:val="00A641CA"/>
    <w:rsid w:val="00A6425D"/>
    <w:rsid w:val="00A644BB"/>
    <w:rsid w:val="00A64686"/>
    <w:rsid w:val="00A64FBB"/>
    <w:rsid w:val="00A65315"/>
    <w:rsid w:val="00A6579A"/>
    <w:rsid w:val="00A65823"/>
    <w:rsid w:val="00A65C71"/>
    <w:rsid w:val="00A65E2F"/>
    <w:rsid w:val="00A65EED"/>
    <w:rsid w:val="00A65F2D"/>
    <w:rsid w:val="00A6651D"/>
    <w:rsid w:val="00A6689A"/>
    <w:rsid w:val="00A67477"/>
    <w:rsid w:val="00A67B03"/>
    <w:rsid w:val="00A67D3D"/>
    <w:rsid w:val="00A701E8"/>
    <w:rsid w:val="00A7111F"/>
    <w:rsid w:val="00A71276"/>
    <w:rsid w:val="00A712F0"/>
    <w:rsid w:val="00A71332"/>
    <w:rsid w:val="00A7134D"/>
    <w:rsid w:val="00A71539"/>
    <w:rsid w:val="00A71A2F"/>
    <w:rsid w:val="00A71D52"/>
    <w:rsid w:val="00A724ED"/>
    <w:rsid w:val="00A729A3"/>
    <w:rsid w:val="00A72FB4"/>
    <w:rsid w:val="00A74023"/>
    <w:rsid w:val="00A746D0"/>
    <w:rsid w:val="00A74915"/>
    <w:rsid w:val="00A74BAE"/>
    <w:rsid w:val="00A74CB2"/>
    <w:rsid w:val="00A74D94"/>
    <w:rsid w:val="00A75501"/>
    <w:rsid w:val="00A76192"/>
    <w:rsid w:val="00A7695E"/>
    <w:rsid w:val="00A76B58"/>
    <w:rsid w:val="00A76D66"/>
    <w:rsid w:val="00A76E46"/>
    <w:rsid w:val="00A773D0"/>
    <w:rsid w:val="00A77AEF"/>
    <w:rsid w:val="00A77AFA"/>
    <w:rsid w:val="00A80049"/>
    <w:rsid w:val="00A80513"/>
    <w:rsid w:val="00A80CA3"/>
    <w:rsid w:val="00A80E8E"/>
    <w:rsid w:val="00A8126A"/>
    <w:rsid w:val="00A812A2"/>
    <w:rsid w:val="00A812DA"/>
    <w:rsid w:val="00A81384"/>
    <w:rsid w:val="00A81881"/>
    <w:rsid w:val="00A81AA7"/>
    <w:rsid w:val="00A81ABC"/>
    <w:rsid w:val="00A82AB7"/>
    <w:rsid w:val="00A83237"/>
    <w:rsid w:val="00A837F1"/>
    <w:rsid w:val="00A839CE"/>
    <w:rsid w:val="00A83AB3"/>
    <w:rsid w:val="00A83D46"/>
    <w:rsid w:val="00A840F1"/>
    <w:rsid w:val="00A84489"/>
    <w:rsid w:val="00A844F0"/>
    <w:rsid w:val="00A846A7"/>
    <w:rsid w:val="00A84747"/>
    <w:rsid w:val="00A84818"/>
    <w:rsid w:val="00A84F3A"/>
    <w:rsid w:val="00A861AA"/>
    <w:rsid w:val="00A866CF"/>
    <w:rsid w:val="00A86DD0"/>
    <w:rsid w:val="00A9056C"/>
    <w:rsid w:val="00A90803"/>
    <w:rsid w:val="00A908A3"/>
    <w:rsid w:val="00A908D3"/>
    <w:rsid w:val="00A91067"/>
    <w:rsid w:val="00A91600"/>
    <w:rsid w:val="00A91CA2"/>
    <w:rsid w:val="00A921F4"/>
    <w:rsid w:val="00A929F1"/>
    <w:rsid w:val="00A92F11"/>
    <w:rsid w:val="00A9440B"/>
    <w:rsid w:val="00A94444"/>
    <w:rsid w:val="00A94ACD"/>
    <w:rsid w:val="00A954A4"/>
    <w:rsid w:val="00A95AA3"/>
    <w:rsid w:val="00A95D99"/>
    <w:rsid w:val="00A96037"/>
    <w:rsid w:val="00A96197"/>
    <w:rsid w:val="00A96A73"/>
    <w:rsid w:val="00A9725B"/>
    <w:rsid w:val="00A97AC6"/>
    <w:rsid w:val="00A97F29"/>
    <w:rsid w:val="00AA0088"/>
    <w:rsid w:val="00AA008C"/>
    <w:rsid w:val="00AA05C9"/>
    <w:rsid w:val="00AA0A9A"/>
    <w:rsid w:val="00AA108D"/>
    <w:rsid w:val="00AA1C40"/>
    <w:rsid w:val="00AA1D9F"/>
    <w:rsid w:val="00AA1FE3"/>
    <w:rsid w:val="00AA24E0"/>
    <w:rsid w:val="00AA3739"/>
    <w:rsid w:val="00AA38DE"/>
    <w:rsid w:val="00AA4155"/>
    <w:rsid w:val="00AA5203"/>
    <w:rsid w:val="00AA6517"/>
    <w:rsid w:val="00AA6F30"/>
    <w:rsid w:val="00AA6F45"/>
    <w:rsid w:val="00AA7640"/>
    <w:rsid w:val="00AA79E5"/>
    <w:rsid w:val="00AA7D07"/>
    <w:rsid w:val="00AB0274"/>
    <w:rsid w:val="00AB0909"/>
    <w:rsid w:val="00AB0BEF"/>
    <w:rsid w:val="00AB1333"/>
    <w:rsid w:val="00AB1F73"/>
    <w:rsid w:val="00AB219B"/>
    <w:rsid w:val="00AB2273"/>
    <w:rsid w:val="00AB235E"/>
    <w:rsid w:val="00AB27F0"/>
    <w:rsid w:val="00AB28D6"/>
    <w:rsid w:val="00AB2959"/>
    <w:rsid w:val="00AB2FBB"/>
    <w:rsid w:val="00AB3832"/>
    <w:rsid w:val="00AB3B79"/>
    <w:rsid w:val="00AB3EDD"/>
    <w:rsid w:val="00AB3EEF"/>
    <w:rsid w:val="00AB4004"/>
    <w:rsid w:val="00AB468B"/>
    <w:rsid w:val="00AB4739"/>
    <w:rsid w:val="00AB4799"/>
    <w:rsid w:val="00AB4B95"/>
    <w:rsid w:val="00AB5F55"/>
    <w:rsid w:val="00AB6011"/>
    <w:rsid w:val="00AB613E"/>
    <w:rsid w:val="00AB7122"/>
    <w:rsid w:val="00AB7320"/>
    <w:rsid w:val="00AB7564"/>
    <w:rsid w:val="00AB7AE3"/>
    <w:rsid w:val="00AB7C61"/>
    <w:rsid w:val="00AC069F"/>
    <w:rsid w:val="00AC0794"/>
    <w:rsid w:val="00AC0B89"/>
    <w:rsid w:val="00AC1ECD"/>
    <w:rsid w:val="00AC32FE"/>
    <w:rsid w:val="00AC396E"/>
    <w:rsid w:val="00AC3BC7"/>
    <w:rsid w:val="00AC3C52"/>
    <w:rsid w:val="00AC3C59"/>
    <w:rsid w:val="00AC3C91"/>
    <w:rsid w:val="00AC44BC"/>
    <w:rsid w:val="00AC4C3B"/>
    <w:rsid w:val="00AC61CD"/>
    <w:rsid w:val="00AC648E"/>
    <w:rsid w:val="00AC6640"/>
    <w:rsid w:val="00AC6F73"/>
    <w:rsid w:val="00AC6FDE"/>
    <w:rsid w:val="00AC728C"/>
    <w:rsid w:val="00AC7713"/>
    <w:rsid w:val="00AD018F"/>
    <w:rsid w:val="00AD0359"/>
    <w:rsid w:val="00AD0B94"/>
    <w:rsid w:val="00AD1037"/>
    <w:rsid w:val="00AD1C6A"/>
    <w:rsid w:val="00AD204D"/>
    <w:rsid w:val="00AD2053"/>
    <w:rsid w:val="00AD2134"/>
    <w:rsid w:val="00AD2B32"/>
    <w:rsid w:val="00AD2C84"/>
    <w:rsid w:val="00AD2E7E"/>
    <w:rsid w:val="00AD3443"/>
    <w:rsid w:val="00AD375F"/>
    <w:rsid w:val="00AD3F95"/>
    <w:rsid w:val="00AD45B8"/>
    <w:rsid w:val="00AD4649"/>
    <w:rsid w:val="00AD48C9"/>
    <w:rsid w:val="00AD4CCE"/>
    <w:rsid w:val="00AD4FAD"/>
    <w:rsid w:val="00AD5421"/>
    <w:rsid w:val="00AD5BCE"/>
    <w:rsid w:val="00AD5C8F"/>
    <w:rsid w:val="00AD63A0"/>
    <w:rsid w:val="00AD6670"/>
    <w:rsid w:val="00AD6C30"/>
    <w:rsid w:val="00AD75B0"/>
    <w:rsid w:val="00AD798A"/>
    <w:rsid w:val="00AD7E42"/>
    <w:rsid w:val="00AE02BF"/>
    <w:rsid w:val="00AE03BE"/>
    <w:rsid w:val="00AE0684"/>
    <w:rsid w:val="00AE1129"/>
    <w:rsid w:val="00AE1507"/>
    <w:rsid w:val="00AE1804"/>
    <w:rsid w:val="00AE18D9"/>
    <w:rsid w:val="00AE19FD"/>
    <w:rsid w:val="00AE1A20"/>
    <w:rsid w:val="00AE1B44"/>
    <w:rsid w:val="00AE1C48"/>
    <w:rsid w:val="00AE1F2D"/>
    <w:rsid w:val="00AE2C43"/>
    <w:rsid w:val="00AE2D94"/>
    <w:rsid w:val="00AE3375"/>
    <w:rsid w:val="00AE34E8"/>
    <w:rsid w:val="00AE3912"/>
    <w:rsid w:val="00AE3AB2"/>
    <w:rsid w:val="00AE3C9B"/>
    <w:rsid w:val="00AE3EF5"/>
    <w:rsid w:val="00AE44C3"/>
    <w:rsid w:val="00AE5106"/>
    <w:rsid w:val="00AE625A"/>
    <w:rsid w:val="00AE6906"/>
    <w:rsid w:val="00AE6D48"/>
    <w:rsid w:val="00AE7977"/>
    <w:rsid w:val="00AE79C6"/>
    <w:rsid w:val="00AF073F"/>
    <w:rsid w:val="00AF082D"/>
    <w:rsid w:val="00AF163F"/>
    <w:rsid w:val="00AF1943"/>
    <w:rsid w:val="00AF20D4"/>
    <w:rsid w:val="00AF237C"/>
    <w:rsid w:val="00AF255F"/>
    <w:rsid w:val="00AF26B8"/>
    <w:rsid w:val="00AF2704"/>
    <w:rsid w:val="00AF2BD1"/>
    <w:rsid w:val="00AF3C99"/>
    <w:rsid w:val="00AF3FD4"/>
    <w:rsid w:val="00AF4D99"/>
    <w:rsid w:val="00AF5498"/>
    <w:rsid w:val="00AF5FEE"/>
    <w:rsid w:val="00AF6955"/>
    <w:rsid w:val="00AF731F"/>
    <w:rsid w:val="00B00607"/>
    <w:rsid w:val="00B00B3F"/>
    <w:rsid w:val="00B00E48"/>
    <w:rsid w:val="00B01A42"/>
    <w:rsid w:val="00B01B16"/>
    <w:rsid w:val="00B01D98"/>
    <w:rsid w:val="00B01EC6"/>
    <w:rsid w:val="00B02042"/>
    <w:rsid w:val="00B02291"/>
    <w:rsid w:val="00B024D9"/>
    <w:rsid w:val="00B029B3"/>
    <w:rsid w:val="00B02B0D"/>
    <w:rsid w:val="00B02BD2"/>
    <w:rsid w:val="00B02BE4"/>
    <w:rsid w:val="00B02DA4"/>
    <w:rsid w:val="00B03194"/>
    <w:rsid w:val="00B03249"/>
    <w:rsid w:val="00B0340B"/>
    <w:rsid w:val="00B04430"/>
    <w:rsid w:val="00B0451F"/>
    <w:rsid w:val="00B04BF7"/>
    <w:rsid w:val="00B04DD0"/>
    <w:rsid w:val="00B05D47"/>
    <w:rsid w:val="00B05D66"/>
    <w:rsid w:val="00B06FE6"/>
    <w:rsid w:val="00B07458"/>
    <w:rsid w:val="00B07A98"/>
    <w:rsid w:val="00B07EDB"/>
    <w:rsid w:val="00B1030C"/>
    <w:rsid w:val="00B109D1"/>
    <w:rsid w:val="00B10D50"/>
    <w:rsid w:val="00B1142E"/>
    <w:rsid w:val="00B11AE4"/>
    <w:rsid w:val="00B11DBD"/>
    <w:rsid w:val="00B11F3B"/>
    <w:rsid w:val="00B1239E"/>
    <w:rsid w:val="00B12E1E"/>
    <w:rsid w:val="00B1318C"/>
    <w:rsid w:val="00B133E7"/>
    <w:rsid w:val="00B13B6E"/>
    <w:rsid w:val="00B13BAD"/>
    <w:rsid w:val="00B14229"/>
    <w:rsid w:val="00B1448B"/>
    <w:rsid w:val="00B14F30"/>
    <w:rsid w:val="00B1540A"/>
    <w:rsid w:val="00B15BEC"/>
    <w:rsid w:val="00B163B3"/>
    <w:rsid w:val="00B16551"/>
    <w:rsid w:val="00B16682"/>
    <w:rsid w:val="00B168D4"/>
    <w:rsid w:val="00B173B4"/>
    <w:rsid w:val="00B178A9"/>
    <w:rsid w:val="00B20FFF"/>
    <w:rsid w:val="00B2113E"/>
    <w:rsid w:val="00B21C9D"/>
    <w:rsid w:val="00B21D3E"/>
    <w:rsid w:val="00B21DF9"/>
    <w:rsid w:val="00B21F04"/>
    <w:rsid w:val="00B22779"/>
    <w:rsid w:val="00B22AA5"/>
    <w:rsid w:val="00B22DD3"/>
    <w:rsid w:val="00B23201"/>
    <w:rsid w:val="00B23888"/>
    <w:rsid w:val="00B23FF1"/>
    <w:rsid w:val="00B2404E"/>
    <w:rsid w:val="00B24533"/>
    <w:rsid w:val="00B246F2"/>
    <w:rsid w:val="00B246FE"/>
    <w:rsid w:val="00B248DE"/>
    <w:rsid w:val="00B24C6A"/>
    <w:rsid w:val="00B256C4"/>
    <w:rsid w:val="00B25784"/>
    <w:rsid w:val="00B26208"/>
    <w:rsid w:val="00B264B0"/>
    <w:rsid w:val="00B26843"/>
    <w:rsid w:val="00B26F2B"/>
    <w:rsid w:val="00B26FBA"/>
    <w:rsid w:val="00B276BA"/>
    <w:rsid w:val="00B27A09"/>
    <w:rsid w:val="00B316A3"/>
    <w:rsid w:val="00B32755"/>
    <w:rsid w:val="00B32B20"/>
    <w:rsid w:val="00B33332"/>
    <w:rsid w:val="00B33608"/>
    <w:rsid w:val="00B337A7"/>
    <w:rsid w:val="00B339E6"/>
    <w:rsid w:val="00B33AA6"/>
    <w:rsid w:val="00B33AF2"/>
    <w:rsid w:val="00B342AE"/>
    <w:rsid w:val="00B3470C"/>
    <w:rsid w:val="00B3498F"/>
    <w:rsid w:val="00B34B26"/>
    <w:rsid w:val="00B34C54"/>
    <w:rsid w:val="00B355AB"/>
    <w:rsid w:val="00B35C7B"/>
    <w:rsid w:val="00B36FCD"/>
    <w:rsid w:val="00B40118"/>
    <w:rsid w:val="00B40FCF"/>
    <w:rsid w:val="00B411E3"/>
    <w:rsid w:val="00B4168F"/>
    <w:rsid w:val="00B419C3"/>
    <w:rsid w:val="00B420ED"/>
    <w:rsid w:val="00B4255B"/>
    <w:rsid w:val="00B42786"/>
    <w:rsid w:val="00B428BA"/>
    <w:rsid w:val="00B42E98"/>
    <w:rsid w:val="00B42FD1"/>
    <w:rsid w:val="00B43044"/>
    <w:rsid w:val="00B431A1"/>
    <w:rsid w:val="00B43376"/>
    <w:rsid w:val="00B438E3"/>
    <w:rsid w:val="00B43918"/>
    <w:rsid w:val="00B43ECA"/>
    <w:rsid w:val="00B44A9E"/>
    <w:rsid w:val="00B45694"/>
    <w:rsid w:val="00B45776"/>
    <w:rsid w:val="00B4590A"/>
    <w:rsid w:val="00B45B5E"/>
    <w:rsid w:val="00B469F3"/>
    <w:rsid w:val="00B46F98"/>
    <w:rsid w:val="00B4706E"/>
    <w:rsid w:val="00B476C9"/>
    <w:rsid w:val="00B4788C"/>
    <w:rsid w:val="00B47C8C"/>
    <w:rsid w:val="00B47E71"/>
    <w:rsid w:val="00B502DE"/>
    <w:rsid w:val="00B50522"/>
    <w:rsid w:val="00B5080C"/>
    <w:rsid w:val="00B50D0B"/>
    <w:rsid w:val="00B50D27"/>
    <w:rsid w:val="00B50EAA"/>
    <w:rsid w:val="00B50F24"/>
    <w:rsid w:val="00B51150"/>
    <w:rsid w:val="00B51BE7"/>
    <w:rsid w:val="00B51E4E"/>
    <w:rsid w:val="00B52036"/>
    <w:rsid w:val="00B5253D"/>
    <w:rsid w:val="00B5299C"/>
    <w:rsid w:val="00B52A30"/>
    <w:rsid w:val="00B52A76"/>
    <w:rsid w:val="00B53587"/>
    <w:rsid w:val="00B535E0"/>
    <w:rsid w:val="00B536ED"/>
    <w:rsid w:val="00B536EF"/>
    <w:rsid w:val="00B54340"/>
    <w:rsid w:val="00B546E6"/>
    <w:rsid w:val="00B54D3B"/>
    <w:rsid w:val="00B54E18"/>
    <w:rsid w:val="00B5583E"/>
    <w:rsid w:val="00B5631F"/>
    <w:rsid w:val="00B56C11"/>
    <w:rsid w:val="00B57184"/>
    <w:rsid w:val="00B57461"/>
    <w:rsid w:val="00B57883"/>
    <w:rsid w:val="00B6045E"/>
    <w:rsid w:val="00B60703"/>
    <w:rsid w:val="00B60881"/>
    <w:rsid w:val="00B609CB"/>
    <w:rsid w:val="00B60D09"/>
    <w:rsid w:val="00B60D6A"/>
    <w:rsid w:val="00B61D2D"/>
    <w:rsid w:val="00B62510"/>
    <w:rsid w:val="00B62A52"/>
    <w:rsid w:val="00B62D54"/>
    <w:rsid w:val="00B62FD1"/>
    <w:rsid w:val="00B63A09"/>
    <w:rsid w:val="00B641E5"/>
    <w:rsid w:val="00B64261"/>
    <w:rsid w:val="00B64AEC"/>
    <w:rsid w:val="00B664E8"/>
    <w:rsid w:val="00B66933"/>
    <w:rsid w:val="00B66C92"/>
    <w:rsid w:val="00B66CA1"/>
    <w:rsid w:val="00B66E90"/>
    <w:rsid w:val="00B6728A"/>
    <w:rsid w:val="00B67634"/>
    <w:rsid w:val="00B67878"/>
    <w:rsid w:val="00B712B6"/>
    <w:rsid w:val="00B713B7"/>
    <w:rsid w:val="00B7155F"/>
    <w:rsid w:val="00B71A25"/>
    <w:rsid w:val="00B71BD3"/>
    <w:rsid w:val="00B71FFF"/>
    <w:rsid w:val="00B72354"/>
    <w:rsid w:val="00B731EB"/>
    <w:rsid w:val="00B7331D"/>
    <w:rsid w:val="00B73478"/>
    <w:rsid w:val="00B735AB"/>
    <w:rsid w:val="00B73B23"/>
    <w:rsid w:val="00B73C57"/>
    <w:rsid w:val="00B74441"/>
    <w:rsid w:val="00B7449B"/>
    <w:rsid w:val="00B74729"/>
    <w:rsid w:val="00B74CF4"/>
    <w:rsid w:val="00B757F8"/>
    <w:rsid w:val="00B75B93"/>
    <w:rsid w:val="00B75FDA"/>
    <w:rsid w:val="00B766C9"/>
    <w:rsid w:val="00B76A00"/>
    <w:rsid w:val="00B76EF6"/>
    <w:rsid w:val="00B77270"/>
    <w:rsid w:val="00B772B6"/>
    <w:rsid w:val="00B77471"/>
    <w:rsid w:val="00B77AA8"/>
    <w:rsid w:val="00B80962"/>
    <w:rsid w:val="00B80D21"/>
    <w:rsid w:val="00B80FE0"/>
    <w:rsid w:val="00B813E4"/>
    <w:rsid w:val="00B8198C"/>
    <w:rsid w:val="00B81D70"/>
    <w:rsid w:val="00B81E08"/>
    <w:rsid w:val="00B8216F"/>
    <w:rsid w:val="00B8264F"/>
    <w:rsid w:val="00B82C72"/>
    <w:rsid w:val="00B83385"/>
    <w:rsid w:val="00B83670"/>
    <w:rsid w:val="00B83B6C"/>
    <w:rsid w:val="00B84540"/>
    <w:rsid w:val="00B8486B"/>
    <w:rsid w:val="00B84A9E"/>
    <w:rsid w:val="00B84C07"/>
    <w:rsid w:val="00B851CC"/>
    <w:rsid w:val="00B853FB"/>
    <w:rsid w:val="00B85767"/>
    <w:rsid w:val="00B85B06"/>
    <w:rsid w:val="00B86CF9"/>
    <w:rsid w:val="00B874ED"/>
    <w:rsid w:val="00B879BD"/>
    <w:rsid w:val="00B87F57"/>
    <w:rsid w:val="00B901DD"/>
    <w:rsid w:val="00B9068C"/>
    <w:rsid w:val="00B90821"/>
    <w:rsid w:val="00B908E3"/>
    <w:rsid w:val="00B9197D"/>
    <w:rsid w:val="00B91D90"/>
    <w:rsid w:val="00B92537"/>
    <w:rsid w:val="00B92E03"/>
    <w:rsid w:val="00B92E18"/>
    <w:rsid w:val="00B9307E"/>
    <w:rsid w:val="00B938AE"/>
    <w:rsid w:val="00B93A3F"/>
    <w:rsid w:val="00B945A0"/>
    <w:rsid w:val="00B94811"/>
    <w:rsid w:val="00B94A45"/>
    <w:rsid w:val="00B94A9F"/>
    <w:rsid w:val="00B94F71"/>
    <w:rsid w:val="00B9504E"/>
    <w:rsid w:val="00B95157"/>
    <w:rsid w:val="00B95CA8"/>
    <w:rsid w:val="00B9771B"/>
    <w:rsid w:val="00B97AAB"/>
    <w:rsid w:val="00B97D66"/>
    <w:rsid w:val="00B97FEC"/>
    <w:rsid w:val="00BA0AC7"/>
    <w:rsid w:val="00BA0C97"/>
    <w:rsid w:val="00BA1177"/>
    <w:rsid w:val="00BA1ADF"/>
    <w:rsid w:val="00BA26B9"/>
    <w:rsid w:val="00BA2ADE"/>
    <w:rsid w:val="00BA2D8A"/>
    <w:rsid w:val="00BA2FD1"/>
    <w:rsid w:val="00BA3231"/>
    <w:rsid w:val="00BA34DF"/>
    <w:rsid w:val="00BA4502"/>
    <w:rsid w:val="00BA453F"/>
    <w:rsid w:val="00BA460B"/>
    <w:rsid w:val="00BA46D4"/>
    <w:rsid w:val="00BA4DBF"/>
    <w:rsid w:val="00BA4E0B"/>
    <w:rsid w:val="00BA5928"/>
    <w:rsid w:val="00BA5E53"/>
    <w:rsid w:val="00BA6A40"/>
    <w:rsid w:val="00BA6D6A"/>
    <w:rsid w:val="00BA73F0"/>
    <w:rsid w:val="00BA78CB"/>
    <w:rsid w:val="00BB086C"/>
    <w:rsid w:val="00BB09AB"/>
    <w:rsid w:val="00BB0A63"/>
    <w:rsid w:val="00BB0C9E"/>
    <w:rsid w:val="00BB10B9"/>
    <w:rsid w:val="00BB1189"/>
    <w:rsid w:val="00BB15B8"/>
    <w:rsid w:val="00BB15FE"/>
    <w:rsid w:val="00BB1850"/>
    <w:rsid w:val="00BB1C1A"/>
    <w:rsid w:val="00BB245B"/>
    <w:rsid w:val="00BB26CE"/>
    <w:rsid w:val="00BB2AC6"/>
    <w:rsid w:val="00BB328C"/>
    <w:rsid w:val="00BB3B9C"/>
    <w:rsid w:val="00BB42F2"/>
    <w:rsid w:val="00BB438A"/>
    <w:rsid w:val="00BB4462"/>
    <w:rsid w:val="00BB4495"/>
    <w:rsid w:val="00BB4919"/>
    <w:rsid w:val="00BB53E9"/>
    <w:rsid w:val="00BB557B"/>
    <w:rsid w:val="00BB56F7"/>
    <w:rsid w:val="00BB57B2"/>
    <w:rsid w:val="00BB612A"/>
    <w:rsid w:val="00BB6B5F"/>
    <w:rsid w:val="00BB6DEC"/>
    <w:rsid w:val="00BB70F7"/>
    <w:rsid w:val="00BB7543"/>
    <w:rsid w:val="00BC037B"/>
    <w:rsid w:val="00BC09E2"/>
    <w:rsid w:val="00BC0B30"/>
    <w:rsid w:val="00BC150C"/>
    <w:rsid w:val="00BC1AF6"/>
    <w:rsid w:val="00BC1EA8"/>
    <w:rsid w:val="00BC232E"/>
    <w:rsid w:val="00BC249C"/>
    <w:rsid w:val="00BC25ED"/>
    <w:rsid w:val="00BC29AD"/>
    <w:rsid w:val="00BC2A7C"/>
    <w:rsid w:val="00BC2D86"/>
    <w:rsid w:val="00BC2E13"/>
    <w:rsid w:val="00BC2EE2"/>
    <w:rsid w:val="00BC30A4"/>
    <w:rsid w:val="00BC317E"/>
    <w:rsid w:val="00BC3308"/>
    <w:rsid w:val="00BC36FF"/>
    <w:rsid w:val="00BC3A9E"/>
    <w:rsid w:val="00BC4587"/>
    <w:rsid w:val="00BC4735"/>
    <w:rsid w:val="00BC4BF5"/>
    <w:rsid w:val="00BC521B"/>
    <w:rsid w:val="00BC57B2"/>
    <w:rsid w:val="00BC606D"/>
    <w:rsid w:val="00BC65DA"/>
    <w:rsid w:val="00BC692A"/>
    <w:rsid w:val="00BC7406"/>
    <w:rsid w:val="00BD0032"/>
    <w:rsid w:val="00BD0478"/>
    <w:rsid w:val="00BD0A88"/>
    <w:rsid w:val="00BD0DE4"/>
    <w:rsid w:val="00BD0E6B"/>
    <w:rsid w:val="00BD12DB"/>
    <w:rsid w:val="00BD1C3A"/>
    <w:rsid w:val="00BD245F"/>
    <w:rsid w:val="00BD2813"/>
    <w:rsid w:val="00BD3B14"/>
    <w:rsid w:val="00BD45B4"/>
    <w:rsid w:val="00BD5099"/>
    <w:rsid w:val="00BD511B"/>
    <w:rsid w:val="00BD5EF3"/>
    <w:rsid w:val="00BD6606"/>
    <w:rsid w:val="00BD66C5"/>
    <w:rsid w:val="00BD6E7C"/>
    <w:rsid w:val="00BD6F0B"/>
    <w:rsid w:val="00BD7019"/>
    <w:rsid w:val="00BD7022"/>
    <w:rsid w:val="00BD726F"/>
    <w:rsid w:val="00BD78CC"/>
    <w:rsid w:val="00BD7B2A"/>
    <w:rsid w:val="00BD7D80"/>
    <w:rsid w:val="00BD7F44"/>
    <w:rsid w:val="00BE0010"/>
    <w:rsid w:val="00BE08E6"/>
    <w:rsid w:val="00BE0A37"/>
    <w:rsid w:val="00BE0C6D"/>
    <w:rsid w:val="00BE0ED6"/>
    <w:rsid w:val="00BE115C"/>
    <w:rsid w:val="00BE1305"/>
    <w:rsid w:val="00BE20C3"/>
    <w:rsid w:val="00BE2889"/>
    <w:rsid w:val="00BE3065"/>
    <w:rsid w:val="00BE3314"/>
    <w:rsid w:val="00BE337A"/>
    <w:rsid w:val="00BE3A4D"/>
    <w:rsid w:val="00BE3BED"/>
    <w:rsid w:val="00BE41B4"/>
    <w:rsid w:val="00BE41C2"/>
    <w:rsid w:val="00BE4689"/>
    <w:rsid w:val="00BE521A"/>
    <w:rsid w:val="00BE64A6"/>
    <w:rsid w:val="00BE65A4"/>
    <w:rsid w:val="00BE6C18"/>
    <w:rsid w:val="00BE6D24"/>
    <w:rsid w:val="00BE72AE"/>
    <w:rsid w:val="00BE74CE"/>
    <w:rsid w:val="00BF0085"/>
    <w:rsid w:val="00BF00D1"/>
    <w:rsid w:val="00BF0178"/>
    <w:rsid w:val="00BF024F"/>
    <w:rsid w:val="00BF0FB0"/>
    <w:rsid w:val="00BF10E7"/>
    <w:rsid w:val="00BF1A08"/>
    <w:rsid w:val="00BF3121"/>
    <w:rsid w:val="00BF361C"/>
    <w:rsid w:val="00BF3689"/>
    <w:rsid w:val="00BF3A2C"/>
    <w:rsid w:val="00BF3B45"/>
    <w:rsid w:val="00BF3DE1"/>
    <w:rsid w:val="00BF440A"/>
    <w:rsid w:val="00BF4597"/>
    <w:rsid w:val="00BF5169"/>
    <w:rsid w:val="00BF5602"/>
    <w:rsid w:val="00BF565B"/>
    <w:rsid w:val="00BF573A"/>
    <w:rsid w:val="00BF59DF"/>
    <w:rsid w:val="00BF5CE9"/>
    <w:rsid w:val="00BF5CF0"/>
    <w:rsid w:val="00BF68B7"/>
    <w:rsid w:val="00BF6982"/>
    <w:rsid w:val="00BF6C81"/>
    <w:rsid w:val="00BF6EE9"/>
    <w:rsid w:val="00BF724B"/>
    <w:rsid w:val="00BF75EF"/>
    <w:rsid w:val="00BF7826"/>
    <w:rsid w:val="00BF7C11"/>
    <w:rsid w:val="00C003DA"/>
    <w:rsid w:val="00C0099B"/>
    <w:rsid w:val="00C00ECE"/>
    <w:rsid w:val="00C01305"/>
    <w:rsid w:val="00C013F5"/>
    <w:rsid w:val="00C01C17"/>
    <w:rsid w:val="00C01CA3"/>
    <w:rsid w:val="00C01DD4"/>
    <w:rsid w:val="00C0274B"/>
    <w:rsid w:val="00C0282E"/>
    <w:rsid w:val="00C03A46"/>
    <w:rsid w:val="00C041AD"/>
    <w:rsid w:val="00C04807"/>
    <w:rsid w:val="00C04E63"/>
    <w:rsid w:val="00C0500C"/>
    <w:rsid w:val="00C0508F"/>
    <w:rsid w:val="00C05B64"/>
    <w:rsid w:val="00C06282"/>
    <w:rsid w:val="00C06318"/>
    <w:rsid w:val="00C06D0D"/>
    <w:rsid w:val="00C06E32"/>
    <w:rsid w:val="00C07080"/>
    <w:rsid w:val="00C07A30"/>
    <w:rsid w:val="00C1011E"/>
    <w:rsid w:val="00C10DDF"/>
    <w:rsid w:val="00C10F23"/>
    <w:rsid w:val="00C11679"/>
    <w:rsid w:val="00C12143"/>
    <w:rsid w:val="00C12162"/>
    <w:rsid w:val="00C12234"/>
    <w:rsid w:val="00C12802"/>
    <w:rsid w:val="00C13E5F"/>
    <w:rsid w:val="00C14208"/>
    <w:rsid w:val="00C1478D"/>
    <w:rsid w:val="00C1489B"/>
    <w:rsid w:val="00C14C5E"/>
    <w:rsid w:val="00C153D7"/>
    <w:rsid w:val="00C15674"/>
    <w:rsid w:val="00C157B1"/>
    <w:rsid w:val="00C15E9D"/>
    <w:rsid w:val="00C16376"/>
    <w:rsid w:val="00C1659A"/>
    <w:rsid w:val="00C17287"/>
    <w:rsid w:val="00C17708"/>
    <w:rsid w:val="00C17A36"/>
    <w:rsid w:val="00C20085"/>
    <w:rsid w:val="00C2037E"/>
    <w:rsid w:val="00C20999"/>
    <w:rsid w:val="00C20E9B"/>
    <w:rsid w:val="00C21615"/>
    <w:rsid w:val="00C219EF"/>
    <w:rsid w:val="00C21CD4"/>
    <w:rsid w:val="00C21F73"/>
    <w:rsid w:val="00C2228A"/>
    <w:rsid w:val="00C22570"/>
    <w:rsid w:val="00C22F3F"/>
    <w:rsid w:val="00C23070"/>
    <w:rsid w:val="00C2323A"/>
    <w:rsid w:val="00C234AF"/>
    <w:rsid w:val="00C238B4"/>
    <w:rsid w:val="00C242DE"/>
    <w:rsid w:val="00C242F9"/>
    <w:rsid w:val="00C2432F"/>
    <w:rsid w:val="00C24737"/>
    <w:rsid w:val="00C24878"/>
    <w:rsid w:val="00C249AB"/>
    <w:rsid w:val="00C24DC6"/>
    <w:rsid w:val="00C2502E"/>
    <w:rsid w:val="00C2532D"/>
    <w:rsid w:val="00C254CA"/>
    <w:rsid w:val="00C25B37"/>
    <w:rsid w:val="00C25DAD"/>
    <w:rsid w:val="00C26067"/>
    <w:rsid w:val="00C26813"/>
    <w:rsid w:val="00C269B4"/>
    <w:rsid w:val="00C27E9D"/>
    <w:rsid w:val="00C302FA"/>
    <w:rsid w:val="00C30442"/>
    <w:rsid w:val="00C3062B"/>
    <w:rsid w:val="00C3090F"/>
    <w:rsid w:val="00C30F38"/>
    <w:rsid w:val="00C31903"/>
    <w:rsid w:val="00C31CFC"/>
    <w:rsid w:val="00C32025"/>
    <w:rsid w:val="00C3222D"/>
    <w:rsid w:val="00C3292F"/>
    <w:rsid w:val="00C349E4"/>
    <w:rsid w:val="00C34FB0"/>
    <w:rsid w:val="00C3541F"/>
    <w:rsid w:val="00C35594"/>
    <w:rsid w:val="00C35BE5"/>
    <w:rsid w:val="00C35C50"/>
    <w:rsid w:val="00C360EC"/>
    <w:rsid w:val="00C36405"/>
    <w:rsid w:val="00C36C06"/>
    <w:rsid w:val="00C375EA"/>
    <w:rsid w:val="00C3791B"/>
    <w:rsid w:val="00C41773"/>
    <w:rsid w:val="00C41AF1"/>
    <w:rsid w:val="00C41D65"/>
    <w:rsid w:val="00C423D2"/>
    <w:rsid w:val="00C429C5"/>
    <w:rsid w:val="00C432DA"/>
    <w:rsid w:val="00C43A25"/>
    <w:rsid w:val="00C43FE2"/>
    <w:rsid w:val="00C442C1"/>
    <w:rsid w:val="00C442DF"/>
    <w:rsid w:val="00C44C8F"/>
    <w:rsid w:val="00C45975"/>
    <w:rsid w:val="00C459C6"/>
    <w:rsid w:val="00C45EC4"/>
    <w:rsid w:val="00C46B80"/>
    <w:rsid w:val="00C46CDD"/>
    <w:rsid w:val="00C47A0C"/>
    <w:rsid w:val="00C47CB3"/>
    <w:rsid w:val="00C47EA0"/>
    <w:rsid w:val="00C47F48"/>
    <w:rsid w:val="00C50430"/>
    <w:rsid w:val="00C517D7"/>
    <w:rsid w:val="00C527B8"/>
    <w:rsid w:val="00C5318A"/>
    <w:rsid w:val="00C53311"/>
    <w:rsid w:val="00C5347D"/>
    <w:rsid w:val="00C53701"/>
    <w:rsid w:val="00C53708"/>
    <w:rsid w:val="00C538C6"/>
    <w:rsid w:val="00C538E7"/>
    <w:rsid w:val="00C53A21"/>
    <w:rsid w:val="00C549D5"/>
    <w:rsid w:val="00C5524B"/>
    <w:rsid w:val="00C55727"/>
    <w:rsid w:val="00C55C39"/>
    <w:rsid w:val="00C55EE1"/>
    <w:rsid w:val="00C56309"/>
    <w:rsid w:val="00C568B6"/>
    <w:rsid w:val="00C57565"/>
    <w:rsid w:val="00C60297"/>
    <w:rsid w:val="00C605BD"/>
    <w:rsid w:val="00C606A6"/>
    <w:rsid w:val="00C60990"/>
    <w:rsid w:val="00C61175"/>
    <w:rsid w:val="00C61340"/>
    <w:rsid w:val="00C61AD4"/>
    <w:rsid w:val="00C62E83"/>
    <w:rsid w:val="00C639D1"/>
    <w:rsid w:val="00C644EE"/>
    <w:rsid w:val="00C64D10"/>
    <w:rsid w:val="00C64D8C"/>
    <w:rsid w:val="00C64E90"/>
    <w:rsid w:val="00C64EBD"/>
    <w:rsid w:val="00C65050"/>
    <w:rsid w:val="00C65202"/>
    <w:rsid w:val="00C6640D"/>
    <w:rsid w:val="00C668A6"/>
    <w:rsid w:val="00C66B4C"/>
    <w:rsid w:val="00C66C29"/>
    <w:rsid w:val="00C66D15"/>
    <w:rsid w:val="00C672AC"/>
    <w:rsid w:val="00C67F57"/>
    <w:rsid w:val="00C70035"/>
    <w:rsid w:val="00C700DF"/>
    <w:rsid w:val="00C700E0"/>
    <w:rsid w:val="00C702E3"/>
    <w:rsid w:val="00C70446"/>
    <w:rsid w:val="00C70470"/>
    <w:rsid w:val="00C707E2"/>
    <w:rsid w:val="00C711CC"/>
    <w:rsid w:val="00C712A2"/>
    <w:rsid w:val="00C71936"/>
    <w:rsid w:val="00C71A22"/>
    <w:rsid w:val="00C72366"/>
    <w:rsid w:val="00C72386"/>
    <w:rsid w:val="00C725AB"/>
    <w:rsid w:val="00C73112"/>
    <w:rsid w:val="00C73333"/>
    <w:rsid w:val="00C73481"/>
    <w:rsid w:val="00C73F78"/>
    <w:rsid w:val="00C7452C"/>
    <w:rsid w:val="00C7494C"/>
    <w:rsid w:val="00C749AB"/>
    <w:rsid w:val="00C74AB5"/>
    <w:rsid w:val="00C74C48"/>
    <w:rsid w:val="00C74CA4"/>
    <w:rsid w:val="00C74E8E"/>
    <w:rsid w:val="00C74F0E"/>
    <w:rsid w:val="00C75843"/>
    <w:rsid w:val="00C75D55"/>
    <w:rsid w:val="00C75E1C"/>
    <w:rsid w:val="00C76BC3"/>
    <w:rsid w:val="00C76C0D"/>
    <w:rsid w:val="00C76D1A"/>
    <w:rsid w:val="00C76DD4"/>
    <w:rsid w:val="00C76F2D"/>
    <w:rsid w:val="00C775B0"/>
    <w:rsid w:val="00C77774"/>
    <w:rsid w:val="00C7783F"/>
    <w:rsid w:val="00C77923"/>
    <w:rsid w:val="00C77959"/>
    <w:rsid w:val="00C81075"/>
    <w:rsid w:val="00C8108F"/>
    <w:rsid w:val="00C8161E"/>
    <w:rsid w:val="00C81904"/>
    <w:rsid w:val="00C8223F"/>
    <w:rsid w:val="00C82347"/>
    <w:rsid w:val="00C826D0"/>
    <w:rsid w:val="00C82D1F"/>
    <w:rsid w:val="00C8304F"/>
    <w:rsid w:val="00C839E6"/>
    <w:rsid w:val="00C84481"/>
    <w:rsid w:val="00C84594"/>
    <w:rsid w:val="00C84F43"/>
    <w:rsid w:val="00C855BC"/>
    <w:rsid w:val="00C857E6"/>
    <w:rsid w:val="00C8585A"/>
    <w:rsid w:val="00C85BE8"/>
    <w:rsid w:val="00C85D7A"/>
    <w:rsid w:val="00C861A7"/>
    <w:rsid w:val="00C86752"/>
    <w:rsid w:val="00C86839"/>
    <w:rsid w:val="00C86872"/>
    <w:rsid w:val="00C86BCC"/>
    <w:rsid w:val="00C871F1"/>
    <w:rsid w:val="00C87331"/>
    <w:rsid w:val="00C901CD"/>
    <w:rsid w:val="00C91AB0"/>
    <w:rsid w:val="00C91FD6"/>
    <w:rsid w:val="00C921D4"/>
    <w:rsid w:val="00C92253"/>
    <w:rsid w:val="00C928B5"/>
    <w:rsid w:val="00C929E4"/>
    <w:rsid w:val="00C92D7C"/>
    <w:rsid w:val="00C92E28"/>
    <w:rsid w:val="00C93524"/>
    <w:rsid w:val="00C93617"/>
    <w:rsid w:val="00C9378B"/>
    <w:rsid w:val="00C93CE0"/>
    <w:rsid w:val="00C93E41"/>
    <w:rsid w:val="00C94E50"/>
    <w:rsid w:val="00C952B2"/>
    <w:rsid w:val="00C95314"/>
    <w:rsid w:val="00C953CB"/>
    <w:rsid w:val="00C959ED"/>
    <w:rsid w:val="00C963EF"/>
    <w:rsid w:val="00C96434"/>
    <w:rsid w:val="00C968D8"/>
    <w:rsid w:val="00C96BBD"/>
    <w:rsid w:val="00C97376"/>
    <w:rsid w:val="00C97489"/>
    <w:rsid w:val="00C97C0F"/>
    <w:rsid w:val="00C97C84"/>
    <w:rsid w:val="00CA0BFB"/>
    <w:rsid w:val="00CA21E1"/>
    <w:rsid w:val="00CA22E0"/>
    <w:rsid w:val="00CA29BE"/>
    <w:rsid w:val="00CA2D01"/>
    <w:rsid w:val="00CA2E4D"/>
    <w:rsid w:val="00CA3442"/>
    <w:rsid w:val="00CA3980"/>
    <w:rsid w:val="00CA3BA3"/>
    <w:rsid w:val="00CA4739"/>
    <w:rsid w:val="00CA5F5D"/>
    <w:rsid w:val="00CA5FA0"/>
    <w:rsid w:val="00CA626C"/>
    <w:rsid w:val="00CA65AC"/>
    <w:rsid w:val="00CA6776"/>
    <w:rsid w:val="00CA6C52"/>
    <w:rsid w:val="00CA74BF"/>
    <w:rsid w:val="00CA77B2"/>
    <w:rsid w:val="00CA7A81"/>
    <w:rsid w:val="00CB02E5"/>
    <w:rsid w:val="00CB110F"/>
    <w:rsid w:val="00CB11AE"/>
    <w:rsid w:val="00CB1549"/>
    <w:rsid w:val="00CB1FA9"/>
    <w:rsid w:val="00CB2077"/>
    <w:rsid w:val="00CB213F"/>
    <w:rsid w:val="00CB231E"/>
    <w:rsid w:val="00CB2341"/>
    <w:rsid w:val="00CB2F92"/>
    <w:rsid w:val="00CB3B38"/>
    <w:rsid w:val="00CB3BE0"/>
    <w:rsid w:val="00CB3E82"/>
    <w:rsid w:val="00CB4016"/>
    <w:rsid w:val="00CB4A96"/>
    <w:rsid w:val="00CB4BDC"/>
    <w:rsid w:val="00CB522D"/>
    <w:rsid w:val="00CB5741"/>
    <w:rsid w:val="00CB5916"/>
    <w:rsid w:val="00CB5DB1"/>
    <w:rsid w:val="00CB61C1"/>
    <w:rsid w:val="00CB6AF6"/>
    <w:rsid w:val="00CB6C24"/>
    <w:rsid w:val="00CB7438"/>
    <w:rsid w:val="00CC0211"/>
    <w:rsid w:val="00CC0976"/>
    <w:rsid w:val="00CC0A53"/>
    <w:rsid w:val="00CC0C5F"/>
    <w:rsid w:val="00CC159C"/>
    <w:rsid w:val="00CC1B96"/>
    <w:rsid w:val="00CC2B81"/>
    <w:rsid w:val="00CC37B5"/>
    <w:rsid w:val="00CC392D"/>
    <w:rsid w:val="00CC3B9B"/>
    <w:rsid w:val="00CC5074"/>
    <w:rsid w:val="00CC5258"/>
    <w:rsid w:val="00CC5AAF"/>
    <w:rsid w:val="00CC5CC9"/>
    <w:rsid w:val="00CC5F70"/>
    <w:rsid w:val="00CC6D4E"/>
    <w:rsid w:val="00CC7970"/>
    <w:rsid w:val="00CC7AE5"/>
    <w:rsid w:val="00CC7D71"/>
    <w:rsid w:val="00CC7F44"/>
    <w:rsid w:val="00CD00AC"/>
    <w:rsid w:val="00CD0CFB"/>
    <w:rsid w:val="00CD168F"/>
    <w:rsid w:val="00CD1B04"/>
    <w:rsid w:val="00CD1B41"/>
    <w:rsid w:val="00CD1EC0"/>
    <w:rsid w:val="00CD249F"/>
    <w:rsid w:val="00CD282C"/>
    <w:rsid w:val="00CD286F"/>
    <w:rsid w:val="00CD2B8E"/>
    <w:rsid w:val="00CD318F"/>
    <w:rsid w:val="00CD31E9"/>
    <w:rsid w:val="00CD3BD5"/>
    <w:rsid w:val="00CD4028"/>
    <w:rsid w:val="00CD5176"/>
    <w:rsid w:val="00CD5A9D"/>
    <w:rsid w:val="00CD5E9C"/>
    <w:rsid w:val="00CD62E6"/>
    <w:rsid w:val="00CD64BF"/>
    <w:rsid w:val="00CD7159"/>
    <w:rsid w:val="00CD7455"/>
    <w:rsid w:val="00CD78BE"/>
    <w:rsid w:val="00CD7C94"/>
    <w:rsid w:val="00CD7CCA"/>
    <w:rsid w:val="00CD7DED"/>
    <w:rsid w:val="00CE07B7"/>
    <w:rsid w:val="00CE1060"/>
    <w:rsid w:val="00CE12C1"/>
    <w:rsid w:val="00CE1633"/>
    <w:rsid w:val="00CE16CE"/>
    <w:rsid w:val="00CE29BA"/>
    <w:rsid w:val="00CE2A57"/>
    <w:rsid w:val="00CE30BC"/>
    <w:rsid w:val="00CE399E"/>
    <w:rsid w:val="00CE400A"/>
    <w:rsid w:val="00CE43F9"/>
    <w:rsid w:val="00CE4916"/>
    <w:rsid w:val="00CE5564"/>
    <w:rsid w:val="00CE573E"/>
    <w:rsid w:val="00CE5797"/>
    <w:rsid w:val="00CE5A52"/>
    <w:rsid w:val="00CE5D13"/>
    <w:rsid w:val="00CE5EAE"/>
    <w:rsid w:val="00CE6750"/>
    <w:rsid w:val="00CE6876"/>
    <w:rsid w:val="00CE6953"/>
    <w:rsid w:val="00CE6D68"/>
    <w:rsid w:val="00CE6F32"/>
    <w:rsid w:val="00CE7AED"/>
    <w:rsid w:val="00CE7AEE"/>
    <w:rsid w:val="00CE7E84"/>
    <w:rsid w:val="00CE7EAD"/>
    <w:rsid w:val="00CE7FEE"/>
    <w:rsid w:val="00CF0016"/>
    <w:rsid w:val="00CF05D3"/>
    <w:rsid w:val="00CF0D1A"/>
    <w:rsid w:val="00CF0F8E"/>
    <w:rsid w:val="00CF1134"/>
    <w:rsid w:val="00CF11EB"/>
    <w:rsid w:val="00CF1333"/>
    <w:rsid w:val="00CF141B"/>
    <w:rsid w:val="00CF1895"/>
    <w:rsid w:val="00CF2E03"/>
    <w:rsid w:val="00CF2F65"/>
    <w:rsid w:val="00CF32FD"/>
    <w:rsid w:val="00CF3497"/>
    <w:rsid w:val="00CF35AC"/>
    <w:rsid w:val="00CF389A"/>
    <w:rsid w:val="00CF3C55"/>
    <w:rsid w:val="00CF4E34"/>
    <w:rsid w:val="00CF54DB"/>
    <w:rsid w:val="00CF5957"/>
    <w:rsid w:val="00CF5D86"/>
    <w:rsid w:val="00CF60FC"/>
    <w:rsid w:val="00CF6733"/>
    <w:rsid w:val="00CF69C6"/>
    <w:rsid w:val="00CF6B70"/>
    <w:rsid w:val="00CF6E14"/>
    <w:rsid w:val="00CF6EB8"/>
    <w:rsid w:val="00CF6EE4"/>
    <w:rsid w:val="00D011CE"/>
    <w:rsid w:val="00D012EC"/>
    <w:rsid w:val="00D01578"/>
    <w:rsid w:val="00D015B5"/>
    <w:rsid w:val="00D01A50"/>
    <w:rsid w:val="00D01A81"/>
    <w:rsid w:val="00D02637"/>
    <w:rsid w:val="00D027EC"/>
    <w:rsid w:val="00D02870"/>
    <w:rsid w:val="00D02B73"/>
    <w:rsid w:val="00D02E0C"/>
    <w:rsid w:val="00D02E31"/>
    <w:rsid w:val="00D04482"/>
    <w:rsid w:val="00D044FA"/>
    <w:rsid w:val="00D0464F"/>
    <w:rsid w:val="00D047BF"/>
    <w:rsid w:val="00D04E60"/>
    <w:rsid w:val="00D0558D"/>
    <w:rsid w:val="00D05C48"/>
    <w:rsid w:val="00D069AE"/>
    <w:rsid w:val="00D06A83"/>
    <w:rsid w:val="00D0720F"/>
    <w:rsid w:val="00D079BF"/>
    <w:rsid w:val="00D07A14"/>
    <w:rsid w:val="00D07EF0"/>
    <w:rsid w:val="00D07F0E"/>
    <w:rsid w:val="00D1059A"/>
    <w:rsid w:val="00D10826"/>
    <w:rsid w:val="00D11B95"/>
    <w:rsid w:val="00D11D88"/>
    <w:rsid w:val="00D12212"/>
    <w:rsid w:val="00D1259D"/>
    <w:rsid w:val="00D12663"/>
    <w:rsid w:val="00D13089"/>
    <w:rsid w:val="00D1313F"/>
    <w:rsid w:val="00D1334A"/>
    <w:rsid w:val="00D137DC"/>
    <w:rsid w:val="00D1386A"/>
    <w:rsid w:val="00D13A94"/>
    <w:rsid w:val="00D14418"/>
    <w:rsid w:val="00D1466A"/>
    <w:rsid w:val="00D14714"/>
    <w:rsid w:val="00D15035"/>
    <w:rsid w:val="00D1531E"/>
    <w:rsid w:val="00D15621"/>
    <w:rsid w:val="00D156F3"/>
    <w:rsid w:val="00D157E1"/>
    <w:rsid w:val="00D157FB"/>
    <w:rsid w:val="00D1603E"/>
    <w:rsid w:val="00D1626C"/>
    <w:rsid w:val="00D16EB6"/>
    <w:rsid w:val="00D170D2"/>
    <w:rsid w:val="00D170FE"/>
    <w:rsid w:val="00D174B3"/>
    <w:rsid w:val="00D17717"/>
    <w:rsid w:val="00D178A0"/>
    <w:rsid w:val="00D17B18"/>
    <w:rsid w:val="00D20355"/>
    <w:rsid w:val="00D20D3A"/>
    <w:rsid w:val="00D20FD7"/>
    <w:rsid w:val="00D2278D"/>
    <w:rsid w:val="00D233CF"/>
    <w:rsid w:val="00D23AFD"/>
    <w:rsid w:val="00D249A1"/>
    <w:rsid w:val="00D24E08"/>
    <w:rsid w:val="00D24E72"/>
    <w:rsid w:val="00D24F47"/>
    <w:rsid w:val="00D25437"/>
    <w:rsid w:val="00D25941"/>
    <w:rsid w:val="00D26240"/>
    <w:rsid w:val="00D26361"/>
    <w:rsid w:val="00D264B5"/>
    <w:rsid w:val="00D266B3"/>
    <w:rsid w:val="00D2675F"/>
    <w:rsid w:val="00D26A24"/>
    <w:rsid w:val="00D26C76"/>
    <w:rsid w:val="00D26C88"/>
    <w:rsid w:val="00D26D7C"/>
    <w:rsid w:val="00D26EE9"/>
    <w:rsid w:val="00D26F6A"/>
    <w:rsid w:val="00D27337"/>
    <w:rsid w:val="00D27A95"/>
    <w:rsid w:val="00D27CC5"/>
    <w:rsid w:val="00D27CF4"/>
    <w:rsid w:val="00D302F3"/>
    <w:rsid w:val="00D30534"/>
    <w:rsid w:val="00D31298"/>
    <w:rsid w:val="00D3136F"/>
    <w:rsid w:val="00D31731"/>
    <w:rsid w:val="00D31909"/>
    <w:rsid w:val="00D3251F"/>
    <w:rsid w:val="00D32DEF"/>
    <w:rsid w:val="00D336DA"/>
    <w:rsid w:val="00D3395B"/>
    <w:rsid w:val="00D347AA"/>
    <w:rsid w:val="00D34F52"/>
    <w:rsid w:val="00D354D0"/>
    <w:rsid w:val="00D35612"/>
    <w:rsid w:val="00D36C7A"/>
    <w:rsid w:val="00D36DEA"/>
    <w:rsid w:val="00D36F09"/>
    <w:rsid w:val="00D37163"/>
    <w:rsid w:val="00D37444"/>
    <w:rsid w:val="00D37613"/>
    <w:rsid w:val="00D37D57"/>
    <w:rsid w:val="00D37DFB"/>
    <w:rsid w:val="00D40EDF"/>
    <w:rsid w:val="00D417FC"/>
    <w:rsid w:val="00D42B35"/>
    <w:rsid w:val="00D42E0F"/>
    <w:rsid w:val="00D433F5"/>
    <w:rsid w:val="00D4382F"/>
    <w:rsid w:val="00D442F7"/>
    <w:rsid w:val="00D44434"/>
    <w:rsid w:val="00D457FD"/>
    <w:rsid w:val="00D4598B"/>
    <w:rsid w:val="00D46786"/>
    <w:rsid w:val="00D46E09"/>
    <w:rsid w:val="00D46E45"/>
    <w:rsid w:val="00D46EED"/>
    <w:rsid w:val="00D47443"/>
    <w:rsid w:val="00D47659"/>
    <w:rsid w:val="00D47A44"/>
    <w:rsid w:val="00D511FF"/>
    <w:rsid w:val="00D51506"/>
    <w:rsid w:val="00D51A30"/>
    <w:rsid w:val="00D51ED5"/>
    <w:rsid w:val="00D52CFA"/>
    <w:rsid w:val="00D52EE2"/>
    <w:rsid w:val="00D535F7"/>
    <w:rsid w:val="00D53E2F"/>
    <w:rsid w:val="00D53E5B"/>
    <w:rsid w:val="00D54089"/>
    <w:rsid w:val="00D542FC"/>
    <w:rsid w:val="00D548ED"/>
    <w:rsid w:val="00D549ED"/>
    <w:rsid w:val="00D54B7B"/>
    <w:rsid w:val="00D54CB3"/>
    <w:rsid w:val="00D55D8F"/>
    <w:rsid w:val="00D55F6A"/>
    <w:rsid w:val="00D56B13"/>
    <w:rsid w:val="00D60068"/>
    <w:rsid w:val="00D60146"/>
    <w:rsid w:val="00D60982"/>
    <w:rsid w:val="00D6123C"/>
    <w:rsid w:val="00D61758"/>
    <w:rsid w:val="00D61BBC"/>
    <w:rsid w:val="00D61D15"/>
    <w:rsid w:val="00D61F7F"/>
    <w:rsid w:val="00D627F7"/>
    <w:rsid w:val="00D63A45"/>
    <w:rsid w:val="00D63C8C"/>
    <w:rsid w:val="00D64175"/>
    <w:rsid w:val="00D64B69"/>
    <w:rsid w:val="00D64FBC"/>
    <w:rsid w:val="00D66942"/>
    <w:rsid w:val="00D67133"/>
    <w:rsid w:val="00D70211"/>
    <w:rsid w:val="00D70893"/>
    <w:rsid w:val="00D7172D"/>
    <w:rsid w:val="00D717AE"/>
    <w:rsid w:val="00D71926"/>
    <w:rsid w:val="00D719AE"/>
    <w:rsid w:val="00D71D0A"/>
    <w:rsid w:val="00D71EBC"/>
    <w:rsid w:val="00D72461"/>
    <w:rsid w:val="00D72494"/>
    <w:rsid w:val="00D7368E"/>
    <w:rsid w:val="00D73D9B"/>
    <w:rsid w:val="00D73F06"/>
    <w:rsid w:val="00D7428C"/>
    <w:rsid w:val="00D74DBE"/>
    <w:rsid w:val="00D74FCB"/>
    <w:rsid w:val="00D750C2"/>
    <w:rsid w:val="00D75733"/>
    <w:rsid w:val="00D759CB"/>
    <w:rsid w:val="00D7613A"/>
    <w:rsid w:val="00D7638C"/>
    <w:rsid w:val="00D764B4"/>
    <w:rsid w:val="00D76542"/>
    <w:rsid w:val="00D76A24"/>
    <w:rsid w:val="00D775C1"/>
    <w:rsid w:val="00D7761E"/>
    <w:rsid w:val="00D80077"/>
    <w:rsid w:val="00D801EA"/>
    <w:rsid w:val="00D803AF"/>
    <w:rsid w:val="00D805D8"/>
    <w:rsid w:val="00D80616"/>
    <w:rsid w:val="00D80710"/>
    <w:rsid w:val="00D80D47"/>
    <w:rsid w:val="00D80FF1"/>
    <w:rsid w:val="00D812A8"/>
    <w:rsid w:val="00D81CF5"/>
    <w:rsid w:val="00D8276B"/>
    <w:rsid w:val="00D828B1"/>
    <w:rsid w:val="00D82A9A"/>
    <w:rsid w:val="00D82FE5"/>
    <w:rsid w:val="00D83954"/>
    <w:rsid w:val="00D83A54"/>
    <w:rsid w:val="00D83FF7"/>
    <w:rsid w:val="00D84307"/>
    <w:rsid w:val="00D843AB"/>
    <w:rsid w:val="00D8473D"/>
    <w:rsid w:val="00D84D90"/>
    <w:rsid w:val="00D84E10"/>
    <w:rsid w:val="00D85667"/>
    <w:rsid w:val="00D87437"/>
    <w:rsid w:val="00D8760C"/>
    <w:rsid w:val="00D87B92"/>
    <w:rsid w:val="00D907CE"/>
    <w:rsid w:val="00D91141"/>
    <w:rsid w:val="00D912E4"/>
    <w:rsid w:val="00D915A6"/>
    <w:rsid w:val="00D91D3F"/>
    <w:rsid w:val="00D92009"/>
    <w:rsid w:val="00D92301"/>
    <w:rsid w:val="00D927DB"/>
    <w:rsid w:val="00D92D97"/>
    <w:rsid w:val="00D92EAD"/>
    <w:rsid w:val="00D94898"/>
    <w:rsid w:val="00D96307"/>
    <w:rsid w:val="00D96A30"/>
    <w:rsid w:val="00D96CFE"/>
    <w:rsid w:val="00D97364"/>
    <w:rsid w:val="00D97464"/>
    <w:rsid w:val="00D975A1"/>
    <w:rsid w:val="00D979A8"/>
    <w:rsid w:val="00D97C63"/>
    <w:rsid w:val="00D97F96"/>
    <w:rsid w:val="00D97FA3"/>
    <w:rsid w:val="00DA0701"/>
    <w:rsid w:val="00DA10F9"/>
    <w:rsid w:val="00DA13FC"/>
    <w:rsid w:val="00DA14D5"/>
    <w:rsid w:val="00DA150D"/>
    <w:rsid w:val="00DA170A"/>
    <w:rsid w:val="00DA1ADC"/>
    <w:rsid w:val="00DA1B02"/>
    <w:rsid w:val="00DA2AD1"/>
    <w:rsid w:val="00DA2B3D"/>
    <w:rsid w:val="00DA2D87"/>
    <w:rsid w:val="00DA300E"/>
    <w:rsid w:val="00DA339C"/>
    <w:rsid w:val="00DA3945"/>
    <w:rsid w:val="00DA4353"/>
    <w:rsid w:val="00DA4CD1"/>
    <w:rsid w:val="00DA500B"/>
    <w:rsid w:val="00DA5B44"/>
    <w:rsid w:val="00DA5E28"/>
    <w:rsid w:val="00DA65F6"/>
    <w:rsid w:val="00DA7179"/>
    <w:rsid w:val="00DB0364"/>
    <w:rsid w:val="00DB07AA"/>
    <w:rsid w:val="00DB0D4E"/>
    <w:rsid w:val="00DB1092"/>
    <w:rsid w:val="00DB17B4"/>
    <w:rsid w:val="00DB1BBD"/>
    <w:rsid w:val="00DB1BCE"/>
    <w:rsid w:val="00DB1ECA"/>
    <w:rsid w:val="00DB2C81"/>
    <w:rsid w:val="00DB327F"/>
    <w:rsid w:val="00DB390A"/>
    <w:rsid w:val="00DB39B3"/>
    <w:rsid w:val="00DB42D4"/>
    <w:rsid w:val="00DB4C55"/>
    <w:rsid w:val="00DB59B7"/>
    <w:rsid w:val="00DB6911"/>
    <w:rsid w:val="00DB73F6"/>
    <w:rsid w:val="00DB7604"/>
    <w:rsid w:val="00DB7775"/>
    <w:rsid w:val="00DB78FF"/>
    <w:rsid w:val="00DC0A87"/>
    <w:rsid w:val="00DC0C78"/>
    <w:rsid w:val="00DC1836"/>
    <w:rsid w:val="00DC18B6"/>
    <w:rsid w:val="00DC1A91"/>
    <w:rsid w:val="00DC1C23"/>
    <w:rsid w:val="00DC21AC"/>
    <w:rsid w:val="00DC26D4"/>
    <w:rsid w:val="00DC2C2B"/>
    <w:rsid w:val="00DC2F57"/>
    <w:rsid w:val="00DC307E"/>
    <w:rsid w:val="00DC3102"/>
    <w:rsid w:val="00DC341B"/>
    <w:rsid w:val="00DC3BB4"/>
    <w:rsid w:val="00DC4103"/>
    <w:rsid w:val="00DC4352"/>
    <w:rsid w:val="00DC4462"/>
    <w:rsid w:val="00DC45AF"/>
    <w:rsid w:val="00DC4BC7"/>
    <w:rsid w:val="00DC4C80"/>
    <w:rsid w:val="00DC4E2E"/>
    <w:rsid w:val="00DC538D"/>
    <w:rsid w:val="00DC5516"/>
    <w:rsid w:val="00DC5746"/>
    <w:rsid w:val="00DC5D3B"/>
    <w:rsid w:val="00DC5DEE"/>
    <w:rsid w:val="00DC5E87"/>
    <w:rsid w:val="00DC601C"/>
    <w:rsid w:val="00DC7545"/>
    <w:rsid w:val="00DC7DCA"/>
    <w:rsid w:val="00DD0162"/>
    <w:rsid w:val="00DD027C"/>
    <w:rsid w:val="00DD055A"/>
    <w:rsid w:val="00DD05F2"/>
    <w:rsid w:val="00DD0639"/>
    <w:rsid w:val="00DD0C69"/>
    <w:rsid w:val="00DD0DD3"/>
    <w:rsid w:val="00DD1431"/>
    <w:rsid w:val="00DD2941"/>
    <w:rsid w:val="00DD2B70"/>
    <w:rsid w:val="00DD2DDA"/>
    <w:rsid w:val="00DD2E76"/>
    <w:rsid w:val="00DD2E92"/>
    <w:rsid w:val="00DD3068"/>
    <w:rsid w:val="00DD3406"/>
    <w:rsid w:val="00DD39EB"/>
    <w:rsid w:val="00DD3C5D"/>
    <w:rsid w:val="00DD3CCB"/>
    <w:rsid w:val="00DD3D4A"/>
    <w:rsid w:val="00DD434A"/>
    <w:rsid w:val="00DD43CA"/>
    <w:rsid w:val="00DD47BF"/>
    <w:rsid w:val="00DD4E39"/>
    <w:rsid w:val="00DD4EC5"/>
    <w:rsid w:val="00DD585E"/>
    <w:rsid w:val="00DD5B0B"/>
    <w:rsid w:val="00DD5D7E"/>
    <w:rsid w:val="00DD65A7"/>
    <w:rsid w:val="00DD6AD1"/>
    <w:rsid w:val="00DD6CED"/>
    <w:rsid w:val="00DD70B8"/>
    <w:rsid w:val="00DD7D1C"/>
    <w:rsid w:val="00DE0318"/>
    <w:rsid w:val="00DE0338"/>
    <w:rsid w:val="00DE03DC"/>
    <w:rsid w:val="00DE0673"/>
    <w:rsid w:val="00DE068D"/>
    <w:rsid w:val="00DE1657"/>
    <w:rsid w:val="00DE17FC"/>
    <w:rsid w:val="00DE1A58"/>
    <w:rsid w:val="00DE2000"/>
    <w:rsid w:val="00DE2117"/>
    <w:rsid w:val="00DE266B"/>
    <w:rsid w:val="00DE28E6"/>
    <w:rsid w:val="00DE2A89"/>
    <w:rsid w:val="00DE2B8C"/>
    <w:rsid w:val="00DE3700"/>
    <w:rsid w:val="00DE3A38"/>
    <w:rsid w:val="00DE3CCA"/>
    <w:rsid w:val="00DE3E65"/>
    <w:rsid w:val="00DE41EA"/>
    <w:rsid w:val="00DE4916"/>
    <w:rsid w:val="00DE4B84"/>
    <w:rsid w:val="00DE4EDD"/>
    <w:rsid w:val="00DE50C4"/>
    <w:rsid w:val="00DE511E"/>
    <w:rsid w:val="00DE547D"/>
    <w:rsid w:val="00DE5AC2"/>
    <w:rsid w:val="00DE6380"/>
    <w:rsid w:val="00DE6906"/>
    <w:rsid w:val="00DE6B77"/>
    <w:rsid w:val="00DE6B9B"/>
    <w:rsid w:val="00DE71E8"/>
    <w:rsid w:val="00DE727A"/>
    <w:rsid w:val="00DE770A"/>
    <w:rsid w:val="00DE794B"/>
    <w:rsid w:val="00DF022F"/>
    <w:rsid w:val="00DF049E"/>
    <w:rsid w:val="00DF17D3"/>
    <w:rsid w:val="00DF1C99"/>
    <w:rsid w:val="00DF3C45"/>
    <w:rsid w:val="00DF3C8B"/>
    <w:rsid w:val="00DF3E5C"/>
    <w:rsid w:val="00DF48B5"/>
    <w:rsid w:val="00DF51A7"/>
    <w:rsid w:val="00DF54B2"/>
    <w:rsid w:val="00DF5675"/>
    <w:rsid w:val="00DF59D0"/>
    <w:rsid w:val="00DF5CDE"/>
    <w:rsid w:val="00DF5D86"/>
    <w:rsid w:val="00DF5F99"/>
    <w:rsid w:val="00DF6A24"/>
    <w:rsid w:val="00DF6DD4"/>
    <w:rsid w:val="00DF701B"/>
    <w:rsid w:val="00DF741D"/>
    <w:rsid w:val="00E00207"/>
    <w:rsid w:val="00E017C6"/>
    <w:rsid w:val="00E021BA"/>
    <w:rsid w:val="00E02CE5"/>
    <w:rsid w:val="00E02EC0"/>
    <w:rsid w:val="00E03024"/>
    <w:rsid w:val="00E03813"/>
    <w:rsid w:val="00E03F00"/>
    <w:rsid w:val="00E04154"/>
    <w:rsid w:val="00E0427C"/>
    <w:rsid w:val="00E04894"/>
    <w:rsid w:val="00E04D41"/>
    <w:rsid w:val="00E05531"/>
    <w:rsid w:val="00E06215"/>
    <w:rsid w:val="00E06638"/>
    <w:rsid w:val="00E06BA4"/>
    <w:rsid w:val="00E06EDF"/>
    <w:rsid w:val="00E07177"/>
    <w:rsid w:val="00E07356"/>
    <w:rsid w:val="00E07711"/>
    <w:rsid w:val="00E10AB5"/>
    <w:rsid w:val="00E116A5"/>
    <w:rsid w:val="00E11902"/>
    <w:rsid w:val="00E11AA8"/>
    <w:rsid w:val="00E122AB"/>
    <w:rsid w:val="00E12EDC"/>
    <w:rsid w:val="00E12F39"/>
    <w:rsid w:val="00E1316D"/>
    <w:rsid w:val="00E13210"/>
    <w:rsid w:val="00E132D0"/>
    <w:rsid w:val="00E13612"/>
    <w:rsid w:val="00E14844"/>
    <w:rsid w:val="00E14A2E"/>
    <w:rsid w:val="00E14BE2"/>
    <w:rsid w:val="00E159AD"/>
    <w:rsid w:val="00E15A71"/>
    <w:rsid w:val="00E15C9D"/>
    <w:rsid w:val="00E1604C"/>
    <w:rsid w:val="00E161C0"/>
    <w:rsid w:val="00E16239"/>
    <w:rsid w:val="00E16551"/>
    <w:rsid w:val="00E179DF"/>
    <w:rsid w:val="00E202D9"/>
    <w:rsid w:val="00E20346"/>
    <w:rsid w:val="00E20630"/>
    <w:rsid w:val="00E22027"/>
    <w:rsid w:val="00E22077"/>
    <w:rsid w:val="00E228D2"/>
    <w:rsid w:val="00E23181"/>
    <w:rsid w:val="00E233B6"/>
    <w:rsid w:val="00E238B1"/>
    <w:rsid w:val="00E238E8"/>
    <w:rsid w:val="00E23DBF"/>
    <w:rsid w:val="00E24331"/>
    <w:rsid w:val="00E24B7E"/>
    <w:rsid w:val="00E250BC"/>
    <w:rsid w:val="00E2553A"/>
    <w:rsid w:val="00E25755"/>
    <w:rsid w:val="00E26207"/>
    <w:rsid w:val="00E267FC"/>
    <w:rsid w:val="00E26C21"/>
    <w:rsid w:val="00E26EB2"/>
    <w:rsid w:val="00E270D5"/>
    <w:rsid w:val="00E273A0"/>
    <w:rsid w:val="00E275B9"/>
    <w:rsid w:val="00E27A8D"/>
    <w:rsid w:val="00E309FB"/>
    <w:rsid w:val="00E30ABC"/>
    <w:rsid w:val="00E30B1B"/>
    <w:rsid w:val="00E30E21"/>
    <w:rsid w:val="00E313B5"/>
    <w:rsid w:val="00E31446"/>
    <w:rsid w:val="00E3161A"/>
    <w:rsid w:val="00E31AA0"/>
    <w:rsid w:val="00E31CC4"/>
    <w:rsid w:val="00E31CF0"/>
    <w:rsid w:val="00E31D54"/>
    <w:rsid w:val="00E31F34"/>
    <w:rsid w:val="00E323D7"/>
    <w:rsid w:val="00E323EF"/>
    <w:rsid w:val="00E32A47"/>
    <w:rsid w:val="00E32AC2"/>
    <w:rsid w:val="00E32D01"/>
    <w:rsid w:val="00E33CE6"/>
    <w:rsid w:val="00E33EEF"/>
    <w:rsid w:val="00E34127"/>
    <w:rsid w:val="00E353FF"/>
    <w:rsid w:val="00E358DC"/>
    <w:rsid w:val="00E35A5D"/>
    <w:rsid w:val="00E35CBB"/>
    <w:rsid w:val="00E361B0"/>
    <w:rsid w:val="00E36209"/>
    <w:rsid w:val="00E3647A"/>
    <w:rsid w:val="00E3648D"/>
    <w:rsid w:val="00E366E1"/>
    <w:rsid w:val="00E37283"/>
    <w:rsid w:val="00E37979"/>
    <w:rsid w:val="00E37CDC"/>
    <w:rsid w:val="00E37E1F"/>
    <w:rsid w:val="00E37FB3"/>
    <w:rsid w:val="00E40BB9"/>
    <w:rsid w:val="00E41107"/>
    <w:rsid w:val="00E42093"/>
    <w:rsid w:val="00E4230B"/>
    <w:rsid w:val="00E425DD"/>
    <w:rsid w:val="00E429A1"/>
    <w:rsid w:val="00E4335C"/>
    <w:rsid w:val="00E437A5"/>
    <w:rsid w:val="00E439CE"/>
    <w:rsid w:val="00E44044"/>
    <w:rsid w:val="00E44276"/>
    <w:rsid w:val="00E448DD"/>
    <w:rsid w:val="00E44C0B"/>
    <w:rsid w:val="00E44C4E"/>
    <w:rsid w:val="00E44E4F"/>
    <w:rsid w:val="00E45878"/>
    <w:rsid w:val="00E45BCD"/>
    <w:rsid w:val="00E45D81"/>
    <w:rsid w:val="00E4610A"/>
    <w:rsid w:val="00E463DF"/>
    <w:rsid w:val="00E467DC"/>
    <w:rsid w:val="00E46B38"/>
    <w:rsid w:val="00E46B6C"/>
    <w:rsid w:val="00E4700F"/>
    <w:rsid w:val="00E47DF9"/>
    <w:rsid w:val="00E47FF8"/>
    <w:rsid w:val="00E50842"/>
    <w:rsid w:val="00E50E18"/>
    <w:rsid w:val="00E510CF"/>
    <w:rsid w:val="00E515AE"/>
    <w:rsid w:val="00E518FC"/>
    <w:rsid w:val="00E5196C"/>
    <w:rsid w:val="00E51986"/>
    <w:rsid w:val="00E51EAE"/>
    <w:rsid w:val="00E525E6"/>
    <w:rsid w:val="00E5270D"/>
    <w:rsid w:val="00E52A34"/>
    <w:rsid w:val="00E52C45"/>
    <w:rsid w:val="00E536A3"/>
    <w:rsid w:val="00E53CAA"/>
    <w:rsid w:val="00E53D5E"/>
    <w:rsid w:val="00E54B53"/>
    <w:rsid w:val="00E550A2"/>
    <w:rsid w:val="00E55203"/>
    <w:rsid w:val="00E560CF"/>
    <w:rsid w:val="00E56527"/>
    <w:rsid w:val="00E567C2"/>
    <w:rsid w:val="00E568F0"/>
    <w:rsid w:val="00E56D75"/>
    <w:rsid w:val="00E57493"/>
    <w:rsid w:val="00E57CEC"/>
    <w:rsid w:val="00E60560"/>
    <w:rsid w:val="00E60686"/>
    <w:rsid w:val="00E606AB"/>
    <w:rsid w:val="00E60FB9"/>
    <w:rsid w:val="00E6102A"/>
    <w:rsid w:val="00E61149"/>
    <w:rsid w:val="00E613D5"/>
    <w:rsid w:val="00E61D3E"/>
    <w:rsid w:val="00E61FC3"/>
    <w:rsid w:val="00E62751"/>
    <w:rsid w:val="00E62A08"/>
    <w:rsid w:val="00E62AAD"/>
    <w:rsid w:val="00E6308F"/>
    <w:rsid w:val="00E64025"/>
    <w:rsid w:val="00E64F2A"/>
    <w:rsid w:val="00E65069"/>
    <w:rsid w:val="00E6612B"/>
    <w:rsid w:val="00E66303"/>
    <w:rsid w:val="00E66752"/>
    <w:rsid w:val="00E6677B"/>
    <w:rsid w:val="00E668BB"/>
    <w:rsid w:val="00E66A31"/>
    <w:rsid w:val="00E66D04"/>
    <w:rsid w:val="00E67058"/>
    <w:rsid w:val="00E6781A"/>
    <w:rsid w:val="00E678CD"/>
    <w:rsid w:val="00E70220"/>
    <w:rsid w:val="00E7089B"/>
    <w:rsid w:val="00E70ABE"/>
    <w:rsid w:val="00E70CAA"/>
    <w:rsid w:val="00E71B31"/>
    <w:rsid w:val="00E71C0D"/>
    <w:rsid w:val="00E71D2C"/>
    <w:rsid w:val="00E72258"/>
    <w:rsid w:val="00E73117"/>
    <w:rsid w:val="00E73400"/>
    <w:rsid w:val="00E73AF1"/>
    <w:rsid w:val="00E740DC"/>
    <w:rsid w:val="00E74686"/>
    <w:rsid w:val="00E74A0F"/>
    <w:rsid w:val="00E753B9"/>
    <w:rsid w:val="00E75527"/>
    <w:rsid w:val="00E75562"/>
    <w:rsid w:val="00E75A5A"/>
    <w:rsid w:val="00E75CAB"/>
    <w:rsid w:val="00E75E5F"/>
    <w:rsid w:val="00E75E99"/>
    <w:rsid w:val="00E75EC4"/>
    <w:rsid w:val="00E766F8"/>
    <w:rsid w:val="00E76916"/>
    <w:rsid w:val="00E76D74"/>
    <w:rsid w:val="00E76F0B"/>
    <w:rsid w:val="00E77156"/>
    <w:rsid w:val="00E776E0"/>
    <w:rsid w:val="00E77ABA"/>
    <w:rsid w:val="00E800E2"/>
    <w:rsid w:val="00E809F6"/>
    <w:rsid w:val="00E80C2C"/>
    <w:rsid w:val="00E80CEE"/>
    <w:rsid w:val="00E8183E"/>
    <w:rsid w:val="00E81872"/>
    <w:rsid w:val="00E821AE"/>
    <w:rsid w:val="00E823D6"/>
    <w:rsid w:val="00E82887"/>
    <w:rsid w:val="00E839EF"/>
    <w:rsid w:val="00E83BCA"/>
    <w:rsid w:val="00E8458C"/>
    <w:rsid w:val="00E84AE9"/>
    <w:rsid w:val="00E84E87"/>
    <w:rsid w:val="00E85163"/>
    <w:rsid w:val="00E85371"/>
    <w:rsid w:val="00E854E1"/>
    <w:rsid w:val="00E85DC1"/>
    <w:rsid w:val="00E85EE3"/>
    <w:rsid w:val="00E85FDF"/>
    <w:rsid w:val="00E86E06"/>
    <w:rsid w:val="00E86E63"/>
    <w:rsid w:val="00E87A99"/>
    <w:rsid w:val="00E903A3"/>
    <w:rsid w:val="00E9084D"/>
    <w:rsid w:val="00E908DB"/>
    <w:rsid w:val="00E915BF"/>
    <w:rsid w:val="00E916E7"/>
    <w:rsid w:val="00E917B2"/>
    <w:rsid w:val="00E92010"/>
    <w:rsid w:val="00E92228"/>
    <w:rsid w:val="00E923F8"/>
    <w:rsid w:val="00E92525"/>
    <w:rsid w:val="00E925A2"/>
    <w:rsid w:val="00E92B0F"/>
    <w:rsid w:val="00E9318D"/>
    <w:rsid w:val="00E93380"/>
    <w:rsid w:val="00E93825"/>
    <w:rsid w:val="00E93DDB"/>
    <w:rsid w:val="00E94706"/>
    <w:rsid w:val="00E94E8C"/>
    <w:rsid w:val="00E95E55"/>
    <w:rsid w:val="00E96087"/>
    <w:rsid w:val="00E96284"/>
    <w:rsid w:val="00E963AB"/>
    <w:rsid w:val="00E96F9F"/>
    <w:rsid w:val="00E97369"/>
    <w:rsid w:val="00E97416"/>
    <w:rsid w:val="00E97BCE"/>
    <w:rsid w:val="00E97C36"/>
    <w:rsid w:val="00EA0403"/>
    <w:rsid w:val="00EA04B2"/>
    <w:rsid w:val="00EA0699"/>
    <w:rsid w:val="00EA1C39"/>
    <w:rsid w:val="00EA315D"/>
    <w:rsid w:val="00EA3310"/>
    <w:rsid w:val="00EA3873"/>
    <w:rsid w:val="00EA3A3C"/>
    <w:rsid w:val="00EA3BBC"/>
    <w:rsid w:val="00EA3DF3"/>
    <w:rsid w:val="00EA3F00"/>
    <w:rsid w:val="00EA4FEC"/>
    <w:rsid w:val="00EA5486"/>
    <w:rsid w:val="00EA5C2D"/>
    <w:rsid w:val="00EA5D6E"/>
    <w:rsid w:val="00EA60FD"/>
    <w:rsid w:val="00EA611A"/>
    <w:rsid w:val="00EA664F"/>
    <w:rsid w:val="00EA6CCD"/>
    <w:rsid w:val="00EA6F40"/>
    <w:rsid w:val="00EA70A2"/>
    <w:rsid w:val="00EA767B"/>
    <w:rsid w:val="00EA7763"/>
    <w:rsid w:val="00EA795E"/>
    <w:rsid w:val="00EA7ED5"/>
    <w:rsid w:val="00EB050F"/>
    <w:rsid w:val="00EB0624"/>
    <w:rsid w:val="00EB0A44"/>
    <w:rsid w:val="00EB14C1"/>
    <w:rsid w:val="00EB15EB"/>
    <w:rsid w:val="00EB1896"/>
    <w:rsid w:val="00EB1C77"/>
    <w:rsid w:val="00EB1E9F"/>
    <w:rsid w:val="00EB2323"/>
    <w:rsid w:val="00EB265F"/>
    <w:rsid w:val="00EB267C"/>
    <w:rsid w:val="00EB284F"/>
    <w:rsid w:val="00EB2A63"/>
    <w:rsid w:val="00EB34FF"/>
    <w:rsid w:val="00EB3505"/>
    <w:rsid w:val="00EB3579"/>
    <w:rsid w:val="00EB3717"/>
    <w:rsid w:val="00EB3B82"/>
    <w:rsid w:val="00EB3E56"/>
    <w:rsid w:val="00EB3FD0"/>
    <w:rsid w:val="00EB4A57"/>
    <w:rsid w:val="00EB5624"/>
    <w:rsid w:val="00EB5BB2"/>
    <w:rsid w:val="00EB6067"/>
    <w:rsid w:val="00EB660A"/>
    <w:rsid w:val="00EB6777"/>
    <w:rsid w:val="00EB77EA"/>
    <w:rsid w:val="00EB798B"/>
    <w:rsid w:val="00EB7B41"/>
    <w:rsid w:val="00EB7FD6"/>
    <w:rsid w:val="00EC0702"/>
    <w:rsid w:val="00EC0AAC"/>
    <w:rsid w:val="00EC10D4"/>
    <w:rsid w:val="00EC1DA1"/>
    <w:rsid w:val="00EC20CC"/>
    <w:rsid w:val="00EC23D5"/>
    <w:rsid w:val="00EC2941"/>
    <w:rsid w:val="00EC2D2A"/>
    <w:rsid w:val="00EC3D63"/>
    <w:rsid w:val="00EC40D9"/>
    <w:rsid w:val="00EC4605"/>
    <w:rsid w:val="00EC4909"/>
    <w:rsid w:val="00EC49C0"/>
    <w:rsid w:val="00EC4A6F"/>
    <w:rsid w:val="00EC5127"/>
    <w:rsid w:val="00EC5BC4"/>
    <w:rsid w:val="00EC6068"/>
    <w:rsid w:val="00EC644E"/>
    <w:rsid w:val="00EC6944"/>
    <w:rsid w:val="00EC6E56"/>
    <w:rsid w:val="00EC765B"/>
    <w:rsid w:val="00EC7C86"/>
    <w:rsid w:val="00ED057F"/>
    <w:rsid w:val="00ED066F"/>
    <w:rsid w:val="00ED0999"/>
    <w:rsid w:val="00ED1892"/>
    <w:rsid w:val="00ED1A8E"/>
    <w:rsid w:val="00ED22DA"/>
    <w:rsid w:val="00ED2C60"/>
    <w:rsid w:val="00ED2E62"/>
    <w:rsid w:val="00ED2E95"/>
    <w:rsid w:val="00ED2F33"/>
    <w:rsid w:val="00ED2F34"/>
    <w:rsid w:val="00ED38C6"/>
    <w:rsid w:val="00ED39FD"/>
    <w:rsid w:val="00ED3B27"/>
    <w:rsid w:val="00ED40F6"/>
    <w:rsid w:val="00ED48C3"/>
    <w:rsid w:val="00ED4C9F"/>
    <w:rsid w:val="00ED5146"/>
    <w:rsid w:val="00ED532F"/>
    <w:rsid w:val="00ED57F5"/>
    <w:rsid w:val="00ED583D"/>
    <w:rsid w:val="00ED5903"/>
    <w:rsid w:val="00ED5933"/>
    <w:rsid w:val="00ED6005"/>
    <w:rsid w:val="00ED6037"/>
    <w:rsid w:val="00ED626D"/>
    <w:rsid w:val="00ED69CA"/>
    <w:rsid w:val="00ED7077"/>
    <w:rsid w:val="00ED7559"/>
    <w:rsid w:val="00ED7709"/>
    <w:rsid w:val="00ED7851"/>
    <w:rsid w:val="00ED7890"/>
    <w:rsid w:val="00ED7EA2"/>
    <w:rsid w:val="00EE08C2"/>
    <w:rsid w:val="00EE0D6A"/>
    <w:rsid w:val="00EE0DF6"/>
    <w:rsid w:val="00EE147D"/>
    <w:rsid w:val="00EE1481"/>
    <w:rsid w:val="00EE16ED"/>
    <w:rsid w:val="00EE1868"/>
    <w:rsid w:val="00EE22A6"/>
    <w:rsid w:val="00EE2557"/>
    <w:rsid w:val="00EE26BA"/>
    <w:rsid w:val="00EE2E6C"/>
    <w:rsid w:val="00EE2F7C"/>
    <w:rsid w:val="00EE331B"/>
    <w:rsid w:val="00EE38A1"/>
    <w:rsid w:val="00EE3C22"/>
    <w:rsid w:val="00EE401B"/>
    <w:rsid w:val="00EE4604"/>
    <w:rsid w:val="00EE466E"/>
    <w:rsid w:val="00EE5412"/>
    <w:rsid w:val="00EE5429"/>
    <w:rsid w:val="00EE59DE"/>
    <w:rsid w:val="00EE6102"/>
    <w:rsid w:val="00EE62E9"/>
    <w:rsid w:val="00EE66DD"/>
    <w:rsid w:val="00EE6C56"/>
    <w:rsid w:val="00EE7C2C"/>
    <w:rsid w:val="00EE7CE3"/>
    <w:rsid w:val="00EE7DCF"/>
    <w:rsid w:val="00EF0243"/>
    <w:rsid w:val="00EF069E"/>
    <w:rsid w:val="00EF0A0D"/>
    <w:rsid w:val="00EF12D2"/>
    <w:rsid w:val="00EF1780"/>
    <w:rsid w:val="00EF178B"/>
    <w:rsid w:val="00EF1B58"/>
    <w:rsid w:val="00EF1E02"/>
    <w:rsid w:val="00EF233D"/>
    <w:rsid w:val="00EF2591"/>
    <w:rsid w:val="00EF2EF7"/>
    <w:rsid w:val="00EF2F15"/>
    <w:rsid w:val="00EF315F"/>
    <w:rsid w:val="00EF3489"/>
    <w:rsid w:val="00EF3734"/>
    <w:rsid w:val="00EF388F"/>
    <w:rsid w:val="00EF3AB0"/>
    <w:rsid w:val="00EF3C7D"/>
    <w:rsid w:val="00EF3EC0"/>
    <w:rsid w:val="00EF41D8"/>
    <w:rsid w:val="00EF430E"/>
    <w:rsid w:val="00EF4F5D"/>
    <w:rsid w:val="00EF5695"/>
    <w:rsid w:val="00EF61F3"/>
    <w:rsid w:val="00EF6229"/>
    <w:rsid w:val="00EF6604"/>
    <w:rsid w:val="00EF6838"/>
    <w:rsid w:val="00EF6A17"/>
    <w:rsid w:val="00EF6D69"/>
    <w:rsid w:val="00EF79F0"/>
    <w:rsid w:val="00EF79FF"/>
    <w:rsid w:val="00EF7A1F"/>
    <w:rsid w:val="00F00380"/>
    <w:rsid w:val="00F003F6"/>
    <w:rsid w:val="00F00649"/>
    <w:rsid w:val="00F0236B"/>
    <w:rsid w:val="00F0282E"/>
    <w:rsid w:val="00F02CAA"/>
    <w:rsid w:val="00F02D8A"/>
    <w:rsid w:val="00F0327D"/>
    <w:rsid w:val="00F03321"/>
    <w:rsid w:val="00F0383A"/>
    <w:rsid w:val="00F038B9"/>
    <w:rsid w:val="00F03A6E"/>
    <w:rsid w:val="00F04422"/>
    <w:rsid w:val="00F04515"/>
    <w:rsid w:val="00F04AAF"/>
    <w:rsid w:val="00F04E2C"/>
    <w:rsid w:val="00F04E91"/>
    <w:rsid w:val="00F052CD"/>
    <w:rsid w:val="00F055BC"/>
    <w:rsid w:val="00F056B3"/>
    <w:rsid w:val="00F05AAA"/>
    <w:rsid w:val="00F06177"/>
    <w:rsid w:val="00F061E0"/>
    <w:rsid w:val="00F07B2A"/>
    <w:rsid w:val="00F07FE4"/>
    <w:rsid w:val="00F1072A"/>
    <w:rsid w:val="00F10860"/>
    <w:rsid w:val="00F10A12"/>
    <w:rsid w:val="00F10AB6"/>
    <w:rsid w:val="00F10B19"/>
    <w:rsid w:val="00F10E6C"/>
    <w:rsid w:val="00F10E88"/>
    <w:rsid w:val="00F11DEE"/>
    <w:rsid w:val="00F12011"/>
    <w:rsid w:val="00F1289D"/>
    <w:rsid w:val="00F12B7A"/>
    <w:rsid w:val="00F132F8"/>
    <w:rsid w:val="00F134E1"/>
    <w:rsid w:val="00F136DF"/>
    <w:rsid w:val="00F139A8"/>
    <w:rsid w:val="00F13BAE"/>
    <w:rsid w:val="00F13D2C"/>
    <w:rsid w:val="00F140BE"/>
    <w:rsid w:val="00F144BF"/>
    <w:rsid w:val="00F14918"/>
    <w:rsid w:val="00F149E3"/>
    <w:rsid w:val="00F15205"/>
    <w:rsid w:val="00F1547B"/>
    <w:rsid w:val="00F15C6D"/>
    <w:rsid w:val="00F161CE"/>
    <w:rsid w:val="00F16287"/>
    <w:rsid w:val="00F162CC"/>
    <w:rsid w:val="00F16381"/>
    <w:rsid w:val="00F16984"/>
    <w:rsid w:val="00F16ED9"/>
    <w:rsid w:val="00F16EDE"/>
    <w:rsid w:val="00F17542"/>
    <w:rsid w:val="00F1782E"/>
    <w:rsid w:val="00F17E5D"/>
    <w:rsid w:val="00F20111"/>
    <w:rsid w:val="00F20560"/>
    <w:rsid w:val="00F214BB"/>
    <w:rsid w:val="00F21701"/>
    <w:rsid w:val="00F217C6"/>
    <w:rsid w:val="00F22002"/>
    <w:rsid w:val="00F221FB"/>
    <w:rsid w:val="00F22770"/>
    <w:rsid w:val="00F2306A"/>
    <w:rsid w:val="00F23888"/>
    <w:rsid w:val="00F238DC"/>
    <w:rsid w:val="00F23D6A"/>
    <w:rsid w:val="00F2410E"/>
    <w:rsid w:val="00F246AB"/>
    <w:rsid w:val="00F24902"/>
    <w:rsid w:val="00F24B40"/>
    <w:rsid w:val="00F25039"/>
    <w:rsid w:val="00F25415"/>
    <w:rsid w:val="00F259B0"/>
    <w:rsid w:val="00F26752"/>
    <w:rsid w:val="00F26894"/>
    <w:rsid w:val="00F26AB2"/>
    <w:rsid w:val="00F26AE4"/>
    <w:rsid w:val="00F26B3C"/>
    <w:rsid w:val="00F2710B"/>
    <w:rsid w:val="00F301C2"/>
    <w:rsid w:val="00F301E8"/>
    <w:rsid w:val="00F30B26"/>
    <w:rsid w:val="00F3105C"/>
    <w:rsid w:val="00F31C49"/>
    <w:rsid w:val="00F31CD7"/>
    <w:rsid w:val="00F321B1"/>
    <w:rsid w:val="00F3239B"/>
    <w:rsid w:val="00F325A5"/>
    <w:rsid w:val="00F327B2"/>
    <w:rsid w:val="00F32A5F"/>
    <w:rsid w:val="00F32FBF"/>
    <w:rsid w:val="00F33A18"/>
    <w:rsid w:val="00F33D1E"/>
    <w:rsid w:val="00F3433B"/>
    <w:rsid w:val="00F3485F"/>
    <w:rsid w:val="00F3520F"/>
    <w:rsid w:val="00F357E1"/>
    <w:rsid w:val="00F35BE2"/>
    <w:rsid w:val="00F36A60"/>
    <w:rsid w:val="00F36E27"/>
    <w:rsid w:val="00F36F53"/>
    <w:rsid w:val="00F374D1"/>
    <w:rsid w:val="00F378AC"/>
    <w:rsid w:val="00F37BC1"/>
    <w:rsid w:val="00F37E26"/>
    <w:rsid w:val="00F401D0"/>
    <w:rsid w:val="00F403A2"/>
    <w:rsid w:val="00F40C85"/>
    <w:rsid w:val="00F41732"/>
    <w:rsid w:val="00F41AB1"/>
    <w:rsid w:val="00F41ADB"/>
    <w:rsid w:val="00F41B38"/>
    <w:rsid w:val="00F41F7E"/>
    <w:rsid w:val="00F423F0"/>
    <w:rsid w:val="00F42C2A"/>
    <w:rsid w:val="00F42DC9"/>
    <w:rsid w:val="00F43118"/>
    <w:rsid w:val="00F4375D"/>
    <w:rsid w:val="00F43CF1"/>
    <w:rsid w:val="00F44703"/>
    <w:rsid w:val="00F4488A"/>
    <w:rsid w:val="00F44BA5"/>
    <w:rsid w:val="00F450D4"/>
    <w:rsid w:val="00F45771"/>
    <w:rsid w:val="00F45C4F"/>
    <w:rsid w:val="00F4637E"/>
    <w:rsid w:val="00F465E2"/>
    <w:rsid w:val="00F46AE9"/>
    <w:rsid w:val="00F46E93"/>
    <w:rsid w:val="00F472BC"/>
    <w:rsid w:val="00F47BE5"/>
    <w:rsid w:val="00F5039F"/>
    <w:rsid w:val="00F50499"/>
    <w:rsid w:val="00F511ED"/>
    <w:rsid w:val="00F514D8"/>
    <w:rsid w:val="00F527E9"/>
    <w:rsid w:val="00F530E1"/>
    <w:rsid w:val="00F53BB0"/>
    <w:rsid w:val="00F53FFD"/>
    <w:rsid w:val="00F546A6"/>
    <w:rsid w:val="00F548BA"/>
    <w:rsid w:val="00F5512C"/>
    <w:rsid w:val="00F55636"/>
    <w:rsid w:val="00F556B1"/>
    <w:rsid w:val="00F55F1D"/>
    <w:rsid w:val="00F565FA"/>
    <w:rsid w:val="00F5679B"/>
    <w:rsid w:val="00F56E3A"/>
    <w:rsid w:val="00F57205"/>
    <w:rsid w:val="00F5777E"/>
    <w:rsid w:val="00F601C2"/>
    <w:rsid w:val="00F604A9"/>
    <w:rsid w:val="00F60910"/>
    <w:rsid w:val="00F60B75"/>
    <w:rsid w:val="00F60FA1"/>
    <w:rsid w:val="00F612D8"/>
    <w:rsid w:val="00F623E1"/>
    <w:rsid w:val="00F630D2"/>
    <w:rsid w:val="00F64498"/>
    <w:rsid w:val="00F644D3"/>
    <w:rsid w:val="00F64877"/>
    <w:rsid w:val="00F64AD8"/>
    <w:rsid w:val="00F65A61"/>
    <w:rsid w:val="00F65B37"/>
    <w:rsid w:val="00F65FFE"/>
    <w:rsid w:val="00F662BF"/>
    <w:rsid w:val="00F66590"/>
    <w:rsid w:val="00F66602"/>
    <w:rsid w:val="00F66AAD"/>
    <w:rsid w:val="00F67122"/>
    <w:rsid w:val="00F6736F"/>
    <w:rsid w:val="00F6764A"/>
    <w:rsid w:val="00F67CCA"/>
    <w:rsid w:val="00F7023B"/>
    <w:rsid w:val="00F70DE6"/>
    <w:rsid w:val="00F7128D"/>
    <w:rsid w:val="00F71DCD"/>
    <w:rsid w:val="00F723F3"/>
    <w:rsid w:val="00F72BB6"/>
    <w:rsid w:val="00F72D1F"/>
    <w:rsid w:val="00F7308B"/>
    <w:rsid w:val="00F73432"/>
    <w:rsid w:val="00F73A1B"/>
    <w:rsid w:val="00F74007"/>
    <w:rsid w:val="00F743FA"/>
    <w:rsid w:val="00F74BAA"/>
    <w:rsid w:val="00F74E5F"/>
    <w:rsid w:val="00F76165"/>
    <w:rsid w:val="00F7651F"/>
    <w:rsid w:val="00F768AB"/>
    <w:rsid w:val="00F768B0"/>
    <w:rsid w:val="00F76EE5"/>
    <w:rsid w:val="00F7722A"/>
    <w:rsid w:val="00F77456"/>
    <w:rsid w:val="00F80522"/>
    <w:rsid w:val="00F805FC"/>
    <w:rsid w:val="00F808D6"/>
    <w:rsid w:val="00F813FA"/>
    <w:rsid w:val="00F81851"/>
    <w:rsid w:val="00F81B42"/>
    <w:rsid w:val="00F81CFE"/>
    <w:rsid w:val="00F81D0C"/>
    <w:rsid w:val="00F81DC7"/>
    <w:rsid w:val="00F82458"/>
    <w:rsid w:val="00F828CA"/>
    <w:rsid w:val="00F82C61"/>
    <w:rsid w:val="00F82D05"/>
    <w:rsid w:val="00F8310F"/>
    <w:rsid w:val="00F835B6"/>
    <w:rsid w:val="00F8384D"/>
    <w:rsid w:val="00F8399F"/>
    <w:rsid w:val="00F83B53"/>
    <w:rsid w:val="00F84205"/>
    <w:rsid w:val="00F84611"/>
    <w:rsid w:val="00F84A9A"/>
    <w:rsid w:val="00F850B4"/>
    <w:rsid w:val="00F85555"/>
    <w:rsid w:val="00F85E28"/>
    <w:rsid w:val="00F85FF8"/>
    <w:rsid w:val="00F86017"/>
    <w:rsid w:val="00F86166"/>
    <w:rsid w:val="00F86835"/>
    <w:rsid w:val="00F87298"/>
    <w:rsid w:val="00F875D7"/>
    <w:rsid w:val="00F877C4"/>
    <w:rsid w:val="00F877CC"/>
    <w:rsid w:val="00F87889"/>
    <w:rsid w:val="00F87A2B"/>
    <w:rsid w:val="00F87BB6"/>
    <w:rsid w:val="00F906FE"/>
    <w:rsid w:val="00F90723"/>
    <w:rsid w:val="00F908EA"/>
    <w:rsid w:val="00F91141"/>
    <w:rsid w:val="00F91479"/>
    <w:rsid w:val="00F916C2"/>
    <w:rsid w:val="00F917B7"/>
    <w:rsid w:val="00F92854"/>
    <w:rsid w:val="00F92F50"/>
    <w:rsid w:val="00F93869"/>
    <w:rsid w:val="00F93BC3"/>
    <w:rsid w:val="00F93D6B"/>
    <w:rsid w:val="00F93F7A"/>
    <w:rsid w:val="00F94A34"/>
    <w:rsid w:val="00F94BFB"/>
    <w:rsid w:val="00F95011"/>
    <w:rsid w:val="00F95283"/>
    <w:rsid w:val="00F9556E"/>
    <w:rsid w:val="00F957E1"/>
    <w:rsid w:val="00F95F7D"/>
    <w:rsid w:val="00F96004"/>
    <w:rsid w:val="00F96083"/>
    <w:rsid w:val="00F96670"/>
    <w:rsid w:val="00F9674F"/>
    <w:rsid w:val="00F96F82"/>
    <w:rsid w:val="00F97268"/>
    <w:rsid w:val="00FA01E4"/>
    <w:rsid w:val="00FA041D"/>
    <w:rsid w:val="00FA059E"/>
    <w:rsid w:val="00FA05ED"/>
    <w:rsid w:val="00FA1146"/>
    <w:rsid w:val="00FA14A8"/>
    <w:rsid w:val="00FA1A35"/>
    <w:rsid w:val="00FA26D5"/>
    <w:rsid w:val="00FA272E"/>
    <w:rsid w:val="00FA273D"/>
    <w:rsid w:val="00FA285B"/>
    <w:rsid w:val="00FA3919"/>
    <w:rsid w:val="00FA46F6"/>
    <w:rsid w:val="00FA4738"/>
    <w:rsid w:val="00FA47E7"/>
    <w:rsid w:val="00FA4AC6"/>
    <w:rsid w:val="00FA50A6"/>
    <w:rsid w:val="00FA52C0"/>
    <w:rsid w:val="00FA539F"/>
    <w:rsid w:val="00FA5555"/>
    <w:rsid w:val="00FA5667"/>
    <w:rsid w:val="00FA5690"/>
    <w:rsid w:val="00FA5846"/>
    <w:rsid w:val="00FA6319"/>
    <w:rsid w:val="00FA6474"/>
    <w:rsid w:val="00FA6D49"/>
    <w:rsid w:val="00FA7B07"/>
    <w:rsid w:val="00FA7B5E"/>
    <w:rsid w:val="00FA7E55"/>
    <w:rsid w:val="00FB0457"/>
    <w:rsid w:val="00FB078F"/>
    <w:rsid w:val="00FB0938"/>
    <w:rsid w:val="00FB094B"/>
    <w:rsid w:val="00FB0F93"/>
    <w:rsid w:val="00FB18BC"/>
    <w:rsid w:val="00FB21D4"/>
    <w:rsid w:val="00FB2450"/>
    <w:rsid w:val="00FB25FB"/>
    <w:rsid w:val="00FB29BB"/>
    <w:rsid w:val="00FB2A02"/>
    <w:rsid w:val="00FB2B2B"/>
    <w:rsid w:val="00FB38EF"/>
    <w:rsid w:val="00FB3B43"/>
    <w:rsid w:val="00FB3F46"/>
    <w:rsid w:val="00FB4026"/>
    <w:rsid w:val="00FB5287"/>
    <w:rsid w:val="00FB5907"/>
    <w:rsid w:val="00FB5C2E"/>
    <w:rsid w:val="00FB5F75"/>
    <w:rsid w:val="00FB767E"/>
    <w:rsid w:val="00FB76DE"/>
    <w:rsid w:val="00FB7B48"/>
    <w:rsid w:val="00FC051B"/>
    <w:rsid w:val="00FC0F69"/>
    <w:rsid w:val="00FC143B"/>
    <w:rsid w:val="00FC1798"/>
    <w:rsid w:val="00FC1916"/>
    <w:rsid w:val="00FC2121"/>
    <w:rsid w:val="00FC23C1"/>
    <w:rsid w:val="00FC25DE"/>
    <w:rsid w:val="00FC2F5D"/>
    <w:rsid w:val="00FC2FC8"/>
    <w:rsid w:val="00FC3544"/>
    <w:rsid w:val="00FC3578"/>
    <w:rsid w:val="00FC4188"/>
    <w:rsid w:val="00FC440C"/>
    <w:rsid w:val="00FC4562"/>
    <w:rsid w:val="00FC56B0"/>
    <w:rsid w:val="00FC58AC"/>
    <w:rsid w:val="00FC60AA"/>
    <w:rsid w:val="00FC6122"/>
    <w:rsid w:val="00FC6160"/>
    <w:rsid w:val="00FC644F"/>
    <w:rsid w:val="00FC6591"/>
    <w:rsid w:val="00FC6912"/>
    <w:rsid w:val="00FC70C7"/>
    <w:rsid w:val="00FC7D3D"/>
    <w:rsid w:val="00FC7DA6"/>
    <w:rsid w:val="00FD021C"/>
    <w:rsid w:val="00FD02F1"/>
    <w:rsid w:val="00FD03A4"/>
    <w:rsid w:val="00FD0559"/>
    <w:rsid w:val="00FD1275"/>
    <w:rsid w:val="00FD1A32"/>
    <w:rsid w:val="00FD1D1F"/>
    <w:rsid w:val="00FD2501"/>
    <w:rsid w:val="00FD250B"/>
    <w:rsid w:val="00FD2585"/>
    <w:rsid w:val="00FD266A"/>
    <w:rsid w:val="00FD29A6"/>
    <w:rsid w:val="00FD2CCB"/>
    <w:rsid w:val="00FD3172"/>
    <w:rsid w:val="00FD3631"/>
    <w:rsid w:val="00FD3640"/>
    <w:rsid w:val="00FD3CFF"/>
    <w:rsid w:val="00FD42B4"/>
    <w:rsid w:val="00FD4616"/>
    <w:rsid w:val="00FD4CCB"/>
    <w:rsid w:val="00FD5250"/>
    <w:rsid w:val="00FD5C9C"/>
    <w:rsid w:val="00FD62CA"/>
    <w:rsid w:val="00FD6F24"/>
    <w:rsid w:val="00FD70FA"/>
    <w:rsid w:val="00FD75A0"/>
    <w:rsid w:val="00FD7781"/>
    <w:rsid w:val="00FE03B2"/>
    <w:rsid w:val="00FE04C1"/>
    <w:rsid w:val="00FE0528"/>
    <w:rsid w:val="00FE0671"/>
    <w:rsid w:val="00FE06AD"/>
    <w:rsid w:val="00FE1540"/>
    <w:rsid w:val="00FE1727"/>
    <w:rsid w:val="00FE1865"/>
    <w:rsid w:val="00FE1E2F"/>
    <w:rsid w:val="00FE1F47"/>
    <w:rsid w:val="00FE2097"/>
    <w:rsid w:val="00FE2364"/>
    <w:rsid w:val="00FE2594"/>
    <w:rsid w:val="00FE2A73"/>
    <w:rsid w:val="00FE3635"/>
    <w:rsid w:val="00FE442A"/>
    <w:rsid w:val="00FE4A52"/>
    <w:rsid w:val="00FE4C07"/>
    <w:rsid w:val="00FE5178"/>
    <w:rsid w:val="00FE5E38"/>
    <w:rsid w:val="00FE6430"/>
    <w:rsid w:val="00FE67F4"/>
    <w:rsid w:val="00FE6AAB"/>
    <w:rsid w:val="00FE70BD"/>
    <w:rsid w:val="00FE7210"/>
    <w:rsid w:val="00FE73CF"/>
    <w:rsid w:val="00FE742A"/>
    <w:rsid w:val="00FE75B3"/>
    <w:rsid w:val="00FF0BB1"/>
    <w:rsid w:val="00FF1333"/>
    <w:rsid w:val="00FF1370"/>
    <w:rsid w:val="00FF151C"/>
    <w:rsid w:val="00FF1539"/>
    <w:rsid w:val="00FF1563"/>
    <w:rsid w:val="00FF17BD"/>
    <w:rsid w:val="00FF198E"/>
    <w:rsid w:val="00FF1A52"/>
    <w:rsid w:val="00FF2243"/>
    <w:rsid w:val="00FF2943"/>
    <w:rsid w:val="00FF298D"/>
    <w:rsid w:val="00FF2B14"/>
    <w:rsid w:val="00FF2C5F"/>
    <w:rsid w:val="00FF2C88"/>
    <w:rsid w:val="00FF2E5C"/>
    <w:rsid w:val="00FF32CE"/>
    <w:rsid w:val="00FF3ADC"/>
    <w:rsid w:val="00FF42A8"/>
    <w:rsid w:val="00FF44B1"/>
    <w:rsid w:val="00FF466C"/>
    <w:rsid w:val="00FF4FCC"/>
    <w:rsid w:val="00FF5256"/>
    <w:rsid w:val="00FF5D08"/>
    <w:rsid w:val="00FF5D12"/>
    <w:rsid w:val="00FF5EA0"/>
    <w:rsid w:val="00FF6074"/>
    <w:rsid w:val="00FF6536"/>
    <w:rsid w:val="00FF6789"/>
    <w:rsid w:val="00FF6813"/>
    <w:rsid w:val="00FF69C6"/>
    <w:rsid w:val="00FF6C76"/>
    <w:rsid w:val="00FF6F1E"/>
    <w:rsid w:val="00FF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7FA4"/>
  <w15:chartTrackingRefBased/>
  <w15:docId w15:val="{43A47099-8B20-034B-AC7F-4ED70B4E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85"/>
    <w:pPr>
      <w:ind w:left="720"/>
      <w:contextualSpacing/>
    </w:pPr>
  </w:style>
  <w:style w:type="character" w:styleId="Hyperlink">
    <w:name w:val="Hyperlink"/>
    <w:basedOn w:val="DefaultParagraphFont"/>
    <w:uiPriority w:val="99"/>
    <w:unhideWhenUsed/>
    <w:rsid w:val="006A4620"/>
    <w:rPr>
      <w:color w:val="0000FF"/>
      <w:u w:val="single"/>
    </w:rPr>
  </w:style>
  <w:style w:type="character" w:styleId="FollowedHyperlink">
    <w:name w:val="FollowedHyperlink"/>
    <w:basedOn w:val="DefaultParagraphFont"/>
    <w:uiPriority w:val="99"/>
    <w:semiHidden/>
    <w:unhideWhenUsed/>
    <w:rsid w:val="00840073"/>
    <w:rPr>
      <w:color w:val="954F72" w:themeColor="followedHyperlink"/>
      <w:u w:val="single"/>
    </w:rPr>
  </w:style>
  <w:style w:type="paragraph" w:styleId="Bibliography">
    <w:name w:val="Bibliography"/>
    <w:basedOn w:val="Normal"/>
    <w:next w:val="Normal"/>
    <w:uiPriority w:val="37"/>
    <w:unhideWhenUsed/>
    <w:rsid w:val="00A74915"/>
    <w:pPr>
      <w:spacing w:after="240" w:line="240" w:lineRule="auto"/>
      <w:ind w:left="720" w:hanging="720"/>
    </w:pPr>
  </w:style>
  <w:style w:type="paragraph" w:styleId="Header">
    <w:name w:val="header"/>
    <w:basedOn w:val="Normal"/>
    <w:link w:val="HeaderChar"/>
    <w:uiPriority w:val="99"/>
    <w:unhideWhenUsed/>
    <w:rsid w:val="007E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2C6"/>
  </w:style>
  <w:style w:type="paragraph" w:styleId="Footer">
    <w:name w:val="footer"/>
    <w:basedOn w:val="Normal"/>
    <w:link w:val="FooterChar"/>
    <w:uiPriority w:val="99"/>
    <w:unhideWhenUsed/>
    <w:rsid w:val="007E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2C6"/>
  </w:style>
  <w:style w:type="character" w:styleId="UnresolvedMention">
    <w:name w:val="Unresolved Mention"/>
    <w:basedOn w:val="DefaultParagraphFont"/>
    <w:uiPriority w:val="99"/>
    <w:semiHidden/>
    <w:unhideWhenUsed/>
    <w:rsid w:val="00A32A48"/>
    <w:rPr>
      <w:color w:val="605E5C"/>
      <w:shd w:val="clear" w:color="auto" w:fill="E1DFDD"/>
    </w:rPr>
  </w:style>
  <w:style w:type="paragraph" w:styleId="FootnoteText">
    <w:name w:val="footnote text"/>
    <w:basedOn w:val="Normal"/>
    <w:link w:val="FootnoteTextChar"/>
    <w:uiPriority w:val="99"/>
    <w:unhideWhenUsed/>
    <w:rsid w:val="00011DB8"/>
    <w:pPr>
      <w:spacing w:after="0" w:line="240" w:lineRule="auto"/>
    </w:pPr>
    <w:rPr>
      <w:sz w:val="20"/>
      <w:szCs w:val="20"/>
    </w:rPr>
  </w:style>
  <w:style w:type="character" w:customStyle="1" w:styleId="FootnoteTextChar">
    <w:name w:val="Footnote Text Char"/>
    <w:basedOn w:val="DefaultParagraphFont"/>
    <w:link w:val="FootnoteText"/>
    <w:uiPriority w:val="99"/>
    <w:rsid w:val="00011DB8"/>
    <w:rPr>
      <w:sz w:val="20"/>
      <w:szCs w:val="20"/>
    </w:rPr>
  </w:style>
  <w:style w:type="character" w:styleId="FootnoteReference">
    <w:name w:val="footnote reference"/>
    <w:basedOn w:val="DefaultParagraphFont"/>
    <w:uiPriority w:val="99"/>
    <w:semiHidden/>
    <w:unhideWhenUsed/>
    <w:rsid w:val="00011DB8"/>
    <w:rPr>
      <w:vertAlign w:val="superscript"/>
    </w:rPr>
  </w:style>
  <w:style w:type="paragraph" w:styleId="Title">
    <w:name w:val="Title"/>
    <w:basedOn w:val="Normal"/>
    <w:next w:val="Normal"/>
    <w:link w:val="TitleChar"/>
    <w:uiPriority w:val="10"/>
    <w:qFormat/>
    <w:rsid w:val="001F2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0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0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5A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7B62B6"/>
    <w:pPr>
      <w:spacing w:after="0" w:line="240" w:lineRule="auto"/>
    </w:pPr>
    <w:rPr>
      <w:rFonts w:eastAsiaTheme="minorEastAsia"/>
    </w:rPr>
  </w:style>
  <w:style w:type="character" w:customStyle="1" w:styleId="NoSpacingChar">
    <w:name w:val="No Spacing Char"/>
    <w:basedOn w:val="DefaultParagraphFont"/>
    <w:link w:val="NoSpacing"/>
    <w:uiPriority w:val="1"/>
    <w:rsid w:val="007B62B6"/>
    <w:rPr>
      <w:rFonts w:eastAsiaTheme="minorEastAsia"/>
    </w:rPr>
  </w:style>
  <w:style w:type="paragraph" w:styleId="EndnoteText">
    <w:name w:val="endnote text"/>
    <w:basedOn w:val="Normal"/>
    <w:link w:val="EndnoteTextChar"/>
    <w:uiPriority w:val="99"/>
    <w:semiHidden/>
    <w:unhideWhenUsed/>
    <w:rsid w:val="000A13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13FE"/>
    <w:rPr>
      <w:sz w:val="20"/>
      <w:szCs w:val="20"/>
    </w:rPr>
  </w:style>
  <w:style w:type="character" w:styleId="EndnoteReference">
    <w:name w:val="endnote reference"/>
    <w:basedOn w:val="DefaultParagraphFont"/>
    <w:uiPriority w:val="99"/>
    <w:semiHidden/>
    <w:unhideWhenUsed/>
    <w:rsid w:val="000A13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430105">
      <w:bodyDiv w:val="1"/>
      <w:marLeft w:val="0"/>
      <w:marRight w:val="0"/>
      <w:marTop w:val="0"/>
      <w:marBottom w:val="0"/>
      <w:divBdr>
        <w:top w:val="none" w:sz="0" w:space="0" w:color="auto"/>
        <w:left w:val="none" w:sz="0" w:space="0" w:color="auto"/>
        <w:bottom w:val="none" w:sz="0" w:space="0" w:color="auto"/>
        <w:right w:val="none" w:sz="0" w:space="0" w:color="auto"/>
      </w:divBdr>
    </w:div>
    <w:div w:id="1716539363">
      <w:bodyDiv w:val="1"/>
      <w:marLeft w:val="0"/>
      <w:marRight w:val="0"/>
      <w:marTop w:val="0"/>
      <w:marBottom w:val="0"/>
      <w:divBdr>
        <w:top w:val="none" w:sz="0" w:space="0" w:color="auto"/>
        <w:left w:val="none" w:sz="0" w:space="0" w:color="auto"/>
        <w:bottom w:val="none" w:sz="0" w:space="0" w:color="auto"/>
        <w:right w:val="none" w:sz="0" w:space="0" w:color="auto"/>
      </w:divBdr>
    </w:div>
    <w:div w:id="1933196420">
      <w:bodyDiv w:val="1"/>
      <w:marLeft w:val="0"/>
      <w:marRight w:val="0"/>
      <w:marTop w:val="0"/>
      <w:marBottom w:val="0"/>
      <w:divBdr>
        <w:top w:val="none" w:sz="0" w:space="0" w:color="auto"/>
        <w:left w:val="none" w:sz="0" w:space="0" w:color="auto"/>
        <w:bottom w:val="none" w:sz="0" w:space="0" w:color="auto"/>
        <w:right w:val="none" w:sz="0" w:space="0" w:color="auto"/>
      </w:divBdr>
    </w:div>
    <w:div w:id="2076589410">
      <w:bodyDiv w:val="1"/>
      <w:marLeft w:val="0"/>
      <w:marRight w:val="0"/>
      <w:marTop w:val="0"/>
      <w:marBottom w:val="0"/>
      <w:divBdr>
        <w:top w:val="none" w:sz="0" w:space="0" w:color="auto"/>
        <w:left w:val="none" w:sz="0" w:space="0" w:color="auto"/>
        <w:bottom w:val="none" w:sz="0" w:space="0" w:color="auto"/>
        <w:right w:val="none" w:sz="0" w:space="0" w:color="auto"/>
      </w:divBdr>
    </w:div>
    <w:div w:id="208930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ijl7@georget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2EF008C1-A664-1847-98EA-8F4351885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4382</TotalTime>
  <Pages>154</Pages>
  <Words>61806</Words>
  <Characters>352300</Characters>
  <Application>Microsoft Office Word</Application>
  <DocSecurity>0</DocSecurity>
  <Lines>2935</Lines>
  <Paragraphs>826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Liu</dc:creator>
  <cp:keywords/>
  <dc:description/>
  <cp:lastModifiedBy>Isaac Liu</cp:lastModifiedBy>
  <cp:revision>337</cp:revision>
  <dcterms:created xsi:type="dcterms:W3CDTF">2020-04-29T11:37:00Z</dcterms:created>
  <dcterms:modified xsi:type="dcterms:W3CDTF">2020-06-13T21:39:00Z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"Field"/&gt;&lt;pref name="dontAskDelayCitationUpdates" value="true"/&gt;&lt;/prefs&gt;&lt;/data&gt;</vt:lpwstr>
  </property>
  <property fmtid="{D5CDD505-2E9C-101B-9397-08002B2CF9AE}" pid="3" name="ZOTERO_PREF_1">
    <vt:lpwstr>&lt;data data-version="3" zotero-version="5.0.87"&gt;&lt;session id="aJuMJMDc"/&gt;&lt;style id="http://www.zotero.org/styles/american-political-science-association" locale="en-GB" hasBibliography="1" bibliographyStyleHasBeenSet="1"/&gt;&lt;prefs&gt;&lt;pref name="fieldType" value=</vt:lpwstr>
  </property>
</Properties>
</file>