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可視化情報シンポジウム原稿テンプレート</w:t>
      </w:r>
      <w:r>
        <w:t xml:space="preserve"> </w:t>
      </w:r>
      <w:r>
        <w:t xml:space="preserve">(和題:ゴシック16pt,1行27文字以内)*</w:t>
      </w:r>
      <w:r>
        <w:t xml:space="preserve"> </w:t>
      </w:r>
      <w:r>
        <w:t xml:space="preserve">―和文副題:ゴシック14pt</w:t>
      </w:r>
    </w:p>
    <w:p>
      <w:pPr>
        <w:pStyle w:val="Author"/>
      </w:pPr>
      <w:r>
        <w:t xml:space="preserve">可視化　太郎○</w:t>
      </w:r>
      <w:r>
        <w:t xml:space="preserve"> </w:t>
      </w:r>
      <w:r>
        <w:t xml:space="preserve">(可視化情報大学），情報　花子（可視化情報（株））</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20"/>
    <w:bookmarkStart w:id="21" w:name="序-論"/>
    <w:p>
      <w:pPr>
        <w:pStyle w:val="Heading1"/>
      </w:pPr>
      <w:r>
        <w:t xml:space="preserve">序　論</w:t>
      </w:r>
    </w:p>
    <w:p>
      <w:pPr>
        <w:pStyle w:val="FirstParagraph"/>
      </w:pPr>
      <w:r>
        <w:t xml:space="preserve">本原稿は，可視化情報シンポジウムの原稿テンプレートです．原稿執筆にはこのテンプレートをご使用ください．原稿サイズはA4版とし，ページ数は任意ですがファイルサイズは5MB以下としてください．ページ余白は，上25mm，左20mm，右20mm，下20mmとし，ヘッダーおよびフッダーは入れず，表題は3行目から始めてください．</w:t>
      </w:r>
    </w:p>
    <w:bookmarkEnd w:id="21"/>
    <w:bookmarkStart w:id="24" w:name="文字及び改行"/>
    <w:p>
      <w:pPr>
        <w:pStyle w:val="Heading1"/>
      </w:pPr>
      <w:r>
        <w:t xml:space="preserve">文字及び改行</w:t>
      </w:r>
    </w:p>
    <w:bookmarkStart w:id="22" w:name="文字の大きさと改行"/>
    <w:p>
      <w:pPr>
        <w:pStyle w:val="Heading2"/>
      </w:pPr>
      <w:r>
        <w:t xml:space="preserve">文字の大きさと改行</w:t>
      </w:r>
    </w:p>
    <w:p>
      <w:pPr>
        <w:pStyle w:val="FirstParagraph"/>
      </w:pPr>
      <w:r>
        <w:t xml:space="preserve">使用言語は日本語または英語とします．和文原稿の場合，題目，著者名，所属を和文で書き，続けて題目，著者名の英文名を記入してください．英文原稿の場合，題目，著者名の英文名を記入してください．なお，</w:t>
      </w:r>
      <w:r>
        <w:rPr>
          <w:u w:val="single"/>
        </w:rPr>
        <w:t xml:space="preserve">和題・英題は講演申込時と同じであることが必要です</w:t>
      </w:r>
      <w:r>
        <w:t xml:space="preserve"> </w:t>
      </w:r>
      <w:r>
        <w:t xml:space="preserve">(異なる場合，プログラムや講演論文集の目次には講演申込時の題目が使用されます)．</w:t>
      </w:r>
    </w:p>
    <w:p>
      <w:pPr>
        <w:pStyle w:val="BodyText"/>
      </w:pPr>
      <w:r>
        <w:t xml:space="preserve">著者名は11pt，1行に36字以内で右寄せとし，これを越える場合は改行してください．本文は9ptの2段組みとし，片側25字×50行，段間は10mmを基準としてください．章間の行間は2行分</w:t>
      </w:r>
      <w:r>
        <w:t xml:space="preserve"> </w:t>
      </w:r>
      <w:r>
        <w:t xml:space="preserve">(ダブルスペース)</w:t>
      </w:r>
      <w:r>
        <w:t xml:space="preserve"> </w:t>
      </w:r>
      <w:r>
        <w:t xml:space="preserve">とし，その中央に章名を10ptで記し，節間は行を空けないようにしてください．</w:t>
      </w:r>
    </w:p>
    <w:bookmarkEnd w:id="22"/>
    <w:bookmarkStart w:id="23" w:name="字-体"/>
    <w:p>
      <w:pPr>
        <w:pStyle w:val="Heading2"/>
      </w:pPr>
      <w:r>
        <w:t xml:space="preserve">字　体</w:t>
      </w:r>
    </w:p>
    <w:p>
      <w:pPr>
        <w:pStyle w:val="FirstParagraph"/>
      </w:pPr>
      <w:r>
        <w:t xml:space="preserve">題名，章・節名はゴシック体，本文は明朝体，英文題名，著者名はTimes New</w:t>
      </w:r>
      <w:r>
        <w:t xml:space="preserve"> </w:t>
      </w:r>
      <w:r>
        <w:t xml:space="preserve">Roman, 本文中の英文はCenturyとします.参考文献</w:t>
      </w:r>
      <w:r>
        <w:rPr>
          <w:vertAlign w:val="superscript"/>
        </w:rPr>
        <w:t xml:space="preserve">1)</w:t>
      </w:r>
      <w:r>
        <w:t xml:space="preserve"> </w:t>
      </w:r>
      <w:r>
        <w:t xml:space="preserve">は8ptで表記ください．</w:t>
      </w:r>
    </w:p>
    <w:p>
      <w:pPr>
        <w:numPr>
          <w:ilvl w:val="0"/>
          <w:numId w:val="1001"/>
        </w:numPr>
      </w:pPr>
      <w:r>
        <w:rPr>
          <w:iCs/>
          <w:i/>
        </w:rPr>
        <w:t xml:space="preserve">強調</w:t>
      </w:r>
    </w:p>
    <w:p>
      <w:pPr>
        <w:numPr>
          <w:ilvl w:val="0"/>
          <w:numId w:val="1001"/>
        </w:numPr>
      </w:pPr>
      <w:r>
        <w:rPr>
          <w:bCs/>
          <w:b/>
        </w:rPr>
        <w:t xml:space="preserve">とても強調</w:t>
      </w:r>
    </w:p>
    <w:bookmarkEnd w:id="23"/>
    <w:bookmarkEnd w:id="24"/>
    <w:bookmarkStart w:id="26" w:name="図-表"/>
    <w:p>
      <w:pPr>
        <w:pStyle w:val="Heading1"/>
      </w:pPr>
      <w:r>
        <w:t xml:space="preserve">図　表</w:t>
      </w:r>
    </w:p>
    <w:p>
      <w:pPr>
        <w:pStyle w:val="FirstParagraph"/>
      </w:pPr>
      <w:r>
        <w:t xml:space="preserve">本文中の図表の表記には，下記Fig.1と Table</w:t>
      </w:r>
      <w:r>
        <w:t xml:space="preserve"> </w:t>
      </w:r>
      <w:r>
        <w:t xml:space="preserve">1のように，図表には通し番号をふり，図表番号はゴシック体，図表題はCenturyで書きます．キャプションは表の場合は上部に，図の場合は下部に記し，説明文は英文で表記してください．</w:t>
      </w:r>
    </w:p>
    <w:p>
      <w:pPr>
        <w:pStyle w:val="TableCaption"/>
      </w:pPr>
      <w:r>
        <w:t xml:space="preserve">Table 1: Sample of table</w:t>
      </w:r>
    </w:p>
    <w:tbl>
      <w:tblPr>
        <w:tblStyle w:val="Table"/>
        <w:tblW w:type="auto" w:w="0"/>
        <w:tblLook w:firstRow="1" w:lastRow="0" w:firstColumn="0" w:lastColumn="0" w:noHBand="0" w:noVBand="0" w:val="0020"/>
        <w:tblCaption w:val="Table 1: Sample of table"/>
      </w:tblPr>
      <w:tblGrid>
        <w:gridCol w:w="3960"/>
        <w:gridCol w:w="3960"/>
      </w:tblGrid>
      <w:tr>
        <w:trPr>
          <w:tblHeader w:val="true"/>
        </w:trPr>
        <w:tc>
          <w:tcPr/>
          <w:p>
            <w:pPr>
              <w:pStyle w:val="Compact"/>
              <w:jc w:val="left"/>
            </w:pPr>
            <w:r>
              <w:t xml:space="preserve">Table</w:t>
            </w:r>
          </w:p>
        </w:tc>
        <w:tc>
          <w:tcPr/>
          <w:p>
            <w:pPr>
              <w:pStyle w:val="Compact"/>
              <w:jc w:val="left"/>
            </w:pPr>
            <w:r>
              <w:t xml:space="preserve">Table</w:t>
            </w:r>
          </w:p>
        </w:tc>
      </w:tr>
      <w:tr>
        <w:tc>
          <w:tcPr/>
          <w:p>
            <w:pPr>
              <w:pStyle w:val="Compact"/>
              <w:jc w:val="left"/>
            </w:pPr>
            <w:r>
              <w:t xml:space="preserve">1</w:t>
            </w:r>
          </w:p>
        </w:tc>
        <w:tc>
          <w:tcPr/>
          <w:p>
            <w:pPr>
              <w:pStyle w:val="Compact"/>
              <w:jc w:val="left"/>
            </w:pPr>
            <w:r>
              <w:t xml:space="preserve">2</w:t>
            </w:r>
          </w:p>
        </w:tc>
      </w:tr>
    </w:tbl>
    <w:p>
      <w:pPr>
        <w:pStyle w:val="BodyText"/>
      </w:pPr>
      <w:r>
        <w:t xml:space="preserve">表 [Sample of table] を参照のこと。</w:t>
      </w:r>
    </w:p>
    <w:p>
      <w:pPr>
        <w:pStyle w:val="CaptionedFigure"/>
      </w:pPr>
      <w:r>
        <w:drawing>
          <wp:inline>
            <wp:extent cx="3810000" cy="2540000"/>
            <wp:effectExtent b="0" l="0" r="0" t="0"/>
            <wp:docPr descr="Figure 1: PacificVis PC meeting" title="" id="1" name="Picture"/>
            <a:graphic>
              <a:graphicData uri="http://schemas.openxmlformats.org/drawingml/2006/picture">
                <pic:pic>
                  <pic:nvPicPr>
                    <pic:cNvPr descr="md/pvis-party.jp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PacificVis PC meeting</w:t>
      </w:r>
    </w:p>
    <w:bookmarkEnd w:id="26"/>
    <w:bookmarkStart w:id="27" w:name="原稿提出"/>
    <w:p>
      <w:pPr>
        <w:pStyle w:val="Heading1"/>
      </w:pPr>
      <w:r>
        <w:t xml:space="preserve">原稿提出</w:t>
      </w:r>
    </w:p>
    <w:p>
      <w:pPr>
        <w:pStyle w:val="FirstParagraph"/>
      </w:pPr>
      <w:r>
        <w:t xml:space="preserve">本テンプレートで作成した講演原稿 (PDF形式) と，調査票</w:t>
      </w:r>
      <w:r>
        <w:t xml:space="preserve"> </w:t>
      </w:r>
      <w:r>
        <w:t xml:space="preserve">(PDF形式，必ず押印したものをお願いします)</w:t>
      </w:r>
      <w:r>
        <w:t xml:space="preserve"> </w:t>
      </w:r>
      <w:r>
        <w:t xml:space="preserve">をシンポジウムHPの案内に従って提出して下さい．</w:t>
      </w:r>
    </w:p>
    <w:bookmarkEnd w:id="27"/>
    <w:bookmarkStart w:id="28" w:name="数式"/>
    <w:p>
      <w:pPr>
        <w:pStyle w:val="Heading1"/>
      </w:pPr>
      <w:r>
        <w:t xml:space="preserve">数式</w:t>
      </w:r>
    </w:p>
    <w:p>
      <w:pPr>
        <w:pStyle w:val="FirstParagraph"/>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rPr>
          <w:rStyle w:val="VerbatimChar"/>
        </w:rPr>
        <w:t xml:space="preserve">macros.tex</w:t>
      </w:r>
      <w:r>
        <w:t xml:space="preserve"> </w:t>
      </w:r>
      <w:r>
        <w:t xml:space="preserve">に定義したようなTeXマクロにも対応しています。</w:t>
      </w:r>
    </w:p>
    <w:p>
      <w:pPr>
        <w:pStyle w:val="BodyText"/>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t xml:space="preserve">以上で定義した三つの指標がいずれも一定値以上出会った場合に限り，束化圧があるものと評価する．このことは閾値 (</w:t>
      </w:r>
      <m:oMath>
        <m:sSub>
          <m:e>
            <m:r>
              <m:t>θ</m:t>
            </m:r>
          </m:e>
          <m:sub>
            <m:r>
              <m:t>a</m:t>
            </m:r>
          </m:sub>
        </m:sSub>
        <m:r>
          <m:rPr>
            <m:sty m:val="p"/>
          </m:rPr>
          <m:t>,</m:t>
        </m:r>
        <m:sSub>
          <m:e>
            <m:r>
              <m:t>θ</m:t>
            </m:r>
          </m:e>
          <m:sub>
            <m:r>
              <m:t>l</m:t>
            </m:r>
          </m:sub>
        </m:sSub>
        <m:r>
          <m:rPr>
            <m:sty m:val="p"/>
          </m:rPr>
          <m:t>,</m:t>
        </m:r>
        <m:sSub>
          <m:e>
            <m:r>
              <m:t>θ</m:t>
            </m:r>
          </m:e>
          <m:sub>
            <m:r>
              <m:t>p</m:t>
            </m:r>
          </m:sub>
        </m:sSub>
      </m:oMath>
      <w:r>
        <w:t xml:space="preserve">) を用いて以下のように定式化される：</w:t>
      </w:r>
    </w:p>
    <w:p>
      <w:pPr>
        <w:pStyle w:val="BodyText"/>
      </w:pPr>
      <m:oMath>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oMath>
    </w:p>
    <w:p>
      <w:pPr>
        <w:pStyle w:val="BodyText"/>
      </w:pPr>
      <m:oMathPara>
        <m:oMathParaPr>
          <m:jc m:val="center"/>
        </m:oMathParaPr>
        <m:oMath>
          <m:r>
            <m:t>C</m:t>
          </m:r>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e>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a</m:t>
                        </m:r>
                      </m:sub>
                    </m:sSub>
                    <m:r>
                      <m:rPr>
                        <m:nor/>
                        <m:sty m:val="p"/>
                      </m:rPr>
                      <m:t> かつ </m:t>
                    </m:r>
                  </m:e>
                </m:mr>
                <m:mr>
                  <m:e/>
                  <m:e>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p</m:t>
                        </m:r>
                      </m:sub>
                    </m:sSub>
                    <m:r>
                      <m:rPr>
                        <m:nor/>
                        <m:sty m:val="p"/>
                      </m:rPr>
                      <m:t> かつ </m:t>
                    </m:r>
                  </m:e>
                </m:mr>
                <m:mr>
                  <m:e/>
                  <m:e>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l</m:t>
                        </m:r>
                      </m:sub>
                    </m:sSub>
                  </m:e>
                </m:mr>
                <m:mr>
                  <m:e>
                    <m:r>
                      <m:t>0</m:t>
                    </m:r>
                  </m:e>
                  <m:e>
                    <m:r>
                      <m:rPr>
                        <m:nor/>
                        <m:sty m:val="p"/>
                      </m:rPr>
                      <m:t>その他の場合</m:t>
                    </m:r>
                  </m:e>
                </m:mr>
              </m:m>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sSub>
                      <m:e>
                        <m:r>
                          <m:rPr>
                            <m:sty m:val="b"/>
                          </m:rPr>
                          <m:t>e</m:t>
                        </m:r>
                      </m:e>
                      <m:sub>
                        <m:r>
                          <m:t>i</m:t>
                        </m:r>
                      </m:sub>
                    </m:sSub>
                  </m:sub>
                </m:sSub>
                <m:r>
                  <m:rPr>
                    <m:sty m:val="p"/>
                  </m:rPr>
                  <m:t>=</m:t>
                </m:r>
              </m:e>
              <m:e>
                <m:r>
                  <m:rPr>
                    <m:sty m:val="p"/>
                  </m:rPr>
                  <m:t>−</m:t>
                </m:r>
                <m:nary>
                  <m:naryPr>
                    <m:chr m:val="∑"/>
                    <m:limLoc m:val="undOvr"/>
                    <m:subHide m:val="0"/>
                    <m:supHide m:val="1"/>
                  </m:naryPr>
                  <m:sub>
                    <m:r>
                      <m:rPr>
                        <m:sty m:val="b"/>
                      </m:rPr>
                      <m:t>e</m:t>
                    </m:r>
                    <m:sSub>
                      <m:e>
                        <m:r>
                          <m:rPr>
                            <m:sty m:val="p"/>
                          </m:rPr>
                          <m:t>′</m:t>
                        </m:r>
                      </m:e>
                      <m:sub>
                        <m:r>
                          <m:t>i</m:t>
                        </m:r>
                      </m:sub>
                    </m:sSub>
                    <m:r>
                      <m:rPr>
                        <m:sty m:val="p"/>
                      </m:rPr>
                      <m:t>≠</m:t>
                    </m:r>
                    <m:sSub>
                      <m:e>
                        <m:r>
                          <m:rPr>
                            <m:sty m:val="b"/>
                          </m:rPr>
                          <m:t>e</m:t>
                        </m:r>
                      </m:e>
                      <m:sub>
                        <m:r>
                          <m:t>i</m:t>
                        </m:r>
                      </m:sub>
                    </m:sSub>
                  </m:sub>
                  <m:sup>
                    <m:r>
                      <m:t>​</m:t>
                    </m:r>
                  </m:sup>
                  <m:e>
                    <m:r>
                      <m:t>C</m:t>
                    </m:r>
                  </m:e>
                </m:nary>
                <m:d>
                  <m:dPr>
                    <m:begChr m:val="("/>
                    <m:endChr m:val=")"/>
                    <m:sepChr m:val=""/>
                    <m:grow/>
                  </m:dPr>
                  <m:e>
                    <m:sSup>
                      <m:e>
                        <m:r>
                          <m:t>P</m:t>
                        </m:r>
                      </m:e>
                      <m:sup>
                        <m:r>
                          <m:rPr>
                            <m:sty m:val="p"/>
                          </m:rPr>
                          <m:t>−</m:t>
                        </m:r>
                        <m:r>
                          <m:t>1</m:t>
                        </m:r>
                      </m:sup>
                    </m:sSup>
                    <m:sSub>
                      <m:e>
                        <m:r>
                          <m:rPr>
                            <m:sty m:val="p"/>
                            <m:scr m:val="double-struck"/>
                          </m:rPr>
                          <m:t>e</m:t>
                        </m:r>
                      </m:e>
                      <m:sub>
                        <m:r>
                          <m:t>i</m:t>
                        </m:r>
                      </m:sub>
                    </m:sSub>
                    <m:r>
                      <m:rPr>
                        <m:sty m:val="p"/>
                      </m:rPr>
                      <m:t>,</m:t>
                    </m:r>
                    <m:sSup>
                      <m:e>
                        <m:r>
                          <m:t>P</m:t>
                        </m:r>
                      </m:e>
                      <m:sup>
                        <m:r>
                          <m:rPr>
                            <m:sty m:val="p"/>
                          </m:rPr>
                          <m:t>−</m:t>
                        </m:r>
                        <m:r>
                          <m:t>1</m:t>
                        </m:r>
                      </m:sup>
                    </m:sSup>
                    <m:r>
                      <m:rPr>
                        <m:sty m:val="p"/>
                        <m:scr m:val="double-struck"/>
                      </m:rPr>
                      <m:t>e</m:t>
                    </m:r>
                    <m:sSub>
                      <m:e>
                        <m:r>
                          <m:rPr>
                            <m:sty m:val="p"/>
                          </m:rPr>
                          <m:t>′</m:t>
                        </m:r>
                      </m:e>
                      <m:sub>
                        <m:r>
                          <m:t>i</m:t>
                        </m:r>
                      </m:sub>
                    </m:sSub>
                  </m:e>
                </m:d>
                <m:f>
                  <m:fPr>
                    <m:type m:val="bar"/>
                  </m:fPr>
                  <m:num>
                    <m:sSub>
                      <m:e>
                        <m:r>
                          <m:rPr>
                            <m:sty m:val="b"/>
                          </m:rPr>
                          <m:t>e</m:t>
                        </m:r>
                      </m:e>
                      <m:sub>
                        <m:r>
                          <m:t>i</m:t>
                        </m:r>
                      </m:sub>
                    </m:sSub>
                    <m:r>
                      <m:rPr>
                        <m:sty m:val="p"/>
                      </m:rPr>
                      <m:t>−</m:t>
                    </m:r>
                    <m:sSub>
                      <m:e>
                        <m:r>
                          <m:rPr>
                            <m:sty m:val="b"/>
                          </m:rPr>
                          <m:t>e</m:t>
                        </m:r>
                        <m:r>
                          <m:rPr>
                            <m:sty m:val="b"/>
                          </m:rPr>
                          <m:t>′</m:t>
                        </m:r>
                      </m:e>
                      <m:sub>
                        <m:r>
                          <m:t>i</m:t>
                        </m:r>
                      </m:sub>
                    </m:sSub>
                  </m:num>
                  <m:den>
                    <m:sSup>
                      <m:e>
                        <m:d>
                          <m:dPr>
                            <m:begChr m:val="("/>
                            <m:endChr m:val=")"/>
                            <m:sepChr m:val=""/>
                            <m:grow/>
                          </m:dPr>
                          <m:e>
                            <m:d>
                              <m:dPr>
                                <m:begChr m:val="|"/>
                                <m:endChr m:val="|"/>
                                <m:sepChr m:val=""/>
                                <m:grow/>
                              </m:dPr>
                              <m:e>
                                <m:sSub>
                                  <m:e>
                                    <m:r>
                                      <m:rPr>
                                        <m:sty m:val="b"/>
                                      </m:rPr>
                                      <m:t>e</m:t>
                                    </m:r>
                                  </m:e>
                                  <m:sub>
                                    <m:r>
                                      <m:t>i</m:t>
                                    </m:r>
                                  </m:sub>
                                </m:sSub>
                                <m:r>
                                  <m:rPr>
                                    <m:sty m:val="p"/>
                                  </m:rPr>
                                  <m:t>−</m:t>
                                </m:r>
                                <m:r>
                                  <m:rPr>
                                    <m:sty m:val="b"/>
                                  </m:rPr>
                                  <m:t>e</m:t>
                                </m:r>
                                <m:sSub>
                                  <m:e>
                                    <m:r>
                                      <m:rPr>
                                        <m:sty m:val="p"/>
                                      </m:rPr>
                                      <m:t>′</m:t>
                                    </m:r>
                                  </m:e>
                                  <m:sub>
                                    <m:r>
                                      <m:t>i</m:t>
                                    </m:r>
                                  </m:sub>
                                </m:sSub>
                              </m:e>
                            </m:d>
                            <m:r>
                              <m:rPr>
                                <m:sty m:val="p"/>
                              </m:rPr>
                              <m:t>+</m:t>
                            </m:r>
                            <m:r>
                              <m:t>α</m:t>
                            </m:r>
                          </m:e>
                        </m:d>
                      </m:e>
                      <m:sup>
                        <m:r>
                          <m:t>2</m:t>
                        </m:r>
                      </m:sup>
                    </m:sSup>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p>
                  <m:e>
                    <m:r>
                      <m:t>C</m:t>
                    </m:r>
                  </m:e>
                  <m:sup>
                    <m:r>
                      <m:rPr>
                        <m:nor/>
                        <m:sty m:val="p"/>
                      </m:rPr>
                      <m:t>High</m:t>
                    </m:r>
                  </m:sup>
                </m:sSup>
                <m:d>
                  <m:dPr>
                    <m:begChr m:val="("/>
                    <m:endChr m:val=")"/>
                    <m:sepChr m:val=""/>
                    <m:grow/>
                  </m:dPr>
                  <m:e>
                    <m:r>
                      <m:rPr>
                        <m:sty m:val="p"/>
                        <m:scr m:val="double-struck"/>
                      </m:rPr>
                      <m:t>x</m:t>
                    </m:r>
                    <m:r>
                      <m:rPr>
                        <m:sty m:val="p"/>
                      </m:rPr>
                      <m:t>,</m:t>
                    </m:r>
                    <m:r>
                      <m:rPr>
                        <m:sty m:val="p"/>
                        <m:scr m:val="double-struck"/>
                      </m:rPr>
                      <m:t>x</m:t>
                    </m:r>
                    <m:r>
                      <m:rPr>
                        <m:sty m:val="p"/>
                        <m:scr m:val="double-struck"/>
                      </m:rPr>
                      <m:t>′</m:t>
                    </m:r>
                  </m:e>
                </m:d>
              </m:e>
              <m:e>
                <m:r>
                  <m:rPr>
                    <m:sty m:val="p"/>
                  </m:rPr>
                  <m:t>=</m:t>
                </m:r>
              </m:e>
            </m:mr>
            <m:mr>
              <m:e/>
              <m:e>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e>
                        <m:e>
                          <m:r>
                            <m:rPr>
                              <m:nor/>
                              <m:sty m:val="p"/>
                            </m:rPr>
                            <m:t>※ 束化圧が高い場合</m:t>
                          </m:r>
                        </m:e>
                      </m:mr>
                      <m:mr>
                        <m:e>
                          <m:r>
                            <m:t>0</m:t>
                          </m:r>
                        </m:e>
                        <m:e>
                          <m:r>
                            <m:rPr>
                              <m:nor/>
                              <m:sty m:val="p"/>
                            </m:rPr>
                            <m:t>その他の場合</m:t>
                          </m:r>
                        </m:e>
                      </m:mr>
                    </m:m>
                  </m:e>
                </m:d>
              </m:e>
            </m:mr>
            <m:mr>
              <m:e>
                <m:r>
                  <m:rPr>
                    <m:nor/>
                    <m:sty m:val="p"/>
                  </m:rPr>
                  <m:t>ただし、※の条件は</m:t>
                </m:r>
              </m:e>
            </m:m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a</m:t>
                    </m:r>
                  </m:sub>
                </m:sSub>
                <m:r>
                  <m:rPr>
                    <m:nor/>
                    <m:sty m:val="p"/>
                  </m:rPr>
                  <m:t> &amp;</m:t>
                </m:r>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l</m:t>
                    </m:r>
                  </m:sub>
                </m:sSub>
                <m:r>
                  <m:rPr>
                    <m:nor/>
                    <m:sty m:val="p"/>
                  </m:rPr>
                  <m:t> &amp;</m:t>
                </m:r>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p</m:t>
                    </m:r>
                  </m:sub>
                </m:sSub>
              </m:e>
            </m:mr>
          </m:m>
        </m:oMath>
      </m:oMathPara>
    </w:p>
    <w:bookmarkEnd w:id="28"/>
    <w:bookmarkStart w:id="30" w:name="その他"/>
    <w:p>
      <w:pPr>
        <w:pStyle w:val="Heading1"/>
      </w:pPr>
      <w:r>
        <w:t xml:space="preserve">その他</w:t>
      </w:r>
    </w:p>
    <w:bookmarkStart w:id="29" w:name="文献の引用"/>
    <w:p>
      <w:pPr>
        <w:pStyle w:val="Heading2"/>
      </w:pPr>
      <w:r>
        <w:t xml:space="preserve">文献の引用</w:t>
      </w:r>
    </w:p>
    <w:p>
      <w:pPr>
        <w:pStyle w:val="FirstParagraph"/>
      </w:pPr>
      <w:r>
        <w:t xml:space="preserve">この例題では、</w:t>
      </w:r>
      <w:r>
        <w:rPr>
          <w:rStyle w:val="VerbatimChar"/>
        </w:rPr>
        <w:t xml:space="preserve">library.bib</w:t>
      </w:r>
      <w:r>
        <w:t xml:space="preserve"> </w:t>
      </w:r>
      <w:r>
        <w:t xml:space="preserve">文献データベースとし、文献引用のスタイルにシカゴスタイルを指定して文献リストと文献の引用をしている。</w:t>
      </w:r>
      <w:r>
        <w:rPr>
          <w:rStyle w:val="VerbatimChar"/>
        </w:rPr>
        <w:t xml:space="preserve">.csl</w:t>
      </w:r>
      <w:r>
        <w:t xml:space="preserve">ファイルを別のものに指定すれば、他の引用形式にも対応できる。文献の引用方法は LaTeX の</w:t>
      </w:r>
      <w:r>
        <w:t xml:space="preserve"> </w:t>
      </w:r>
      <w:r>
        <w:rPr>
          <w:rStyle w:val="VerbatimChar"/>
        </w:rPr>
        <w:t xml:space="preserve">\cite {...}</w:t>
      </w:r>
      <w:r>
        <w:t xml:space="preserve"> </w:t>
      </w:r>
      <w:r>
        <w:t xml:space="preserve">コマンドとは異なる。以下を参考にすること。</w:t>
      </w:r>
    </w:p>
    <w:p>
      <w:pPr>
        <w:pStyle w:val="BodyText"/>
      </w:pPr>
      <w:r>
        <w:t xml:space="preserve">(Kashika 1997; Kashika and Hanko 1999)</w:t>
      </w:r>
      <w:r>
        <w:t xml:space="preserve"> </w:t>
      </w:r>
      <w:r>
        <w:t xml:space="preserve">は英語の文献で</w:t>
      </w:r>
      <w:r>
        <w:t xml:space="preserve">(可視化 and 情報 1998)</w:t>
      </w:r>
      <w:r>
        <w:t xml:space="preserve">は日本語の文献である.</w:t>
      </w:r>
    </w:p>
    <w:bookmarkEnd w:id="29"/>
    <w:bookmarkEnd w:id="30"/>
    <w:bookmarkStart w:id="31" w:name="はじめに"/>
    <w:p>
      <w:pPr>
        <w:pStyle w:val="Heading1"/>
      </w:pPr>
      <w:r>
        <w:t xml:space="preserve">はじめに</w:t>
      </w:r>
    </w:p>
    <w:bookmarkEnd w:id="31"/>
    <w:bookmarkStart w:id="36" w:name="参-考-文-献"/>
    <w:p>
      <w:pPr>
        <w:pStyle w:val="Heading1"/>
      </w:pPr>
      <w:r>
        <w:t xml:space="preserve">参　考　文　献</w:t>
      </w:r>
    </w:p>
    <w:bookmarkStart w:id="35" w:name="refs"/>
    <w:bookmarkStart w:id="32" w:name="ref-kashika-1997-visualization-technique"/>
    <w:p>
      <w:pPr>
        <w:pStyle w:val="Bibliography"/>
      </w:pPr>
      <w:r>
        <w:t xml:space="preserve">Kashika, T. 1997.</w:t>
      </w:r>
      <w:r>
        <w:t xml:space="preserve"> </w:t>
      </w:r>
      <w:r>
        <w:t xml:space="preserve">“Visualization Technique.”</w:t>
      </w:r>
      <w:r>
        <w:t xml:space="preserve"> </w:t>
      </w:r>
      <w:r>
        <w:rPr>
          <w:iCs/>
          <w:i/>
        </w:rPr>
        <w:t xml:space="preserve">VSJ Press</w:t>
      </w:r>
      <w:r>
        <w:t xml:space="preserve">, 1111–25.</w:t>
      </w:r>
    </w:p>
    <w:bookmarkEnd w:id="32"/>
    <w:bookmarkStart w:id="33" w:name="X541fabeee45985caaeaa546bfa1ca0f724338e0"/>
    <w:p>
      <w:pPr>
        <w:pStyle w:val="Bibliography"/>
      </w:pPr>
      <w:r>
        <w:t xml:space="preserve">Kashika, T., and J. Hanko. 1999.</w:t>
      </w:r>
      <w:r>
        <w:t xml:space="preserve"> </w:t>
      </w:r>
      <w:r>
        <w:t xml:space="preserve">“An Example of the Manuscript for</w:t>
      </w:r>
      <w:r>
        <w:t xml:space="preserve"> </w:t>
      </w:r>
      <w:r>
        <w:t xml:space="preserve">VSJ</w:t>
      </w:r>
      <w:r>
        <w:t xml:space="preserve"> </w:t>
      </w:r>
      <w:r>
        <w:t xml:space="preserve">Journal.”</w:t>
      </w:r>
      <w:r>
        <w:t xml:space="preserve"> </w:t>
      </w:r>
      <w:r>
        <w:rPr>
          <w:iCs/>
          <w:i/>
        </w:rPr>
        <w:t xml:space="preserve">VSJ</w:t>
      </w:r>
      <w:r>
        <w:rPr>
          <w:iCs/>
          <w:i/>
        </w:rPr>
        <w:t xml:space="preserve"> </w:t>
      </w:r>
      <w:r>
        <w:rPr>
          <w:iCs/>
          <w:i/>
        </w:rPr>
        <w:t xml:space="preserve">Journal</w:t>
      </w:r>
      <w:r>
        <w:t xml:space="preserve"> </w:t>
      </w:r>
      <w:r>
        <w:t xml:space="preserve">10 (5): 10–15.</w:t>
      </w:r>
    </w:p>
    <w:bookmarkEnd w:id="33"/>
    <w:bookmarkStart w:id="34" w:name="Xe1ed393460d70ae130097d8290c1064969f62fc"/>
    <w:p>
      <w:pPr>
        <w:pStyle w:val="Bibliography"/>
      </w:pPr>
      <w:r>
        <w:t xml:space="preserve">可視化太郎, and 情報花子. 1998.</w:t>
      </w:r>
      <w:r>
        <w:t xml:space="preserve"> </w:t>
      </w:r>
      <w:r>
        <w:t xml:space="preserve">“可視化情報学会における論文の書き方.”</w:t>
      </w:r>
      <w:r>
        <w:t xml:space="preserve"> </w:t>
      </w:r>
      <w:r>
        <w:rPr>
          <w:iCs/>
          <w:i/>
        </w:rPr>
        <w:t xml:space="preserve">可視化情報</w:t>
      </w:r>
      <w:r>
        <w:t xml:space="preserve"> </w:t>
      </w:r>
      <w:r>
        <w:t xml:space="preserve">100 (1000): 11–12.</w:t>
      </w:r>
    </w:p>
    <w:bookmarkEnd w:id="34"/>
    <w:bookmarkEnd w:id="35"/>
    <w:bookmarkEnd w:id="36"/>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可視化情報シンポジウム原稿テンプレート (和題:ゴシック16pt,1行27文字以内)* ―和文副題:ゴシック14pt</dc:title>
  <dc:creator>可視化　太郎○ (可視化情報大学），情報　花子（可視化情報（株））</dc:creator>
  <cp:keywords/>
  <dcterms:created xsi:type="dcterms:W3CDTF">2021-06-28T09:01:33Z</dcterms:created>
  <dcterms:modified xsi:type="dcterms:W3CDTF">2021-06-28T09:01:33Z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