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 xml:space="preserve">Q2 Product Report</w:t>
      </w:r>
    </w:p>
    <w:p>
      <w:pPr>
        <w:pStyle w:val="Heading2"/>
      </w:pPr>
      <w:r>
        <w:t xml:space="preserve">Highlights</w:t>
      </w:r>
    </w:p>
    <w:p>
      <w:r>
        <w:t xml:space="preserve">Adoption grew across every region this quarter, with the </w:t>
      </w:r>
      <w:r>
        <w:rPr>
          <w:b/>
        </w:rPr>
        <w:t xml:space="preserve">enterprise segment</w:t>
      </w:r>
      <w:r>
        <w:t xml:space="preserve"> growing fastest while </w:t>
      </w:r>
      <w:r>
        <w:rPr>
          <w:i/>
        </w:rPr>
        <w:t xml:space="preserve">pilot programs</w:t>
      </w:r>
      <w:r>
        <w:t xml:space="preserve"> expanded into three new regions.</w:t>
      </w:r>
    </w:p>
    <w:p>
      <w:pPr>
        <w:pStyle w:val="ListParagraph"/>
        <w:numPr>
          <w:ilvl w:val="0"/>
          <w:numId w:val="1"/>
        </w:numPr>
      </w:pPr>
      <w:r>
        <w:t xml:space="preserve">Faster onboarding flow shipped to all new customers</w:t>
      </w:r>
    </w:p>
    <w:p>
      <w:pPr>
        <w:pStyle w:val="ListParagraph"/>
        <w:numPr>
          <w:ilvl w:val="0"/>
          <w:numId w:val="1"/>
        </w:numPr>
      </w:pPr>
      <w:r>
        <w:t xml:space="preserve">New dashboard analytics rolled out in beta</w:t>
      </w:r>
    </w:p>
    <w:p>
      <w:pPr>
        <w:pStyle w:val="ListParagraph"/>
        <w:numPr>
          <w:ilvl w:val="0"/>
          <w:numId w:val="1"/>
        </w:numPr>
      </w:pPr>
      <w:r>
        <w:t xml:space="preserve">Expanded API rate limits for partner integrations</w:t>
      </w:r>
    </w:p>
    <w:p>
      <w:pPr>
        <w:pStyle w:val="Heading2"/>
      </w:pPr>
      <w:r>
        <w:t xml:space="preserve">Roadmap</w:t>
      </w:r>
    </w:p>
    <w:p>
      <w:pPr>
        <w:pStyle w:val="ListParagraph"/>
        <w:numPr>
          <w:ilvl w:val="0"/>
          <w:numId w:val="2"/>
        </w:numPr>
      </w:pPr>
      <w:r>
        <w:t xml:space="preserve">Ship the billing redesign</w:t>
      </w:r>
    </w:p>
    <w:p>
      <w:pPr>
        <w:pStyle w:val="ListParagraph"/>
        <w:numPr>
          <w:ilvl w:val="0"/>
          <w:numId w:val="2"/>
        </w:numPr>
      </w:pPr>
      <w:r>
        <w:t xml:space="preserve">Complete the SOC 2 audit</w:t>
      </w:r>
    </w:p>
    <w:p>
      <w:pPr>
        <w:pStyle w:val="ListParagraph"/>
        <w:numPr>
          <w:ilvl w:val="0"/>
          <w:numId w:val="2"/>
        </w:numPr>
      </w:pPr>
      <w:r>
        <w:t xml:space="preserve">Launch the partner API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2000"/>
        <w:gridCol w:w="2000"/>
      </w:tblGrid>
      <w:tr>
        <w:tc>
          <w:tcPr>
            <w:tcW w:w="3000" w:type="dxa"/>
          </w:tcPr>
          <w:p>
            <w:r>
              <w:t xml:space="preserve">Metric</w:t>
            </w:r>
          </w:p>
        </w:tc>
        <w:tc>
          <w:tcPr>
            <w:tcW w:w="2000" w:type="dxa"/>
          </w:tcPr>
          <w:p>
            <w:r>
              <w:t xml:space="preserve">Q1</w:t>
            </w:r>
          </w:p>
        </w:tc>
        <w:tc>
          <w:tcPr>
            <w:tcW w:w="2000" w:type="dxa"/>
          </w:tcPr>
          <w:p>
            <w:r>
              <w:t xml:space="preserve">Q2</w:t>
            </w:r>
          </w:p>
        </w:tc>
      </w:tr>
      <w:tr>
        <w:tc>
          <w:tcPr>
            <w:tcW w:w="3000" w:type="dxa"/>
          </w:tcPr>
          <w:p>
            <w:r>
              <w:t xml:space="preserve">Active Users</w:t>
            </w:r>
          </w:p>
        </w:tc>
        <w:tc>
          <w:tcPr>
            <w:tcW w:w="2000" w:type="dxa"/>
          </w:tcPr>
          <w:p>
            <w:r>
              <w:t xml:space="preserve">8,200</w:t>
            </w:r>
          </w:p>
        </w:tc>
        <w:tc>
          <w:tcPr>
            <w:tcW w:w="2000" w:type="dxa"/>
          </w:tcPr>
          <w:p>
            <w:r>
              <w:t xml:space="preserve">9,650</w:t>
            </w:r>
          </w:p>
        </w:tc>
      </w:tr>
      <w:tr>
        <w:tc>
          <w:tcPr>
            <w:tcW w:w="3000" w:type="dxa"/>
          </w:tcPr>
          <w:p>
            <w:r>
              <w:t xml:space="preserve">Monthly Revenue</w:t>
            </w:r>
          </w:p>
        </w:tc>
        <w:tc>
          <w:tcPr>
            <w:tcW w:w="2000" w:type="dxa"/>
          </w:tcPr>
          <w:p>
            <w:r>
              <w:t xml:space="preserve">$142k</w:t>
            </w:r>
          </w:p>
        </w:tc>
        <w:tc>
          <w:tcPr>
            <w:tcW w:w="2000" w:type="dxa"/>
          </w:tcPr>
          <w:p>
            <w:r>
              <w:t xml:space="preserve">$159k</w:t>
            </w:r>
          </w:p>
        </w:tc>
      </w:tr>
    </w:tbl>
    <w:p>
      <w:r>
        <w:t xml:space="preserve">The chart below shows quarter-over-quarter growth.</w:t>
      </w:r>
    </w:p>
    <w:p>
      <w:r>
        <w:drawing>
          <wp:inline distT="0" distB="0" distL="0" distR="0">
            <wp:extent cx="228600" cy="2286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The team will publish the full Q3 plan alongside the September board packet.</w:t>
      </w:r>
    </w:p>
    <w:sectPr>
      <w:pgSz w:w="12240" w:h="158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image" Target="media/image1.png"/>
</Relationships>

</file>