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363"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363"/>
      </w:tblGrid>
      <w:tr w14:paraId="084264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363" w:type="dxa"/>
          </w:tcPr>
          <w:p w14:paraId="1100BC1A">
            <w:pPr>
              <w:spacing w:line="276" w:lineRule="auto"/>
              <w:jc w:val="center"/>
              <w:rPr>
                <w:rFonts w:ascii="黑体" w:hAnsi="黑体" w:eastAsia="黑体"/>
                <w:sz w:val="28"/>
                <w:szCs w:val="28"/>
              </w:rPr>
            </w:pPr>
            <w:r>
              <w:rPr>
                <w:rFonts w:hint="eastAsia" w:ascii="黑体" w:hAnsi="黑体" w:eastAsia="黑体"/>
                <w:sz w:val="28"/>
                <w:szCs w:val="28"/>
              </w:rPr>
              <w:t>成品测试工艺规程</w:t>
            </w:r>
          </w:p>
        </w:tc>
      </w:tr>
      <w:tr w14:paraId="2BC2CB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035" w:hRule="atLeast"/>
          <w:jc w:val="center"/>
        </w:trPr>
        <w:tc>
          <w:tcPr>
            <w:tcW w:w="9363" w:type="dxa"/>
          </w:tcPr>
          <w:p w14:paraId="095685E6">
            <w:pPr>
              <w:spacing w:line="360" w:lineRule="auto"/>
              <w:ind w:left="420" w:hanging="420" w:hangingChars="200"/>
              <w:jc w:val="left"/>
              <w:rPr>
                <w:rFonts w:cs="宋体" w:asciiTheme="minorEastAsia" w:hAnsiTheme="minorEastAsia"/>
                <w:szCs w:val="21"/>
              </w:rPr>
            </w:pPr>
            <w:r>
              <w:rPr>
                <w:rFonts w:hint="eastAsia" w:ascii="黑体" w:hAnsi="黑体" w:eastAsia="黑体" w:cs="宋体"/>
                <w:szCs w:val="21"/>
              </w:rPr>
              <w:t>目的：</w:t>
            </w:r>
            <w:r>
              <w:rPr>
                <w:rFonts w:hint="eastAsia" w:cs="宋体" w:asciiTheme="minorEastAsia" w:hAnsiTheme="minorEastAsia"/>
                <w:szCs w:val="21"/>
              </w:rPr>
              <w:t>通过测试，保证生产产品的性能参数满足设计和客户的要求。</w:t>
            </w:r>
          </w:p>
          <w:p w14:paraId="2E7ED48A">
            <w:pPr>
              <w:spacing w:line="360" w:lineRule="auto"/>
              <w:ind w:left="420" w:hanging="420" w:hangingChars="200"/>
              <w:jc w:val="left"/>
              <w:rPr>
                <w:rFonts w:ascii="宋体" w:hAnsi="宋体" w:cs="宋体"/>
                <w:kern w:val="0"/>
                <w:szCs w:val="21"/>
              </w:rPr>
            </w:pPr>
            <w:r>
              <w:rPr>
                <w:rFonts w:hint="eastAsia" w:ascii="黑体" w:hAnsi="黑体" w:eastAsia="黑体" w:cs="宋体"/>
                <w:szCs w:val="21"/>
              </w:rPr>
              <w:t>工作环境：</w:t>
            </w:r>
            <w:r>
              <w:rPr>
                <w:rFonts w:hint="eastAsia" w:ascii="宋体" w:hAnsi="宋体" w:cs="宋体"/>
                <w:kern w:val="0"/>
                <w:szCs w:val="21"/>
              </w:rPr>
              <w:t>温度为19</w:t>
            </w:r>
            <w:r>
              <w:rPr>
                <w:rFonts w:hint="eastAsia"/>
                <w:kern w:val="0"/>
              </w:rPr>
              <w:t>～</w:t>
            </w:r>
            <w:r>
              <w:rPr>
                <w:rFonts w:hint="eastAsia" w:ascii="宋体" w:hAnsi="宋体" w:cs="宋体"/>
                <w:kern w:val="0"/>
                <w:szCs w:val="21"/>
              </w:rPr>
              <w:t>27℃，湿度30%</w:t>
            </w:r>
            <w:r>
              <w:rPr>
                <w:rFonts w:hint="eastAsia"/>
                <w:kern w:val="0"/>
              </w:rPr>
              <w:t>～</w:t>
            </w:r>
            <w:r>
              <w:rPr>
                <w:rFonts w:hint="eastAsia" w:ascii="宋体" w:hAnsi="宋体" w:cs="宋体"/>
                <w:kern w:val="0"/>
                <w:szCs w:val="21"/>
              </w:rPr>
              <w:t>80%RH；</w:t>
            </w:r>
          </w:p>
          <w:p w14:paraId="11C1D27E">
            <w:pPr>
              <w:spacing w:line="360" w:lineRule="auto"/>
              <w:ind w:left="420" w:hanging="420" w:hangingChars="200"/>
              <w:jc w:val="left"/>
              <w:rPr>
                <w:rFonts w:ascii="宋体" w:hAnsi="宋体" w:eastAsia="宋体" w:cs="宋体"/>
                <w:szCs w:val="21"/>
              </w:rPr>
            </w:pPr>
            <w:r>
              <w:rPr>
                <w:rFonts w:hint="eastAsia" w:ascii="黑体" w:hAnsi="黑体" w:eastAsia="黑体" w:cs="宋体"/>
                <w:szCs w:val="21"/>
              </w:rPr>
              <w:t>使用设备清单：</w:t>
            </w:r>
            <w:r>
              <w:rPr>
                <w:rFonts w:hint="eastAsia" w:ascii="宋体" w:hAnsi="宋体" w:eastAsia="宋体" w:cs="宋体"/>
                <w:szCs w:val="21"/>
              </w:rPr>
              <w:t xml:space="preserve"> </w:t>
            </w:r>
          </w:p>
          <w:p w14:paraId="6B7ABEB2">
            <w:pPr>
              <w:ind w:left="368" w:hanging="367" w:hangingChars="175"/>
              <w:jc w:val="center"/>
              <w:rPr>
                <w:rFonts w:ascii="宋体" w:hAnsi="宋体"/>
                <w:szCs w:val="21"/>
              </w:rPr>
            </w:pPr>
            <w:r>
              <w:rPr>
                <w:rFonts w:hint="eastAsia" w:ascii="宋体" w:hAnsi="宋体"/>
                <w:szCs w:val="21"/>
              </w:rPr>
              <w:t>表1 工装设备清单</w:t>
            </w:r>
          </w:p>
          <w:tbl>
            <w:tblPr>
              <w:tblStyle w:val="7"/>
              <w:tblW w:w="4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2626"/>
              <w:gridCol w:w="2202"/>
              <w:gridCol w:w="1711"/>
            </w:tblGrid>
            <w:tr w14:paraId="5DC10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477BBAD8">
                  <w:pPr>
                    <w:spacing w:line="276" w:lineRule="auto"/>
                    <w:jc w:val="center"/>
                    <w:rPr>
                      <w:rFonts w:ascii="宋体" w:hAnsi="宋体" w:eastAsia="宋体"/>
                      <w:b/>
                      <w:sz w:val="18"/>
                      <w:szCs w:val="18"/>
                    </w:rPr>
                  </w:pPr>
                  <w:r>
                    <w:rPr>
                      <w:rFonts w:hint="eastAsia" w:ascii="宋体" w:hAnsi="宋体" w:eastAsia="宋体"/>
                      <w:b/>
                      <w:sz w:val="18"/>
                      <w:szCs w:val="18"/>
                    </w:rPr>
                    <w:t>序号</w:t>
                  </w:r>
                </w:p>
              </w:tc>
              <w:tc>
                <w:tcPr>
                  <w:tcW w:w="1788" w:type="pct"/>
                </w:tcPr>
                <w:p w14:paraId="2746E1FF">
                  <w:pPr>
                    <w:spacing w:line="276" w:lineRule="auto"/>
                    <w:jc w:val="center"/>
                    <w:rPr>
                      <w:rFonts w:ascii="宋体" w:hAnsi="宋体" w:eastAsia="宋体"/>
                      <w:b/>
                      <w:sz w:val="18"/>
                      <w:szCs w:val="18"/>
                    </w:rPr>
                  </w:pPr>
                  <w:r>
                    <w:rPr>
                      <w:rFonts w:hint="eastAsia" w:ascii="宋体" w:hAnsi="宋体" w:eastAsia="宋体"/>
                      <w:b/>
                      <w:sz w:val="18"/>
                      <w:szCs w:val="18"/>
                    </w:rPr>
                    <w:t>设备名称</w:t>
                  </w:r>
                </w:p>
              </w:tc>
              <w:tc>
                <w:tcPr>
                  <w:tcW w:w="1499" w:type="pct"/>
                </w:tcPr>
                <w:p w14:paraId="520612E2">
                  <w:pPr>
                    <w:spacing w:line="276" w:lineRule="auto"/>
                    <w:jc w:val="center"/>
                    <w:rPr>
                      <w:rFonts w:ascii="宋体" w:hAnsi="宋体" w:eastAsia="宋体"/>
                      <w:b/>
                      <w:sz w:val="18"/>
                      <w:szCs w:val="18"/>
                    </w:rPr>
                  </w:pPr>
                  <w:r>
                    <w:rPr>
                      <w:rFonts w:hint="eastAsia" w:ascii="宋体" w:hAnsi="宋体" w:eastAsia="宋体"/>
                      <w:b/>
                      <w:sz w:val="18"/>
                      <w:szCs w:val="18"/>
                    </w:rPr>
                    <w:t>型号</w:t>
                  </w:r>
                </w:p>
              </w:tc>
              <w:tc>
                <w:tcPr>
                  <w:tcW w:w="1165" w:type="pct"/>
                </w:tcPr>
                <w:p w14:paraId="0C31912C">
                  <w:pPr>
                    <w:spacing w:line="276" w:lineRule="auto"/>
                    <w:jc w:val="center"/>
                    <w:rPr>
                      <w:rFonts w:ascii="宋体" w:hAnsi="宋体" w:eastAsia="宋体"/>
                      <w:b/>
                      <w:sz w:val="18"/>
                      <w:szCs w:val="18"/>
                    </w:rPr>
                  </w:pPr>
                  <w:r>
                    <w:rPr>
                      <w:rFonts w:hint="eastAsia" w:ascii="宋体" w:hAnsi="宋体" w:eastAsia="宋体"/>
                      <w:b/>
                      <w:sz w:val="18"/>
                      <w:szCs w:val="18"/>
                    </w:rPr>
                    <w:t>备注</w:t>
                  </w:r>
                </w:p>
              </w:tc>
            </w:tr>
            <w:tr w14:paraId="1B5C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65908D87">
                  <w:pPr>
                    <w:spacing w:line="276" w:lineRule="auto"/>
                    <w:jc w:val="center"/>
                    <w:rPr>
                      <w:rFonts w:ascii="宋体" w:hAnsi="宋体"/>
                      <w:sz w:val="18"/>
                      <w:szCs w:val="18"/>
                    </w:rPr>
                  </w:pPr>
                  <w:r>
                    <w:rPr>
                      <w:rFonts w:hint="eastAsia" w:ascii="宋体" w:hAnsi="宋体"/>
                      <w:sz w:val="18"/>
                      <w:szCs w:val="18"/>
                    </w:rPr>
                    <w:t>1</w:t>
                  </w:r>
                </w:p>
              </w:tc>
              <w:tc>
                <w:tcPr>
                  <w:tcW w:w="1788" w:type="pct"/>
                </w:tcPr>
                <w:p w14:paraId="0A084B92">
                  <w:pPr>
                    <w:spacing w:line="276" w:lineRule="auto"/>
                    <w:jc w:val="center"/>
                    <w:rPr>
                      <w:kern w:val="0"/>
                      <w:sz w:val="18"/>
                      <w:szCs w:val="18"/>
                    </w:rPr>
                  </w:pPr>
                  <w:r>
                    <w:rPr>
                      <w:rFonts w:hint="eastAsia"/>
                      <w:kern w:val="0"/>
                      <w:sz w:val="18"/>
                      <w:szCs w:val="18"/>
                    </w:rPr>
                    <w:t>矢量网络分析仪</w:t>
                  </w:r>
                </w:p>
              </w:tc>
              <w:tc>
                <w:tcPr>
                  <w:tcW w:w="1499" w:type="pct"/>
                </w:tcPr>
                <w:p w14:paraId="0528040E">
                  <w:pPr>
                    <w:spacing w:line="276" w:lineRule="auto"/>
                    <w:jc w:val="center"/>
                    <w:rPr>
                      <w:rFonts w:asciiTheme="minorEastAsia" w:hAnsiTheme="minorEastAsia"/>
                      <w:kern w:val="0"/>
                      <w:sz w:val="18"/>
                      <w:szCs w:val="18"/>
                    </w:rPr>
                  </w:pPr>
                  <w:r>
                    <w:rPr>
                      <w:rFonts w:asciiTheme="minorEastAsia" w:hAnsiTheme="minorEastAsia"/>
                      <w:kern w:val="0"/>
                      <w:sz w:val="18"/>
                      <w:szCs w:val="18"/>
                    </w:rPr>
                    <w:t>E5071C</w:t>
                  </w:r>
                </w:p>
              </w:tc>
              <w:tc>
                <w:tcPr>
                  <w:tcW w:w="1165" w:type="pct"/>
                </w:tcPr>
                <w:p w14:paraId="621642C5">
                  <w:pPr>
                    <w:spacing w:line="276" w:lineRule="auto"/>
                    <w:jc w:val="center"/>
                    <w:rPr>
                      <w:kern w:val="0"/>
                      <w:sz w:val="18"/>
                      <w:szCs w:val="18"/>
                    </w:rPr>
                  </w:pPr>
                </w:p>
              </w:tc>
            </w:tr>
            <w:tr w14:paraId="0849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2854B7A2">
                  <w:pPr>
                    <w:spacing w:line="276" w:lineRule="auto"/>
                    <w:jc w:val="center"/>
                    <w:rPr>
                      <w:rFonts w:ascii="宋体" w:hAnsi="宋体"/>
                      <w:sz w:val="18"/>
                      <w:szCs w:val="18"/>
                    </w:rPr>
                  </w:pPr>
                  <w:r>
                    <w:rPr>
                      <w:rFonts w:hint="eastAsia" w:ascii="宋体" w:hAnsi="宋体"/>
                      <w:sz w:val="18"/>
                      <w:szCs w:val="18"/>
                    </w:rPr>
                    <w:t>2</w:t>
                  </w:r>
                </w:p>
              </w:tc>
              <w:tc>
                <w:tcPr>
                  <w:tcW w:w="1788" w:type="pct"/>
                  <w:vAlign w:val="center"/>
                </w:tcPr>
                <w:p w14:paraId="079ABB6D">
                  <w:pPr>
                    <w:spacing w:line="276" w:lineRule="auto"/>
                    <w:jc w:val="center"/>
                    <w:rPr>
                      <w:kern w:val="0"/>
                      <w:sz w:val="18"/>
                      <w:szCs w:val="18"/>
                    </w:rPr>
                  </w:pPr>
                  <w:r>
                    <w:rPr>
                      <w:rFonts w:hint="eastAsia"/>
                      <w:kern w:val="0"/>
                      <w:sz w:val="18"/>
                      <w:szCs w:val="18"/>
                    </w:rPr>
                    <w:t>测试夹具</w:t>
                  </w:r>
                </w:p>
              </w:tc>
              <w:tc>
                <w:tcPr>
                  <w:tcW w:w="1499" w:type="pct"/>
                  <w:vAlign w:val="center"/>
                </w:tcPr>
                <w:p w14:paraId="1C655AD8">
                  <w:pPr>
                    <w:spacing w:line="276" w:lineRule="auto"/>
                    <w:jc w:val="center"/>
                    <w:rPr>
                      <w:rFonts w:asciiTheme="minorEastAsia" w:hAnsiTheme="minorEastAsia"/>
                      <w:kern w:val="0"/>
                      <w:sz w:val="18"/>
                      <w:szCs w:val="18"/>
                    </w:rPr>
                  </w:pPr>
                  <w:r>
                    <w:rPr>
                      <w:rFonts w:asciiTheme="minorEastAsia" w:hAnsiTheme="minorEastAsia"/>
                      <w:kern w:val="0"/>
                      <w:sz w:val="18"/>
                      <w:szCs w:val="18"/>
                    </w:rPr>
                    <w:t>ZLGZ-WCS</w:t>
                  </w:r>
                  <w:r>
                    <w:rPr>
                      <w:rFonts w:hint="eastAsia" w:asciiTheme="minorEastAsia" w:hAnsiTheme="minorEastAsia"/>
                      <w:kern w:val="0"/>
                      <w:sz w:val="18"/>
                      <w:szCs w:val="18"/>
                    </w:rPr>
                    <w:t>001</w:t>
                  </w:r>
                  <w:r>
                    <w:rPr>
                      <w:rFonts w:asciiTheme="majorHAnsi" w:hAnsiTheme="majorHAnsi"/>
                      <w:kern w:val="0"/>
                      <w:sz w:val="18"/>
                      <w:szCs w:val="18"/>
                    </w:rPr>
                    <w:t>~</w:t>
                  </w:r>
                  <w:r>
                    <w:rPr>
                      <w:rFonts w:asciiTheme="minorEastAsia" w:hAnsiTheme="minorEastAsia"/>
                      <w:kern w:val="0"/>
                      <w:sz w:val="18"/>
                      <w:szCs w:val="18"/>
                    </w:rPr>
                    <w:t>015</w:t>
                  </w:r>
                </w:p>
              </w:tc>
              <w:tc>
                <w:tcPr>
                  <w:tcW w:w="1165" w:type="pct"/>
                </w:tcPr>
                <w:p w14:paraId="12202F33">
                  <w:pPr>
                    <w:spacing w:line="276" w:lineRule="auto"/>
                    <w:jc w:val="center"/>
                    <w:rPr>
                      <w:kern w:val="0"/>
                      <w:sz w:val="18"/>
                      <w:szCs w:val="18"/>
                    </w:rPr>
                  </w:pPr>
                  <w:r>
                    <w:rPr>
                      <w:rFonts w:hint="eastAsia"/>
                      <w:kern w:val="0"/>
                      <w:sz w:val="18"/>
                      <w:szCs w:val="18"/>
                    </w:rPr>
                    <w:t>与产品适用</w:t>
                  </w:r>
                </w:p>
              </w:tc>
            </w:tr>
          </w:tbl>
          <w:p w14:paraId="56D08CB4">
            <w:pPr>
              <w:overflowPunct w:val="0"/>
              <w:spacing w:line="360" w:lineRule="auto"/>
              <w:rPr>
                <w:rFonts w:ascii="黑体" w:hAnsi="黑体" w:eastAsia="黑体" w:cs="Arial"/>
              </w:rPr>
            </w:pPr>
            <w:r>
              <w:rPr>
                <w:rFonts w:hint="eastAsia" w:ascii="黑体" w:hAnsi="黑体" w:eastAsia="黑体" w:cs="Arial"/>
              </w:rPr>
              <w:t>1  仪器校准</w:t>
            </w:r>
          </w:p>
          <w:p w14:paraId="6A8F13F6">
            <w:pPr>
              <w:overflowPunct w:val="0"/>
              <w:spacing w:line="360" w:lineRule="auto"/>
              <w:rPr>
                <w:rFonts w:ascii="宋体" w:hAnsi="宋体" w:cs="宋体"/>
                <w:szCs w:val="21"/>
              </w:rPr>
            </w:pPr>
            <w:r>
              <w:rPr>
                <w:rFonts w:hint="eastAsia" w:ascii="宋体" w:hAnsi="宋体" w:cs="宋体"/>
                <w:szCs w:val="21"/>
              </w:rPr>
              <w:t>1.1  开机前检查：</w:t>
            </w:r>
          </w:p>
          <w:p w14:paraId="66209DB6">
            <w:pPr>
              <w:overflowPunct w:val="0"/>
              <w:spacing w:line="360" w:lineRule="auto"/>
              <w:rPr>
                <w:rFonts w:ascii="宋体" w:hAnsi="宋体" w:cs="宋体"/>
                <w:szCs w:val="21"/>
              </w:rPr>
            </w:pPr>
            <w:r>
              <w:rPr>
                <w:rFonts w:hint="eastAsia" w:ascii="宋体" w:hAnsi="宋体" w:cs="宋体"/>
                <w:szCs w:val="21"/>
              </w:rPr>
              <w:t>1.1.1  检查仪器接地线是否连接好；</w:t>
            </w:r>
          </w:p>
          <w:p w14:paraId="34E69DCD">
            <w:pPr>
              <w:overflowPunct w:val="0"/>
              <w:spacing w:line="360" w:lineRule="auto"/>
              <w:rPr>
                <w:rFonts w:ascii="宋体" w:hAnsi="宋体" w:cs="宋体"/>
                <w:szCs w:val="21"/>
              </w:rPr>
            </w:pPr>
            <w:r>
              <w:rPr>
                <w:rFonts w:hint="eastAsia" w:ascii="宋体" w:hAnsi="宋体" w:cs="宋体"/>
                <w:szCs w:val="21"/>
              </w:rPr>
              <w:t>1.1.2  检查测试电缆与仪器的输入、输出端口的连接器是否连接紧固；</w:t>
            </w:r>
          </w:p>
          <w:p w14:paraId="061B4439">
            <w:pPr>
              <w:overflowPunct w:val="0"/>
              <w:spacing w:line="360" w:lineRule="auto"/>
              <w:rPr>
                <w:rFonts w:ascii="宋体" w:hAnsi="宋体" w:cs="宋体"/>
                <w:szCs w:val="21"/>
              </w:rPr>
            </w:pPr>
            <w:r>
              <w:rPr>
                <w:rFonts w:hint="eastAsia" w:ascii="宋体" w:hAnsi="宋体" w:cs="宋体"/>
                <w:szCs w:val="21"/>
              </w:rPr>
              <w:t>1.1.3  检查电源线是否连接。</w:t>
            </w:r>
          </w:p>
          <w:p w14:paraId="50D914C9">
            <w:pPr>
              <w:overflowPunct w:val="0"/>
              <w:spacing w:line="360" w:lineRule="auto"/>
              <w:rPr>
                <w:rFonts w:ascii="宋体" w:hAnsi="宋体" w:cs="宋体"/>
                <w:szCs w:val="21"/>
              </w:rPr>
            </w:pPr>
            <w:r>
              <w:rPr>
                <w:rFonts w:hint="eastAsia" w:ascii="宋体" w:hAnsi="宋体" w:cs="宋体"/>
                <w:szCs w:val="21"/>
              </w:rPr>
              <w:t>1.2  打开仪器电源开关，启动矢量网络分析仪测试软件，进入测试界面,预热0.5小时；</w:t>
            </w:r>
          </w:p>
          <w:p w14:paraId="38E24E5C">
            <w:pPr>
              <w:overflowPunct w:val="0"/>
              <w:spacing w:line="360" w:lineRule="auto"/>
              <w:ind w:left="420" w:hanging="420" w:hangingChars="200"/>
              <w:rPr>
                <w:rFonts w:ascii="宋体" w:hAnsi="宋体" w:cs="宋体"/>
                <w:szCs w:val="21"/>
              </w:rPr>
            </w:pPr>
            <w:r>
              <w:rPr>
                <w:rFonts w:hint="eastAsia" w:ascii="宋体" w:hAnsi="宋体" w:cs="宋体"/>
                <w:szCs w:val="21"/>
              </w:rPr>
              <w:t>1.3  根据产品的技术指标，设置测试的起始频率【start】、终止频率【stop】点，设置扫描带宽【IF BW】、输出功率（一般设置默认）；</w:t>
            </w:r>
          </w:p>
          <w:p w14:paraId="054ACEA8">
            <w:pPr>
              <w:overflowPunct w:val="0"/>
              <w:spacing w:line="360" w:lineRule="auto"/>
              <w:ind w:left="420" w:hanging="420" w:hangingChars="200"/>
              <w:rPr>
                <w:rFonts w:ascii="宋体" w:hAnsi="宋体" w:cs="宋体"/>
                <w:szCs w:val="21"/>
              </w:rPr>
            </w:pPr>
            <w:r>
              <w:rPr>
                <w:rFonts w:hint="eastAsia" w:ascii="宋体" w:hAnsi="宋体" w:cs="宋体"/>
                <w:szCs w:val="21"/>
              </w:rPr>
              <w:t>1.4  按照“矢量网络分析仪安全操作规程”中操作步骤对仪器进行测试前校准，或从硬盘中直接调取前期校准状态值，使用标准双阴直通连接射频电缆，验证校准状态是否准确；如测试曲线有较大纹波、损耗较大等现象，则需重新校准。</w:t>
            </w:r>
          </w:p>
          <w:p w14:paraId="58582610">
            <w:pPr>
              <w:overflowPunct w:val="0"/>
              <w:spacing w:line="360" w:lineRule="auto"/>
              <w:ind w:left="420" w:hanging="420" w:hangingChars="200"/>
              <w:rPr>
                <w:rFonts w:ascii="宋体" w:hAnsi="宋体" w:cs="宋体"/>
                <w:szCs w:val="21"/>
              </w:rPr>
            </w:pPr>
            <w:r>
              <w:rPr>
                <w:rFonts w:hint="eastAsia" w:ascii="宋体" w:hAnsi="宋体" w:cs="宋体"/>
                <w:szCs w:val="21"/>
              </w:rPr>
              <w:t>1.5  设置标识【Marker】，至少设置3个标识点，分别为起始频率、中间频率、终止频率，以方便数据的读取；也可以多设置标识点，频率等比设置。</w:t>
            </w:r>
          </w:p>
          <w:p w14:paraId="1B1BC58F">
            <w:pPr>
              <w:overflowPunct w:val="0"/>
              <w:spacing w:line="360" w:lineRule="auto"/>
              <w:ind w:left="420" w:hanging="420" w:hangingChars="200"/>
              <w:rPr>
                <w:rFonts w:ascii="宋体" w:hAnsi="宋体" w:cs="宋体"/>
                <w:szCs w:val="21"/>
              </w:rPr>
            </w:pPr>
            <w:r>
              <w:rPr>
                <w:rFonts w:hint="eastAsia" w:ascii="宋体" w:hAnsi="宋体" w:cs="宋体"/>
                <w:szCs w:val="21"/>
              </w:rPr>
              <w:t>1.6  曲线的格式设置，根据被测器件参数值设置相应曲线参数，以便更好地观察、判断产品的测试指标的好坏。</w:t>
            </w:r>
          </w:p>
          <w:p w14:paraId="7754E4BB">
            <w:pPr>
              <w:overflowPunct w:val="0"/>
              <w:spacing w:line="360" w:lineRule="auto"/>
              <w:rPr>
                <w:rFonts w:ascii="黑体" w:hAnsi="黑体" w:eastAsia="黑体" w:cs="宋体"/>
                <w:szCs w:val="21"/>
              </w:rPr>
            </w:pPr>
            <w:r>
              <w:rPr>
                <w:rFonts w:hint="eastAsia" w:ascii="黑体" w:hAnsi="黑体" w:eastAsia="黑体"/>
              </w:rPr>
              <w:t xml:space="preserve">2  </w:t>
            </w:r>
            <w:r>
              <w:rPr>
                <w:rFonts w:hint="eastAsia" w:ascii="黑体" w:hAnsi="黑体" w:eastAsia="黑体" w:cs="Arial"/>
              </w:rPr>
              <w:t>测试夹具安装</w:t>
            </w:r>
          </w:p>
          <w:p w14:paraId="1011A3BF">
            <w:pPr>
              <w:overflowPunct w:val="0"/>
              <w:spacing w:line="360" w:lineRule="auto"/>
              <w:rPr>
                <w:rFonts w:ascii="宋体" w:hAnsi="宋体" w:cs="宋体"/>
                <w:szCs w:val="21"/>
              </w:rPr>
            </w:pPr>
            <w:r>
              <w:rPr>
                <w:rFonts w:hint="eastAsia" w:ascii="宋体" w:hAnsi="宋体" w:cs="宋体"/>
                <w:szCs w:val="21"/>
              </w:rPr>
              <w:t>2.1  根据所测试的产品外形与频率段，选取对应的测试夹具</w:t>
            </w:r>
            <w:r>
              <w:rPr>
                <w:rFonts w:hint="eastAsia" w:ascii="宋体" w:hAnsi="宋体"/>
                <w:szCs w:val="21"/>
              </w:rPr>
              <w:t>；</w:t>
            </w:r>
          </w:p>
          <w:p w14:paraId="05A500F8">
            <w:pPr>
              <w:spacing w:line="360" w:lineRule="auto"/>
              <w:jc w:val="left"/>
              <w:rPr>
                <w:rFonts w:ascii="宋体" w:hAnsi="宋体" w:cs="宋体"/>
                <w:szCs w:val="21"/>
              </w:rPr>
            </w:pPr>
            <w:r>
              <w:rPr>
                <w:rFonts w:hint="eastAsia" w:ascii="宋体" w:hAnsi="宋体" w:cs="宋体"/>
                <w:szCs w:val="21"/>
              </w:rPr>
              <w:t xml:space="preserve">2.2  </w:t>
            </w:r>
            <w:r>
              <w:rPr>
                <w:rFonts w:hint="eastAsia" w:ascii="宋体" w:cs="Arial"/>
              </w:rPr>
              <w:t>测试夹具两端连接器与测试仪器电缆的连接</w:t>
            </w:r>
            <w:r>
              <w:rPr>
                <w:rFonts w:hint="eastAsia" w:ascii="宋体" w:hAnsi="宋体" w:cs="宋体"/>
                <w:szCs w:val="21"/>
              </w:rPr>
              <w:t>；</w:t>
            </w:r>
          </w:p>
          <w:p w14:paraId="3494DC94">
            <w:pPr>
              <w:spacing w:line="360" w:lineRule="auto"/>
              <w:ind w:left="420" w:hanging="420" w:hangingChars="200"/>
              <w:jc w:val="left"/>
              <w:rPr>
                <w:rFonts w:ascii="宋体" w:cs="Arial"/>
              </w:rPr>
            </w:pPr>
            <w:r>
              <w:rPr>
                <w:rFonts w:hint="eastAsia" w:ascii="宋体" w:hAnsi="宋体" w:cs="宋体"/>
                <w:szCs w:val="21"/>
              </w:rPr>
              <w:t xml:space="preserve">2.2.1  </w:t>
            </w:r>
            <w:r>
              <w:rPr>
                <w:rFonts w:hint="eastAsia" w:ascii="宋体" w:cs="Arial"/>
              </w:rPr>
              <w:t>固定电缆与连接器另一端，使电缆在紧固旋转时不跟着转，接触端旋转，旋转至紧固为止。测试夹具另一端同样操作；</w:t>
            </w:r>
          </w:p>
          <w:p w14:paraId="41AB1F81">
            <w:pPr>
              <w:spacing w:line="360" w:lineRule="auto"/>
              <w:ind w:left="420" w:hanging="420" w:hangingChars="200"/>
              <w:jc w:val="left"/>
              <w:rPr>
                <w:rFonts w:ascii="宋体" w:cs="Arial"/>
              </w:rPr>
            </w:pPr>
            <w:r>
              <w:rPr>
                <w:rFonts w:hint="eastAsia" w:ascii="宋体" w:cs="Arial"/>
              </w:rPr>
              <w:t>2.2.2  连接过程中电缆线应保持自然弯曲，不能有过大程度的弯折，否则应调整</w:t>
            </w:r>
            <w:r>
              <w:rPr>
                <w:rFonts w:hint="eastAsia" w:ascii="宋体" w:hAnsi="宋体" w:cs="宋体"/>
                <w:szCs w:val="21"/>
              </w:rPr>
              <w:t>测试夹具与</w:t>
            </w:r>
            <w:r>
              <w:rPr>
                <w:rFonts w:hint="eastAsia" w:ascii="宋体" w:cs="Arial"/>
              </w:rPr>
              <w:t>测试仪器相对位置。</w:t>
            </w:r>
          </w:p>
          <w:p w14:paraId="523D94FC">
            <w:pPr>
              <w:spacing w:line="360" w:lineRule="auto"/>
              <w:ind w:left="420" w:hanging="420" w:hangingChars="200"/>
              <w:jc w:val="left"/>
              <w:rPr>
                <w:rFonts w:ascii="宋体" w:cs="Arial"/>
              </w:rPr>
            </w:pPr>
            <w:r>
              <w:rPr>
                <w:rFonts w:hint="eastAsia" w:ascii="宋体" w:cs="Arial"/>
              </w:rPr>
              <w:t>2.3  测试夹具校准</w:t>
            </w:r>
          </w:p>
          <w:p w14:paraId="3375671A">
            <w:pPr>
              <w:spacing w:line="360" w:lineRule="auto"/>
              <w:ind w:left="420" w:hanging="420" w:hangingChars="200"/>
              <w:jc w:val="left"/>
              <w:rPr>
                <w:rFonts w:ascii="宋体" w:cs="Arial"/>
              </w:rPr>
            </w:pPr>
            <w:r>
              <w:rPr>
                <w:rFonts w:hint="eastAsia" w:ascii="宋体" w:cs="Arial"/>
              </w:rPr>
              <w:t xml:space="preserve">        使用自制标准50Ω微带直通校准测试夹具，校准测试驻波值小于1.15方可使用，测试损耗值在仪器上进行归零，详细操作步骤见《矢量网络分析仪使用说明书》。</w:t>
            </w:r>
          </w:p>
          <w:p w14:paraId="78998E75">
            <w:pPr>
              <w:spacing w:line="360" w:lineRule="auto"/>
              <w:ind w:left="315" w:hanging="315" w:hangingChars="150"/>
              <w:jc w:val="left"/>
            </w:pPr>
            <w:r>
              <w:rPr>
                <w:rFonts w:hint="eastAsia" w:ascii="黑体" w:hAnsi="黑体" w:eastAsia="黑体"/>
              </w:rPr>
              <w:t xml:space="preserve">3  </w:t>
            </w:r>
            <w:r>
              <w:rPr>
                <w:rFonts w:hint="eastAsia" w:ascii="黑体" w:hAnsi="黑体" w:eastAsia="黑体" w:cs="Arial"/>
              </w:rPr>
              <w:t>产品测试准备</w:t>
            </w:r>
          </w:p>
          <w:p w14:paraId="3371CD7B">
            <w:pPr>
              <w:overflowPunct w:val="0"/>
              <w:spacing w:line="360" w:lineRule="auto"/>
              <w:ind w:left="420" w:hanging="420" w:hangingChars="200"/>
              <w:rPr>
                <w:rFonts w:ascii="宋体" w:hAnsi="宋体" w:cs="宋体"/>
                <w:szCs w:val="21"/>
              </w:rPr>
            </w:pPr>
            <w:r>
              <w:rPr>
                <w:rFonts w:hint="eastAsia" w:ascii="宋体" w:hAnsi="宋体" w:cs="宋体"/>
                <w:szCs w:val="21"/>
              </w:rPr>
              <w:t>3.1  将测试夹具连接的RF连接头与矢量网络分析仪的测试电缆连接在一起，连接时注意输入、输出端口是否与被测参数的端口设置一致；</w:t>
            </w:r>
          </w:p>
          <w:p w14:paraId="0C252453">
            <w:pPr>
              <w:overflowPunct w:val="0"/>
              <w:spacing w:line="360" w:lineRule="auto"/>
              <w:ind w:left="420" w:hanging="420" w:hangingChars="200"/>
              <w:rPr>
                <w:rFonts w:ascii="宋体" w:hAnsi="宋体" w:cs="宋体"/>
                <w:szCs w:val="21"/>
              </w:rPr>
            </w:pPr>
            <w:r>
              <w:rPr>
                <w:rFonts w:hint="eastAsia" w:ascii="宋体" w:hAnsi="宋体" w:cs="宋体"/>
                <w:szCs w:val="21"/>
              </w:rPr>
              <w:t>3.2  根据测试产品选择适宜的</w:t>
            </w:r>
            <w:r>
              <w:rPr>
                <w:rFonts w:hint="eastAsia" w:ascii="宋体" w:hAnsi="宋体" w:eastAsia="宋体" w:cs="宋体"/>
                <w:szCs w:val="21"/>
              </w:rPr>
              <w:t>自制测试夹具</w:t>
            </w:r>
            <w:r>
              <w:rPr>
                <w:rFonts w:hint="eastAsia" w:ascii="宋体" w:hAnsi="宋体" w:cs="宋体"/>
                <w:szCs w:val="21"/>
              </w:rPr>
              <w:t>，调整测试夹具的宽度，用塑料头镊子夹住产品，小心的放入测试夹具的上下移动台上，同时调整上下移动台的测试宽度，使产品的输入、输出端口与RF连接头的中心导体有效地连接；</w:t>
            </w:r>
          </w:p>
          <w:p w14:paraId="0B926414">
            <w:pPr>
              <w:overflowPunct w:val="0"/>
              <w:spacing w:line="360" w:lineRule="auto"/>
              <w:ind w:left="315" w:hanging="315" w:hangingChars="150"/>
              <w:rPr>
                <w:rFonts w:ascii="宋体" w:hAnsi="宋体" w:cs="宋体"/>
                <w:szCs w:val="21"/>
              </w:rPr>
            </w:pPr>
            <w:r>
              <w:rPr>
                <w:rFonts w:hint="eastAsia" w:ascii="宋体" w:hAnsi="宋体" w:cs="宋体"/>
                <w:szCs w:val="21"/>
              </w:rPr>
              <w:t>3.3  保证产品端面与测试夹具的端面良好地接触，以确保产品能充分、良好地接地。</w:t>
            </w:r>
          </w:p>
          <w:p w14:paraId="1A45C19D">
            <w:pPr>
              <w:spacing w:line="360" w:lineRule="auto"/>
              <w:rPr>
                <w:rFonts w:ascii="宋体" w:hAnsi="宋体" w:cs="宋体"/>
                <w:szCs w:val="21"/>
              </w:rPr>
            </w:pPr>
            <w:r>
              <w:rPr>
                <w:rFonts w:hint="eastAsia" w:ascii="黑体" w:hAnsi="黑体" w:eastAsia="黑体"/>
              </w:rPr>
              <w:t xml:space="preserve">4  </w:t>
            </w:r>
            <w:r>
              <w:rPr>
                <w:rFonts w:hint="eastAsia" w:ascii="黑体" w:hAnsi="黑体" w:eastAsia="黑体" w:cs="Arial"/>
              </w:rPr>
              <w:t>电气性能测试</w:t>
            </w:r>
          </w:p>
          <w:p w14:paraId="1E07A41B">
            <w:pPr>
              <w:spacing w:line="360" w:lineRule="auto"/>
              <w:ind w:left="420" w:hanging="420" w:hangingChars="200"/>
              <w:jc w:val="left"/>
              <w:rPr>
                <w:rFonts w:ascii="宋体" w:hAnsi="宋体" w:cs="宋体"/>
                <w:szCs w:val="21"/>
              </w:rPr>
            </w:pPr>
            <w:r>
              <w:rPr>
                <w:rFonts w:hint="eastAsia" w:ascii="宋体" w:hAnsi="宋体" w:cs="宋体"/>
                <w:szCs w:val="21"/>
              </w:rPr>
              <w:t>4.1  按照相应</w:t>
            </w:r>
            <w:r>
              <w:rPr>
                <w:rFonts w:hint="eastAsia"/>
                <w:szCs w:val="21"/>
              </w:rPr>
              <w:t>微带产品详细规范的要求</w:t>
            </w:r>
            <w:r>
              <w:rPr>
                <w:rFonts w:hint="eastAsia" w:ascii="宋体" w:hAnsi="宋体" w:cs="宋体"/>
                <w:szCs w:val="21"/>
              </w:rPr>
              <w:t>，</w:t>
            </w:r>
            <w:r>
              <w:rPr>
                <w:rFonts w:hint="eastAsia" w:ascii="Arial" w:hAnsi="Arial" w:cs="Arial"/>
              </w:rPr>
              <w:t>设置好被测</w:t>
            </w:r>
            <w:r>
              <w:rPr>
                <w:rFonts w:hint="eastAsia" w:ascii="宋体" w:hAnsi="宋体" w:cs="宋体"/>
                <w:szCs w:val="21"/>
              </w:rPr>
              <w:t>试</w:t>
            </w:r>
            <w:r>
              <w:rPr>
                <w:rFonts w:hint="eastAsia" w:ascii="Arial" w:hAnsi="Arial" w:cs="Arial"/>
              </w:rPr>
              <w:t>产品所测量的频率范围和各通道的参数等数据，然后进行测量</w:t>
            </w:r>
            <w:r>
              <w:rPr>
                <w:rFonts w:hint="eastAsia" w:ascii="宋体" w:hAnsi="宋体"/>
                <w:szCs w:val="21"/>
              </w:rPr>
              <w:t>；</w:t>
            </w:r>
          </w:p>
          <w:p w14:paraId="76E0C33D">
            <w:pPr>
              <w:spacing w:line="360" w:lineRule="auto"/>
              <w:ind w:left="420" w:hanging="420" w:hangingChars="200"/>
            </w:pPr>
            <w:r>
              <w:rPr>
                <w:rFonts w:hint="eastAsia" w:ascii="宋体" w:hAnsi="宋体" w:cs="宋体"/>
                <w:szCs w:val="21"/>
              </w:rPr>
              <w:t xml:space="preserve">4.2  </w:t>
            </w:r>
            <w:r>
              <w:rPr>
                <w:rFonts w:hint="eastAsia"/>
              </w:rPr>
              <w:t>用塑料头镊子把被测</w:t>
            </w:r>
            <w:r>
              <w:rPr>
                <w:rFonts w:hint="eastAsia" w:ascii="宋体" w:hAnsi="宋体" w:cs="宋体"/>
                <w:szCs w:val="21"/>
              </w:rPr>
              <w:t>试</w:t>
            </w:r>
            <w:r>
              <w:rPr>
                <w:rFonts w:hint="eastAsia"/>
              </w:rPr>
              <w:t>的微带产品放在测试夹具上，使用</w:t>
            </w:r>
            <w:r>
              <w:rPr>
                <w:rFonts w:hint="eastAsia" w:ascii="宋体" w:hAnsi="宋体" w:eastAsia="宋体" w:cs="宋体"/>
                <w:szCs w:val="21"/>
              </w:rPr>
              <w:t>矢量</w:t>
            </w:r>
            <w:r>
              <w:rPr>
                <w:rFonts w:hint="eastAsia"/>
              </w:rPr>
              <w:t>网络分析仪根据技术指标的频率范围内扫描，测量出被测件的相关参数如：正向损耗、反向损耗、驻波比等参数</w:t>
            </w:r>
            <w:r>
              <w:rPr>
                <w:rFonts w:hint="eastAsia" w:ascii="宋体" w:hAnsi="宋体" w:cs="宋体"/>
                <w:szCs w:val="21"/>
              </w:rPr>
              <w:t>；</w:t>
            </w:r>
          </w:p>
          <w:p w14:paraId="506A78E3">
            <w:pPr>
              <w:spacing w:line="360" w:lineRule="auto"/>
              <w:ind w:left="420" w:hanging="420" w:hangingChars="200"/>
            </w:pPr>
            <w:r>
              <w:rPr>
                <w:rFonts w:hint="eastAsia" w:ascii="宋体" w:hAnsi="宋体" w:cs="宋体"/>
                <w:szCs w:val="21"/>
              </w:rPr>
              <w:t xml:space="preserve">4.3  </w:t>
            </w:r>
            <w:r>
              <w:rPr>
                <w:rFonts w:hint="eastAsia"/>
              </w:rPr>
              <w:t>测试时根据客户需求，用</w:t>
            </w:r>
            <w:r>
              <w:rPr>
                <w:rFonts w:hint="eastAsia" w:ascii="宋体" w:hAnsi="宋体" w:eastAsia="宋体" w:cs="宋体"/>
                <w:szCs w:val="21"/>
              </w:rPr>
              <w:t>矢量</w:t>
            </w:r>
            <w:r>
              <w:rPr>
                <w:rFonts w:hint="eastAsia"/>
              </w:rPr>
              <w:t>网络分析仪的截图功能将测试曲线以图片的形式保存在指定的存储位置；</w:t>
            </w:r>
          </w:p>
          <w:p w14:paraId="3D7C1364">
            <w:pPr>
              <w:spacing w:line="360" w:lineRule="auto"/>
              <w:ind w:left="420" w:hanging="420" w:hangingChars="200"/>
            </w:pPr>
            <w:r>
              <w:rPr>
                <w:rFonts w:hint="eastAsia" w:ascii="宋体" w:hAnsi="宋体" w:cs="宋体"/>
                <w:szCs w:val="21"/>
              </w:rPr>
              <w:t>4.4  所有微带产品测试须采用生产专用自动数据采集软件（ZLWB_TEST）进行测试数据采集并保存。</w:t>
            </w:r>
          </w:p>
          <w:p w14:paraId="13ED2C68">
            <w:pPr>
              <w:spacing w:line="360" w:lineRule="auto"/>
              <w:rPr>
                <w:rFonts w:ascii="黑体" w:hAnsi="黑体" w:eastAsia="黑体" w:cs="宋体"/>
                <w:szCs w:val="21"/>
              </w:rPr>
            </w:pPr>
            <w:r>
              <w:rPr>
                <w:rFonts w:hint="eastAsia" w:ascii="黑体" w:hAnsi="黑体" w:eastAsia="黑体"/>
              </w:rPr>
              <w:t xml:space="preserve">5  </w:t>
            </w:r>
            <w:r>
              <w:rPr>
                <w:rFonts w:hint="eastAsia" w:ascii="黑体" w:hAnsi="黑体" w:eastAsia="黑体" w:cs="黑体"/>
                <w:szCs w:val="21"/>
              </w:rPr>
              <w:t>安全生产防护</w:t>
            </w:r>
          </w:p>
          <w:p w14:paraId="07779F66">
            <w:pPr>
              <w:spacing w:line="360" w:lineRule="auto"/>
              <w:rPr>
                <w:rFonts w:ascii="宋体" w:hAnsi="宋体" w:cs="宋体"/>
                <w:szCs w:val="21"/>
              </w:rPr>
            </w:pPr>
            <w:r>
              <w:rPr>
                <w:rFonts w:hint="eastAsia" w:ascii="宋体" w:hAnsi="宋体" w:cs="宋体"/>
                <w:szCs w:val="21"/>
              </w:rPr>
              <w:t>5.1  在测试</w:t>
            </w:r>
            <w:r>
              <w:rPr>
                <w:rFonts w:hint="eastAsia" w:ascii="宋体" w:hAnsi="宋体" w:cs="黑体"/>
                <w:szCs w:val="21"/>
              </w:rPr>
              <w:t>过程中，操作时不能用手直接接触产品；</w:t>
            </w:r>
          </w:p>
          <w:p w14:paraId="1CAD6E81">
            <w:pPr>
              <w:spacing w:line="360" w:lineRule="auto"/>
              <w:rPr>
                <w:rFonts w:ascii="宋体" w:hAnsi="宋体" w:cs="宋体"/>
                <w:szCs w:val="21"/>
              </w:rPr>
            </w:pPr>
            <w:r>
              <w:rPr>
                <w:rFonts w:hint="eastAsia" w:ascii="宋体" w:hAnsi="宋体" w:cs="宋体"/>
                <w:szCs w:val="21"/>
              </w:rPr>
              <w:t xml:space="preserve">5.2  </w:t>
            </w:r>
            <w:r>
              <w:rPr>
                <w:rFonts w:hint="eastAsia"/>
              </w:rPr>
              <w:t>仪器使用完毕后</w:t>
            </w:r>
            <w:r>
              <w:rPr>
                <w:rFonts w:hint="eastAsia" w:ascii="宋体" w:hAnsi="宋体" w:cs="黑体"/>
                <w:szCs w:val="21"/>
              </w:rPr>
              <w:t>，进行关机并确认完全关机后关掉电源；</w:t>
            </w:r>
          </w:p>
          <w:p w14:paraId="52FA514C">
            <w:pPr>
              <w:spacing w:line="360" w:lineRule="auto"/>
              <w:rPr>
                <w:rFonts w:ascii="黑体" w:hAnsi="黑体" w:eastAsia="黑体" w:cs="宋体"/>
                <w:szCs w:val="21"/>
              </w:rPr>
            </w:pPr>
            <w:r>
              <w:rPr>
                <w:rFonts w:hint="eastAsia" w:ascii="宋体" w:hAnsi="宋体" w:cs="宋体"/>
                <w:szCs w:val="21"/>
              </w:rPr>
              <w:t xml:space="preserve">5.3  </w:t>
            </w:r>
            <w:r>
              <w:rPr>
                <w:rFonts w:hint="eastAsia" w:ascii="宋体" w:hAnsi="宋体" w:cs="黑体"/>
                <w:szCs w:val="21"/>
              </w:rPr>
              <w:t>拆卸</w:t>
            </w:r>
            <w:r>
              <w:rPr>
                <w:rFonts w:hint="eastAsia" w:ascii="宋体" w:hAnsi="宋体" w:cs="宋体"/>
                <w:szCs w:val="21"/>
              </w:rPr>
              <w:t>测试夹具上的</w:t>
            </w:r>
            <w:r>
              <w:rPr>
                <w:rFonts w:hint="eastAsia" w:ascii="宋体" w:cs="Arial"/>
              </w:rPr>
              <w:t>连接电缆</w:t>
            </w:r>
            <w:r>
              <w:rPr>
                <w:rFonts w:hint="eastAsia" w:ascii="宋体" w:hAnsi="宋体" w:cs="宋体"/>
                <w:szCs w:val="21"/>
              </w:rPr>
              <w:t>，将测试夹具擦拭干净，放置在专用的货架上。</w:t>
            </w:r>
          </w:p>
        </w:tc>
      </w:tr>
    </w:tbl>
    <w:p w14:paraId="69DF59AD">
      <w:pPr>
        <w:spacing w:line="20" w:lineRule="exact"/>
      </w:pPr>
      <w:bookmarkStart w:id="0" w:name="_GoBack"/>
      <w:bookmarkEnd w:id="0"/>
    </w:p>
    <w:sectPr>
      <w:footerReference r:id="rId3" w:type="default"/>
      <w:pgSz w:w="11906" w:h="16838"/>
      <w:pgMar w:top="1276" w:right="1418" w:bottom="1276"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217203"/>
      <w:docPartObj>
        <w:docPartGallery w:val="autotext"/>
      </w:docPartObj>
    </w:sdtPr>
    <w:sdtEndPr>
      <w:rPr>
        <w:rFonts w:asciiTheme="minorEastAsia" w:hAnsiTheme="minorEastAsia"/>
        <w:sz w:val="21"/>
        <w:szCs w:val="21"/>
      </w:rPr>
    </w:sdtEndPr>
    <w:sdtContent>
      <w:sdt>
        <w:sdtPr>
          <w:id w:val="30217204"/>
          <w:docPartObj>
            <w:docPartGallery w:val="autotext"/>
          </w:docPartObj>
        </w:sdtPr>
        <w:sdtEndPr>
          <w:rPr>
            <w:rFonts w:asciiTheme="minorEastAsia" w:hAnsiTheme="minorEastAsia"/>
            <w:sz w:val="21"/>
            <w:szCs w:val="21"/>
          </w:rPr>
        </w:sdtEndPr>
        <w:sdtContent>
          <w:p w14:paraId="4A37D6A9">
            <w:pPr>
              <w:pStyle w:val="4"/>
              <w:jc w:val="center"/>
              <w:rPr>
                <w:rFonts w:asciiTheme="minorEastAsia" w:hAnsiTheme="minorEastAsia"/>
                <w:sz w:val="21"/>
                <w:szCs w:val="21"/>
              </w:rPr>
            </w:pPr>
            <w:r>
              <w:rPr>
                <w:rFonts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PAGE</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asciiTheme="minorEastAsia" w:hAnsiTheme="minorEastAsia"/>
                <w:sz w:val="21"/>
                <w:szCs w:val="21"/>
              </w:rPr>
              <w:t>页</w:t>
            </w:r>
            <w:r>
              <w:rPr>
                <w:rFonts w:hint="eastAsia" w:asciiTheme="minorEastAsia" w:hAnsiTheme="minorEastAsia"/>
                <w:sz w:val="21"/>
                <w:szCs w:val="21"/>
                <w:lang w:val="zh-CN"/>
              </w:rPr>
              <w:t>，</w:t>
            </w:r>
            <w:r>
              <w:rPr>
                <w:rFonts w:asciiTheme="minorEastAsia" w:hAnsiTheme="minorEastAsia"/>
                <w:sz w:val="21"/>
                <w:szCs w:val="21"/>
                <w:lang w:val="zh-CN"/>
              </w:rPr>
              <w:t xml:space="preserve">共 </w:t>
            </w:r>
            <w:r>
              <w:rPr>
                <w:rFonts w:asciiTheme="minorEastAsia" w:hAnsiTheme="minorEastAsia"/>
                <w:sz w:val="21"/>
                <w:szCs w:val="21"/>
              </w:rPr>
              <w:fldChar w:fldCharType="begin"/>
            </w:r>
            <w:r>
              <w:rPr>
                <w:rFonts w:asciiTheme="minorEastAsia" w:hAnsiTheme="minorEastAsia"/>
                <w:sz w:val="21"/>
                <w:szCs w:val="21"/>
              </w:rPr>
              <w:instrText xml:space="preserve">NUMPAGES</w:instrText>
            </w:r>
            <w:r>
              <w:rPr>
                <w:rFonts w:asciiTheme="minorEastAsia" w:hAnsiTheme="minorEastAsia"/>
                <w:sz w:val="21"/>
                <w:szCs w:val="21"/>
              </w:rPr>
              <w:fldChar w:fldCharType="separate"/>
            </w:r>
            <w:r>
              <w:rPr>
                <w:rFonts w:asciiTheme="minorEastAsia" w:hAnsiTheme="minorEastAsia"/>
                <w:sz w:val="21"/>
                <w:szCs w:val="21"/>
              </w:rPr>
              <w:t>2</w:t>
            </w:r>
            <w:r>
              <w:rPr>
                <w:rFonts w:asciiTheme="minorEastAsia" w:hAnsiTheme="minorEastAsia"/>
                <w:sz w:val="21"/>
                <w:szCs w:val="21"/>
              </w:rPr>
              <w:fldChar w:fldCharType="end"/>
            </w:r>
            <w:r>
              <w:rPr>
                <w:rFonts w:asciiTheme="minorEastAsia" w:hAnsiTheme="minorEastAsia"/>
                <w:sz w:val="21"/>
                <w:szCs w:val="21"/>
              </w:rPr>
              <w:t>页</w:t>
            </w:r>
          </w:p>
        </w:sdtContent>
      </w:sdt>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C715C"/>
    <w:rsid w:val="00003051"/>
    <w:rsid w:val="0001446F"/>
    <w:rsid w:val="00020487"/>
    <w:rsid w:val="000258BE"/>
    <w:rsid w:val="0003095F"/>
    <w:rsid w:val="0004613F"/>
    <w:rsid w:val="00062088"/>
    <w:rsid w:val="0007419B"/>
    <w:rsid w:val="000861AD"/>
    <w:rsid w:val="00091F97"/>
    <w:rsid w:val="0009224A"/>
    <w:rsid w:val="000A17C9"/>
    <w:rsid w:val="000D3596"/>
    <w:rsid w:val="000E2AAA"/>
    <w:rsid w:val="000E47FC"/>
    <w:rsid w:val="000E5102"/>
    <w:rsid w:val="000F511E"/>
    <w:rsid w:val="001033DE"/>
    <w:rsid w:val="00147064"/>
    <w:rsid w:val="00152198"/>
    <w:rsid w:val="00191912"/>
    <w:rsid w:val="00195F95"/>
    <w:rsid w:val="0019666B"/>
    <w:rsid w:val="001A440B"/>
    <w:rsid w:val="001B550B"/>
    <w:rsid w:val="001C15CC"/>
    <w:rsid w:val="001C726F"/>
    <w:rsid w:val="001D38CE"/>
    <w:rsid w:val="001E0C71"/>
    <w:rsid w:val="001E3A89"/>
    <w:rsid w:val="001F287B"/>
    <w:rsid w:val="00202E26"/>
    <w:rsid w:val="0021031F"/>
    <w:rsid w:val="0021119F"/>
    <w:rsid w:val="00215820"/>
    <w:rsid w:val="002167E3"/>
    <w:rsid w:val="00231838"/>
    <w:rsid w:val="00241911"/>
    <w:rsid w:val="00280A00"/>
    <w:rsid w:val="00280CD2"/>
    <w:rsid w:val="00296A9A"/>
    <w:rsid w:val="002B1366"/>
    <w:rsid w:val="002F0712"/>
    <w:rsid w:val="002F3079"/>
    <w:rsid w:val="00310A09"/>
    <w:rsid w:val="00315DD3"/>
    <w:rsid w:val="00336465"/>
    <w:rsid w:val="00340E2B"/>
    <w:rsid w:val="0034666E"/>
    <w:rsid w:val="00353CD5"/>
    <w:rsid w:val="00354F66"/>
    <w:rsid w:val="003613AA"/>
    <w:rsid w:val="003624D3"/>
    <w:rsid w:val="00371A79"/>
    <w:rsid w:val="00377F3C"/>
    <w:rsid w:val="003852A6"/>
    <w:rsid w:val="00390CC1"/>
    <w:rsid w:val="003C5DAB"/>
    <w:rsid w:val="003E1DE8"/>
    <w:rsid w:val="003F6CCD"/>
    <w:rsid w:val="00403DEA"/>
    <w:rsid w:val="004118EF"/>
    <w:rsid w:val="0042264C"/>
    <w:rsid w:val="004414AB"/>
    <w:rsid w:val="00442893"/>
    <w:rsid w:val="0046664F"/>
    <w:rsid w:val="00467279"/>
    <w:rsid w:val="00482E97"/>
    <w:rsid w:val="00483174"/>
    <w:rsid w:val="0049753A"/>
    <w:rsid w:val="004A4E4B"/>
    <w:rsid w:val="004A551C"/>
    <w:rsid w:val="004C32E6"/>
    <w:rsid w:val="004C6E3A"/>
    <w:rsid w:val="004D046E"/>
    <w:rsid w:val="004D3B54"/>
    <w:rsid w:val="004E7783"/>
    <w:rsid w:val="004F6D28"/>
    <w:rsid w:val="0050067D"/>
    <w:rsid w:val="00502A4B"/>
    <w:rsid w:val="00505634"/>
    <w:rsid w:val="00505813"/>
    <w:rsid w:val="0051005C"/>
    <w:rsid w:val="00513F56"/>
    <w:rsid w:val="00537A4C"/>
    <w:rsid w:val="00552B31"/>
    <w:rsid w:val="00561321"/>
    <w:rsid w:val="005755AF"/>
    <w:rsid w:val="00580AD6"/>
    <w:rsid w:val="00585073"/>
    <w:rsid w:val="005919D1"/>
    <w:rsid w:val="005B671F"/>
    <w:rsid w:val="005C43AE"/>
    <w:rsid w:val="005D0DBC"/>
    <w:rsid w:val="005D38CA"/>
    <w:rsid w:val="005D6411"/>
    <w:rsid w:val="005E26A1"/>
    <w:rsid w:val="005E6B93"/>
    <w:rsid w:val="005F5D01"/>
    <w:rsid w:val="00600628"/>
    <w:rsid w:val="00611F35"/>
    <w:rsid w:val="0061565B"/>
    <w:rsid w:val="00617350"/>
    <w:rsid w:val="00626234"/>
    <w:rsid w:val="006316F1"/>
    <w:rsid w:val="00660BF8"/>
    <w:rsid w:val="006644D1"/>
    <w:rsid w:val="006652CA"/>
    <w:rsid w:val="0068093F"/>
    <w:rsid w:val="00680A66"/>
    <w:rsid w:val="006856C8"/>
    <w:rsid w:val="006D3CA9"/>
    <w:rsid w:val="006D5D8E"/>
    <w:rsid w:val="006F2783"/>
    <w:rsid w:val="006F4A29"/>
    <w:rsid w:val="007139E4"/>
    <w:rsid w:val="00727BD4"/>
    <w:rsid w:val="0073018A"/>
    <w:rsid w:val="00731EF4"/>
    <w:rsid w:val="00736E87"/>
    <w:rsid w:val="00756964"/>
    <w:rsid w:val="00764455"/>
    <w:rsid w:val="00773B54"/>
    <w:rsid w:val="0078286A"/>
    <w:rsid w:val="007A1E29"/>
    <w:rsid w:val="007A4779"/>
    <w:rsid w:val="007B7A34"/>
    <w:rsid w:val="007C1B54"/>
    <w:rsid w:val="007C2BB5"/>
    <w:rsid w:val="007C66AC"/>
    <w:rsid w:val="007F38AF"/>
    <w:rsid w:val="007F6960"/>
    <w:rsid w:val="007F6FB0"/>
    <w:rsid w:val="008069BE"/>
    <w:rsid w:val="0082600C"/>
    <w:rsid w:val="00846A74"/>
    <w:rsid w:val="0084734D"/>
    <w:rsid w:val="00851D78"/>
    <w:rsid w:val="0085203B"/>
    <w:rsid w:val="00897352"/>
    <w:rsid w:val="008C1CD4"/>
    <w:rsid w:val="008C5453"/>
    <w:rsid w:val="008C631D"/>
    <w:rsid w:val="008D3476"/>
    <w:rsid w:val="008D534E"/>
    <w:rsid w:val="008D60C2"/>
    <w:rsid w:val="008D636D"/>
    <w:rsid w:val="00901027"/>
    <w:rsid w:val="009014CF"/>
    <w:rsid w:val="00905800"/>
    <w:rsid w:val="00917ED4"/>
    <w:rsid w:val="00927DDD"/>
    <w:rsid w:val="00935432"/>
    <w:rsid w:val="009516A3"/>
    <w:rsid w:val="00952B50"/>
    <w:rsid w:val="00954268"/>
    <w:rsid w:val="00954D64"/>
    <w:rsid w:val="009734F7"/>
    <w:rsid w:val="00974C9E"/>
    <w:rsid w:val="009776FA"/>
    <w:rsid w:val="009817A9"/>
    <w:rsid w:val="009934C8"/>
    <w:rsid w:val="00997A77"/>
    <w:rsid w:val="009A6C41"/>
    <w:rsid w:val="009B05DD"/>
    <w:rsid w:val="009C37B9"/>
    <w:rsid w:val="009D1A58"/>
    <w:rsid w:val="009D4180"/>
    <w:rsid w:val="009D4793"/>
    <w:rsid w:val="009D59C8"/>
    <w:rsid w:val="009E1292"/>
    <w:rsid w:val="009E7A93"/>
    <w:rsid w:val="00A004FB"/>
    <w:rsid w:val="00A159E0"/>
    <w:rsid w:val="00A335E9"/>
    <w:rsid w:val="00A46941"/>
    <w:rsid w:val="00A54272"/>
    <w:rsid w:val="00A56B39"/>
    <w:rsid w:val="00A640C9"/>
    <w:rsid w:val="00A652E4"/>
    <w:rsid w:val="00A66DD7"/>
    <w:rsid w:val="00A7327A"/>
    <w:rsid w:val="00A740D4"/>
    <w:rsid w:val="00A83A8F"/>
    <w:rsid w:val="00AB3EB6"/>
    <w:rsid w:val="00AC3E2F"/>
    <w:rsid w:val="00AC4B3F"/>
    <w:rsid w:val="00AC5C21"/>
    <w:rsid w:val="00AD52A2"/>
    <w:rsid w:val="00AE1505"/>
    <w:rsid w:val="00AE5F44"/>
    <w:rsid w:val="00AF1988"/>
    <w:rsid w:val="00B05743"/>
    <w:rsid w:val="00B109D9"/>
    <w:rsid w:val="00B23BC4"/>
    <w:rsid w:val="00B4689D"/>
    <w:rsid w:val="00B530AA"/>
    <w:rsid w:val="00B54786"/>
    <w:rsid w:val="00B6157D"/>
    <w:rsid w:val="00B6425A"/>
    <w:rsid w:val="00B758DB"/>
    <w:rsid w:val="00B80248"/>
    <w:rsid w:val="00B94609"/>
    <w:rsid w:val="00BB4958"/>
    <w:rsid w:val="00BC6580"/>
    <w:rsid w:val="00BC7D1A"/>
    <w:rsid w:val="00BF0751"/>
    <w:rsid w:val="00BF7DB7"/>
    <w:rsid w:val="00C115B5"/>
    <w:rsid w:val="00C345C6"/>
    <w:rsid w:val="00C345CF"/>
    <w:rsid w:val="00C45197"/>
    <w:rsid w:val="00C57CE3"/>
    <w:rsid w:val="00C6131A"/>
    <w:rsid w:val="00C734F8"/>
    <w:rsid w:val="00C862E1"/>
    <w:rsid w:val="00C90A4A"/>
    <w:rsid w:val="00C91661"/>
    <w:rsid w:val="00CB2ACE"/>
    <w:rsid w:val="00CC348A"/>
    <w:rsid w:val="00CC5BFC"/>
    <w:rsid w:val="00CE263C"/>
    <w:rsid w:val="00CE4739"/>
    <w:rsid w:val="00D0367D"/>
    <w:rsid w:val="00D04EAB"/>
    <w:rsid w:val="00D10216"/>
    <w:rsid w:val="00D10AFC"/>
    <w:rsid w:val="00D12223"/>
    <w:rsid w:val="00D156EF"/>
    <w:rsid w:val="00D233F1"/>
    <w:rsid w:val="00D238DB"/>
    <w:rsid w:val="00D31A0D"/>
    <w:rsid w:val="00D37EB8"/>
    <w:rsid w:val="00D4027D"/>
    <w:rsid w:val="00D43228"/>
    <w:rsid w:val="00D96BFC"/>
    <w:rsid w:val="00DA0B1A"/>
    <w:rsid w:val="00DA7983"/>
    <w:rsid w:val="00DB1879"/>
    <w:rsid w:val="00DC715C"/>
    <w:rsid w:val="00DE5905"/>
    <w:rsid w:val="00DE761F"/>
    <w:rsid w:val="00DF1385"/>
    <w:rsid w:val="00DF506A"/>
    <w:rsid w:val="00E17CF1"/>
    <w:rsid w:val="00E21025"/>
    <w:rsid w:val="00E37DD5"/>
    <w:rsid w:val="00E40DBC"/>
    <w:rsid w:val="00E611F1"/>
    <w:rsid w:val="00E6305A"/>
    <w:rsid w:val="00E71EA8"/>
    <w:rsid w:val="00E966F0"/>
    <w:rsid w:val="00EA0D1B"/>
    <w:rsid w:val="00EC4AFA"/>
    <w:rsid w:val="00EC75C0"/>
    <w:rsid w:val="00ED1880"/>
    <w:rsid w:val="00EE008F"/>
    <w:rsid w:val="00EF11EB"/>
    <w:rsid w:val="00EF4174"/>
    <w:rsid w:val="00EF5143"/>
    <w:rsid w:val="00F14A98"/>
    <w:rsid w:val="00F166AB"/>
    <w:rsid w:val="00F16FAA"/>
    <w:rsid w:val="00F22570"/>
    <w:rsid w:val="00F52F88"/>
    <w:rsid w:val="00F60B03"/>
    <w:rsid w:val="00F629B8"/>
    <w:rsid w:val="00F824E7"/>
    <w:rsid w:val="00F91231"/>
    <w:rsid w:val="00FB3C56"/>
    <w:rsid w:val="00FB7407"/>
    <w:rsid w:val="00FC7FF3"/>
    <w:rsid w:val="00FD7E0E"/>
    <w:rsid w:val="00FF37B3"/>
    <w:rsid w:val="00FF6E98"/>
    <w:rsid w:val="00FF7225"/>
    <w:rsid w:val="00FF73DA"/>
    <w:rsid w:val="11820893"/>
    <w:rsid w:val="30074CB0"/>
    <w:rsid w:val="68A85C6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Balloon Text"/>
    <w:basedOn w:val="1"/>
    <w:link w:val="9"/>
    <w:semiHidden/>
    <w:unhideWhenUsed/>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9">
    <w:name w:val="批注框文本 Char"/>
    <w:basedOn w:val="8"/>
    <w:link w:val="3"/>
    <w:semiHidden/>
    <w:qFormat/>
    <w:uiPriority w:val="99"/>
    <w:rPr>
      <w:sz w:val="18"/>
      <w:szCs w:val="18"/>
    </w:rPr>
  </w:style>
  <w:style w:type="character" w:customStyle="1" w:styleId="10">
    <w:name w:val="页眉 Char"/>
    <w:basedOn w:val="8"/>
    <w:link w:val="5"/>
    <w:semiHidden/>
    <w:qFormat/>
    <w:uiPriority w:val="99"/>
    <w:rPr>
      <w:sz w:val="18"/>
      <w:szCs w:val="18"/>
    </w:rPr>
  </w:style>
  <w:style w:type="character" w:customStyle="1" w:styleId="11">
    <w:name w:val="页脚 Char"/>
    <w:basedOn w:val="8"/>
    <w:link w:val="4"/>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F34BC-DD73-4A2E-910A-D27613730FF3}">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Pages>
  <Words>1244</Words>
  <Characters>1360</Characters>
  <Lines>11</Lines>
  <Paragraphs>3</Paragraphs>
  <TotalTime>23</TotalTime>
  <ScaleCrop>false</ScaleCrop>
  <LinksUpToDate>false</LinksUpToDate>
  <CharactersWithSpaces>1429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2023-12-11T07:36:00Z</dcterms:created>
  <dc:creator>Windows 用户</dc:creator>
  <cp:lastModifiedBy>Easy</cp:lastModifiedBy>
  <cp:lastPrinted>2024-01-09T06:01:00Z</cp:lastPrinted>
  <dcterms:modified xsi:type="dcterms:W3CDTF">2025-04-16T13:18:10Z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eyJoZGlkIjoiOTFiOTA3ZDg3MDllMTM0NGQwNTA5NmY5Y2U0NzNlNjQiLCJ1c2VySWQiOiIxNjc1ODMzNzM2In0=</vt:lpwstr>
  </property>
  <property fmtid="{D5CDD505-2E9C-101B-9397-08002B2CF9AE}" pid="3" name="KSOProductBuildVer">
    <vt:lpwstr>2052-12.1.0.20784</vt:lpwstr>
  </property>
  <property fmtid="{D5CDD505-2E9C-101B-9397-08002B2CF9AE}" pid="4" name="ICV">
    <vt:lpwstr>8901695F628C4247A798C73947D97BD1_12</vt:lpwstr>
  </property>
</Properties>
</file>