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363"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363"/>
      </w:tblGrid>
      <w:tr w14:paraId="3AA79B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363" w:type="dxa"/>
          </w:tcPr>
          <w:p w14:paraId="6B405190">
            <w:pPr>
              <w:spacing w:line="276" w:lineRule="auto"/>
              <w:jc w:val="center"/>
              <w:rPr>
                <w:rFonts w:ascii="黑体" w:hAnsi="黑体" w:eastAsia="黑体"/>
                <w:sz w:val="28"/>
                <w:szCs w:val="28"/>
              </w:rPr>
            </w:pPr>
            <w:r>
              <w:rPr>
                <w:rFonts w:hint="eastAsia" w:ascii="黑体" w:hAnsi="黑体" w:eastAsia="黑体"/>
                <w:sz w:val="28"/>
                <w:szCs w:val="28"/>
              </w:rPr>
              <w:t>成品筛选工艺规程</w:t>
            </w:r>
          </w:p>
        </w:tc>
      </w:tr>
      <w:tr w14:paraId="2C2E63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181" w:hRule="atLeast"/>
          <w:jc w:val="center"/>
        </w:trPr>
        <w:tc>
          <w:tcPr>
            <w:tcW w:w="9363" w:type="dxa"/>
          </w:tcPr>
          <w:p w14:paraId="226E74FD">
            <w:pPr>
              <w:spacing w:line="360" w:lineRule="auto"/>
              <w:jc w:val="left"/>
              <w:rPr>
                <w:szCs w:val="21"/>
              </w:rPr>
            </w:pPr>
            <w:r>
              <w:rPr>
                <w:rFonts w:hint="eastAsia" w:ascii="黑体" w:hAnsi="黑体" w:eastAsia="黑体" w:cs="宋体"/>
                <w:szCs w:val="21"/>
              </w:rPr>
              <w:t>目的：</w:t>
            </w:r>
            <w:r>
              <w:rPr>
                <w:rFonts w:hint="eastAsia" w:ascii="宋体" w:hAnsi="宋体" w:cs="宋体"/>
                <w:szCs w:val="21"/>
              </w:rPr>
              <w:t>通过筛</w:t>
            </w:r>
            <w:r>
              <w:rPr>
                <w:rFonts w:hint="eastAsia"/>
                <w:szCs w:val="21"/>
              </w:rPr>
              <w:t>选试验剔除不良产品。</w:t>
            </w:r>
          </w:p>
          <w:p w14:paraId="62055731">
            <w:pPr>
              <w:spacing w:line="360" w:lineRule="auto"/>
              <w:ind w:left="368" w:hanging="367" w:hangingChars="175"/>
              <w:rPr>
                <w:szCs w:val="21"/>
              </w:rPr>
            </w:pPr>
            <w:r>
              <w:rPr>
                <w:rFonts w:hint="eastAsia" w:ascii="黑体" w:hAnsi="黑体" w:eastAsia="黑体" w:cs="宋体"/>
                <w:szCs w:val="21"/>
              </w:rPr>
              <w:t>工作环境：</w:t>
            </w:r>
            <w:r>
              <w:rPr>
                <w:rFonts w:hint="eastAsia" w:asciiTheme="majorEastAsia" w:hAnsiTheme="majorEastAsia" w:eastAsiaTheme="majorEastAsia" w:cstheme="majorEastAsia"/>
                <w:szCs w:val="21"/>
              </w:rPr>
              <w:t>常温、常湿，洁净作业区。</w:t>
            </w:r>
          </w:p>
          <w:p w14:paraId="186E8FBF">
            <w:pPr>
              <w:spacing w:line="360" w:lineRule="auto"/>
              <w:rPr>
                <w:rFonts w:asciiTheme="minorEastAsia" w:hAnsiTheme="minorEastAsia"/>
                <w:color w:val="000000" w:themeColor="text1"/>
                <w:szCs w:val="21"/>
              </w:rPr>
            </w:pPr>
            <w:r>
              <w:rPr>
                <w:rFonts w:hint="eastAsia" w:ascii="黑体" w:hAnsi="黑体" w:eastAsia="黑体"/>
              </w:rPr>
              <w:t>使用设备清单：</w:t>
            </w:r>
            <w:r>
              <w:rPr>
                <w:rFonts w:hint="eastAsia" w:asciiTheme="minorEastAsia" w:hAnsiTheme="minorEastAsia"/>
                <w:color w:val="000000" w:themeColor="text1"/>
                <w:szCs w:val="21"/>
              </w:rPr>
              <w:t xml:space="preserve"> </w:t>
            </w:r>
          </w:p>
          <w:p w14:paraId="0DD77E43">
            <w:pPr>
              <w:ind w:left="368" w:hanging="367" w:hangingChars="175"/>
              <w:jc w:val="center"/>
              <w:rPr>
                <w:rFonts w:ascii="宋体" w:hAnsi="宋体"/>
                <w:szCs w:val="21"/>
              </w:rPr>
            </w:pPr>
            <w:r>
              <w:rPr>
                <w:rFonts w:hint="eastAsia" w:ascii="宋体" w:hAnsi="宋体"/>
                <w:szCs w:val="21"/>
              </w:rPr>
              <w:t>表1 工装设备清单</w:t>
            </w:r>
          </w:p>
          <w:tbl>
            <w:tblPr>
              <w:tblStyle w:val="7"/>
              <w:tblW w:w="4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2626"/>
              <w:gridCol w:w="2202"/>
              <w:gridCol w:w="1711"/>
            </w:tblGrid>
            <w:tr w14:paraId="3CDB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5BED1BFE">
                  <w:pPr>
                    <w:spacing w:line="276" w:lineRule="auto"/>
                    <w:jc w:val="center"/>
                    <w:rPr>
                      <w:rFonts w:ascii="宋体" w:hAnsi="宋体" w:eastAsia="宋体"/>
                      <w:b/>
                      <w:sz w:val="18"/>
                      <w:szCs w:val="18"/>
                    </w:rPr>
                  </w:pPr>
                  <w:r>
                    <w:rPr>
                      <w:rFonts w:hint="eastAsia" w:ascii="宋体" w:hAnsi="宋体" w:eastAsia="宋体"/>
                      <w:b/>
                      <w:sz w:val="18"/>
                      <w:szCs w:val="18"/>
                    </w:rPr>
                    <w:t>序号</w:t>
                  </w:r>
                </w:p>
              </w:tc>
              <w:tc>
                <w:tcPr>
                  <w:tcW w:w="1787" w:type="pct"/>
                </w:tcPr>
                <w:p w14:paraId="53FBAD7F">
                  <w:pPr>
                    <w:spacing w:line="276" w:lineRule="auto"/>
                    <w:jc w:val="center"/>
                    <w:rPr>
                      <w:rFonts w:ascii="宋体" w:hAnsi="宋体" w:eastAsia="宋体"/>
                      <w:b/>
                      <w:sz w:val="18"/>
                      <w:szCs w:val="18"/>
                    </w:rPr>
                  </w:pPr>
                  <w:r>
                    <w:rPr>
                      <w:rFonts w:hint="eastAsia" w:ascii="宋体" w:hAnsi="宋体" w:eastAsia="宋体"/>
                      <w:b/>
                      <w:sz w:val="18"/>
                      <w:szCs w:val="18"/>
                    </w:rPr>
                    <w:t>设备名称</w:t>
                  </w:r>
                </w:p>
              </w:tc>
              <w:tc>
                <w:tcPr>
                  <w:tcW w:w="1498" w:type="pct"/>
                </w:tcPr>
                <w:p w14:paraId="0FA9764F">
                  <w:pPr>
                    <w:spacing w:line="276" w:lineRule="auto"/>
                    <w:jc w:val="center"/>
                    <w:rPr>
                      <w:rFonts w:ascii="宋体" w:hAnsi="宋体" w:eastAsia="宋体"/>
                      <w:b/>
                      <w:sz w:val="18"/>
                      <w:szCs w:val="18"/>
                    </w:rPr>
                  </w:pPr>
                  <w:r>
                    <w:rPr>
                      <w:rFonts w:hint="eastAsia" w:ascii="宋体" w:hAnsi="宋体" w:eastAsia="宋体"/>
                      <w:b/>
                      <w:sz w:val="18"/>
                      <w:szCs w:val="18"/>
                    </w:rPr>
                    <w:t>型号</w:t>
                  </w:r>
                </w:p>
              </w:tc>
              <w:tc>
                <w:tcPr>
                  <w:tcW w:w="1165" w:type="pct"/>
                </w:tcPr>
                <w:p w14:paraId="2BF87CF6">
                  <w:pPr>
                    <w:spacing w:line="276" w:lineRule="auto"/>
                    <w:jc w:val="center"/>
                    <w:rPr>
                      <w:rFonts w:ascii="宋体" w:hAnsi="宋体" w:eastAsia="宋体"/>
                      <w:b/>
                      <w:sz w:val="18"/>
                      <w:szCs w:val="18"/>
                    </w:rPr>
                  </w:pPr>
                  <w:r>
                    <w:rPr>
                      <w:rFonts w:hint="eastAsia" w:ascii="宋体" w:hAnsi="宋体" w:eastAsia="宋体"/>
                      <w:b/>
                      <w:sz w:val="18"/>
                      <w:szCs w:val="18"/>
                    </w:rPr>
                    <w:t>备注</w:t>
                  </w:r>
                </w:p>
              </w:tc>
            </w:tr>
            <w:tr w14:paraId="4855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4C37D9DC">
                  <w:pPr>
                    <w:spacing w:line="276" w:lineRule="auto"/>
                    <w:jc w:val="center"/>
                    <w:rPr>
                      <w:rFonts w:ascii="宋体" w:hAnsi="宋体"/>
                      <w:sz w:val="18"/>
                      <w:szCs w:val="18"/>
                    </w:rPr>
                  </w:pPr>
                  <w:r>
                    <w:rPr>
                      <w:rFonts w:hint="eastAsia" w:ascii="宋体" w:hAnsi="宋体"/>
                      <w:sz w:val="18"/>
                      <w:szCs w:val="18"/>
                    </w:rPr>
                    <w:t>1</w:t>
                  </w:r>
                </w:p>
              </w:tc>
              <w:tc>
                <w:tcPr>
                  <w:tcW w:w="1787" w:type="pct"/>
                </w:tcPr>
                <w:p w14:paraId="756DD0D0">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高温试验箱</w:t>
                  </w:r>
                </w:p>
              </w:tc>
              <w:tc>
                <w:tcPr>
                  <w:tcW w:w="1498" w:type="pct"/>
                </w:tcPr>
                <w:p w14:paraId="1D128A9F">
                  <w:pPr>
                    <w:spacing w:line="276" w:lineRule="auto"/>
                    <w:jc w:val="center"/>
                    <w:rPr>
                      <w:rFonts w:asciiTheme="minorEastAsia" w:hAnsiTheme="minorEastAsia"/>
                      <w:kern w:val="0"/>
                      <w:sz w:val="18"/>
                      <w:szCs w:val="18"/>
                    </w:rPr>
                  </w:pPr>
                  <w:r>
                    <w:rPr>
                      <w:rFonts w:asciiTheme="minorEastAsia" w:hAnsiTheme="minorEastAsia"/>
                      <w:kern w:val="0"/>
                      <w:sz w:val="18"/>
                      <w:szCs w:val="18"/>
                    </w:rPr>
                    <w:t>GWX-01</w:t>
                  </w:r>
                </w:p>
              </w:tc>
              <w:tc>
                <w:tcPr>
                  <w:tcW w:w="1165" w:type="pct"/>
                </w:tcPr>
                <w:p w14:paraId="3AD77700">
                  <w:pPr>
                    <w:spacing w:line="276" w:lineRule="auto"/>
                    <w:jc w:val="center"/>
                    <w:rPr>
                      <w:kern w:val="0"/>
                      <w:sz w:val="18"/>
                      <w:szCs w:val="18"/>
                    </w:rPr>
                  </w:pPr>
                </w:p>
              </w:tc>
            </w:tr>
            <w:tr w14:paraId="7C9E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548" w:type="pct"/>
                </w:tcPr>
                <w:p w14:paraId="39852B51">
                  <w:pPr>
                    <w:spacing w:line="276" w:lineRule="auto"/>
                    <w:jc w:val="center"/>
                    <w:rPr>
                      <w:rFonts w:ascii="宋体" w:hAnsi="宋体"/>
                      <w:sz w:val="18"/>
                      <w:szCs w:val="18"/>
                    </w:rPr>
                  </w:pPr>
                  <w:r>
                    <w:rPr>
                      <w:rFonts w:hint="eastAsia" w:ascii="宋体" w:hAnsi="宋体"/>
                      <w:sz w:val="18"/>
                      <w:szCs w:val="18"/>
                    </w:rPr>
                    <w:t>2</w:t>
                  </w:r>
                </w:p>
              </w:tc>
              <w:tc>
                <w:tcPr>
                  <w:tcW w:w="1787" w:type="pct"/>
                  <w:vAlign w:val="center"/>
                </w:tcPr>
                <w:p w14:paraId="080DBCD2">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高低温试验箱</w:t>
                  </w:r>
                </w:p>
              </w:tc>
              <w:tc>
                <w:tcPr>
                  <w:tcW w:w="1498" w:type="pct"/>
                  <w:vAlign w:val="center"/>
                </w:tcPr>
                <w:p w14:paraId="050039E3">
                  <w:pPr>
                    <w:spacing w:line="276" w:lineRule="auto"/>
                    <w:jc w:val="center"/>
                    <w:rPr>
                      <w:rFonts w:asciiTheme="minorEastAsia" w:hAnsiTheme="minorEastAsia"/>
                      <w:kern w:val="0"/>
                      <w:sz w:val="18"/>
                      <w:szCs w:val="18"/>
                    </w:rPr>
                  </w:pPr>
                  <w:r>
                    <w:rPr>
                      <w:rFonts w:asciiTheme="minorEastAsia" w:hAnsiTheme="minorEastAsia"/>
                      <w:kern w:val="0"/>
                      <w:sz w:val="18"/>
                      <w:szCs w:val="18"/>
                    </w:rPr>
                    <w:t>EG-02KA</w:t>
                  </w:r>
                </w:p>
              </w:tc>
              <w:tc>
                <w:tcPr>
                  <w:tcW w:w="1165" w:type="pct"/>
                </w:tcPr>
                <w:p w14:paraId="7085D53C">
                  <w:pPr>
                    <w:spacing w:line="276" w:lineRule="auto"/>
                    <w:jc w:val="center"/>
                    <w:rPr>
                      <w:kern w:val="0"/>
                      <w:sz w:val="18"/>
                      <w:szCs w:val="18"/>
                    </w:rPr>
                  </w:pPr>
                </w:p>
              </w:tc>
            </w:tr>
            <w:tr w14:paraId="3806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548" w:type="pct"/>
                </w:tcPr>
                <w:p w14:paraId="39F93F03">
                  <w:pPr>
                    <w:spacing w:line="276" w:lineRule="auto"/>
                    <w:jc w:val="center"/>
                    <w:rPr>
                      <w:rFonts w:ascii="宋体" w:hAnsi="宋体"/>
                      <w:sz w:val="18"/>
                      <w:szCs w:val="18"/>
                    </w:rPr>
                  </w:pPr>
                  <w:r>
                    <w:rPr>
                      <w:rFonts w:hint="eastAsia" w:ascii="宋体" w:hAnsi="宋体"/>
                      <w:sz w:val="18"/>
                      <w:szCs w:val="18"/>
                    </w:rPr>
                    <w:t>3</w:t>
                  </w:r>
                </w:p>
              </w:tc>
              <w:tc>
                <w:tcPr>
                  <w:tcW w:w="1787" w:type="pct"/>
                </w:tcPr>
                <w:p w14:paraId="5395EC1A">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电动振动台</w:t>
                  </w:r>
                </w:p>
              </w:tc>
              <w:tc>
                <w:tcPr>
                  <w:tcW w:w="1498" w:type="pct"/>
                </w:tcPr>
                <w:p w14:paraId="367EA96F">
                  <w:pPr>
                    <w:spacing w:line="276" w:lineRule="auto"/>
                    <w:jc w:val="center"/>
                    <w:rPr>
                      <w:rFonts w:asciiTheme="minorEastAsia" w:hAnsiTheme="minorEastAsia"/>
                      <w:kern w:val="0"/>
                      <w:sz w:val="18"/>
                      <w:szCs w:val="18"/>
                    </w:rPr>
                  </w:pPr>
                  <w:r>
                    <w:rPr>
                      <w:rFonts w:asciiTheme="minorEastAsia" w:hAnsiTheme="minorEastAsia"/>
                      <w:kern w:val="0"/>
                      <w:sz w:val="18"/>
                      <w:szCs w:val="18"/>
                    </w:rPr>
                    <w:t>DC-1000-15</w:t>
                  </w:r>
                </w:p>
              </w:tc>
              <w:tc>
                <w:tcPr>
                  <w:tcW w:w="1165" w:type="pct"/>
                </w:tcPr>
                <w:p w14:paraId="2DC9C8B8">
                  <w:pPr>
                    <w:spacing w:line="276" w:lineRule="auto"/>
                    <w:jc w:val="center"/>
                    <w:rPr>
                      <w:kern w:val="0"/>
                      <w:sz w:val="18"/>
                      <w:szCs w:val="18"/>
                    </w:rPr>
                  </w:pPr>
                </w:p>
              </w:tc>
            </w:tr>
            <w:tr w14:paraId="7205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548" w:type="pct"/>
                </w:tcPr>
                <w:p w14:paraId="4B639E8C">
                  <w:pPr>
                    <w:spacing w:line="276" w:lineRule="auto"/>
                    <w:jc w:val="center"/>
                    <w:rPr>
                      <w:rFonts w:ascii="宋体" w:hAnsi="宋体"/>
                      <w:sz w:val="18"/>
                      <w:szCs w:val="18"/>
                    </w:rPr>
                  </w:pPr>
                  <w:r>
                    <w:rPr>
                      <w:rFonts w:hint="eastAsia" w:ascii="宋体" w:hAnsi="宋体"/>
                      <w:sz w:val="18"/>
                      <w:szCs w:val="18"/>
                    </w:rPr>
                    <w:t>4</w:t>
                  </w:r>
                </w:p>
              </w:tc>
              <w:tc>
                <w:tcPr>
                  <w:tcW w:w="1787" w:type="pct"/>
                </w:tcPr>
                <w:p w14:paraId="77A1A130">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振动工装</w:t>
                  </w:r>
                </w:p>
              </w:tc>
              <w:tc>
                <w:tcPr>
                  <w:tcW w:w="1498" w:type="pct"/>
                </w:tcPr>
                <w:p w14:paraId="5C33F63F">
                  <w:pPr>
                    <w:spacing w:line="276" w:lineRule="auto"/>
                    <w:jc w:val="center"/>
                    <w:rPr>
                      <w:rFonts w:asciiTheme="minorEastAsia" w:hAnsiTheme="minorEastAsia"/>
                      <w:kern w:val="0"/>
                      <w:sz w:val="18"/>
                      <w:szCs w:val="18"/>
                    </w:rPr>
                  </w:pPr>
                  <w:r>
                    <w:rPr>
                      <w:rFonts w:hint="eastAsia" w:asciiTheme="minorEastAsia" w:hAnsiTheme="minorEastAsia"/>
                      <w:kern w:val="0"/>
                      <w:sz w:val="18"/>
                      <w:szCs w:val="18"/>
                    </w:rPr>
                    <w:t>产品配套振动工装</w:t>
                  </w:r>
                </w:p>
              </w:tc>
              <w:tc>
                <w:tcPr>
                  <w:tcW w:w="1165" w:type="pct"/>
                </w:tcPr>
                <w:p w14:paraId="4E8C10B5">
                  <w:pPr>
                    <w:spacing w:line="276" w:lineRule="auto"/>
                    <w:jc w:val="center"/>
                    <w:rPr>
                      <w:kern w:val="0"/>
                      <w:sz w:val="18"/>
                      <w:szCs w:val="18"/>
                    </w:rPr>
                  </w:pPr>
                </w:p>
              </w:tc>
            </w:tr>
          </w:tbl>
          <w:p w14:paraId="4F3114C3">
            <w:pPr>
              <w:spacing w:line="360" w:lineRule="auto"/>
              <w:rPr>
                <w:rFonts w:ascii="黑体" w:hAnsi="黑体" w:eastAsia="黑体"/>
              </w:rPr>
            </w:pPr>
            <w:r>
              <w:rPr>
                <w:rFonts w:hint="eastAsia" w:ascii="黑体" w:hAnsi="黑体" w:eastAsia="黑体" w:cs="宋体"/>
                <w:szCs w:val="21"/>
              </w:rPr>
              <w:t>1  筛选依据</w:t>
            </w:r>
          </w:p>
          <w:p w14:paraId="6B74E8E1">
            <w:pPr>
              <w:spacing w:line="360" w:lineRule="auto"/>
              <w:ind w:firstLine="525" w:firstLineChars="250"/>
              <w:jc w:val="left"/>
              <w:rPr>
                <w:rFonts w:asciiTheme="majorEastAsia" w:hAnsiTheme="majorEastAsia" w:eastAsiaTheme="majorEastAsia"/>
                <w:color w:val="000000" w:themeColor="text1"/>
                <w:szCs w:val="21"/>
              </w:rPr>
            </w:pPr>
            <w:r>
              <w:rPr>
                <w:rFonts w:hint="eastAsia" w:asciiTheme="majorEastAsia" w:hAnsiTheme="majorEastAsia" w:eastAsiaTheme="majorEastAsia"/>
                <w:color w:val="000000" w:themeColor="text1"/>
                <w:szCs w:val="21"/>
              </w:rPr>
              <w:t>产品筛选依据专用详细/技术规范、技术指标要求；如</w:t>
            </w:r>
            <w:r>
              <w:rPr>
                <w:rFonts w:hint="eastAsia" w:ascii="宋体" w:hAnsi="宋体" w:cs="宋体"/>
                <w:szCs w:val="21"/>
              </w:rPr>
              <w:t>产品的技术指标和详细规范</w:t>
            </w:r>
            <w:r>
              <w:rPr>
                <w:rFonts w:hint="eastAsia" w:asciiTheme="majorEastAsia" w:hAnsiTheme="majorEastAsia" w:eastAsiaTheme="majorEastAsia"/>
                <w:color w:val="000000" w:themeColor="text1"/>
                <w:szCs w:val="21"/>
              </w:rPr>
              <w:t>无筛选要求，则按照微带通用技术规范对其进行筛选；</w:t>
            </w:r>
          </w:p>
          <w:p w14:paraId="348733E4">
            <w:pPr>
              <w:spacing w:line="360" w:lineRule="auto"/>
              <w:ind w:firstLine="525" w:firstLineChars="250"/>
              <w:jc w:val="left"/>
              <w:rPr>
                <w:rFonts w:asciiTheme="majorEastAsia" w:hAnsiTheme="majorEastAsia" w:eastAsiaTheme="majorEastAsia"/>
                <w:color w:val="000000" w:themeColor="text1"/>
                <w:szCs w:val="21"/>
              </w:rPr>
            </w:pPr>
            <w:r>
              <w:rPr>
                <w:rFonts w:hint="eastAsia" w:asciiTheme="majorEastAsia" w:hAnsiTheme="majorEastAsia" w:eastAsiaTheme="majorEastAsia"/>
                <w:color w:val="000000" w:themeColor="text1"/>
                <w:szCs w:val="21"/>
              </w:rPr>
              <w:t>外观按照Q/ZB QA 01-2020《微带系列产品外观检验规范》筛选，如有专用外观标准，需同时满足专用外观标准；如两个标准有冲突，以专用外观标准为准。</w:t>
            </w:r>
            <w:r>
              <w:rPr>
                <w:rFonts w:asciiTheme="majorEastAsia" w:hAnsiTheme="majorEastAsia" w:eastAsiaTheme="majorEastAsia"/>
                <w:color w:val="000000" w:themeColor="text1"/>
                <w:szCs w:val="21"/>
              </w:rPr>
              <w:t xml:space="preserve"> </w:t>
            </w:r>
          </w:p>
          <w:p w14:paraId="60C527CA">
            <w:pPr>
              <w:spacing w:line="360" w:lineRule="auto"/>
              <w:rPr>
                <w:rFonts w:ascii="黑体" w:hAnsi="黑体" w:eastAsia="黑体"/>
              </w:rPr>
            </w:pPr>
            <w:r>
              <w:rPr>
                <w:rFonts w:hint="eastAsia" w:ascii="黑体" w:hAnsi="黑体" w:eastAsia="黑体"/>
              </w:rPr>
              <w:t xml:space="preserve">2  </w:t>
            </w:r>
            <w:r>
              <w:rPr>
                <w:rFonts w:hint="eastAsia" w:ascii="黑体" w:hAnsi="黑体" w:eastAsia="黑体" w:cs="宋体"/>
                <w:szCs w:val="21"/>
              </w:rPr>
              <w:t>产品准备</w:t>
            </w:r>
          </w:p>
          <w:p w14:paraId="14E3D6EE">
            <w:pPr>
              <w:spacing w:line="360" w:lineRule="auto"/>
              <w:jc w:val="left"/>
              <w:rPr>
                <w:szCs w:val="21"/>
              </w:rPr>
            </w:pPr>
            <w:r>
              <w:rPr>
                <w:rFonts w:hint="eastAsia" w:ascii="宋体" w:hAnsi="宋体" w:cs="宋体"/>
                <w:szCs w:val="21"/>
              </w:rPr>
              <w:t xml:space="preserve">2.1  </w:t>
            </w:r>
            <w:r>
              <w:rPr>
                <w:rFonts w:hint="eastAsia"/>
                <w:szCs w:val="21"/>
              </w:rPr>
              <w:t>确认本次做筛选试验的产品型号、数量等；</w:t>
            </w:r>
          </w:p>
          <w:p w14:paraId="4B8C850E">
            <w:pPr>
              <w:spacing w:line="360" w:lineRule="auto"/>
              <w:jc w:val="left"/>
              <w:rPr>
                <w:rFonts w:ascii="宋体" w:hAnsi="宋体" w:cs="宋体"/>
                <w:szCs w:val="21"/>
              </w:rPr>
            </w:pPr>
            <w:r>
              <w:rPr>
                <w:rFonts w:hint="eastAsia" w:ascii="宋体" w:hAnsi="宋体" w:cs="宋体"/>
                <w:szCs w:val="21"/>
              </w:rPr>
              <w:t xml:space="preserve">2.2  </w:t>
            </w:r>
            <w:r>
              <w:rPr>
                <w:rFonts w:hint="eastAsia"/>
                <w:szCs w:val="21"/>
              </w:rPr>
              <w:t>根据产品的</w:t>
            </w:r>
            <w:r>
              <w:rPr>
                <w:rFonts w:hint="eastAsia" w:asciiTheme="majorEastAsia" w:hAnsiTheme="majorEastAsia" w:eastAsiaTheme="majorEastAsia"/>
                <w:color w:val="000000" w:themeColor="text1"/>
                <w:szCs w:val="21"/>
              </w:rPr>
              <w:t>详细规范、技术指标</w:t>
            </w:r>
            <w:r>
              <w:rPr>
                <w:rFonts w:hint="eastAsia"/>
                <w:szCs w:val="21"/>
              </w:rPr>
              <w:t>要求选择筛选项目。</w:t>
            </w:r>
          </w:p>
          <w:p w14:paraId="70F61461">
            <w:pPr>
              <w:spacing w:line="360" w:lineRule="auto"/>
              <w:rPr>
                <w:rFonts w:ascii="黑体" w:hAnsi="黑体" w:eastAsia="黑体" w:cs="宋体"/>
                <w:szCs w:val="21"/>
              </w:rPr>
            </w:pPr>
            <w:r>
              <w:rPr>
                <w:rFonts w:hint="eastAsia" w:ascii="黑体" w:hAnsi="黑体" w:eastAsia="黑体"/>
              </w:rPr>
              <w:t xml:space="preserve">3  </w:t>
            </w:r>
            <w:r>
              <w:rPr>
                <w:rFonts w:hint="eastAsia" w:ascii="黑体" w:hAnsi="黑体" w:eastAsia="黑体" w:cs="宋体"/>
                <w:szCs w:val="21"/>
              </w:rPr>
              <w:t>温度冲击</w:t>
            </w:r>
          </w:p>
          <w:p w14:paraId="3C41D9B7">
            <w:pPr>
              <w:spacing w:line="360" w:lineRule="auto"/>
              <w:ind w:firstLine="367" w:firstLineChars="175"/>
              <w:jc w:val="left"/>
              <w:rPr>
                <w:rFonts w:ascii="宋体" w:hAnsi="宋体" w:cs="宋体"/>
                <w:szCs w:val="21"/>
              </w:rPr>
            </w:pPr>
            <w:r>
              <w:rPr>
                <w:rFonts w:hint="eastAsia" w:ascii="宋体" w:hAnsi="宋体" w:cs="宋体"/>
                <w:szCs w:val="21"/>
              </w:rPr>
              <w:t>根据产品的技术指标和详细规范要求分别在两台设备上设置产品筛选所要求的高温温度和低温温度，待两台设备达到设置温度后，将产品放入</w:t>
            </w:r>
            <w:r>
              <w:rPr>
                <w:rFonts w:asciiTheme="minorEastAsia" w:hAnsiTheme="minorEastAsia"/>
                <w:szCs w:val="21"/>
              </w:rPr>
              <w:t>EG-02KA</w:t>
            </w:r>
            <w:r>
              <w:rPr>
                <w:rFonts w:hint="eastAsia" w:asciiTheme="minorEastAsia" w:hAnsiTheme="minorEastAsia"/>
                <w:szCs w:val="21"/>
              </w:rPr>
              <w:t>高低温试验箱</w:t>
            </w:r>
            <w:r>
              <w:rPr>
                <w:rFonts w:hint="eastAsia" w:ascii="宋体" w:hAnsi="宋体" w:cs="宋体"/>
                <w:szCs w:val="21"/>
              </w:rPr>
              <w:t>中保温0.5小时后取出放入</w:t>
            </w:r>
            <w:r>
              <w:rPr>
                <w:rFonts w:asciiTheme="minorEastAsia" w:hAnsiTheme="minorEastAsia"/>
                <w:szCs w:val="21"/>
              </w:rPr>
              <w:t>GWX-01</w:t>
            </w:r>
            <w:r>
              <w:rPr>
                <w:rFonts w:hint="eastAsia" w:asciiTheme="minorEastAsia" w:hAnsiTheme="minorEastAsia"/>
                <w:szCs w:val="21"/>
              </w:rPr>
              <w:t>高温试验箱</w:t>
            </w:r>
            <w:r>
              <w:rPr>
                <w:rFonts w:hint="eastAsia" w:ascii="宋体" w:hAnsi="宋体" w:cs="宋体"/>
                <w:szCs w:val="21"/>
              </w:rPr>
              <w:t>保温0.5小时，转换时间</w:t>
            </w:r>
            <w:r>
              <w:rPr>
                <w:rFonts w:hint="eastAsia" w:cs="宋体" w:asciiTheme="minorEastAsia" w:hAnsiTheme="minorEastAsia"/>
                <w:szCs w:val="21"/>
              </w:rPr>
              <w:t>≤</w:t>
            </w:r>
            <w:r>
              <w:rPr>
                <w:rFonts w:hint="eastAsia" w:ascii="宋体" w:hAnsi="宋体" w:cs="宋体"/>
                <w:szCs w:val="21"/>
              </w:rPr>
              <w:t>5分钟为一个循环。再根据产品的技术指标和详细规范要求做完所需要的循环次数，并在设备使用记录本上填写好产品型号、数量、时间等。</w:t>
            </w:r>
          </w:p>
          <w:p w14:paraId="7CC5DB9D">
            <w:pPr>
              <w:spacing w:line="360" w:lineRule="auto"/>
              <w:rPr>
                <w:rFonts w:ascii="黑体" w:hAnsi="黑体" w:eastAsia="黑体" w:cs="宋体"/>
                <w:strike/>
                <w:szCs w:val="21"/>
                <w:highlight w:val="magenta"/>
              </w:rPr>
            </w:pPr>
            <w:r>
              <w:rPr>
                <w:rFonts w:hint="eastAsia" w:ascii="黑体" w:hAnsi="黑体" w:eastAsia="黑体"/>
              </w:rPr>
              <w:t xml:space="preserve">4  </w:t>
            </w:r>
            <w:r>
              <w:rPr>
                <w:rFonts w:hint="eastAsia" w:ascii="黑体" w:hAnsi="黑体" w:eastAsia="黑体" w:cs="宋体"/>
                <w:szCs w:val="21"/>
              </w:rPr>
              <w:t>温度贮存</w:t>
            </w:r>
          </w:p>
          <w:p w14:paraId="0D68CCF4">
            <w:pPr>
              <w:spacing w:line="360" w:lineRule="auto"/>
              <w:ind w:left="315" w:hanging="315" w:hangingChars="150"/>
              <w:jc w:val="left"/>
              <w:rPr>
                <w:rFonts w:ascii="宋体" w:hAnsi="宋体" w:cs="宋体"/>
                <w:szCs w:val="21"/>
              </w:rPr>
            </w:pPr>
            <w:r>
              <w:rPr>
                <w:rFonts w:hint="eastAsia" w:ascii="宋体" w:hAnsi="宋体" w:cs="宋体"/>
                <w:szCs w:val="21"/>
              </w:rPr>
              <w:t>4.1 低温贮存：</w:t>
            </w:r>
          </w:p>
          <w:p w14:paraId="3501F064">
            <w:pPr>
              <w:spacing w:line="360" w:lineRule="auto"/>
              <w:ind w:firstLine="367" w:firstLineChars="175"/>
              <w:jc w:val="left"/>
              <w:rPr>
                <w:rFonts w:ascii="宋体" w:hAnsi="宋体" w:cs="宋体"/>
                <w:szCs w:val="21"/>
              </w:rPr>
            </w:pPr>
            <w:r>
              <w:rPr>
                <w:rFonts w:hint="eastAsia" w:ascii="宋体" w:hAnsi="宋体" w:cs="宋体"/>
                <w:szCs w:val="21"/>
              </w:rPr>
              <w:t>根据产品的技术指标和详细规范要求，在</w:t>
            </w:r>
            <w:r>
              <w:rPr>
                <w:rFonts w:asciiTheme="minorEastAsia" w:hAnsiTheme="minorEastAsia"/>
                <w:szCs w:val="21"/>
              </w:rPr>
              <w:t>EG-02KA</w:t>
            </w:r>
            <w:r>
              <w:rPr>
                <w:rFonts w:hint="eastAsia" w:asciiTheme="minorEastAsia" w:hAnsiTheme="minorEastAsia"/>
                <w:szCs w:val="21"/>
              </w:rPr>
              <w:t>高低温试验箱</w:t>
            </w:r>
            <w:r>
              <w:rPr>
                <w:rFonts w:hint="eastAsia" w:ascii="宋体" w:hAnsi="宋体" w:cs="宋体"/>
                <w:szCs w:val="21"/>
              </w:rPr>
              <w:t>上设置产品低温贮存所需要的温度和时间，启动设备，待低温贮存结束，取出产品。并在设备使用记录本上填写好产品型号、数量、时间等。</w:t>
            </w:r>
          </w:p>
          <w:p w14:paraId="54914EC2">
            <w:pPr>
              <w:spacing w:line="360" w:lineRule="auto"/>
              <w:ind w:left="315" w:hanging="315" w:hangingChars="150"/>
              <w:jc w:val="left"/>
              <w:rPr>
                <w:rFonts w:ascii="宋体" w:hAnsi="宋体" w:cs="宋体"/>
                <w:szCs w:val="21"/>
              </w:rPr>
            </w:pPr>
            <w:r>
              <w:rPr>
                <w:rFonts w:hint="eastAsia" w:ascii="宋体" w:hAnsi="宋体" w:cs="宋体"/>
                <w:szCs w:val="21"/>
              </w:rPr>
              <w:t>4.2 高温贮存：</w:t>
            </w:r>
          </w:p>
          <w:p w14:paraId="29D19DA5">
            <w:pPr>
              <w:spacing w:line="360" w:lineRule="auto"/>
              <w:ind w:firstLine="367" w:firstLineChars="175"/>
              <w:jc w:val="left"/>
              <w:rPr>
                <w:rFonts w:ascii="宋体" w:hAnsi="宋体" w:cs="宋体"/>
                <w:szCs w:val="21"/>
              </w:rPr>
            </w:pPr>
            <w:r>
              <w:rPr>
                <w:rFonts w:hint="eastAsia" w:ascii="宋体" w:hAnsi="宋体" w:cs="宋体"/>
                <w:szCs w:val="21"/>
              </w:rPr>
              <w:t>根据产品的技术指标和详细规范要求，在</w:t>
            </w:r>
            <w:r>
              <w:rPr>
                <w:rFonts w:asciiTheme="minorEastAsia" w:hAnsiTheme="minorEastAsia"/>
                <w:szCs w:val="21"/>
              </w:rPr>
              <w:t>GWX-01</w:t>
            </w:r>
            <w:r>
              <w:rPr>
                <w:rFonts w:hint="eastAsia" w:asciiTheme="minorEastAsia" w:hAnsiTheme="minorEastAsia"/>
                <w:szCs w:val="21"/>
              </w:rPr>
              <w:t>高温试验箱或</w:t>
            </w:r>
            <w:r>
              <w:rPr>
                <w:rFonts w:asciiTheme="minorEastAsia" w:hAnsiTheme="minorEastAsia"/>
                <w:szCs w:val="21"/>
              </w:rPr>
              <w:t>EG-02KA</w:t>
            </w:r>
            <w:r>
              <w:rPr>
                <w:rFonts w:hint="eastAsia" w:asciiTheme="minorEastAsia" w:hAnsiTheme="minorEastAsia"/>
                <w:szCs w:val="21"/>
              </w:rPr>
              <w:t>高低温试验箱</w:t>
            </w:r>
            <w:r>
              <w:rPr>
                <w:rFonts w:hint="eastAsia" w:ascii="宋体" w:hAnsi="宋体" w:cs="宋体"/>
                <w:szCs w:val="21"/>
              </w:rPr>
              <w:t>上设置产品高温贮存所需要的温度和时间，启动设备，待高温贮存结束，取出产品。并在设备使用记录本上填写好产品型号、数量、时间等。</w:t>
            </w:r>
          </w:p>
          <w:p w14:paraId="38DE4674">
            <w:pPr>
              <w:spacing w:line="360" w:lineRule="auto"/>
              <w:rPr>
                <w:rFonts w:ascii="黑体" w:hAnsi="黑体" w:eastAsia="黑体" w:cs="宋体"/>
                <w:strike/>
                <w:szCs w:val="21"/>
                <w:highlight w:val="magenta"/>
              </w:rPr>
            </w:pPr>
            <w:r>
              <w:rPr>
                <w:rFonts w:hint="eastAsia" w:ascii="黑体" w:hAnsi="黑体" w:eastAsia="黑体" w:cs="宋体"/>
                <w:szCs w:val="21"/>
              </w:rPr>
              <w:t>5  随机振动</w:t>
            </w:r>
          </w:p>
          <w:p w14:paraId="69875214">
            <w:pPr>
              <w:spacing w:line="360" w:lineRule="auto"/>
              <w:ind w:firstLine="367" w:firstLineChars="175"/>
              <w:rPr>
                <w:rFonts w:ascii="宋体" w:hAnsi="宋体" w:cs="宋体"/>
                <w:szCs w:val="21"/>
              </w:rPr>
            </w:pPr>
            <w:r>
              <w:rPr>
                <w:rFonts w:hint="eastAsia" w:ascii="宋体" w:hAnsi="宋体" w:cs="宋体"/>
                <w:szCs w:val="21"/>
              </w:rPr>
              <w:t>按照产品的详细规范和试验条件要求，先把</w:t>
            </w:r>
            <w:r>
              <w:rPr>
                <w:rFonts w:hint="eastAsia" w:asciiTheme="minorEastAsia" w:hAnsiTheme="minorEastAsia"/>
                <w:color w:val="000000" w:themeColor="text1"/>
                <w:szCs w:val="21"/>
              </w:rPr>
              <w:t>装有产品的振动工装分别按X\Y\Z的振动方向，尽量使振动工装的重心与振动台轴心同心，再</w:t>
            </w:r>
            <w:r>
              <w:rPr>
                <w:rFonts w:hint="eastAsia" w:ascii="宋体" w:hAnsi="宋体" w:cs="宋体"/>
                <w:szCs w:val="21"/>
              </w:rPr>
              <w:t>用</w:t>
            </w:r>
            <w:r>
              <w:rPr>
                <w:rFonts w:hint="eastAsia" w:asciiTheme="minorEastAsia" w:hAnsiTheme="minorEastAsia"/>
                <w:color w:val="000000" w:themeColor="text1"/>
                <w:szCs w:val="21"/>
              </w:rPr>
              <w:t>夹</w:t>
            </w:r>
            <w:r>
              <w:rPr>
                <w:rFonts w:hint="eastAsia" w:ascii="宋体" w:hAnsi="宋体" w:cs="宋体"/>
                <w:szCs w:val="21"/>
              </w:rPr>
              <w:t>具刚性固定在</w:t>
            </w:r>
            <w:r>
              <w:rPr>
                <w:rFonts w:ascii="宋体" w:hAnsi="宋体" w:cs="宋体"/>
                <w:szCs w:val="21"/>
              </w:rPr>
              <w:t>D</w:t>
            </w:r>
            <w:r>
              <w:rPr>
                <w:rFonts w:ascii="宋体" w:hAnsi="宋体" w:eastAsia="宋体" w:cs="Times New Roman"/>
                <w:color w:val="000000"/>
                <w:szCs w:val="21"/>
              </w:rPr>
              <w:t>C-1000-15</w:t>
            </w:r>
            <w:r>
              <w:rPr>
                <w:rFonts w:hint="eastAsia" w:ascii="宋体" w:hAnsi="宋体" w:eastAsia="宋体" w:cs="Times New Roman"/>
                <w:color w:val="000000"/>
                <w:szCs w:val="21"/>
              </w:rPr>
              <w:t>型电动振动台</w:t>
            </w:r>
            <w:r>
              <w:rPr>
                <w:rFonts w:hint="eastAsia" w:asciiTheme="minorEastAsia" w:hAnsiTheme="minorEastAsia"/>
                <w:color w:val="000000" w:themeColor="text1"/>
                <w:szCs w:val="21"/>
              </w:rPr>
              <w:t>上,在控制电脑操作界面调取对应产品的振动程序，依次进行X\Y\Z方向的振动试验，</w:t>
            </w:r>
            <w:r>
              <w:rPr>
                <w:rFonts w:hint="eastAsia" w:ascii="宋体" w:hAnsi="宋体" w:cs="宋体"/>
                <w:szCs w:val="21"/>
              </w:rPr>
              <w:t>并将振动试验结果导出</w:t>
            </w:r>
            <w:r>
              <w:rPr>
                <w:rFonts w:hint="eastAsia" w:asciiTheme="minorEastAsia" w:hAnsiTheme="minorEastAsia"/>
                <w:color w:val="000000" w:themeColor="text1"/>
                <w:szCs w:val="21"/>
              </w:rPr>
              <w:t>。试验后用体式显微镜对产品进行外观检查，并按照规范要求对产品进行测试，</w:t>
            </w:r>
            <w:r>
              <w:rPr>
                <w:rFonts w:hint="eastAsia" w:ascii="宋体" w:hAnsi="宋体" w:cs="宋体"/>
                <w:szCs w:val="21"/>
              </w:rPr>
              <w:t>最后形成振动试验报告。</w:t>
            </w:r>
          </w:p>
          <w:p w14:paraId="2D4225F3">
            <w:pPr>
              <w:spacing w:line="360" w:lineRule="auto"/>
              <w:ind w:firstLine="367" w:firstLineChars="175"/>
              <w:rPr>
                <w:rFonts w:ascii="宋体" w:hAnsi="宋体" w:cs="宋体"/>
                <w:color w:val="FF0000"/>
                <w:szCs w:val="21"/>
              </w:rPr>
            </w:pPr>
            <w:r>
              <w:rPr>
                <w:rFonts w:hint="eastAsia" w:ascii="宋体" w:hAnsi="宋体" w:cs="宋体"/>
                <w:szCs w:val="21"/>
              </w:rPr>
              <w:t>对于公司不具备条件的试验项目，由质量管理部联系有资质的第三方单位进行委外试验，提供</w:t>
            </w:r>
            <w:r>
              <w:rPr>
                <w:rFonts w:hint="eastAsia" w:asciiTheme="minorEastAsia" w:hAnsiTheme="minorEastAsia"/>
                <w:color w:val="000000" w:themeColor="text1"/>
                <w:szCs w:val="21"/>
              </w:rPr>
              <w:t>装有相应产品的振动工装以及需作振动试验的项目、具体参数，要求出具有效的相应产品</w:t>
            </w:r>
            <w:r>
              <w:rPr>
                <w:rFonts w:hint="eastAsia" w:ascii="宋体" w:hAnsi="宋体" w:cs="宋体"/>
                <w:szCs w:val="21"/>
              </w:rPr>
              <w:t>振动试验报告。</w:t>
            </w:r>
          </w:p>
          <w:p w14:paraId="415963D6">
            <w:pPr>
              <w:spacing w:line="360" w:lineRule="auto"/>
              <w:rPr>
                <w:rFonts w:ascii="黑体" w:hAnsi="黑体" w:eastAsia="黑体" w:cs="宋体"/>
                <w:color w:val="000000" w:themeColor="text1"/>
                <w:szCs w:val="21"/>
              </w:rPr>
            </w:pPr>
            <w:r>
              <w:rPr>
                <w:rFonts w:hint="eastAsia" w:ascii="黑体" w:hAnsi="黑体" w:eastAsia="黑体" w:cs="宋体"/>
                <w:color w:val="000000" w:themeColor="text1"/>
                <w:szCs w:val="21"/>
              </w:rPr>
              <w:t>6  电气性能测试</w:t>
            </w:r>
          </w:p>
          <w:p w14:paraId="7BD0BF76">
            <w:pPr>
              <w:spacing w:line="360" w:lineRule="auto"/>
              <w:ind w:firstLine="367" w:firstLineChars="175"/>
              <w:rPr>
                <w:rFonts w:ascii="宋体" w:hAnsi="宋体" w:cs="宋体"/>
                <w:color w:val="000000" w:themeColor="text1"/>
                <w:szCs w:val="21"/>
              </w:rPr>
            </w:pPr>
            <w:r>
              <w:rPr>
                <w:rFonts w:hint="eastAsia" w:ascii="宋体" w:hAnsi="宋体" w:cs="宋体"/>
                <w:color w:val="000000" w:themeColor="text1"/>
                <w:szCs w:val="21"/>
              </w:rPr>
              <w:t>按照相应产品的技术指标和</w:t>
            </w:r>
            <w:r>
              <w:rPr>
                <w:rFonts w:hint="eastAsia" w:ascii="宋体" w:hAnsi="宋体" w:cs="宋体"/>
                <w:szCs w:val="21"/>
              </w:rPr>
              <w:t>详细</w:t>
            </w:r>
            <w:r>
              <w:rPr>
                <w:rFonts w:hint="eastAsia" w:ascii="宋体" w:hAnsi="宋体" w:cs="宋体"/>
                <w:color w:val="000000" w:themeColor="text1"/>
                <w:szCs w:val="21"/>
              </w:rPr>
              <w:t>规范要求，分别测试产品：常温、高温及低温电性能（无相关测试项目则略过），满足相关技术要求并</w:t>
            </w:r>
            <w:r>
              <w:rPr>
                <w:rFonts w:hint="eastAsia" w:ascii="宋体" w:hAnsi="宋体" w:cs="宋体"/>
                <w:szCs w:val="21"/>
              </w:rPr>
              <w:t>将</w:t>
            </w:r>
            <w:r>
              <w:rPr>
                <w:rFonts w:hint="eastAsia" w:ascii="宋体" w:hAnsi="宋体" w:cs="宋体"/>
                <w:color w:val="000000" w:themeColor="text1"/>
                <w:szCs w:val="21"/>
              </w:rPr>
              <w:t>测试</w:t>
            </w:r>
            <w:r>
              <w:rPr>
                <w:rFonts w:hint="eastAsia" w:ascii="宋体" w:hAnsi="宋体" w:cs="宋体"/>
                <w:szCs w:val="21"/>
              </w:rPr>
              <w:t>结果导出打印成册</w:t>
            </w:r>
            <w:r>
              <w:rPr>
                <w:rFonts w:hint="eastAsia" w:ascii="宋体" w:hAnsi="宋体" w:cs="宋体"/>
                <w:color w:val="000000" w:themeColor="text1"/>
                <w:szCs w:val="21"/>
              </w:rPr>
              <w:t>。</w:t>
            </w:r>
          </w:p>
          <w:p w14:paraId="2AAD0DF1">
            <w:pPr>
              <w:spacing w:line="360" w:lineRule="auto"/>
              <w:rPr>
                <w:rFonts w:ascii="黑体" w:hAnsi="黑体" w:eastAsia="黑体" w:cs="宋体"/>
                <w:color w:val="000000" w:themeColor="text1"/>
                <w:szCs w:val="21"/>
              </w:rPr>
            </w:pPr>
            <w:r>
              <w:rPr>
                <w:rFonts w:hint="eastAsia" w:ascii="黑体" w:hAnsi="黑体" w:eastAsia="黑体" w:cs="宋体"/>
                <w:color w:val="000000" w:themeColor="text1"/>
                <w:szCs w:val="21"/>
              </w:rPr>
              <w:t>7  外观和机械检查</w:t>
            </w:r>
          </w:p>
          <w:p w14:paraId="003BEC81">
            <w:pPr>
              <w:spacing w:line="360" w:lineRule="auto"/>
              <w:ind w:firstLine="367" w:firstLineChars="175"/>
              <w:rPr>
                <w:rFonts w:ascii="宋体" w:hAnsi="宋体" w:cs="宋体"/>
                <w:color w:val="000000" w:themeColor="text1"/>
                <w:szCs w:val="21"/>
              </w:rPr>
            </w:pPr>
            <w:r>
              <w:rPr>
                <w:rFonts w:hint="eastAsia" w:ascii="宋体" w:hAnsi="宋体" w:cs="宋体"/>
                <w:color w:val="000000" w:themeColor="text1"/>
                <w:szCs w:val="21"/>
              </w:rPr>
              <w:t>按照相应产品的技术指标和详细规范以及外观检验规范要求，检查产品外观和其机械参数，满足相关技术指标要求。</w:t>
            </w:r>
          </w:p>
          <w:p w14:paraId="51593335">
            <w:pPr>
              <w:spacing w:line="360" w:lineRule="auto"/>
              <w:rPr>
                <w:rFonts w:ascii="黑体" w:hAnsi="黑体" w:eastAsia="黑体" w:cs="宋体"/>
                <w:szCs w:val="21"/>
              </w:rPr>
            </w:pPr>
            <w:r>
              <w:rPr>
                <w:rFonts w:hint="eastAsia" w:ascii="黑体" w:hAnsi="黑体" w:eastAsia="黑体" w:cs="宋体"/>
                <w:szCs w:val="21"/>
              </w:rPr>
              <w:t>8  产品接收准则</w:t>
            </w:r>
          </w:p>
          <w:p w14:paraId="18CED218">
            <w:pPr>
              <w:spacing w:line="360" w:lineRule="auto"/>
              <w:rPr>
                <w:rFonts w:ascii="宋体" w:hAnsi="宋体" w:cs="宋体"/>
                <w:szCs w:val="21"/>
              </w:rPr>
            </w:pPr>
            <w:r>
              <w:rPr>
                <w:rFonts w:hint="eastAsia" w:ascii="宋体" w:hAnsi="宋体" w:cs="宋体"/>
                <w:szCs w:val="21"/>
              </w:rPr>
              <w:t>8.1 全部微带产品应按相关详细规范的规定项目进行筛选，筛选的允许不合格率（PDA）为</w:t>
            </w:r>
            <w:r>
              <w:rPr>
                <w:rFonts w:hint="eastAsia" w:cs="宋体" w:asciiTheme="minorEastAsia" w:hAnsiTheme="minorEastAsia"/>
                <w:szCs w:val="21"/>
              </w:rPr>
              <w:t>≤</w:t>
            </w:r>
            <w:r>
              <w:rPr>
                <w:rFonts w:hint="eastAsia" w:ascii="宋体" w:hAnsi="宋体" w:cs="宋体"/>
                <w:szCs w:val="21"/>
              </w:rPr>
              <w:t>5%。</w:t>
            </w:r>
          </w:p>
          <w:p w14:paraId="07553866">
            <w:pPr>
              <w:spacing w:line="360" w:lineRule="auto"/>
              <w:rPr>
                <w:rFonts w:ascii="宋体" w:hAnsi="宋体" w:cs="宋体"/>
                <w:szCs w:val="21"/>
              </w:rPr>
            </w:pPr>
            <w:r>
              <w:rPr>
                <w:rFonts w:hint="eastAsia" w:ascii="宋体" w:hAnsi="宋体" w:cs="宋体"/>
                <w:szCs w:val="21"/>
              </w:rPr>
              <w:t>8.2 筛选试验中任何一项试验不合格的微带产品应立即从该批中剔除。</w:t>
            </w:r>
          </w:p>
          <w:p w14:paraId="73F3AD61">
            <w:pPr>
              <w:spacing w:line="360" w:lineRule="auto"/>
              <w:rPr>
                <w:rFonts w:ascii="宋体" w:hAnsi="宋体" w:cs="宋体"/>
                <w:szCs w:val="21"/>
              </w:rPr>
            </w:pPr>
            <w:r>
              <w:rPr>
                <w:rFonts w:hint="eastAsia" w:ascii="宋体" w:hAnsi="宋体" w:cs="宋体"/>
                <w:szCs w:val="21"/>
              </w:rPr>
              <w:t>8.3 被判为不合格并拒收时，允许按适当的工艺进行返工后，重新提交一次筛选试验。</w:t>
            </w:r>
          </w:p>
          <w:p w14:paraId="327D58D5">
            <w:pPr>
              <w:spacing w:line="360" w:lineRule="auto"/>
              <w:rPr>
                <w:rFonts w:ascii="黑体" w:hAnsi="黑体" w:eastAsia="黑体" w:cs="宋体"/>
                <w:szCs w:val="21"/>
              </w:rPr>
            </w:pPr>
            <w:r>
              <w:rPr>
                <w:rFonts w:hint="eastAsia" w:ascii="黑体" w:hAnsi="黑体" w:eastAsia="黑体" w:cs="宋体"/>
                <w:szCs w:val="21"/>
              </w:rPr>
              <w:t>9  安全防护</w:t>
            </w:r>
          </w:p>
          <w:p w14:paraId="701D0137">
            <w:pPr>
              <w:spacing w:line="360" w:lineRule="auto"/>
              <w:rPr>
                <w:rFonts w:ascii="宋体" w:hAnsi="宋体" w:cs="Arial"/>
              </w:rPr>
            </w:pPr>
            <w:r>
              <w:rPr>
                <w:rFonts w:hint="eastAsia" w:ascii="宋体" w:hAnsi="宋体" w:cs="宋体"/>
                <w:szCs w:val="21"/>
              </w:rPr>
              <w:t>9.1  在做温度冲击的</w:t>
            </w:r>
            <w:r>
              <w:rPr>
                <w:rFonts w:hint="eastAsia"/>
                <w:szCs w:val="21"/>
              </w:rPr>
              <w:t>产品</w:t>
            </w:r>
            <w:r>
              <w:rPr>
                <w:rFonts w:hint="eastAsia" w:ascii="宋体" w:hAnsi="宋体" w:cs="宋体"/>
                <w:szCs w:val="21"/>
              </w:rPr>
              <w:t>取、放操作过程中，必须佩戴高低温防护</w:t>
            </w:r>
            <w:r>
              <w:rPr>
                <w:rFonts w:hint="eastAsia" w:ascii="宋体" w:hAnsi="宋体" w:cs="黑体"/>
                <w:szCs w:val="21"/>
              </w:rPr>
              <w:t>橡胶</w:t>
            </w:r>
            <w:r>
              <w:rPr>
                <w:rFonts w:hint="eastAsia" w:ascii="宋体" w:hAnsi="宋体" w:cs="Arial"/>
              </w:rPr>
              <w:t>手套。</w:t>
            </w:r>
          </w:p>
          <w:p w14:paraId="21E738F6">
            <w:pPr>
              <w:spacing w:line="360" w:lineRule="auto"/>
              <w:jc w:val="left"/>
              <w:rPr>
                <w:rFonts w:ascii="宋体" w:hAnsi="宋体" w:cs="宋体"/>
                <w:szCs w:val="21"/>
              </w:rPr>
            </w:pPr>
            <w:r>
              <w:rPr>
                <w:rFonts w:hint="eastAsia" w:ascii="宋体" w:hAnsi="宋体" w:cs="宋体"/>
                <w:szCs w:val="21"/>
              </w:rPr>
              <w:t>9.2  在做温度冲击、随机振动过程中，应不定期巡视、检查温度冲击设备是否运行正常，否则应立即采取应急处理，保证产品和设备的安全。</w:t>
            </w:r>
          </w:p>
          <w:p w14:paraId="43D23A33">
            <w:pPr>
              <w:spacing w:line="360" w:lineRule="auto"/>
              <w:jc w:val="left"/>
              <w:rPr>
                <w:rFonts w:ascii="黑体" w:hAnsi="黑体" w:eastAsia="黑体" w:cs="宋体"/>
                <w:szCs w:val="21"/>
              </w:rPr>
            </w:pPr>
            <w:r>
              <w:rPr>
                <w:rFonts w:hint="eastAsia" w:ascii="宋体" w:hAnsi="宋体" w:cs="宋体"/>
                <w:szCs w:val="21"/>
              </w:rPr>
              <w:t>9.3  做温度冲击试验完成后，必须将</w:t>
            </w:r>
            <w:r>
              <w:rPr>
                <w:rFonts w:hint="eastAsia" w:asciiTheme="minorEastAsia" w:hAnsiTheme="minorEastAsia"/>
                <w:szCs w:val="21"/>
              </w:rPr>
              <w:t>高低温试验箱箱内烘干。</w:t>
            </w:r>
            <w:r>
              <w:rPr>
                <w:rFonts w:hint="eastAsia" w:ascii="宋体" w:hAnsi="宋体" w:cs="宋体"/>
                <w:szCs w:val="21"/>
              </w:rPr>
              <w:t>随机振动试验完成后，应对设备进行防尘保护。</w:t>
            </w:r>
          </w:p>
        </w:tc>
      </w:tr>
    </w:tbl>
    <w:p w14:paraId="74255CE0">
      <w:pPr>
        <w:spacing w:line="20" w:lineRule="exact"/>
      </w:pPr>
      <w:bookmarkStart w:id="0" w:name="_GoBack"/>
      <w:bookmarkEnd w:id="0"/>
    </w:p>
    <w:sectPr>
      <w:footerReference r:id="rId3" w:type="default"/>
      <w:pgSz w:w="11906" w:h="16838"/>
      <w:pgMar w:top="1276" w:right="1418" w:bottom="1276"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0217203"/>
    </w:sdtPr>
    <w:sdtEndPr>
      <w:rPr>
        <w:rFonts w:asciiTheme="minorEastAsia" w:hAnsiTheme="minorEastAsia"/>
        <w:sz w:val="21"/>
        <w:szCs w:val="21"/>
      </w:rPr>
    </w:sdtEndPr>
    <w:sdtContent>
      <w:sdt>
        <w:sdtPr>
          <w:id w:val="30217204"/>
        </w:sdtPr>
        <w:sdtEndPr>
          <w:rPr>
            <w:rFonts w:asciiTheme="minorEastAsia" w:hAnsiTheme="minorEastAsia"/>
            <w:sz w:val="21"/>
            <w:szCs w:val="21"/>
          </w:rPr>
        </w:sdtEndPr>
        <w:sdtContent>
          <w:p w14:paraId="308A4E4C">
            <w:pPr>
              <w:pStyle w:val="4"/>
              <w:jc w:val="center"/>
              <w:rPr>
                <w:rFonts w:asciiTheme="minorEastAsia" w:hAnsiTheme="minorEastAsia"/>
                <w:sz w:val="21"/>
                <w:szCs w:val="21"/>
              </w:rPr>
            </w:pPr>
            <w:r>
              <w:rPr>
                <w:rFonts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PAGE</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asciiTheme="minorEastAsia" w:hAnsiTheme="minorEastAsia"/>
                <w:sz w:val="21"/>
                <w:szCs w:val="21"/>
              </w:rPr>
              <w:t>页</w:t>
            </w:r>
            <w:r>
              <w:rPr>
                <w:rFonts w:hint="eastAsia" w:asciiTheme="minorEastAsia" w:hAnsiTheme="minorEastAsia"/>
                <w:sz w:val="21"/>
                <w:szCs w:val="21"/>
              </w:rPr>
              <w:t>，</w:t>
            </w:r>
            <w:r>
              <w:rPr>
                <w:rFonts w:asciiTheme="minorEastAsia" w:hAnsiTheme="minorEastAsia"/>
                <w:sz w:val="21"/>
                <w:szCs w:val="21"/>
                <w:lang w:val="zh-CN"/>
              </w:rPr>
              <w:t xml:space="preserve">共 </w:t>
            </w:r>
            <w:r>
              <w:rPr>
                <w:rFonts w:asciiTheme="minorEastAsia" w:hAnsiTheme="minorEastAsia"/>
                <w:sz w:val="21"/>
                <w:szCs w:val="21"/>
              </w:rPr>
              <w:fldChar w:fldCharType="begin"/>
            </w:r>
            <w:r>
              <w:rPr>
                <w:rFonts w:asciiTheme="minorEastAsia" w:hAnsiTheme="minorEastAsia"/>
                <w:sz w:val="21"/>
                <w:szCs w:val="21"/>
              </w:rPr>
              <w:instrText xml:space="preserve">NUMPAGES</w:instrText>
            </w:r>
            <w:r>
              <w:rPr>
                <w:rFonts w:asciiTheme="minorEastAsia" w:hAnsiTheme="minorEastAsia"/>
                <w:sz w:val="21"/>
                <w:szCs w:val="21"/>
              </w:rPr>
              <w:fldChar w:fldCharType="separate"/>
            </w:r>
            <w:r>
              <w:rPr>
                <w:rFonts w:asciiTheme="minorEastAsia" w:hAnsiTheme="minorEastAsia"/>
                <w:sz w:val="21"/>
                <w:szCs w:val="21"/>
              </w:rPr>
              <w:t>2</w:t>
            </w:r>
            <w:r>
              <w:rPr>
                <w:rFonts w:asciiTheme="minorEastAsia" w:hAnsiTheme="minorEastAsia"/>
                <w:sz w:val="21"/>
                <w:szCs w:val="21"/>
              </w:rPr>
              <w:fldChar w:fldCharType="end"/>
            </w:r>
            <w:r>
              <w:rPr>
                <w:rFonts w:asciiTheme="minorEastAsia" w:hAnsiTheme="minorEastAsia"/>
                <w:sz w:val="21"/>
                <w:szCs w:val="21"/>
              </w:rPr>
              <w:t>页</w:t>
            </w:r>
          </w:p>
        </w:sdtContent>
      </w:sdt>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ThiN2EwOGJjN2I1MTA5OWRjYmNjOTRkYTY1ZTBkNzEifQ=="/>
  </w:docVars>
  <w:rsids>
    <w:rsidRoot w:val="00DC715C"/>
    <w:rsid w:val="00003051"/>
    <w:rsid w:val="0001446F"/>
    <w:rsid w:val="00020487"/>
    <w:rsid w:val="000258BE"/>
    <w:rsid w:val="0003095F"/>
    <w:rsid w:val="00062088"/>
    <w:rsid w:val="0007419B"/>
    <w:rsid w:val="00083EDA"/>
    <w:rsid w:val="000861AD"/>
    <w:rsid w:val="0009224A"/>
    <w:rsid w:val="000A17C9"/>
    <w:rsid w:val="000C6DA8"/>
    <w:rsid w:val="000D1A2E"/>
    <w:rsid w:val="000D3596"/>
    <w:rsid w:val="000E2AAA"/>
    <w:rsid w:val="000E47FC"/>
    <w:rsid w:val="000E5102"/>
    <w:rsid w:val="000F511E"/>
    <w:rsid w:val="001033DE"/>
    <w:rsid w:val="00103FAE"/>
    <w:rsid w:val="001362D6"/>
    <w:rsid w:val="00147064"/>
    <w:rsid w:val="00151DED"/>
    <w:rsid w:val="00152198"/>
    <w:rsid w:val="00191912"/>
    <w:rsid w:val="00195F95"/>
    <w:rsid w:val="0019666B"/>
    <w:rsid w:val="001A440B"/>
    <w:rsid w:val="001B493C"/>
    <w:rsid w:val="001B550B"/>
    <w:rsid w:val="001C15CC"/>
    <w:rsid w:val="001C726F"/>
    <w:rsid w:val="001D38CE"/>
    <w:rsid w:val="001E0C71"/>
    <w:rsid w:val="001E3A89"/>
    <w:rsid w:val="00202E26"/>
    <w:rsid w:val="0021031F"/>
    <w:rsid w:val="0021119F"/>
    <w:rsid w:val="00215820"/>
    <w:rsid w:val="002167E3"/>
    <w:rsid w:val="00231838"/>
    <w:rsid w:val="0023343F"/>
    <w:rsid w:val="00241911"/>
    <w:rsid w:val="002422E4"/>
    <w:rsid w:val="00267E9C"/>
    <w:rsid w:val="00280A00"/>
    <w:rsid w:val="00280CD2"/>
    <w:rsid w:val="00286D8A"/>
    <w:rsid w:val="00296A9A"/>
    <w:rsid w:val="002A09B1"/>
    <w:rsid w:val="002A23A1"/>
    <w:rsid w:val="002A447B"/>
    <w:rsid w:val="002A7EE2"/>
    <w:rsid w:val="002B7AB7"/>
    <w:rsid w:val="002C09FC"/>
    <w:rsid w:val="002F0712"/>
    <w:rsid w:val="002F3079"/>
    <w:rsid w:val="003079C7"/>
    <w:rsid w:val="00310A09"/>
    <w:rsid w:val="00315DD3"/>
    <w:rsid w:val="00336465"/>
    <w:rsid w:val="00340E2B"/>
    <w:rsid w:val="0034666E"/>
    <w:rsid w:val="00353CD5"/>
    <w:rsid w:val="00354F66"/>
    <w:rsid w:val="003613AA"/>
    <w:rsid w:val="003624D3"/>
    <w:rsid w:val="00371A79"/>
    <w:rsid w:val="00377F3C"/>
    <w:rsid w:val="003852A6"/>
    <w:rsid w:val="00390CC1"/>
    <w:rsid w:val="003C5DAB"/>
    <w:rsid w:val="003E1DE8"/>
    <w:rsid w:val="003F6CCD"/>
    <w:rsid w:val="0040213D"/>
    <w:rsid w:val="00403DEA"/>
    <w:rsid w:val="00406470"/>
    <w:rsid w:val="00406C7D"/>
    <w:rsid w:val="00407F1F"/>
    <w:rsid w:val="0042264C"/>
    <w:rsid w:val="00431163"/>
    <w:rsid w:val="00440F36"/>
    <w:rsid w:val="004414AB"/>
    <w:rsid w:val="00442893"/>
    <w:rsid w:val="0046664F"/>
    <w:rsid w:val="00467279"/>
    <w:rsid w:val="004733C9"/>
    <w:rsid w:val="00482E97"/>
    <w:rsid w:val="00483174"/>
    <w:rsid w:val="0049753A"/>
    <w:rsid w:val="004A4E4B"/>
    <w:rsid w:val="004A551C"/>
    <w:rsid w:val="004C32E6"/>
    <w:rsid w:val="004C6E3A"/>
    <w:rsid w:val="004D046E"/>
    <w:rsid w:val="004D3B54"/>
    <w:rsid w:val="004D4A4D"/>
    <w:rsid w:val="004E7783"/>
    <w:rsid w:val="004F6D28"/>
    <w:rsid w:val="00505634"/>
    <w:rsid w:val="0051005C"/>
    <w:rsid w:val="00513F56"/>
    <w:rsid w:val="00537A4C"/>
    <w:rsid w:val="00561321"/>
    <w:rsid w:val="005657A8"/>
    <w:rsid w:val="00570CC7"/>
    <w:rsid w:val="005755AF"/>
    <w:rsid w:val="00580AD6"/>
    <w:rsid w:val="00585073"/>
    <w:rsid w:val="005919D1"/>
    <w:rsid w:val="005B671F"/>
    <w:rsid w:val="005C3938"/>
    <w:rsid w:val="005C43AE"/>
    <w:rsid w:val="005D38CA"/>
    <w:rsid w:val="005D6411"/>
    <w:rsid w:val="005E26A1"/>
    <w:rsid w:val="005E6B93"/>
    <w:rsid w:val="005F5D01"/>
    <w:rsid w:val="00604939"/>
    <w:rsid w:val="00610329"/>
    <w:rsid w:val="00611F35"/>
    <w:rsid w:val="0061565B"/>
    <w:rsid w:val="00617350"/>
    <w:rsid w:val="00626234"/>
    <w:rsid w:val="006316F1"/>
    <w:rsid w:val="00637AD2"/>
    <w:rsid w:val="00660BF8"/>
    <w:rsid w:val="006643DA"/>
    <w:rsid w:val="006644D1"/>
    <w:rsid w:val="006652CA"/>
    <w:rsid w:val="006708CE"/>
    <w:rsid w:val="0068093F"/>
    <w:rsid w:val="00680A66"/>
    <w:rsid w:val="006856C8"/>
    <w:rsid w:val="006B6546"/>
    <w:rsid w:val="006D3CA9"/>
    <w:rsid w:val="006D5D8E"/>
    <w:rsid w:val="006E1975"/>
    <w:rsid w:val="006E70E4"/>
    <w:rsid w:val="006F1CA1"/>
    <w:rsid w:val="006F2783"/>
    <w:rsid w:val="006F4A29"/>
    <w:rsid w:val="006F4DE9"/>
    <w:rsid w:val="00727BD4"/>
    <w:rsid w:val="0073018A"/>
    <w:rsid w:val="00731EF4"/>
    <w:rsid w:val="00736E87"/>
    <w:rsid w:val="0073768C"/>
    <w:rsid w:val="00756964"/>
    <w:rsid w:val="00764455"/>
    <w:rsid w:val="00773B54"/>
    <w:rsid w:val="0078286A"/>
    <w:rsid w:val="007A1E29"/>
    <w:rsid w:val="007A4779"/>
    <w:rsid w:val="007A58AF"/>
    <w:rsid w:val="007B412D"/>
    <w:rsid w:val="007B7A34"/>
    <w:rsid w:val="007B7C71"/>
    <w:rsid w:val="007C1B54"/>
    <w:rsid w:val="007C224A"/>
    <w:rsid w:val="007C2BB5"/>
    <w:rsid w:val="007C33FC"/>
    <w:rsid w:val="007C66AC"/>
    <w:rsid w:val="007C69F5"/>
    <w:rsid w:val="007C6E65"/>
    <w:rsid w:val="007E5FEA"/>
    <w:rsid w:val="007F38AF"/>
    <w:rsid w:val="007F6960"/>
    <w:rsid w:val="007F6FB0"/>
    <w:rsid w:val="00804756"/>
    <w:rsid w:val="008069BE"/>
    <w:rsid w:val="00821B1A"/>
    <w:rsid w:val="0082600C"/>
    <w:rsid w:val="00846A74"/>
    <w:rsid w:val="0084734D"/>
    <w:rsid w:val="00851D78"/>
    <w:rsid w:val="0085203B"/>
    <w:rsid w:val="00860679"/>
    <w:rsid w:val="00875386"/>
    <w:rsid w:val="00876539"/>
    <w:rsid w:val="008925F6"/>
    <w:rsid w:val="00897352"/>
    <w:rsid w:val="008C1CD4"/>
    <w:rsid w:val="008C5453"/>
    <w:rsid w:val="008C631D"/>
    <w:rsid w:val="008D3476"/>
    <w:rsid w:val="008D534E"/>
    <w:rsid w:val="008D60C2"/>
    <w:rsid w:val="008D636D"/>
    <w:rsid w:val="008D7726"/>
    <w:rsid w:val="00901027"/>
    <w:rsid w:val="009014CF"/>
    <w:rsid w:val="00905800"/>
    <w:rsid w:val="00917ED4"/>
    <w:rsid w:val="00927DDD"/>
    <w:rsid w:val="0093508D"/>
    <w:rsid w:val="00935432"/>
    <w:rsid w:val="009516A3"/>
    <w:rsid w:val="00952B50"/>
    <w:rsid w:val="00952D7B"/>
    <w:rsid w:val="00954268"/>
    <w:rsid w:val="00954D64"/>
    <w:rsid w:val="009734F7"/>
    <w:rsid w:val="00974C9E"/>
    <w:rsid w:val="009776FA"/>
    <w:rsid w:val="009817A9"/>
    <w:rsid w:val="009828CC"/>
    <w:rsid w:val="009934C8"/>
    <w:rsid w:val="00997A77"/>
    <w:rsid w:val="009A6C41"/>
    <w:rsid w:val="009B05DD"/>
    <w:rsid w:val="009D4793"/>
    <w:rsid w:val="009D5318"/>
    <w:rsid w:val="009D59C8"/>
    <w:rsid w:val="009E1292"/>
    <w:rsid w:val="009E7A93"/>
    <w:rsid w:val="00A004FB"/>
    <w:rsid w:val="00A03F90"/>
    <w:rsid w:val="00A159E0"/>
    <w:rsid w:val="00A30C8D"/>
    <w:rsid w:val="00A335E9"/>
    <w:rsid w:val="00A46941"/>
    <w:rsid w:val="00A54272"/>
    <w:rsid w:val="00A56B39"/>
    <w:rsid w:val="00A640C9"/>
    <w:rsid w:val="00A652E4"/>
    <w:rsid w:val="00A66DD7"/>
    <w:rsid w:val="00A7278E"/>
    <w:rsid w:val="00A7327A"/>
    <w:rsid w:val="00A740D4"/>
    <w:rsid w:val="00A764F1"/>
    <w:rsid w:val="00A83A8F"/>
    <w:rsid w:val="00AB3EB6"/>
    <w:rsid w:val="00AC4B3F"/>
    <w:rsid w:val="00AC5C21"/>
    <w:rsid w:val="00AD14BA"/>
    <w:rsid w:val="00AD52A2"/>
    <w:rsid w:val="00AE1505"/>
    <w:rsid w:val="00AE5F44"/>
    <w:rsid w:val="00AF1988"/>
    <w:rsid w:val="00B00244"/>
    <w:rsid w:val="00B05743"/>
    <w:rsid w:val="00B109D9"/>
    <w:rsid w:val="00B23BC4"/>
    <w:rsid w:val="00B4689D"/>
    <w:rsid w:val="00B530AA"/>
    <w:rsid w:val="00B54786"/>
    <w:rsid w:val="00B6157D"/>
    <w:rsid w:val="00B6425A"/>
    <w:rsid w:val="00B758DB"/>
    <w:rsid w:val="00B80248"/>
    <w:rsid w:val="00B92D8B"/>
    <w:rsid w:val="00BA4B41"/>
    <w:rsid w:val="00BB407B"/>
    <w:rsid w:val="00BB4958"/>
    <w:rsid w:val="00BB7F05"/>
    <w:rsid w:val="00BC1710"/>
    <w:rsid w:val="00BC6580"/>
    <w:rsid w:val="00BC7D1A"/>
    <w:rsid w:val="00BF0751"/>
    <w:rsid w:val="00BF57DE"/>
    <w:rsid w:val="00BF7489"/>
    <w:rsid w:val="00BF7DB7"/>
    <w:rsid w:val="00C115B5"/>
    <w:rsid w:val="00C32B34"/>
    <w:rsid w:val="00C345C6"/>
    <w:rsid w:val="00C345CF"/>
    <w:rsid w:val="00C45197"/>
    <w:rsid w:val="00C57CE3"/>
    <w:rsid w:val="00C6131A"/>
    <w:rsid w:val="00C734F8"/>
    <w:rsid w:val="00C862E1"/>
    <w:rsid w:val="00C90A4A"/>
    <w:rsid w:val="00C91661"/>
    <w:rsid w:val="00CA45DE"/>
    <w:rsid w:val="00CB2ACE"/>
    <w:rsid w:val="00CB4023"/>
    <w:rsid w:val="00CC2FD8"/>
    <w:rsid w:val="00CC348A"/>
    <w:rsid w:val="00CC5BFC"/>
    <w:rsid w:val="00CE263C"/>
    <w:rsid w:val="00CE4739"/>
    <w:rsid w:val="00D04EAB"/>
    <w:rsid w:val="00D10216"/>
    <w:rsid w:val="00D10AFC"/>
    <w:rsid w:val="00D12223"/>
    <w:rsid w:val="00D156EF"/>
    <w:rsid w:val="00D233F1"/>
    <w:rsid w:val="00D238DB"/>
    <w:rsid w:val="00D37EB8"/>
    <w:rsid w:val="00D4027D"/>
    <w:rsid w:val="00D43228"/>
    <w:rsid w:val="00D96BFC"/>
    <w:rsid w:val="00DA0B1A"/>
    <w:rsid w:val="00DA7983"/>
    <w:rsid w:val="00DB1879"/>
    <w:rsid w:val="00DB4FE4"/>
    <w:rsid w:val="00DC27AE"/>
    <w:rsid w:val="00DC715C"/>
    <w:rsid w:val="00DD7A99"/>
    <w:rsid w:val="00DE5905"/>
    <w:rsid w:val="00DE761F"/>
    <w:rsid w:val="00DF1385"/>
    <w:rsid w:val="00DF4C39"/>
    <w:rsid w:val="00DF656A"/>
    <w:rsid w:val="00E16AA3"/>
    <w:rsid w:val="00E17CF1"/>
    <w:rsid w:val="00E21025"/>
    <w:rsid w:val="00E37DD5"/>
    <w:rsid w:val="00E40DBC"/>
    <w:rsid w:val="00E611F1"/>
    <w:rsid w:val="00E6305A"/>
    <w:rsid w:val="00E66615"/>
    <w:rsid w:val="00E71EA8"/>
    <w:rsid w:val="00E86C58"/>
    <w:rsid w:val="00E944A9"/>
    <w:rsid w:val="00E95AD5"/>
    <w:rsid w:val="00E966F0"/>
    <w:rsid w:val="00EA69D8"/>
    <w:rsid w:val="00EB5459"/>
    <w:rsid w:val="00EC4AFA"/>
    <w:rsid w:val="00EC75C0"/>
    <w:rsid w:val="00ED1880"/>
    <w:rsid w:val="00EE008F"/>
    <w:rsid w:val="00EF11EB"/>
    <w:rsid w:val="00EF4174"/>
    <w:rsid w:val="00EF5143"/>
    <w:rsid w:val="00F14A98"/>
    <w:rsid w:val="00F16FAA"/>
    <w:rsid w:val="00F21185"/>
    <w:rsid w:val="00F22570"/>
    <w:rsid w:val="00F52F88"/>
    <w:rsid w:val="00F60B03"/>
    <w:rsid w:val="00F61EA5"/>
    <w:rsid w:val="00F629B8"/>
    <w:rsid w:val="00F824E7"/>
    <w:rsid w:val="00F91231"/>
    <w:rsid w:val="00F979B4"/>
    <w:rsid w:val="00FB3C56"/>
    <w:rsid w:val="00FB7407"/>
    <w:rsid w:val="00FD7E0E"/>
    <w:rsid w:val="00FF37B3"/>
    <w:rsid w:val="00FF6E98"/>
    <w:rsid w:val="00FF7225"/>
    <w:rsid w:val="00FF73DA"/>
    <w:rsid w:val="0C78199D"/>
    <w:rsid w:val="143D057B"/>
    <w:rsid w:val="1787048B"/>
    <w:rsid w:val="19C34ADB"/>
    <w:rsid w:val="23F979B8"/>
    <w:rsid w:val="29386574"/>
    <w:rsid w:val="2A164F5A"/>
    <w:rsid w:val="352670DE"/>
    <w:rsid w:val="37D83F93"/>
    <w:rsid w:val="3C7921E9"/>
    <w:rsid w:val="45F27782"/>
    <w:rsid w:val="552A0B00"/>
    <w:rsid w:val="5833642D"/>
    <w:rsid w:val="58D66FA4"/>
    <w:rsid w:val="5C313755"/>
    <w:rsid w:val="68F33F8B"/>
    <w:rsid w:val="69925649"/>
    <w:rsid w:val="75BD373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9">
    <w:name w:val="批注框文本 Char"/>
    <w:basedOn w:val="8"/>
    <w:link w:val="3"/>
    <w:semiHidden/>
    <w:qFormat/>
    <w:uiPriority w:val="99"/>
    <w:rPr>
      <w:sz w:val="18"/>
      <w:szCs w:val="18"/>
    </w:rPr>
  </w:style>
  <w:style w:type="character" w:customStyle="1" w:styleId="10">
    <w:name w:val="页眉 Char"/>
    <w:basedOn w:val="8"/>
    <w:link w:val="5"/>
    <w:semiHidden/>
    <w:qFormat/>
    <w:uiPriority w:val="99"/>
    <w:rPr>
      <w:sz w:val="18"/>
      <w:szCs w:val="18"/>
    </w:rPr>
  </w:style>
  <w:style w:type="character" w:customStyle="1" w:styleId="11">
    <w:name w:val="页脚 Char"/>
    <w:basedOn w:val="8"/>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F34BC-DD73-4A2E-910A-D27613730FF3}">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Pages>
  <Words>1323</Words>
  <Characters>1425</Characters>
  <Lines>11</Lines>
  <Paragraphs>3</Paragraphs>
  <TotalTime>74</TotalTime>
  <ScaleCrop>false</ScaleCrop>
  <LinksUpToDate>false</LinksUpToDate>
  <CharactersWithSpaces>1463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2024-01-04T05:35:00Z</dcterms:created>
  <dc:creator>Windows 用户</dc:creator>
  <cp:lastModifiedBy>Easy</cp:lastModifiedBy>
  <cp:lastPrinted>2024-01-09T06:02:00Z</cp:lastPrinted>
  <dcterms:modified xsi:type="dcterms:W3CDTF">2025-04-16T13:19:02Z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AC4BE33863B949098FAC0FDA587E6433</vt:lpwstr>
  </property>
  <property fmtid="{D5CDD505-2E9C-101B-9397-08002B2CF9AE}" pid="4" name="KSOTemplateDocerSaveRecord">
    <vt:lpwstr>eyJoZGlkIjoiOTFiOTA3ZDg3MDllMTM0NGQwNTA5NmY5Y2U0NzNlNjQiLCJ1c2VySWQiOiIxNjc1ODMzNzM2In0=</vt:lpwstr>
  </property>
</Properties>
</file>