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"/>
        <w:jc w:val="center"/>
      </w:pPr>
      <w:r>
        <w:rPr>
          <w:rFonts w:ascii="Calibri" w:cs="Calibri" w:eastAsia="Calibri" w:hAnsi="Calibri"/>
          <w:b/>
          <w:bCs/>
          <w:color w:val="666666"/>
          <w:sz w:val="20"/>
          <w:szCs w:val="20"/>
        </w:rPr>
        <w:t xml:space="preserve">ATIVIDADE AVALIATIVA A1</w:t>
      </w:r>
    </w:p>
    <w:p>
      <w:pPr>
        <w:spacing w:after="60" w:before="40"/>
        <w:jc w:val="center"/>
      </w:pPr>
      <w:r>
        <w:rPr>
          <w:rFonts w:ascii="Calibri" w:cs="Calibri" w:eastAsia="Calibri" w:hAnsi="Calibri"/>
          <w:b/>
          <w:bCs/>
          <w:color w:val="6a11cb"/>
          <w:sz w:val="32"/>
          <w:szCs w:val="32"/>
        </w:rPr>
        <w:t xml:space="preserve">Mapeamento do Ecossistema de Marketing</w:t>
      </w:r>
    </w:p>
    <w:p>
      <w:pPr>
        <w:pBdr>
          <w:bottom w:val="single" w:color="2575fc" w:sz="8" w:space="6"/>
        </w:pBdr>
        <w:spacing w:after="2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Semana 01 · Módulo 1 — Fundamentos do Marketing Digital · Documento para preenchimento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a11cb"/>
                <w:sz w:val="18"/>
                <w:szCs w:val="18"/>
              </w:rPr>
              <w:t xml:space="preserve">Curso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Tecnologia em Jogos Digitais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a11cb"/>
                <w:sz w:val="18"/>
                <w:szCs w:val="18"/>
              </w:rPr>
              <w:t xml:space="preserve">Disciplina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Marketing Digital e Monetização para Jogos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a11cb"/>
                <w:sz w:val="18"/>
                <w:szCs w:val="18"/>
              </w:rPr>
              <w:t xml:space="preserve">Professor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Isaque Katahira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a11cb"/>
                <w:sz w:val="18"/>
                <w:szCs w:val="18"/>
              </w:rPr>
              <w:t xml:space="preserve">Semestre letivo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2º Semestre/2026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a11cb"/>
                <w:sz w:val="18"/>
                <w:szCs w:val="18"/>
              </w:rPr>
              <w:t xml:space="preserve">Aluno(s)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  <w:p>
            <w:pPr>
              <w:spacing w:after="0"/>
            </w:pP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a11cb"/>
                <w:sz w:val="18"/>
                <w:szCs w:val="18"/>
              </w:rPr>
              <w:t xml:space="preserve">Data de entrega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2575fc"/>
          <w:sz w:val="16"/>
          <w:szCs w:val="16"/>
        </w:rPr>
        <w:t xml:space="preserve">EMENTA — TRECHO COBERTO NESTA ATIVIDADE</w:t>
      </w:r>
    </w:p>
    <w:p>
      <w:pPr>
        <w:pBdr>
          <w:left w:val="single" w:color="2575fc" w:sz="18" w:space="8"/>
        </w:pBdr>
        <w:shd w:fill="F2F2F7" w:val="clear"/>
        <w:spacing w:after="200"/>
        <w:jc w:val="both"/>
      </w:pPr>
      <w:r>
        <w:rPr>
          <w:rFonts w:ascii="Calibri" w:cs="Calibri" w:eastAsia="Calibri" w:hAnsi="Calibri"/>
          <w:i/>
          <w:iCs/>
          <w:color w:val="666666"/>
          <w:sz w:val="14"/>
          <w:szCs w:val="14"/>
        </w:rPr>
        <w:t xml:space="preserve">Análise de mercado nacional e internacional: principais plataformas, público, demografia. Relação de produção e consumo brasileiro de jogos. Modelos de publicidade. Papel das redes sociais em disseminação de conteúdo. Ciclo de rentabilização. Tendências de mercado de jogos digitais. Planejamento e realização de campanhas de distribuição e publicidade no contexto de jogos digitais, considerando suas especificidades de marketing e relações públicas, diversidade de plataformas e gêneros.</w:t>
      </w:r>
    </w:p>
    <w:p>
      <w:pPr>
        <w:pBdr>
          <w:bottom w:val="single" w:color="CCCCCC" w:sz="4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6a11cb"/>
          <w:sz w:val="22"/>
          <w:szCs w:val="22"/>
        </w:rPr>
        <w:t xml:space="preserve">🎯 Objetivo da Atividade</w:t>
      </w:r>
    </w:p>
    <w:p>
      <w:pPr>
        <w:spacing w:after="160"/>
        <w:jc w:val="both"/>
      </w:pPr>
      <w:r>
        <w:rPr>
          <w:rFonts w:ascii="Calibri" w:cs="Calibri" w:eastAsia="Calibri" w:hAnsi="Calibri"/>
          <w:i w:val="false"/>
          <w:iCs w:val="false"/>
          <w:sz w:val="19"/>
          <w:szCs w:val="19"/>
        </w:rPr>
        <w:t xml:space="preserve">Escolha um jogo lançado nos últimos 2 anos e mapeie toda a estratégia de marketing que você consegue identificar — do pré-lançamento ao momento atual do jogo.</w:t>
      </w:r>
    </w:p>
    <w:p>
      <w:pPr>
        <w:pBdr>
          <w:bottom w:val="single" w:color="CCCCCC" w:sz="4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6a11cb"/>
          <w:sz w:val="22"/>
          <w:szCs w:val="22"/>
        </w:rPr>
        <w:t xml:space="preserve">🕹️ Jogo Escolhido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a11cb"/>
                <w:sz w:val="18"/>
                <w:szCs w:val="18"/>
              </w:rPr>
              <w:t xml:space="preserve">Nome do jogo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a11cb"/>
                <w:sz w:val="18"/>
                <w:szCs w:val="18"/>
              </w:rPr>
              <w:t xml:space="preserve">Plataforma(s) / Estúdio / Ano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pBdr>
          <w:bottom w:val="single" w:color="CCCCCC" w:sz="4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6a11cb"/>
          <w:sz w:val="22"/>
          <w:szCs w:val="22"/>
        </w:rPr>
        <w:t xml:space="preserve">📍 Fase 1 — Pré-lançamento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Liste as ações de marketing encontradas antes do lançamento (trailers, página da loja, devlogs, redes sociais, wishlist, press kit etc.).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2100"/>
        <w:gridCol w:w="2000"/>
      </w:tblGrid>
      <w:tr>
        <w:trPr>
          <w:tblHeader/>
        </w:trP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75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Nº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75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Ação de Marketing Identificada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75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Orgânico / Pago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75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Awareness / Conversão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130"/>
              <w:left w:type="dxa" w:w="80"/>
              <w:bottom w:type="dxa" w:w="1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/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/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/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130"/>
              <w:left w:type="dxa" w:w="80"/>
              <w:bottom w:type="dxa" w:w="1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/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/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/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130"/>
              <w:left w:type="dxa" w:w="80"/>
              <w:bottom w:type="dxa" w:w="1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/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/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/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130"/>
              <w:left w:type="dxa" w:w="80"/>
              <w:bottom w:type="dxa" w:w="1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/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/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/>
        </w:tc>
      </w:tr>
    </w:tbl>
    <w:p>
      <w:pPr>
        <w:pBdr>
          <w:bottom w:val="single" w:color="CCCCCC" w:sz="4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6a11cb"/>
          <w:sz w:val="22"/>
          <w:szCs w:val="22"/>
        </w:rPr>
        <w:t xml:space="preserve">🚀 Fase 2 — Lançamento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Liste as ações do período de lançamento (review keys, cobertura de imprensa, influencers, ads, PR).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2100"/>
        <w:gridCol w:w="2000"/>
      </w:tblGrid>
      <w:tr>
        <w:trPr>
          <w:tblHeader/>
        </w:trP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75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Nº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75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Ação de Marketing Identificada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75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Orgânico / Pago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75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Awareness / Conversão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130"/>
              <w:left w:type="dxa" w:w="80"/>
              <w:bottom w:type="dxa" w:w="1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/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/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/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130"/>
              <w:left w:type="dxa" w:w="80"/>
              <w:bottom w:type="dxa" w:w="1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/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/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/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130"/>
              <w:left w:type="dxa" w:w="80"/>
              <w:bottom w:type="dxa" w:w="1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/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/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/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130"/>
              <w:left w:type="dxa" w:w="80"/>
              <w:bottom w:type="dxa" w:w="1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/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/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/>
        </w:tc>
      </w:tr>
    </w:tbl>
    <w:p>
      <w:pPr>
        <w:pBdr>
          <w:bottom w:val="single" w:color="CCCCCC" w:sz="4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6a11cb"/>
          <w:sz w:val="22"/>
          <w:szCs w:val="22"/>
        </w:rPr>
        <w:t xml:space="preserve">🔁 Fase 3 — Pós-lançamento / Live Operations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Liste updates, DLCs, eventos sazonais e a presença atual do jogo nas redes sociais.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2100"/>
        <w:gridCol w:w="2000"/>
      </w:tblGrid>
      <w:tr>
        <w:trPr>
          <w:tblHeader/>
        </w:trP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75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Nº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75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Ação de Marketing Identificada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75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Orgânico / Pago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75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Awareness / Conversão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130"/>
              <w:left w:type="dxa" w:w="80"/>
              <w:bottom w:type="dxa" w:w="1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/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/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/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130"/>
              <w:left w:type="dxa" w:w="80"/>
              <w:bottom w:type="dxa" w:w="1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/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/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/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130"/>
              <w:left w:type="dxa" w:w="80"/>
              <w:bottom w:type="dxa" w:w="1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/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/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/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130"/>
              <w:left w:type="dxa" w:w="80"/>
              <w:bottom w:type="dxa" w:w="1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/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/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30"/>
              <w:left w:type="dxa" w:w="80"/>
              <w:bottom w:type="dxa" w:w="130"/>
              <w:right w:type="dxa" w:w="80"/>
            </w:tcMar>
          </w:tcPr>
          <w:p/>
        </w:tc>
      </w:tr>
    </w:tbl>
    <w:p>
      <w:pPr>
        <w:pBdr>
          <w:bottom w:val="single" w:color="CCCCCC" w:sz="4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6a11cb"/>
          <w:sz w:val="22"/>
          <w:szCs w:val="22"/>
        </w:rPr>
        <w:t xml:space="preserve">📊 Classificação Geral e Análise Final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Estime, de forma geral, o equilíbrio entre ações orgânicas e pagas, e qual ação teve maior impacto visível nas vendas/downloads do jogo.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40"/>
              <w:bottom w:type="dxa" w:w="60"/>
              <w:right w:type="dxa" w:w="140"/>
            </w:tcMar>
          </w:tcPr>
          <w:p>
            <w:pPr>
              <w:spacing w:after="260"/>
            </w:pPr>
            <w:r>
              <w:rPr>
                <w:sz w:val="19"/>
                <w:szCs w:val="19"/>
              </w:rPr>
              <w:t xml:space="preserve"/>
            </w:r>
          </w:p>
          <w:p>
            <w:pPr>
              <w:spacing w:after="260"/>
            </w:pPr>
            <w:r>
              <w:rPr>
                <w:sz w:val="19"/>
                <w:szCs w:val="19"/>
              </w:rPr>
              <w:t xml:space="preserve"/>
            </w:r>
          </w:p>
          <w:p>
            <w:pPr>
              <w:spacing w:after="260"/>
            </w:pPr>
            <w:r>
              <w:rPr>
                <w:sz w:val="19"/>
                <w:szCs w:val="19"/>
              </w:rPr>
              <w:t xml:space="preserve"/>
            </w:r>
          </w:p>
          <w:p>
            <w:pPr>
              <w:spacing w:after="260"/>
            </w:pPr>
            <w:r>
              <w:rPr>
                <w:sz w:val="19"/>
                <w:szCs w:val="19"/>
              </w:rPr>
              <w:t xml:space="preserve"/>
            </w:r>
          </w:p>
          <w:p>
            <w:pPr>
              <w:spacing w:after="260"/>
            </w:pPr>
            <w:r>
              <w:rPr>
                <w:sz w:val="19"/>
                <w:szCs w:val="19"/>
              </w:rPr>
              <w:t xml:space="preserve"/>
            </w:r>
          </w:p>
          <w:p>
            <w:pPr>
              <w:spacing w:after="260"/>
            </w:pPr>
            <w:r>
              <w:rPr>
                <w:sz w:val="19"/>
                <w:szCs w:val="19"/>
              </w:rPr>
              <w:t xml:space="preserve"/>
            </w:r>
          </w:p>
          <w:p>
            <w:pPr>
              <w:spacing w:after="26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CCCCCC" w:sz="4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6a11cb"/>
          <w:sz w:val="22"/>
          <w:szCs w:val="22"/>
        </w:rPr>
        <w:t xml:space="preserve">✅ Rubrica de Avaliação (referência)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30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a11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Nível</w:t>
            </w:r>
          </w:p>
        </w:tc>
        <w:tc>
          <w:tcPr>
            <w:tcW w:type="dxa" w:w="7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a11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Insuficiente</w:t>
            </w:r>
          </w:p>
        </w:tc>
        <w:tc>
          <w:tcPr>
            <w:tcW w:type="dxa" w:w="7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Apenas 2 fases ou timeline sem classificação.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66666"/>
                <w:sz w:val="17"/>
                <w:szCs w:val="17"/>
              </w:rPr>
              <w:t xml:space="preserve">Básico</w:t>
            </w:r>
          </w:p>
        </w:tc>
        <w:tc>
          <w:tcPr>
            <w:tcW w:type="dxa" w:w="7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3 fases mapeadas com pelo menos 3 ações cada.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575fc"/>
                <w:sz w:val="17"/>
                <w:szCs w:val="17"/>
              </w:rPr>
              <w:t xml:space="preserve">Proficiente</w:t>
            </w:r>
          </w:p>
        </w:tc>
        <w:tc>
          <w:tcPr>
            <w:tcW w:type="dxa" w:w="7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Timeline completa das 3 fases, classificação orgânico/pago, awareness/conversão.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17"/>
                <w:szCs w:val="17"/>
              </w:rPr>
              <w:t xml:space="preserve">Excelente</w:t>
            </w:r>
          </w:p>
        </w:tc>
        <w:tc>
          <w:tcPr>
            <w:tcW w:type="dxa" w:w="7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Timeline completa + estimativa de investimento por canal + análise de qual ação teve maior impacto visível nas vendas/downloads.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850" w:bottom="10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Marketing Digital e Monetização para Jogos — FATEC Ourinhos   ·   Página </w:t>
    </w:r>
    <w:r>
      <w:rPr>
        <w:rFonts w:ascii="Calibri" w:cs="Calibri" w:eastAsia="Calibri" w:hAnsi="Calibri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4"/>
        <w:szCs w:val="14"/>
      </w:rPr>
      <w:t xml:space="preserve"> de </w:t>
    </w:r>
    <w:r>
      <w:rPr>
        <w:rFonts w:ascii="Calibri" w:cs="Calibri" w:eastAsia="Calibri" w:hAnsi="Calibri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a11cb" w:sz="6" w:space="4"/>
      </w:pBdr>
      <w:spacing w:after="0"/>
    </w:pPr>
    <w:r>
      <w:rPr>
        <w:rFonts w:ascii="Calibri" w:cs="Calibri" w:eastAsia="Calibri" w:hAnsi="Calibri"/>
        <w:b/>
        <w:bCs/>
        <w:color w:val="6a11cb"/>
        <w:sz w:val="15"/>
        <w:szCs w:val="15"/>
      </w:rPr>
      <w:t xml:space="preserve">FATEC Ourinhos – Centro Paula Souza</w:t>
    </w:r>
    <w:r>
      <w:rPr>
        <w:rFonts w:ascii="Calibri" w:cs="Calibri" w:eastAsia="Calibri" w:hAnsi="Calibri"/>
        <w:color w:val="666666"/>
        <w:sz w:val="15"/>
        <w:szCs w:val="15"/>
      </w:rPr>
      <w:t xml:space="preserve">   |   Tecnologia em Jogos Digitais   |   Marketing Digital e Monetização para Jogos   |   Prof. Isaque Katahira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2026-08-08T12:08:26.185Z</dcterms:created>
  <dcterms:modified xsi:type="dcterms:W3CDTF">2026-08-08T12:08:26.223Z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