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0"/>
      </w:pP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A2B4A"/>
          <w:sz w:val="60"/>
        </w:rPr>
        <w:t>GASTROFOLLY</w:t>
      </w:r>
    </w:p>
    <w:p>
      <w:pPr>
        <w:spacing w:before="0" w:after="280"/>
        <w:jc w:val="center"/>
      </w:pPr>
      <w:r>
        <w:rPr>
          <w:rFonts w:ascii="Arial" w:hAnsi="Arial"/>
          <w:b w:val="0"/>
          <w:i w:val="0"/>
          <w:color w:val="D2691E"/>
          <w:sz w:val="24"/>
        </w:rPr>
        <w:t>Gastronomi İçerik &amp; Sosyal Medya Şirketi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A2B4A"/>
          <w:sz w:val="34"/>
        </w:rPr>
        <w:t>ŞİRKET DEĞERLEME RAPORU</w:t>
      </w:r>
    </w:p>
    <w:p>
      <w:pPr>
        <w:spacing w:before="0" w:after="800"/>
        <w:jc w:val="center"/>
      </w:pPr>
      <w:r>
        <w:rPr>
          <w:rFonts w:ascii="Arial" w:hAnsi="Arial"/>
          <w:b w:val="0"/>
          <w:i w:val="0"/>
          <w:color w:val="5A5A5A"/>
          <w:sz w:val="22"/>
        </w:rPr>
        <w:t>(Gelir Öncesi Medya Varlığı Değerlemesi)</w:t>
      </w:r>
    </w:p>
    <w:p>
      <w:pPr>
        <w:spacing w:before="0" w:after="480"/>
        <w:jc w:val="center"/>
      </w:pPr>
      <w:r>
        <w:rPr>
          <w:rFonts w:ascii="Arial" w:hAnsi="Arial"/>
          <w:b/>
          <w:i w:val="0"/>
          <w:color w:val="1A2B4A"/>
          <w:sz w:val="22"/>
        </w:rPr>
        <w:t>Sahip: İbrahim Kayaalp</w:t>
      </w:r>
    </w:p>
    <w:p>
      <w:pPr>
        <w:spacing w:before="0" w:after="40"/>
        <w:jc w:val="center"/>
      </w:pPr>
      <w:r>
        <w:rPr>
          <w:rFonts w:ascii="Arial" w:hAnsi="Arial"/>
          <w:b w:val="0"/>
          <w:i w:val="0"/>
          <w:color w:val="222222"/>
          <w:sz w:val="20"/>
        </w:rPr>
        <w:t>Rapor Tarihi: 20.07.2026</w:t>
      </w:r>
    </w:p>
    <w:p>
      <w:pPr>
        <w:spacing w:before="0" w:after="600"/>
        <w:jc w:val="center"/>
      </w:pPr>
      <w:r>
        <w:rPr>
          <w:rFonts w:ascii="Arial" w:hAnsi="Arial"/>
          <w:b w:val="0"/>
          <w:i w:val="0"/>
          <w:color w:val="222222"/>
          <w:sz w:val="20"/>
        </w:rPr>
        <w:t>Değerleme Türü: Standalone (Bağımsız) Adil Değer</w:t>
      </w: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5A5A5A"/>
          <w:sz w:val="17"/>
        </w:rPr>
        <w:t>Gizlidir — Yalnızca yatırımcı/değerlendirme amaçlıdır</w:t>
      </w:r>
    </w:p>
    <w:p>
      <w:r>
        <w:br w:type="page"/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1. Yönetici Özeti</w:t>
      </w:r>
    </w:p>
    <w:p>
      <w:pPr>
        <w:spacing w:before="0" w:after="40"/>
      </w:pPr>
    </w:p>
    <w:p>
      <w:pPr>
        <w:spacing w:before="0" w:after="160"/>
      </w:pPr>
      <w:r>
        <w:rPr>
          <w:rFonts w:ascii="Arial" w:hAnsi="Arial"/>
          <w:b/>
          <w:color w:val="222222"/>
          <w:sz w:val="20"/>
        </w:rPr>
        <w:t xml:space="preserve">Şirket: </w:t>
      </w:r>
      <w:r>
        <w:rPr>
          <w:rFonts w:ascii="Arial" w:hAnsi="Arial"/>
          <w:b w:val="0"/>
          <w:color w:val="222222"/>
          <w:sz w:val="20"/>
        </w:rPr>
        <w:t xml:space="preserve">Gastrofolly    |    </w:t>
      </w:r>
      <w:r>
        <w:rPr>
          <w:rFonts w:ascii="Arial" w:hAnsi="Arial"/>
          <w:b/>
          <w:color w:val="222222"/>
          <w:sz w:val="20"/>
        </w:rPr>
        <w:t xml:space="preserve">Sahip: </w:t>
      </w:r>
      <w:r>
        <w:rPr>
          <w:rFonts w:ascii="Arial" w:hAnsi="Arial"/>
          <w:b w:val="0"/>
          <w:color w:val="222222"/>
          <w:sz w:val="20"/>
        </w:rPr>
        <w:t>İbrahim Kayaalp</w:t>
      </w: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Gastrofolly; Türkiye'de gastronomi alanında içerik üreten bir sosyal medya / medya şirketidir. Toplam ~220.000 takipçiye ve aylık ~5.000.000 erişime sahiptir. Rapor tarihi itibarıyla şirket henüz düzenli gelir üretmemekte (monetizasyon öncesi) ancak yapısı marka/ekip bazlı ve devredilebilir niteliktedir; değer tek bir kişinin varlığına kilitli değildir.</w:t>
      </w: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Gelir henüz oluşmadığından gelir/kâr çarpanı yöntemleri doğrudan uygulanamaz. Bu nedenle şirket, "gelir öncesi ancak devredilebilir bir kitle/dikkat varlığı" olarak; monetizasyon potansiyeli, kitle varlığı ve sahip olunan medya değeri üzerinden değerlenmiştir.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a2b4a"/>
          <w:left w:val="single" w:sz="8" w:space="0" w:color="1a2b4a"/>
          <w:bottom w:val="single" w:sz="8" w:space="0" w:color="1a2b4a"/>
          <w:right w:val="single" w:sz="8" w:space="0" w:color="1a2b4a"/>
          <w:insideH w:val="single" w:sz="8" w:space="0" w:color="1a2b4a"/>
          <w:insideV w:val="single" w:sz="8" w:space="0" w:color="1a2b4a"/>
        </w:tblBorders>
      </w:tblPr>
      <w:tblGrid>
        <w:gridCol w:w="9412"/>
      </w:tblGrid>
      <w:tr>
        <w:tc>
          <w:tcPr>
            <w:tcW w:type="dxa" w:w="9411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TAHMİNİ ADİL DEĞER ARALIĞI (Standalone)</w:t>
            </w:r>
          </w:p>
        </w:tc>
      </w:tr>
      <w:tr>
        <w:tc>
          <w:tcPr>
            <w:tcW w:type="dxa" w:w="9411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2B4A"/>
                <w:sz w:val="32"/>
              </w:rPr>
              <w:t>3 milyon TL  –  6 milyon TL</w:t>
            </w:r>
          </w:p>
        </w:tc>
      </w:tr>
      <w:tr>
        <w:tc>
          <w:tcPr>
            <w:tcW w:type="dxa" w:w="9411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Yaklaşık 65.000 USD – 130.000 USD  (1 USD = 46 TL varsayımıyla)</w:t>
            </w:r>
          </w:p>
        </w:tc>
      </w:tr>
    </w:tbl>
    <w:p>
      <w:pPr>
        <w:spacing w:before="0" w:after="80"/>
      </w:pP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Baz beklenti ~4–5 milyon TL'dir. Kitlenin güçlü organik yayılımı (erişim/takipçi oranı ~23×) ve devredilebilir yapısı değeri desteklerken; gelirin henüz gerçekleşmemiş olması ana iskonto sebebidir. Monetizasyon başladıkça değer, potansiyel tahmininden gerçek gelir çarpanına geçerek hızla yükselebilir (8–12 milyon TL bandına).</w:t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2. Şirket Profili ve Mevcut Durum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single" w:sz="4" w:space="0" w:color="d8cbb8"/>
        </w:tblBorders>
      </w:tblPr>
      <w:tblGrid>
        <w:gridCol w:w="3137"/>
        <w:gridCol w:w="3137"/>
        <w:gridCol w:w="3137"/>
      </w:tblGrid>
      <w:tr>
        <w:tc>
          <w:tcPr>
            <w:tcW w:type="dxa" w:w="2154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Faktör</w:t>
            </w:r>
          </w:p>
        </w:tc>
        <w:tc>
          <w:tcPr>
            <w:tcW w:type="dxa" w:w="3742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515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Değerlemeye Etkisi</w:t>
            </w:r>
          </w:p>
        </w:tc>
      </w:tr>
      <w:tr>
        <w:tc>
          <w:tcPr>
            <w:tcW w:type="dxa" w:w="2154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Toplam takipçi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~220.000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Kitle varlığının temeli</w:t>
            </w:r>
          </w:p>
        </w:tc>
      </w:tr>
      <w:tr>
        <w:tc>
          <w:tcPr>
            <w:tcW w:type="dxa" w:w="2154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Aylık erişim</w:t>
            </w:r>
          </w:p>
        </w:tc>
        <w:tc>
          <w:tcPr>
            <w:tcW w:type="dxa" w:w="3742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~5.000.000</w:t>
            </w:r>
          </w:p>
        </w:tc>
        <w:tc>
          <w:tcPr>
            <w:tcW w:type="dxa" w:w="3515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Olumlu — güçlü organik yayılım</w:t>
            </w:r>
          </w:p>
        </w:tc>
      </w:tr>
      <w:tr>
        <w:tc>
          <w:tcPr>
            <w:tcW w:type="dxa" w:w="2154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Erişim / takipçi oranı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~23× (viral içerik)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Olumlu — reklam değeri yüksek</w:t>
            </w:r>
          </w:p>
        </w:tc>
      </w:tr>
      <w:tr>
        <w:tc>
          <w:tcPr>
            <w:tcW w:type="dxa" w:w="2154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Niş</w:t>
            </w:r>
          </w:p>
        </w:tc>
        <w:tc>
          <w:tcPr>
            <w:tcW w:type="dxa" w:w="3742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Gastronomi (TR)</w:t>
            </w:r>
          </w:p>
        </w:tc>
        <w:tc>
          <w:tcPr>
            <w:tcW w:type="dxa" w:w="3515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Olumlu — marka dostu, premium niş</w:t>
            </w:r>
          </w:p>
        </w:tc>
      </w:tr>
      <w:tr>
        <w:tc>
          <w:tcPr>
            <w:tcW w:type="dxa" w:w="2154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Gelir / Monetizasyon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Yok / çok düşük (gelir öncesi)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Olumsuz — ana iskonto sebebi</w:t>
            </w:r>
          </w:p>
        </w:tc>
      </w:tr>
      <w:tr>
        <w:tc>
          <w:tcPr>
            <w:tcW w:type="dxa" w:w="2154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Devredilebilirlik</w:t>
            </w:r>
          </w:p>
        </w:tc>
        <w:tc>
          <w:tcPr>
            <w:tcW w:type="dxa" w:w="3742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Marka/ekip bazlı, kişiye kilitli değil</w:t>
            </w:r>
          </w:p>
        </w:tc>
        <w:tc>
          <w:tcPr>
            <w:tcW w:type="dxa" w:w="3515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Olumlu — düşük anahtar kişi riski</w:t>
            </w:r>
          </w:p>
        </w:tc>
      </w:tr>
    </w:tbl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3. Temel Varsayımlar ve Gelir Potansiyeli</w:t>
      </w:r>
    </w:p>
    <w:p>
      <w:pPr>
        <w:spacing w:before="0" w:after="40"/>
      </w:pP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Şirket gelir öncesi olduğundan değerleme, kitlenin monetize edilebilecek potansiyel geliri üzerinden kurulur. Türkiye'de 200.000+ takipçili gastronomi hesaplarında sponsorlu içerik başına ~20.000–45.000 TL bandı referans alınmıştır.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single" w:sz="4" w:space="0" w:color="d8cbb8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3515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Aylık ücretli içerik × birim</w:t>
            </w:r>
          </w:p>
        </w:tc>
        <w:tc>
          <w:tcPr>
            <w:tcW w:type="dxa" w:w="1928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Aylık gelir</w:t>
            </w:r>
          </w:p>
        </w:tc>
        <w:tc>
          <w:tcPr>
            <w:tcW w:type="dxa" w:w="2041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Yıllık gelir potansiyeli</w:t>
            </w:r>
          </w:p>
        </w:tc>
      </w:tr>
      <w:tr>
        <w:tc>
          <w:tcPr>
            <w:tcW w:type="dxa" w:w="192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Muhafazakâr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4 × 25.000 TL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100.000 TL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~1,2 mn TL</w:t>
            </w:r>
          </w:p>
        </w:tc>
      </w:tr>
      <w:tr>
        <w:tc>
          <w:tcPr>
            <w:tcW w:type="dxa" w:w="192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Baz</w:t>
            </w:r>
          </w:p>
        </w:tc>
        <w:tc>
          <w:tcPr>
            <w:tcW w:type="dxa" w:w="3515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6 × 33.000 TL</w:t>
            </w:r>
          </w:p>
        </w:tc>
        <w:tc>
          <w:tcPr>
            <w:tcW w:type="dxa" w:w="192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~200.000 TL</w:t>
            </w:r>
          </w:p>
        </w:tc>
        <w:tc>
          <w:tcPr>
            <w:tcW w:type="dxa" w:w="2041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22222"/>
                <w:sz w:val="18"/>
              </w:rPr>
              <w:t>~2,4 mn TL</w:t>
            </w:r>
          </w:p>
        </w:tc>
      </w:tr>
      <w:tr>
        <w:tc>
          <w:tcPr>
            <w:tcW w:type="dxa" w:w="192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İyimser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10 × 40.000 TL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400.000 TL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~4,8 mn TL</w:t>
            </w:r>
          </w:p>
        </w:tc>
      </w:tr>
    </w:tbl>
    <w:p>
      <w:pPr>
        <w:spacing w:before="80" w:after="120"/>
      </w:pPr>
      <w:r>
        <w:rPr>
          <w:rFonts w:ascii="Arial" w:hAnsi="Arial"/>
          <w:b w:val="0"/>
          <w:i/>
          <w:color w:val="5A5A5A"/>
          <w:sz w:val="17"/>
        </w:rPr>
        <w:t>Kur varsayımı: 1 USD = 46 TL (gösterge). Reklam geliri paylaşımı, prodüksiyon hizmeti ve affiliate gibi ek gelir kalemleri bu potansiyeli artırabilir.</w:t>
      </w:r>
    </w:p>
    <w:p>
      <w:r>
        <w:br w:type="page"/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4. Değerleme Yöntemleri</w:t>
      </w:r>
    </w:p>
    <w:p>
      <w:pPr>
        <w:spacing w:before="0" w:after="40"/>
      </w:pPr>
    </w:p>
    <w:p>
      <w:pPr>
        <w:spacing w:before="200" w:after="60"/>
      </w:pPr>
      <w:r>
        <w:rPr>
          <w:rFonts w:ascii="Arial" w:hAnsi="Arial"/>
          <w:b/>
          <w:i w:val="0"/>
          <w:color w:val="D2691E"/>
          <w:sz w:val="23"/>
        </w:rPr>
        <w:t>4.1. İskontolu Potansiyel Gelir Yöntemi (Birincil)</w:t>
      </w: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Kitle henüz gelir üretmiyor ancak üretme kapasitesi var. Gelir öncesi medya varlıkları, potansiyel yıllık gelirin ~0,5–1,5 katı ile değerlenir (gerçekleşmemiş olduğu için iskontolu). Devredilebilir/ekip bazlı yapı çarpanı üst banda taşır (~1,0×).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single" w:sz="4" w:space="0" w:color="d8cbb8"/>
        </w:tblBorders>
      </w:tblPr>
      <w:tblGrid>
        <w:gridCol w:w="4706"/>
        <w:gridCol w:w="4706"/>
      </w:tblGrid>
      <w:tr>
        <w:tc>
          <w:tcPr>
            <w:tcW w:type="dxa" w:w="6236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Girdi</w:t>
            </w:r>
          </w:p>
        </w:tc>
        <w:tc>
          <w:tcPr>
            <w:tcW w:type="dxa" w:w="3175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6236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Baz yıllık gelir potansiyeli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</w:rPr>
              <w:t>~2,4 mn TL</w:t>
            </w:r>
          </w:p>
        </w:tc>
      </w:tr>
      <w:tr>
        <w:tc>
          <w:tcPr>
            <w:tcW w:type="dxa" w:w="6236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Uygulanan çarpan (devredilebilir)</w:t>
            </w:r>
          </w:p>
        </w:tc>
        <w:tc>
          <w:tcPr>
            <w:tcW w:type="dxa" w:w="3175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 w:val="0"/>
                <w:color w:val="222222"/>
                <w:sz w:val="18"/>
              </w:rPr>
              <w:t>1,0×</w:t>
            </w:r>
          </w:p>
        </w:tc>
      </w:tr>
      <w:tr>
        <w:tc>
          <w:tcPr>
            <w:tcW w:type="dxa" w:w="6236"/>
            <w:shd w:val="clear" w:color="auto" w:fill="f0e2c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Sonuç (baz)</w:t>
            </w:r>
          </w:p>
        </w:tc>
        <w:tc>
          <w:tcPr>
            <w:tcW w:type="dxa" w:w="3175"/>
            <w:shd w:val="clear" w:color="auto" w:fill="f0e2c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color w:val="222222"/>
                <w:sz w:val="18"/>
              </w:rPr>
              <w:t>~2,4 mn TL</w:t>
            </w:r>
          </w:p>
        </w:tc>
      </w:tr>
      <w:tr>
        <w:tc>
          <w:tcPr>
            <w:tcW w:type="dxa" w:w="6236"/>
            <w:shd w:val="clear" w:color="auto" w:fill="f0e2c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Aralık (muhafazakâr – iyimser)</w:t>
            </w:r>
          </w:p>
        </w:tc>
        <w:tc>
          <w:tcPr>
            <w:tcW w:type="dxa" w:w="3175"/>
            <w:shd w:val="clear" w:color="auto" w:fill="f0e2c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color w:val="222222"/>
                <w:sz w:val="18"/>
              </w:rPr>
              <w:t>~1,2 – 3,6 mn TL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i w:val="0"/>
          <w:color w:val="D2691E"/>
          <w:sz w:val="23"/>
        </w:rPr>
        <w:t>4.2. Kitle Varlığı Benchmark (Kontrol)</w:t>
      </w: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Nişli, etkileşimli ve devredilebilir bir kitle için gelir öncesi takipçi değeri ~$0,4–0,8 aralığında kabul edilir.</w:t>
      </w:r>
    </w:p>
    <w:p>
      <w:pPr>
        <w:spacing w:before="40" w:after="160"/>
      </w:pPr>
      <w:r>
        <w:rPr>
          <w:rFonts w:ascii="Arial" w:hAnsi="Arial"/>
          <w:b w:val="0"/>
          <w:color w:val="222222"/>
          <w:sz w:val="20"/>
        </w:rPr>
        <w:t xml:space="preserve">220.000 takipçi × $0,6 ≈ </w:t>
      </w:r>
      <w:r>
        <w:rPr>
          <w:rFonts w:ascii="Arial" w:hAnsi="Arial"/>
          <w:b/>
          <w:color w:val="1A2B4A"/>
          <w:sz w:val="20"/>
        </w:rPr>
        <w:t>$130.000 ≈ ~6 mn TL</w:t>
      </w:r>
      <w:r>
        <w:rPr>
          <w:rFonts w:ascii="Arial" w:hAnsi="Arial"/>
          <w:b w:val="0"/>
          <w:color w:val="5A5A5A"/>
          <w:sz w:val="20"/>
        </w:rPr>
        <w:t xml:space="preserve">  (üst sınır kontrolü)</w:t>
      </w:r>
    </w:p>
    <w:p>
      <w:pPr>
        <w:spacing w:before="200" w:after="60"/>
      </w:pPr>
      <w:r>
        <w:rPr>
          <w:rFonts w:ascii="Arial" w:hAnsi="Arial"/>
          <w:b/>
          <w:i w:val="0"/>
          <w:color w:val="D2691E"/>
          <w:sz w:val="23"/>
        </w:rPr>
        <w:t>4.3. Sahip Olunan Medya Değeri (Kontrol)</w:t>
      </w: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Aylık 5.000.000 erişim × 12 = yıllık 60.000.000 gösterim. Türkiye nişli owned-media CPM ~$2–3 → yıllık ~$120.000–180.000 medya çıktısı. Bir alıcı bu yıllık medya değerinin ~0,5–1 katını varlık için öder.</w:t>
      </w:r>
    </w:p>
    <w:p>
      <w:pPr>
        <w:spacing w:before="40" w:after="160"/>
      </w:pPr>
      <w:r>
        <w:rPr>
          <w:rFonts w:ascii="Arial" w:hAnsi="Arial"/>
          <w:b w:val="0"/>
          <w:color w:val="222222"/>
          <w:sz w:val="20"/>
        </w:rPr>
        <w:t xml:space="preserve">Varlık değeri ≈ </w:t>
      </w:r>
      <w:r>
        <w:rPr>
          <w:rFonts w:ascii="Arial" w:hAnsi="Arial"/>
          <w:b/>
          <w:color w:val="1A2B4A"/>
          <w:sz w:val="20"/>
        </w:rPr>
        <w:t>~3 – 8 mn TL</w:t>
      </w:r>
      <w:r>
        <w:rPr>
          <w:rFonts w:ascii="Arial" w:hAnsi="Arial"/>
          <w:b w:val="0"/>
          <w:color w:val="5A5A5A"/>
          <w:sz w:val="20"/>
        </w:rPr>
        <w:t xml:space="preserve">  (yıllık medya değerinin 0,5–1 katı)</w:t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5. Sentez ve Sonuç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single" w:sz="4" w:space="0" w:color="d8cbb8"/>
        </w:tblBorders>
      </w:tblPr>
      <w:tblGrid>
        <w:gridCol w:w="4706"/>
        <w:gridCol w:w="4706"/>
      </w:tblGrid>
      <w:tr>
        <w:tc>
          <w:tcPr>
            <w:tcW w:type="dxa" w:w="5443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3969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Sonuç</w:t>
            </w:r>
          </w:p>
        </w:tc>
      </w:tr>
      <w:tr>
        <w:tc>
          <w:tcPr>
            <w:tcW w:type="dxa" w:w="544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İskontolu potansiyel gelir (baz)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~2,4 mn TL</w:t>
            </w:r>
          </w:p>
        </w:tc>
      </w:tr>
      <w:tr>
        <w:tc>
          <w:tcPr>
            <w:tcW w:type="dxa" w:w="544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Kitle varlığı benchmark</w:t>
            </w:r>
          </w:p>
        </w:tc>
        <w:tc>
          <w:tcPr>
            <w:tcW w:type="dxa" w:w="3969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~6 mn TL (üst kontrol)</w:t>
            </w:r>
          </w:p>
        </w:tc>
      </w:tr>
      <w:tr>
        <w:tc>
          <w:tcPr>
            <w:tcW w:type="dxa" w:w="544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Sahip olunan medya değeri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~3 – 8 mn TL</w:t>
            </w:r>
          </w:p>
        </w:tc>
      </w:tr>
      <w:tr>
        <w:tc>
          <w:tcPr>
            <w:tcW w:type="dxa" w:w="544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d2691e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HARMANLANMIŞ ADİL DEĞER (Standalone)</w:t>
            </w:r>
          </w:p>
        </w:tc>
        <w:tc>
          <w:tcPr>
            <w:tcW w:type="dxa" w:w="3969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d2691e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 – 6 milyon TL</w:t>
            </w:r>
          </w:p>
        </w:tc>
      </w:tr>
    </w:tbl>
    <w:p>
      <w:pPr>
        <w:spacing w:before="0" w:after="80"/>
      </w:pPr>
    </w:p>
    <w:p>
      <w:pPr>
        <w:spacing w:before="0" w:after="120" w:line="300" w:lineRule="exact"/>
        <w:jc w:val="both"/>
      </w:pPr>
      <w:r>
        <w:rPr>
          <w:rFonts w:ascii="Arial" w:hAnsi="Arial"/>
          <w:b/>
          <w:color w:val="222222"/>
          <w:sz w:val="20"/>
        </w:rPr>
        <w:t xml:space="preserve">Sonuç: </w:t>
      </w:r>
      <w:r>
        <w:rPr>
          <w:rFonts w:ascii="Arial" w:hAnsi="Arial"/>
          <w:b w:val="0"/>
          <w:color w:val="222222"/>
          <w:sz w:val="20"/>
        </w:rPr>
        <w:t xml:space="preserve">Gastrofolly'nin rapor tarihi itibarıyla bağımsız (standalone) adil değeri </w:t>
      </w:r>
      <w:r>
        <w:rPr>
          <w:rFonts w:ascii="Arial" w:hAnsi="Arial"/>
          <w:b/>
          <w:color w:val="222222"/>
          <w:sz w:val="20"/>
        </w:rPr>
        <w:t>yaklaşık 3 – 6 milyon TL (≈ $65.000 – $130.000)</w:t>
      </w:r>
      <w:r>
        <w:rPr>
          <w:rFonts w:ascii="Arial" w:hAnsi="Arial"/>
          <w:b w:val="0"/>
          <w:color w:val="222222"/>
          <w:sz w:val="20"/>
        </w:rPr>
        <w:t xml:space="preserve"> aralığındadır; baz beklenti ~4–5 milyon TL'dir. Değer, gelir öncesi olduğu için "potansiyel" üzerinden hesaplanmıştır. İlk 1–2 milyon TL gerçek gelir kaydedildiğinde değerleme tahminden kanıta geçer ve çarpan 2–3×'e yükselerek değeri belirgin biçimde artırır.</w:t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6. Değer Sürücüleri ve Riskler</w:t>
      </w:r>
    </w:p>
    <w:p>
      <w:pPr>
        <w:spacing w:before="0" w:after="40"/>
      </w:pPr>
    </w:p>
    <w:p>
      <w:pPr>
        <w:spacing w:before="200" w:after="60"/>
      </w:pPr>
      <w:r>
        <w:rPr>
          <w:rFonts w:ascii="Arial" w:hAnsi="Arial"/>
          <w:b/>
          <w:i w:val="0"/>
          <w:color w:val="D2691E"/>
          <w:sz w:val="23"/>
        </w:rPr>
        <w:t>Değeri Yukarı Taşıyacak Unsurlar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Güçlü organik erişim: </w:t>
      </w:r>
      <w:r>
        <w:rPr>
          <w:rFonts w:ascii="Arial" w:hAnsi="Arial"/>
          <w:b w:val="0"/>
          <w:color w:val="222222"/>
          <w:sz w:val="20"/>
        </w:rPr>
        <w:t>~23× erişim/takipçi oranı; markalar için geniş ve ucuz erişim demek.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Devredilebilir yapı: </w:t>
      </w:r>
      <w:r>
        <w:rPr>
          <w:rFonts w:ascii="Arial" w:hAnsi="Arial"/>
          <w:b w:val="0"/>
          <w:color w:val="222222"/>
          <w:sz w:val="20"/>
        </w:rPr>
        <w:t>Marka/ekip bazlı olması anahtar kişi iskontosunu düşürür, satılabilirliği artırır.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Premium niş: </w:t>
      </w:r>
      <w:r>
        <w:rPr>
          <w:rFonts w:ascii="Arial" w:hAnsi="Arial"/>
          <w:b w:val="0"/>
          <w:color w:val="222222"/>
          <w:sz w:val="20"/>
        </w:rPr>
        <w:t>Gastronomi; restoran, gıda ve mutfak markalarının yoğun reklam verdiği marka-dostu bir alan.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Gelir kaydı: </w:t>
      </w:r>
      <w:r>
        <w:rPr>
          <w:rFonts w:ascii="Arial" w:hAnsi="Arial"/>
          <w:b w:val="0"/>
          <w:color w:val="222222"/>
          <w:sz w:val="20"/>
        </w:rPr>
        <w:t>İlk gerçek sponsorluk gelirleri, değerlemeyi potansiyelden kanıta taşıyarak çarpanı yükseltir.</w:t>
      </w:r>
    </w:p>
    <w:p>
      <w:pPr>
        <w:spacing w:before="200" w:after="60"/>
      </w:pPr>
      <w:r>
        <w:rPr>
          <w:rFonts w:ascii="Arial" w:hAnsi="Arial"/>
          <w:b/>
          <w:i w:val="0"/>
          <w:color w:val="D2691E"/>
          <w:sz w:val="23"/>
        </w:rPr>
        <w:t>Başlıca Riskler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Monetizasyon kanıtı yok: </w:t>
      </w:r>
      <w:r>
        <w:rPr>
          <w:rFonts w:ascii="Arial" w:hAnsi="Arial"/>
          <w:b w:val="0"/>
          <w:color w:val="222222"/>
          <w:sz w:val="20"/>
        </w:rPr>
        <w:t>Gelir henüz gerçekleşmediğinden değer "potansiyel" üzerinden ve iskontolu hesaplanır.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Platform bağımlılığı: </w:t>
      </w:r>
      <w:r>
        <w:rPr>
          <w:rFonts w:ascii="Arial" w:hAnsi="Arial"/>
          <w:b w:val="0"/>
          <w:color w:val="222222"/>
          <w:sz w:val="20"/>
        </w:rPr>
        <w:t>Algoritma/erişim değişimleri organik erişimi etkileyebilir.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Tek gelir kanalı riski: </w:t>
      </w:r>
      <w:r>
        <w:rPr>
          <w:rFonts w:ascii="Arial" w:hAnsi="Arial"/>
          <w:b w:val="0"/>
          <w:color w:val="222222"/>
          <w:sz w:val="20"/>
        </w:rPr>
        <w:t>Gelir yalnız sponsorluğa dayanırsa kırılganlık artar; çeşitlendirme değeri korur.</w:t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7. Stratejik Notlar</w:t>
      </w:r>
    </w:p>
    <w:p>
      <w:pPr>
        <w:spacing w:before="0" w:after="40"/>
      </w:pP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Satmak yerine kaldıraç: </w:t>
      </w:r>
      <w:r>
        <w:rPr>
          <w:rFonts w:ascii="Arial" w:hAnsi="Arial"/>
          <w:b w:val="0"/>
          <w:color w:val="222222"/>
          <w:sz w:val="20"/>
        </w:rPr>
        <w:t>İbrahim Kayaalp aynı zamanda Culinora'nın kurucu ortağıdır. Bu kitleyi Culinora'nın sıfır maliyetli müşteri edinme kanalı olarak kullanmanın değeri, Gastrofolly'yi bağımsız satmanın değerinden yüksek olabilir (düşük CAC = Culinora değerlemesini yukarı çeker).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Çift sayım (double-count) uyarısı: </w:t>
      </w:r>
      <w:r>
        <w:rPr>
          <w:rFonts w:ascii="Arial" w:hAnsi="Arial"/>
          <w:b w:val="0"/>
          <w:color w:val="222222"/>
          <w:sz w:val="20"/>
        </w:rPr>
        <w:t>Culinora değerleme raporunda dağıtım avantajı olarak zaten bir gastronomi kitlesi sayılmıştır. Gastrofolly'nin kitlesi bununla örtüşüyorsa, iki şirketin değeri yatırımcıya TOPLANARAK sunulmamalıdır; aynı varlık iki kez sayılmış olur. Doğru sunum, Culinora'nın dağıtım gücünün grup içi Gastrofolly medya varlığından geldiği tek bir hikâyedir.</w:t>
      </w:r>
    </w:p>
    <w:p>
      <w:pPr>
        <w:spacing w:after="80" w:line="280" w:lineRule="exact"/>
        <w:ind w:left="200"/>
      </w:pPr>
      <w:r>
        <w:rPr>
          <w:rFonts w:ascii="Arial" w:hAnsi="Arial"/>
          <w:b/>
          <w:color w:val="D2691E"/>
          <w:sz w:val="20"/>
        </w:rPr>
        <w:t xml:space="preserve">•  </w:t>
      </w:r>
      <w:r>
        <w:rPr>
          <w:rFonts w:ascii="Arial" w:hAnsi="Arial"/>
          <w:b/>
          <w:color w:val="222222"/>
          <w:sz w:val="20"/>
        </w:rPr>
        <w:t xml:space="preserve">Grup yapısı önerisi: </w:t>
      </w:r>
      <w:r>
        <w:rPr>
          <w:rFonts w:ascii="Arial" w:hAnsi="Arial"/>
          <w:b w:val="0"/>
          <w:color w:val="222222"/>
          <w:sz w:val="20"/>
        </w:rPr>
        <w:t>İki şirket "Culinora Grubu" çatısı altında konumlandırılıp, Gastrofolly medya kolu, Culinora ise ürün/gelir kolu olarak sunulabilir.</w:t>
      </w:r>
    </w:p>
    <w:p>
      <w:r>
        <w:br w:type="page"/>
      </w:r>
    </w:p>
    <w:p>
      <w:pPr>
        <w:spacing w:before="280" w:after="40"/>
        <w:pBdr>
          <w:bottom w:val="single" w:sz="12" w:space="4" w:color="d2691e"/>
        </w:pBdr>
      </w:pPr>
      <w:r>
        <w:rPr>
          <w:rFonts w:ascii="Arial" w:hAnsi="Arial"/>
          <w:b/>
          <w:i w:val="0"/>
          <w:color w:val="1A2B4A"/>
          <w:sz w:val="30"/>
        </w:rPr>
        <w:t>8. Terimler Sözlüğü</w:t>
      </w:r>
    </w:p>
    <w:p>
      <w:pPr>
        <w:spacing w:before="0" w:after="40"/>
      </w:pPr>
    </w:p>
    <w:p>
      <w:pPr>
        <w:spacing w:before="0" w:after="120" w:line="300" w:lineRule="exact"/>
        <w:jc w:val="both"/>
      </w:pPr>
      <w:r>
        <w:rPr>
          <w:rFonts w:ascii="Arial" w:hAnsi="Arial"/>
          <w:b w:val="0"/>
          <w:i w:val="0"/>
          <w:color w:val="222222"/>
          <w:sz w:val="20"/>
        </w:rPr>
        <w:t>Raporda geçen medya ve değerleme terimlerinin kısa açıklamaları: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single" w:sz="4" w:space="0" w:color="d8cbb8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Terim</w:t>
            </w:r>
          </w:p>
        </w:tc>
        <w:tc>
          <w:tcPr>
            <w:tcW w:type="dxa" w:w="6803"/>
            <w:shd w:val="clear" w:color="auto" w:fill="1a2b4a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Erişim (Reach)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İçeriği gören benzersiz kişi sayısı. Gastrofolly'de aylık ~5 milyon.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Gösterim (Impression)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İçeriğin toplam görüntülenme sayısı (aynı kişi birden çok kez sayılabilir).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Etkileşim (Engagement)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Beğeni, yorum, paylaşım, kaydetme gibi kullanıcı aksiyonları.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Erişim/takipçi oranı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Aylık erişimin takipçiye oranı; içeriğin organik/viral yayılım gücünü gösterir.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Monetizasyon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Kitleyi gelire dönüştürme; sponsorluk, reklam, ürün satışı vb.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Sponsorlu içerik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Bir markanın ücret karşılığı ürününü tanıttığı gönderi/reel.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Marka anlaşması (Brand deal)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Marka ile içerik üreticisi arasındaki ücretli iş birliği.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Affiliate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Yönlendirilen satıştan komisyon alınan gelir modeli.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Owned media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Şirketin kendi sahip olduğu yayın kanalı (kendi hesapları); reklam alanı gibi değerlenir.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CPM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Cost Per Mille — 1.000 gösterim başına reklam maliyeti; medya değeri hesabında kullanılır.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Creator ekonomisi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İçerik üreticilerinin kitlelerinden gelir elde ettiği ekonomik alan.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Standalone değer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Şirketin bağımsız, tek başına (grup sinerjisi hariç) değeri.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Gelir çarpanı (Multiple)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Şirket değerinin gelire oranı; medya işlerinde tipik 1,5–3×.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SDE / Kâr çarpanı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Seller's Discretionary Earnings — sahibin eline geçen kâr; küçük işlerde 2–4× ile değerlenir.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Anahtar kişi riski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Değerin tek bir kişiye bağlı olması; devredilebilirlik arttıkça bu risk azalır.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Devredilebilirlik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İş/kitlenin sahibi olmadan da sürdürülebilme derecesi; satılabilirliği belirler.</w:t>
            </w:r>
          </w:p>
        </w:tc>
      </w:tr>
      <w:tr>
        <w:tc>
          <w:tcPr>
            <w:tcW w:type="dxa" w:w="2608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CAC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Customer Acquisition Cost — müşteri edinme maliyeti; güçlü kitle bunu düşürür.</w:t>
            </w:r>
          </w:p>
        </w:tc>
      </w:tr>
      <w:tr>
        <w:tc>
          <w:tcPr>
            <w:tcW w:type="dxa" w:w="2608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1A2B4A"/>
                <w:sz w:val="18"/>
              </w:rPr>
              <w:t>Double-count (Çift sayım)</w:t>
            </w:r>
          </w:p>
        </w:tc>
        <w:tc>
          <w:tcPr>
            <w:tcW w:type="dxa" w:w="6803"/>
            <w:shd w:val="clear" w:color="auto" w:fill="faf1e6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222222"/>
                <w:sz w:val="18"/>
              </w:rPr>
              <w:t>Aynı varlığın iki farklı değerlemede mükerrer sayılması hatası.</w:t>
            </w:r>
          </w:p>
        </w:tc>
      </w:tr>
    </w:tbl>
    <w:p>
      <w:pPr>
        <w:spacing w:before="160" w:after="40"/>
      </w:pPr>
    </w:p>
    <w:p>
      <w:pPr>
        <w:spacing w:before="0" w:after="40"/>
        <w:pBdr>
          <w:top w:val="single" w:sz="6" w:space="4" w:color="d8cbb8"/>
        </w:pBdr>
      </w:pPr>
      <w:r>
        <w:rPr>
          <w:rFonts w:ascii="Arial" w:hAnsi="Arial"/>
          <w:b/>
          <w:i w:val="0"/>
          <w:color w:val="5A5A5A"/>
          <w:sz w:val="18"/>
        </w:rPr>
        <w:t>Yasal Uyarı</w:t>
      </w:r>
    </w:p>
    <w:p>
      <w:pPr>
        <w:spacing w:before="0" w:after="120" w:line="240" w:lineRule="exact"/>
        <w:jc w:val="both"/>
      </w:pPr>
      <w:r>
        <w:rPr>
          <w:rFonts w:ascii="Arial" w:hAnsi="Arial"/>
          <w:b w:val="0"/>
          <w:i w:val="0"/>
          <w:color w:val="5A5A5A"/>
          <w:sz w:val="17"/>
        </w:rPr>
        <w:t>Bu rapor yalnızca bilgilendirme ve tartışma amaçlıdır ve yatırım tavsiyesi niteliği taşımaz. Şirket gelir öncesi olduğundan değerler, belirtilen gelir potansiyeli varsayımlarına dayanan tahminlerdir ve birer müzakere çıpası üretir; kesin değer değildir. Gerçek değer, doğrulanmış gelir/kâr verileri, yatırımcı müzakereleri ve güncel piyasa koşullarıyla şekillenir. Rakamlar; sponsorluk fiyatı, içerik hacmi, kur ve monetizasyon hızı varsayımlarına duyarlıdır.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color w:val="5A5A5A"/>
        <w:sz w:val="15"/>
      </w:rPr>
      <w:t>Gastrofolly — Şirket Değerleme Raporu (Gizli)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