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AKBNK.IS - Kapsamlı Tahmin Analizi</w:t>
      </w:r>
    </w:p>
    <w:p>
      <w:r>
        <w:t>📅 Analiz Tarihi: 26.10.2025 10:06</w:t>
      </w:r>
    </w:p>
    <w:p>
      <w:r>
        <w:t>🏢 Hisse Senedi: AKBNK.IS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AKBNK şu anda 60.20 TL seviyesinde. Son 3 günde %2.5 yükseliş yaşadı, ancak model bu yükselişin sona ereceğini öngörüyor.</w:t>
        <w:br/>
        <w:br/>
        <w:t>Model, 24 gün içinde %12.9 düşüşle 52.43 TL seviyesine ineceğini öngörüyor. Volatilite yüksek seviyede (⚠️), güven oranı yüksek (🎯 %72.1).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%72.1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₺60.20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%44.0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1:1.61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56.32</w:t>
            </w:r>
          </w:p>
        </w:tc>
        <w:tc>
          <w:tcPr>
            <w:tcW w:type="dxa" w:w="1728"/>
          </w:tcPr>
          <w:p>
            <w:r>
              <w:t>-6.5%</w:t>
            </w:r>
          </w:p>
        </w:tc>
        <w:tc>
          <w:tcPr>
            <w:tcW w:type="dxa" w:w="1728"/>
          </w:tcPr>
          <w:p>
            <w:r>
              <w:t>9-42 gün</w:t>
            </w:r>
          </w:p>
        </w:tc>
        <w:tc>
          <w:tcPr>
            <w:tcW w:type="dxa" w:w="1728"/>
          </w:tcPr>
          <w:p>
            <w:r>
              <w:t>09.11.2025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52.43</w:t>
            </w:r>
          </w:p>
        </w:tc>
        <w:tc>
          <w:tcPr>
            <w:tcW w:type="dxa" w:w="1728"/>
          </w:tcPr>
          <w:p>
            <w:r>
              <w:t>-12.9%</w:t>
            </w:r>
          </w:p>
        </w:tc>
        <w:tc>
          <w:tcPr>
            <w:tcW w:type="dxa" w:w="1728"/>
          </w:tcPr>
          <w:p>
            <w:r>
              <w:t>17-73 gün</w:t>
            </w:r>
          </w:p>
        </w:tc>
        <w:tc>
          <w:tcPr>
            <w:tcW w:type="dxa" w:w="1728"/>
          </w:tcPr>
          <w:p>
            <w:r>
              <w:t>19.11.2025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48.55</w:t>
            </w:r>
          </w:p>
        </w:tc>
        <w:tc>
          <w:tcPr>
            <w:tcW w:type="dxa" w:w="1728"/>
          </w:tcPr>
          <w:p>
            <w:r>
              <w:t>-19.4%</w:t>
            </w:r>
          </w:p>
        </w:tc>
        <w:tc>
          <w:tcPr>
            <w:tcW w:type="dxa" w:w="1728"/>
          </w:tcPr>
          <w:p>
            <w:r>
              <w:t>32-139 gün</w:t>
            </w:r>
          </w:p>
        </w:tc>
        <w:tc>
          <w:tcPr>
            <w:tcW w:type="dxa" w:w="1728"/>
          </w:tcPr>
          <w:p>
            <w:r>
              <w:t>11.12.2025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65.02</w:t>
            </w:r>
          </w:p>
        </w:tc>
        <w:tc>
          <w:tcPr>
            <w:tcW w:type="dxa" w:w="1728"/>
          </w:tcPr>
          <w:p>
            <w:r>
              <w:t>+8.0%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53.05</w:t>
            </w:r>
          </w:p>
        </w:tc>
        <w:tc>
          <w:tcPr>
            <w:tcW w:type="dxa" w:w="2880"/>
          </w:tcPr>
          <w:p>
            <w:r>
              <w:t>-11.9%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60.20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64.75</w:t>
            </w:r>
          </w:p>
        </w:tc>
        <w:tc>
          <w:tcPr>
            <w:tcW w:type="dxa" w:w="2880"/>
          </w:tcPr>
          <w:p>
            <w:r>
              <w:t>+7.6%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Increasing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Uzak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Mixed Signals</w:t>
            </w:r>
          </w:p>
        </w:tc>
      </w:tr>
    </w:tbl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Gradient Boosting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Bilinmiyor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452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Yüksek (%44.0)</w:t>
      </w:r>
    </w:p>
    <w:p>
      <w:r>
        <w:t>📈 Orta-yüksek volatilite, dinamik fiyat hareketleri beklenebilir.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26.10.2025 10:06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