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📈 AKBNK.IS - Kapsamlı Tahmin Analizi</w:t>
      </w:r>
    </w:p>
    <w:p>
      <w:r>
        <w:t>📅 Analiz Tarihi: 26.10.2025 15:20</w:t>
      </w:r>
    </w:p>
    <w:p>
      <w:r>
        <w:t>🏢 Hisse Senedi: AKBNK.IS</w:t>
      </w:r>
    </w:p>
    <w:p/>
    <w:p>
      <w:pPr>
        <w:pStyle w:val="Heading1"/>
        <w:jc w:val="center"/>
      </w:pPr>
      <w:r>
        <w:t>🎯 YATIRIM KARARI: 🔴 SAT</w:t>
      </w:r>
    </w:p>
    <w:p>
      <w:pPr>
        <w:pStyle w:val="Heading2"/>
      </w:pPr>
      <w:r>
        <w:t>📖 Akıllı Analiz Özeti</w:t>
      </w:r>
    </w:p>
    <w:p>
      <w:r>
        <w:t>AKBNK şu anda 60.20 TL seviyesinde. Son 3 günde %2.5 yükseliş yaşadı, ancak model bu yükselişin sona ereceğini öngörüyor.</w:t>
        <w:br/>
        <w:br/>
        <w:t>Model, 25 gün içinde %12.9 düşüşle 52.43 TL seviyesine ineceğini öngörüyor. Volatilite yüksek seviyede (⚠️), güven oranı yüksek (🎯 %72.1).</w:t>
      </w:r>
    </w:p>
    <w:p/>
    <w:p>
      <w:pPr>
        <w:pStyle w:val="Heading2"/>
      </w:pPr>
      <w:r>
        <w:t>📊 Karar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Güven Skoru</w:t>
            </w:r>
          </w:p>
        </w:tc>
        <w:tc>
          <w:tcPr>
            <w:tcW w:type="dxa" w:w="4320"/>
          </w:tcPr>
          <w:p>
            <w:r>
              <w:t>%72.1</w:t>
            </w:r>
          </w:p>
        </w:tc>
      </w:tr>
      <w:tr>
        <w:tc>
          <w:tcPr>
            <w:tcW w:type="dxa" w:w="4320"/>
          </w:tcPr>
          <w:p>
            <w:r>
              <w:t>Güncel Fiyat</w:t>
            </w:r>
          </w:p>
        </w:tc>
        <w:tc>
          <w:tcPr>
            <w:tcW w:type="dxa" w:w="4320"/>
          </w:tcPr>
          <w:p>
            <w:r>
              <w:t>₺60.20</w:t>
            </w:r>
          </w:p>
        </w:tc>
      </w:tr>
      <w:tr>
        <w:tc>
          <w:tcPr>
            <w:tcW w:type="dxa" w:w="4320"/>
          </w:tcPr>
          <w:p>
            <w:r>
              <w:t>Volatilite</w:t>
            </w:r>
          </w:p>
        </w:tc>
        <w:tc>
          <w:tcPr>
            <w:tcW w:type="dxa" w:w="4320"/>
          </w:tcPr>
          <w:p>
            <w:r>
              <w:t>%44.0</w:t>
            </w:r>
          </w:p>
        </w:tc>
      </w:tr>
      <w:tr>
        <w:tc>
          <w:tcPr>
            <w:tcW w:type="dxa" w:w="4320"/>
          </w:tcPr>
          <w:p>
            <w:r>
              <w:t>Risk/Getiri Oranı</w:t>
            </w:r>
          </w:p>
        </w:tc>
        <w:tc>
          <w:tcPr>
            <w:tcW w:type="dxa" w:w="4320"/>
          </w:tcPr>
          <w:p>
            <w:r>
              <w:t>1:1.61</w:t>
            </w:r>
          </w:p>
        </w:tc>
      </w:tr>
    </w:tbl>
    <w:p/>
    <w:p>
      <w:pPr>
        <w:pStyle w:val="Heading2"/>
      </w:pPr>
      <w:r>
        <w:t>🎯 Hedef Fiyatlar ve Tahmini Tarihler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Hedef Türü</w:t>
            </w:r>
          </w:p>
        </w:tc>
        <w:tc>
          <w:tcPr>
            <w:tcW w:type="dxa" w:w="1728"/>
          </w:tcPr>
          <w:p>
            <w:r>
              <w:t>Fiyat (₺)</w:t>
            </w:r>
          </w:p>
        </w:tc>
        <w:tc>
          <w:tcPr>
            <w:tcW w:type="dxa" w:w="1728"/>
          </w:tcPr>
          <w:p>
            <w:r>
              <w:t>Değişim (%)</w:t>
            </w:r>
          </w:p>
        </w:tc>
        <w:tc>
          <w:tcPr>
            <w:tcW w:type="dxa" w:w="1728"/>
          </w:tcPr>
          <w:p>
            <w:r>
              <w:t>Tahmini Süre</w:t>
            </w:r>
          </w:p>
        </w:tc>
        <w:tc>
          <w:tcPr>
            <w:tcW w:type="dxa" w:w="1728"/>
          </w:tcPr>
          <w:p>
            <w:r>
              <w:t>Tahmini Tarih</w:t>
            </w:r>
          </w:p>
        </w:tc>
      </w:tr>
      <w:tr>
        <w:tc>
          <w:tcPr>
            <w:tcW w:type="dxa" w:w="1728"/>
          </w:tcPr>
          <w:p>
            <w:r>
              <w:t>Konservatif Hedef</w:t>
            </w:r>
          </w:p>
        </w:tc>
        <w:tc>
          <w:tcPr>
            <w:tcW w:type="dxa" w:w="1728"/>
          </w:tcPr>
          <w:p>
            <w:r>
              <w:t>56.32</w:t>
            </w:r>
          </w:p>
        </w:tc>
        <w:tc>
          <w:tcPr>
            <w:tcW w:type="dxa" w:w="1728"/>
          </w:tcPr>
          <w:p>
            <w:r>
              <w:t>-6.5%</w:t>
            </w:r>
          </w:p>
        </w:tc>
        <w:tc>
          <w:tcPr>
            <w:tcW w:type="dxa" w:w="1728"/>
          </w:tcPr>
          <w:p>
            <w:r>
              <w:t>4-32 gün</w:t>
            </w:r>
          </w:p>
        </w:tc>
        <w:tc>
          <w:tcPr>
            <w:tcW w:type="dxa" w:w="1728"/>
          </w:tcPr>
          <w:p>
            <w:r>
              <w:t>05.11.2025</w:t>
            </w:r>
          </w:p>
        </w:tc>
      </w:tr>
      <w:tr>
        <w:tc>
          <w:tcPr>
            <w:tcW w:type="dxa" w:w="1728"/>
          </w:tcPr>
          <w:p>
            <w:r>
              <w:t>Orta Hedef</w:t>
            </w:r>
          </w:p>
        </w:tc>
        <w:tc>
          <w:tcPr>
            <w:tcW w:type="dxa" w:w="1728"/>
          </w:tcPr>
          <w:p>
            <w:r>
              <w:t>52.43</w:t>
            </w:r>
          </w:p>
        </w:tc>
        <w:tc>
          <w:tcPr>
            <w:tcW w:type="dxa" w:w="1728"/>
          </w:tcPr>
          <w:p>
            <w:r>
              <w:t>-12.9%</w:t>
            </w:r>
          </w:p>
        </w:tc>
        <w:tc>
          <w:tcPr>
            <w:tcW w:type="dxa" w:w="1728"/>
          </w:tcPr>
          <w:p>
            <w:r>
              <w:t>9-45 gün</w:t>
            </w:r>
          </w:p>
        </w:tc>
        <w:tc>
          <w:tcPr>
            <w:tcW w:type="dxa" w:w="1728"/>
          </w:tcPr>
          <w:p>
            <w:r>
              <w:t>20.11.2025</w:t>
            </w:r>
          </w:p>
        </w:tc>
      </w:tr>
      <w:tr>
        <w:tc>
          <w:tcPr>
            <w:tcW w:type="dxa" w:w="1728"/>
          </w:tcPr>
          <w:p>
            <w:r>
              <w:t>Agresif Hedef</w:t>
            </w:r>
          </w:p>
        </w:tc>
        <w:tc>
          <w:tcPr>
            <w:tcW w:type="dxa" w:w="1728"/>
          </w:tcPr>
          <w:p>
            <w:r>
              <w:t>48.55</w:t>
            </w:r>
          </w:p>
        </w:tc>
        <w:tc>
          <w:tcPr>
            <w:tcW w:type="dxa" w:w="1728"/>
          </w:tcPr>
          <w:p>
            <w:r>
              <w:t>-19.4%</w:t>
            </w:r>
          </w:p>
        </w:tc>
        <w:tc>
          <w:tcPr>
            <w:tcW w:type="dxa" w:w="1728"/>
          </w:tcPr>
          <w:p>
            <w:r>
              <w:t>19-53 gün</w:t>
            </w:r>
          </w:p>
        </w:tc>
        <w:tc>
          <w:tcPr>
            <w:tcW w:type="dxa" w:w="1728"/>
          </w:tcPr>
          <w:p>
            <w:r>
              <w:t>01.12.2025</w:t>
            </w:r>
          </w:p>
        </w:tc>
      </w:tr>
      <w:tr>
        <w:tc>
          <w:tcPr>
            <w:tcW w:type="dxa" w:w="1728"/>
          </w:tcPr>
          <w:p>
            <w:r>
              <w:t>Stop Loss</w:t>
            </w:r>
          </w:p>
        </w:tc>
        <w:tc>
          <w:tcPr>
            <w:tcW w:type="dxa" w:w="1728"/>
          </w:tcPr>
          <w:p>
            <w:r>
              <w:t>65.02</w:t>
            </w:r>
          </w:p>
        </w:tc>
        <w:tc>
          <w:tcPr>
            <w:tcW w:type="dxa" w:w="1728"/>
          </w:tcPr>
          <w:p>
            <w:r>
              <w:t>+8.0%</w:t>
            </w:r>
          </w:p>
        </w:tc>
        <w:tc>
          <w:tcPr>
            <w:tcW w:type="dxa" w:w="1728"/>
          </w:tcPr>
          <w:p>
            <w:r>
              <w:t>Anında</w:t>
            </w:r>
          </w:p>
        </w:tc>
        <w:tc>
          <w:tcPr>
            <w:tcW w:type="dxa" w:w="1728"/>
          </w:tcPr>
          <w:p>
            <w:r>
              <w:t>Sürekli</w:t>
            </w:r>
          </w:p>
        </w:tc>
      </w:tr>
    </w:tbl>
    <w:p/>
    <w:p>
      <w:pPr>
        <w:pStyle w:val="Heading2"/>
      </w:pPr>
      <w:r>
        <w:t>📊 Destek/Direnç Seviyeleri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Seviye Türü</w:t>
            </w:r>
          </w:p>
        </w:tc>
        <w:tc>
          <w:tcPr>
            <w:tcW w:type="dxa" w:w="2880"/>
          </w:tcPr>
          <w:p>
            <w:r>
              <w:t>Fiyat (₺)</w:t>
            </w:r>
          </w:p>
        </w:tc>
        <w:tc>
          <w:tcPr>
            <w:tcW w:type="dxa" w:w="2880"/>
          </w:tcPr>
          <w:p>
            <w:r>
              <w:t>Mevcut Fiyattan (%)</w:t>
            </w:r>
          </w:p>
        </w:tc>
      </w:tr>
      <w:tr>
        <w:tc>
          <w:tcPr>
            <w:tcW w:type="dxa" w:w="2880"/>
          </w:tcPr>
          <w:p>
            <w:r>
              <w:t>Destek Seviyesi</w:t>
            </w:r>
          </w:p>
        </w:tc>
        <w:tc>
          <w:tcPr>
            <w:tcW w:type="dxa" w:w="2880"/>
          </w:tcPr>
          <w:p>
            <w:r>
              <w:t>53.05</w:t>
            </w:r>
          </w:p>
        </w:tc>
        <w:tc>
          <w:tcPr>
            <w:tcW w:type="dxa" w:w="2880"/>
          </w:tcPr>
          <w:p>
            <w:r>
              <w:t>-11.9%</w:t>
            </w:r>
          </w:p>
        </w:tc>
      </w:tr>
      <w:tr>
        <w:tc>
          <w:tcPr>
            <w:tcW w:type="dxa" w:w="2880"/>
          </w:tcPr>
          <w:p>
            <w:r>
              <w:t>Mevcut Fiyat</w:t>
            </w:r>
          </w:p>
        </w:tc>
        <w:tc>
          <w:tcPr>
            <w:tcW w:type="dxa" w:w="2880"/>
          </w:tcPr>
          <w:p>
            <w:r>
              <w:t>60.20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Direnç Seviyesi</w:t>
            </w:r>
          </w:p>
        </w:tc>
        <w:tc>
          <w:tcPr>
            <w:tcW w:type="dxa" w:w="2880"/>
          </w:tcPr>
          <w:p>
            <w:r>
              <w:t>64.75</w:t>
            </w:r>
          </w:p>
        </w:tc>
        <w:tc>
          <w:tcPr>
            <w:tcW w:type="dxa" w:w="2880"/>
          </w:tcPr>
          <w:p>
            <w:r>
              <w:t>+7.6%</w:t>
            </w:r>
          </w:p>
        </w:tc>
      </w:tr>
    </w:tbl>
    <w:p/>
    <w:p>
      <w:pPr>
        <w:pStyle w:val="Heading2"/>
      </w:pPr>
      <w:r>
        <w:t>📈 Grafik Analizi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Analiz Türü</w:t>
            </w:r>
          </w:p>
        </w:tc>
        <w:tc>
          <w:tcPr>
            <w:tcW w:type="dxa" w:w="4320"/>
          </w:tcPr>
          <w:p>
            <w:r>
              <w:t>Sonuç</w:t>
            </w:r>
          </w:p>
        </w:tc>
      </w:tr>
      <w:tr>
        <w:tc>
          <w:tcPr>
            <w:tcW w:type="dxa" w:w="4320"/>
          </w:tcPr>
          <w:p>
            <w:r>
              <w:t>Trend Gücü</w:t>
            </w:r>
          </w:p>
        </w:tc>
        <w:tc>
          <w:tcPr>
            <w:tcW w:type="dxa" w:w="4320"/>
          </w:tcPr>
          <w:p>
            <w:r>
              <w:t>Medium</w:t>
            </w:r>
          </w:p>
        </w:tc>
      </w:tr>
      <w:tr>
        <w:tc>
          <w:tcPr>
            <w:tcW w:type="dxa" w:w="4320"/>
          </w:tcPr>
          <w:p>
            <w:r>
              <w:t>Hacim Trendi</w:t>
            </w:r>
          </w:p>
        </w:tc>
        <w:tc>
          <w:tcPr>
            <w:tcW w:type="dxa" w:w="4320"/>
          </w:tcPr>
          <w:p>
            <w:r>
              <w:t>Increasing</w:t>
            </w:r>
          </w:p>
        </w:tc>
      </w:tr>
      <w:tr>
        <w:tc>
          <w:tcPr>
            <w:tcW w:type="dxa" w:w="4320"/>
          </w:tcPr>
          <w:p>
            <w:r>
              <w:t>Destek/Direnç Yakınlığı</w:t>
            </w:r>
          </w:p>
        </w:tc>
        <w:tc>
          <w:tcPr>
            <w:tcW w:type="dxa" w:w="4320"/>
          </w:tcPr>
          <w:p>
            <w:r>
              <w:t>Uzak</w:t>
            </w:r>
          </w:p>
        </w:tc>
      </w:tr>
      <w:tr>
        <w:tc>
          <w:tcPr>
            <w:tcW w:type="dxa" w:w="4320"/>
          </w:tcPr>
          <w:p>
            <w:r>
              <w:t>Grafik Pattern</w:t>
            </w:r>
          </w:p>
        </w:tc>
        <w:tc>
          <w:tcPr>
            <w:tcW w:type="dxa" w:w="4320"/>
          </w:tcPr>
          <w:p>
            <w:r>
              <w:t>Mixed Signals</w:t>
            </w:r>
          </w:p>
        </w:tc>
      </w:tr>
    </w:tbl>
    <w:p/>
    <w:p>
      <w:pPr>
        <w:pStyle w:val="Heading2"/>
      </w:pPr>
      <w:r>
        <w:t>🤖 Model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Özellik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Model Türü</w:t>
            </w:r>
          </w:p>
        </w:tc>
        <w:tc>
          <w:tcPr>
            <w:tcW w:type="dxa" w:w="4320"/>
          </w:tcPr>
          <w:p>
            <w:r>
              <w:t>Gradient Boosting</w:t>
            </w:r>
          </w:p>
        </w:tc>
      </w:tr>
      <w:tr>
        <w:tc>
          <w:tcPr>
            <w:tcW w:type="dxa" w:w="4320"/>
          </w:tcPr>
          <w:p>
            <w:r>
              <w:t>Eğitim Tarihi</w:t>
            </w:r>
          </w:p>
        </w:tc>
        <w:tc>
          <w:tcPr>
            <w:tcW w:type="dxa" w:w="4320"/>
          </w:tcPr>
          <w:p>
            <w:r>
              <w:t>Bilinmiyor</w:t>
            </w:r>
          </w:p>
        </w:tc>
      </w:tr>
      <w:tr>
        <w:tc>
          <w:tcPr>
            <w:tcW w:type="dxa" w:w="4320"/>
          </w:tcPr>
          <w:p>
            <w:r>
              <w:t>Veri Noktası</w:t>
            </w:r>
          </w:p>
        </w:tc>
        <w:tc>
          <w:tcPr>
            <w:tcW w:type="dxa" w:w="4320"/>
          </w:tcPr>
          <w:p>
            <w:r>
              <w:t>452 gün</w:t>
            </w:r>
          </w:p>
        </w:tc>
      </w:tr>
      <w:tr>
        <w:tc>
          <w:tcPr>
            <w:tcW w:type="dxa" w:w="4320"/>
          </w:tcPr>
          <w:p>
            <w:r>
              <w:t>Özellik Sayısı</w:t>
            </w:r>
          </w:p>
        </w:tc>
        <w:tc>
          <w:tcPr>
            <w:tcW w:type="dxa" w:w="4320"/>
          </w:tcPr>
          <w:p>
            <w:r>
              <w:t>67 teknik gösterge</w:t>
            </w:r>
          </w:p>
        </w:tc>
      </w:tr>
      <w:tr>
        <w:tc>
          <w:tcPr>
            <w:tcW w:type="dxa" w:w="4320"/>
          </w:tcPr>
          <w:p>
            <w:r>
              <w:t>Doğruluk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  <w:tr>
        <w:tc>
          <w:tcPr>
            <w:tcW w:type="dxa" w:w="4320"/>
          </w:tcPr>
          <w:p>
            <w:r>
              <w:t>F1 Skoru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</w:tbl>
    <w:p/>
    <w:p>
      <w:pPr>
        <w:pStyle w:val="Heading2"/>
      </w:pPr>
      <w:r>
        <w:t>⚠️ Risk Analizi</w:t>
      </w:r>
    </w:p>
    <w:p>
      <w:r>
        <w:t>📊 Volatilite Seviyesi: Yüksek (%44.0)</w:t>
      </w:r>
    </w:p>
    <w:p>
      <w:r>
        <w:t>📈 Orta-yüksek volatilite, dinamik fiyat hareketleri beklenebilir.</w:t>
      </w:r>
    </w:p>
    <w:p/>
    <w:p>
      <w:pPr>
        <w:pStyle w:val="Heading2"/>
      </w:pPr>
      <w:r>
        <w:t>💡 Yatırım Önerileri</w:t>
      </w:r>
    </w:p>
    <w:p>
      <w:r>
        <w:t>🔴 SAT Sinyali - Negatif beklenti</w:t>
      </w:r>
    </w:p>
    <w:p>
      <w:r>
        <w:t>• Mevcut pozisyonlarınızı gözden geçirin</w:t>
      </w:r>
    </w:p>
    <w:p>
      <w:r>
        <w:t>• Stop loss seviyelerini sıkı takip edin</w:t>
      </w:r>
    </w:p>
    <w:p>
      <w:r>
        <w:t>• Yeni pozisyon almayın, mevcut pozisyonları azaltın</w:t>
      </w:r>
    </w:p>
    <w:p/>
    <w:p>
      <w:pPr>
        <w:pStyle w:val="Heading2"/>
      </w:pPr>
      <w:r>
        <w:t>📝 Teknik Notlar</w:t>
      </w:r>
    </w:p>
    <w:p>
      <w:r>
        <w:t>• Bu analiz makine öğrenmesi algoritmaları kullanılarak oluşturulmuştur</w:t>
      </w:r>
    </w:p>
    <w:p>
      <w:r>
        <w:t>• Geçmiş performans gelecekteki sonuçları garanti etmez</w:t>
      </w:r>
    </w:p>
    <w:p>
      <w:r>
        <w:t>• Yatırım kararlarınızı alırken kendi araştırmanızı yapın</w:t>
      </w:r>
    </w:p>
    <w:p>
      <w:r>
        <w:t>• Risk yönetimi kurallarına uyun</w:t>
      </w:r>
    </w:p>
    <w:p>
      <w:r>
        <w:t>• Stop loss ve take profit seviyelerini belirleyin</w:t>
      </w:r>
    </w:p>
    <w:p/>
    <w:p>
      <w:r>
        <w:t>__________________________________________________</w:t>
      </w:r>
    </w:p>
    <w:p>
      <w:r>
        <w:t>Rapor Oluşturulma Tarihi: 26.10.2025 15:20</w:t>
      </w:r>
    </w:p>
    <w:p>
      <w:r>
        <w:t>Hisse Senedi Yön Tahmini Sistemi - AI Destekli Analiz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rPr>
      <w:rFonts w:ascii="Arial" w:hAnsi="Arial"/>
      <w:b/>
      <w:color w:val="000000"/>
      <w:sz w:val="28"/>
    </w:rPr>
  </w:style>
  <w:style w:type="paragraph" w:customStyle="1" w:styleId="CustomSubtitle">
    <w:name w:val="Custom Subtitle"/>
    <w:rPr>
      <w:rFonts w:ascii="Arial" w:hAnsi="Arial"/>
      <w:b/>
      <w:color w:val="404040"/>
      <w:sz w:val="21"/>
    </w:rPr>
  </w:style>
  <w:style w:type="paragraph" w:customStyle="1" w:styleId="CustomText">
    <w:name w:val="Custom Text"/>
    <w:rPr>
      <w:rFonts w:ascii="Arial" w:hAnsi="Arial"/>
      <w:color w:val="202020"/>
      <w:sz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