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15:24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1 gün içinde %8.8 düşüşle 54.90 TL seviyesine ineceğini öngörüyor. Volatilite orta seviyede (📊), güven oranı yüksek (🎯 %76.1).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%76.1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%27.1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1:1.76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57.55</w:t>
            </w:r>
          </w:p>
        </w:tc>
        <w:tc>
          <w:tcPr>
            <w:tcW w:type="dxa" w:w="1728"/>
          </w:tcPr>
          <w:p>
            <w:r>
              <w:t>-4.4%</w:t>
            </w:r>
          </w:p>
        </w:tc>
        <w:tc>
          <w:tcPr>
            <w:tcW w:type="dxa" w:w="1728"/>
          </w:tcPr>
          <w:p>
            <w:r>
              <w:t>0.3333333333333333-2.3333333333333335 gün</w:t>
            </w:r>
          </w:p>
        </w:tc>
        <w:tc>
          <w:tcPr>
            <w:tcW w:type="dxa" w:w="1728"/>
          </w:tcPr>
          <w:p>
            <w:r>
              <w:t>26.10.2025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54.90</w:t>
            </w:r>
          </w:p>
        </w:tc>
        <w:tc>
          <w:tcPr>
            <w:tcW w:type="dxa" w:w="1728"/>
          </w:tcPr>
          <w:p>
            <w:r>
              <w:t>-8.8%</w:t>
            </w:r>
          </w:p>
        </w:tc>
        <w:tc>
          <w:tcPr>
            <w:tcW w:type="dxa" w:w="1728"/>
          </w:tcPr>
          <w:p>
            <w:r>
              <w:t>1.0-4.0 gün</w:t>
            </w:r>
          </w:p>
        </w:tc>
        <w:tc>
          <w:tcPr>
            <w:tcW w:type="dxa" w:w="1728"/>
          </w:tcPr>
          <w:p>
            <w:r>
              <w:t>27.10.2025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52.25</w:t>
            </w:r>
          </w:p>
        </w:tc>
        <w:tc>
          <w:tcPr>
            <w:tcW w:type="dxa" w:w="1728"/>
          </w:tcPr>
          <w:p>
            <w:r>
              <w:t>-13.2%</w:t>
            </w:r>
          </w:p>
        </w:tc>
        <w:tc>
          <w:tcPr>
            <w:tcW w:type="dxa" w:w="1728"/>
          </w:tcPr>
          <w:p>
            <w:r>
              <w:t>1.5-6.0 gün</w:t>
            </w:r>
          </w:p>
        </w:tc>
        <w:tc>
          <w:tcPr>
            <w:tcW w:type="dxa" w:w="1728"/>
          </w:tcPr>
          <w:p>
            <w:r>
              <w:t>29.10.2025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63.21</w:t>
            </w:r>
          </w:p>
        </w:tc>
        <w:tc>
          <w:tcPr>
            <w:tcW w:type="dxa" w:w="1728"/>
          </w:tcPr>
          <w:p>
            <w:r>
              <w:t>+5.0%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53.10</w:t>
            </w:r>
          </w:p>
        </w:tc>
        <w:tc>
          <w:tcPr>
            <w:tcW w:type="dxa" w:w="2880"/>
          </w:tcPr>
          <w:p>
            <w:r>
              <w:t>-11.8%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63.95</w:t>
            </w:r>
          </w:p>
        </w:tc>
        <w:tc>
          <w:tcPr>
            <w:tcW w:type="dxa" w:w="2880"/>
          </w:tcPr>
          <w:p>
            <w:r>
              <w:t>+6.2%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1,233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Orta (%27.1)</w:t>
      </w:r>
    </w:p>
    <w:p>
      <w:r>
        <w:t>📊 Normal volatilite seviyesi, stabil hareket beklenir.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15:24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