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KRDMD.IS - Kapsamlı Tahmin Analizi</w:t>
      </w:r>
    </w:p>
    <w:p>
      <w:r>
        <w:t>📅 Analiz Tarihi: 26.10.2025 15:22</w:t>
      </w:r>
    </w:p>
    <w:p>
      <w:r>
        <w:t>🏢 Hisse Senedi: KRDMD.IS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KRDMD şu anda 28.44 TL seviyesinde. Son 3 günde %2.5 yükseliş yaşadı, ancak model bu yükselişin sona ereceğini öngörüyor.</w:t>
        <w:br/>
        <w:br/>
        <w:t>Model, 21 gün içinde %12.4 düşüşle 24.92 TL seviyesine ineceğini öngörüyor. Volatilite yüksek seviyede (⚠️), güven oranı yüksek (🎯 %65.2).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%65.2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₺28.44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%41.3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1:1.55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26.68</w:t>
            </w:r>
          </w:p>
        </w:tc>
        <w:tc>
          <w:tcPr>
            <w:tcW w:type="dxa" w:w="1728"/>
          </w:tcPr>
          <w:p>
            <w:r>
              <w:t>-6.2%</w:t>
            </w:r>
          </w:p>
        </w:tc>
        <w:tc>
          <w:tcPr>
            <w:tcW w:type="dxa" w:w="1728"/>
          </w:tcPr>
          <w:p>
            <w:r>
              <w:t>4-28 gün</w:t>
            </w:r>
          </w:p>
        </w:tc>
        <w:tc>
          <w:tcPr>
            <w:tcW w:type="dxa" w:w="1728"/>
          </w:tcPr>
          <w:p>
            <w:r>
              <w:t>04.11.2025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24.92</w:t>
            </w:r>
          </w:p>
        </w:tc>
        <w:tc>
          <w:tcPr>
            <w:tcW w:type="dxa" w:w="1728"/>
          </w:tcPr>
          <w:p>
            <w:r>
              <w:t>-12.4%</w:t>
            </w:r>
          </w:p>
        </w:tc>
        <w:tc>
          <w:tcPr>
            <w:tcW w:type="dxa" w:w="1728"/>
          </w:tcPr>
          <w:p>
            <w:r>
              <w:t>9-45 gün</w:t>
            </w:r>
          </w:p>
        </w:tc>
        <w:tc>
          <w:tcPr>
            <w:tcW w:type="dxa" w:w="1728"/>
          </w:tcPr>
          <w:p>
            <w:r>
              <w:t>16.11.2025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23.15</w:t>
            </w:r>
          </w:p>
        </w:tc>
        <w:tc>
          <w:tcPr>
            <w:tcW w:type="dxa" w:w="1728"/>
          </w:tcPr>
          <w:p>
            <w:r>
              <w:t>-18.6%</w:t>
            </w:r>
          </w:p>
        </w:tc>
        <w:tc>
          <w:tcPr>
            <w:tcW w:type="dxa" w:w="1728"/>
          </w:tcPr>
          <w:p>
            <w:r>
              <w:t>16-58 gün</w:t>
            </w:r>
          </w:p>
        </w:tc>
        <w:tc>
          <w:tcPr>
            <w:tcW w:type="dxa" w:w="1728"/>
          </w:tcPr>
          <w:p>
            <w:r>
              <w:t>28.11.2025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30.72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23.72</w:t>
            </w:r>
          </w:p>
        </w:tc>
        <w:tc>
          <w:tcPr>
            <w:tcW w:type="dxa" w:w="2880"/>
          </w:tcPr>
          <w:p>
            <w:r>
              <w:t>-16.6%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28.44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28.90</w:t>
            </w:r>
          </w:p>
        </w:tc>
        <w:tc>
          <w:tcPr>
            <w:tcW w:type="dxa" w:w="2880"/>
          </w:tcPr>
          <w:p>
            <w:r>
              <w:t>+1.6%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Stable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High Volatility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(%41.3)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15:22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