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PGSUS.IS - Kapsamlı Tahmin Analizi</w:t>
      </w:r>
    </w:p>
    <w:p>
      <w:r>
        <w:t>📅 Analiz Tarihi: 26.10.2025 08:36</w:t>
      </w:r>
    </w:p>
    <w:p>
      <w:r>
        <w:t>🏢 Hisse Senedi: PGSUS.IS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PGSUS şu anda 208.40 TL seviyesinde. Son 3 günde %2.5 yükseliş yaşadı, ancak model bu yükselişin sona ereceğini öngörüyor.</w:t>
        <w:br/>
        <w:br/>
        <w:t>Model, 25 gün içinde %8.1 düşüşle 191.61 TL seviyesine ineceğini öngörüyor. Volatilite orta seviyede (📊), güven oranı yüksek (🎯 %61.1).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%61.1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₺208.40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%36.9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1:1.61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200.01</w:t>
            </w:r>
          </w:p>
        </w:tc>
        <w:tc>
          <w:tcPr>
            <w:tcW w:type="dxa" w:w="1728"/>
          </w:tcPr>
          <w:p>
            <w:r>
              <w:t>-4.0%</w:t>
            </w:r>
          </w:p>
        </w:tc>
        <w:tc>
          <w:tcPr>
            <w:tcW w:type="dxa" w:w="1728"/>
          </w:tcPr>
          <w:p>
            <w:r>
              <w:t>9-42 gün</w:t>
            </w:r>
          </w:p>
        </w:tc>
        <w:tc>
          <w:tcPr>
            <w:tcW w:type="dxa" w:w="1728"/>
          </w:tcPr>
          <w:p>
            <w:r>
              <w:t>09.11.2025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191.61</w:t>
            </w:r>
          </w:p>
        </w:tc>
        <w:tc>
          <w:tcPr>
            <w:tcW w:type="dxa" w:w="1728"/>
          </w:tcPr>
          <w:p>
            <w:r>
              <w:t>-8.1%</w:t>
            </w:r>
          </w:p>
        </w:tc>
        <w:tc>
          <w:tcPr>
            <w:tcW w:type="dxa" w:w="1728"/>
          </w:tcPr>
          <w:p>
            <w:r>
              <w:t>18-77 gün</w:t>
            </w:r>
          </w:p>
        </w:tc>
        <w:tc>
          <w:tcPr>
            <w:tcW w:type="dxa" w:w="1728"/>
          </w:tcPr>
          <w:p>
            <w:r>
              <w:t>20.11.2025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183.22</w:t>
            </w:r>
          </w:p>
        </w:tc>
        <w:tc>
          <w:tcPr>
            <w:tcW w:type="dxa" w:w="1728"/>
          </w:tcPr>
          <w:p>
            <w:r>
              <w:t>-12.1%</w:t>
            </w:r>
          </w:p>
        </w:tc>
        <w:tc>
          <w:tcPr>
            <w:tcW w:type="dxa" w:w="1728"/>
          </w:tcPr>
          <w:p>
            <w:r>
              <w:t>41-177 gün</w:t>
            </w:r>
          </w:p>
        </w:tc>
        <w:tc>
          <w:tcPr>
            <w:tcW w:type="dxa" w:w="1728"/>
          </w:tcPr>
          <w:p>
            <w:r>
              <w:t>24.12.2025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218.82</w:t>
            </w:r>
          </w:p>
        </w:tc>
        <w:tc>
          <w:tcPr>
            <w:tcW w:type="dxa" w:w="1728"/>
          </w:tcPr>
          <w:p>
            <w:r>
              <w:t>+5.0%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200.90</w:t>
            </w:r>
          </w:p>
        </w:tc>
        <w:tc>
          <w:tcPr>
            <w:tcW w:type="dxa" w:w="2880"/>
          </w:tcPr>
          <w:p>
            <w:r>
              <w:t>-3.6%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208.40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227.70</w:t>
            </w:r>
          </w:p>
        </w:tc>
        <w:tc>
          <w:tcPr>
            <w:tcW w:type="dxa" w:w="2880"/>
          </w:tcPr>
          <w:p>
            <w:r>
              <w:t>+9.3%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Stable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Uzak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Mixed Signals</w:t>
            </w:r>
          </w:p>
        </w:tc>
      </w:tr>
    </w:tbl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Gradient Boosting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Bilinmiyor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453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Orta (%36.9)</w:t>
      </w:r>
    </w:p>
    <w:p>
      <w:r>
        <w:t>📊 Normal volatilite seviyesi, stabil hareket beklenir.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26.10.2025 08:36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