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THYAO.IS - Kapsamlı Tahmin Analizi</w:t>
      </w:r>
    </w:p>
    <w:p>
      <w:r>
        <w:t>📅 Analiz Tarihi: 26.10.2025 10:14</w:t>
      </w:r>
    </w:p>
    <w:p>
      <w:r>
        <w:t>🏢 Hisse Senedi: THYAO.IS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THYAO şu anda 297.00 TL seviyesinde. Son 3 günde %2.5 yükseliş yaşadı, ancak model bu yükselişin sona ereceğini öngörüyor.</w:t>
        <w:br/>
        <w:br/>
        <w:t>Model, 26 gün içinde %7.8 düşüşle 273.76 TL seviyesine ineceğini öngörüyor. Volatilite orta seviyede (📊), güven oranı orta (⚠️ %56.5).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%56.5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₺297.00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%32.2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1:1.57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285.38</w:t>
            </w:r>
          </w:p>
        </w:tc>
        <w:tc>
          <w:tcPr>
            <w:tcW w:type="dxa" w:w="1728"/>
          </w:tcPr>
          <w:p>
            <w:r>
              <w:t>-3.9%</w:t>
            </w:r>
          </w:p>
        </w:tc>
        <w:tc>
          <w:tcPr>
            <w:tcW w:type="dxa" w:w="1728"/>
          </w:tcPr>
          <w:p>
            <w:r>
              <w:t>9-42 gün</w:t>
            </w:r>
          </w:p>
        </w:tc>
        <w:tc>
          <w:tcPr>
            <w:tcW w:type="dxa" w:w="1728"/>
          </w:tcPr>
          <w:p>
            <w:r>
              <w:t>09.11.2025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273.76</w:t>
            </w:r>
          </w:p>
        </w:tc>
        <w:tc>
          <w:tcPr>
            <w:tcW w:type="dxa" w:w="1728"/>
          </w:tcPr>
          <w:p>
            <w:r>
              <w:t>-7.8%</w:t>
            </w:r>
          </w:p>
        </w:tc>
        <w:tc>
          <w:tcPr>
            <w:tcW w:type="dxa" w:w="1728"/>
          </w:tcPr>
          <w:p>
            <w:r>
              <w:t>18-79 gün</w:t>
            </w:r>
          </w:p>
        </w:tc>
        <w:tc>
          <w:tcPr>
            <w:tcW w:type="dxa" w:w="1728"/>
          </w:tcPr>
          <w:p>
            <w:r>
              <w:t>21.11.2025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262.13</w:t>
            </w:r>
          </w:p>
        </w:tc>
        <w:tc>
          <w:tcPr>
            <w:tcW w:type="dxa" w:w="1728"/>
          </w:tcPr>
          <w:p>
            <w:r>
              <w:t>-11.7%</w:t>
            </w:r>
          </w:p>
        </w:tc>
        <w:tc>
          <w:tcPr>
            <w:tcW w:type="dxa" w:w="1728"/>
          </w:tcPr>
          <w:p>
            <w:r>
              <w:t>40-172 gün</w:t>
            </w:r>
          </w:p>
        </w:tc>
        <w:tc>
          <w:tcPr>
            <w:tcW w:type="dxa" w:w="1728"/>
          </w:tcPr>
          <w:p>
            <w:r>
              <w:t>22.12.2025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311.85</w:t>
            </w:r>
          </w:p>
        </w:tc>
        <w:tc>
          <w:tcPr>
            <w:tcW w:type="dxa" w:w="1728"/>
          </w:tcPr>
          <w:p>
            <w:r>
              <w:t>+5.0%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283.75</w:t>
            </w:r>
          </w:p>
        </w:tc>
        <w:tc>
          <w:tcPr>
            <w:tcW w:type="dxa" w:w="2880"/>
          </w:tcPr>
          <w:p>
            <w:r>
              <w:t>-4.5%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297.00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324.50</w:t>
            </w:r>
          </w:p>
        </w:tc>
        <w:tc>
          <w:tcPr>
            <w:tcW w:type="dxa" w:w="2880"/>
          </w:tcPr>
          <w:p>
            <w:r>
              <w:t>+9.3%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Weak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Strong Downtrend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Orta (%32.2)</w:t>
      </w:r>
    </w:p>
    <w:p>
      <w:r>
        <w:t>📊 Normal volatilite seviyesi, stabil hareket beklenir.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10:14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