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73e8"/>
          <w:sz w:val="44"/>
          <w:szCs w:val="44"/>
        </w:rPr>
        <w:t xml:space="preserve">Personal AI Assistant — Second Brain</w:t>
      </w:r>
    </w:p>
    <w:p>
      <w:pPr>
        <w:spacing w:after="60" w:before="120"/>
        <w:jc w:val="center"/>
      </w:pPr>
      <w:r>
        <w:rPr>
          <w:color w:val="202124"/>
          <w:sz w:val="30"/>
          <w:szCs w:val="30"/>
        </w:rPr>
        <w:t xml:space="preserve">Software Design Document</w:t>
      </w:r>
    </w:p>
    <w:p>
      <w:pPr>
        <w:spacing w:after="900"/>
        <w:jc w:val="center"/>
      </w:pPr>
      <w:r>
        <w:rPr>
          <w:i/>
          <w:iCs/>
          <w:color w:val="5f6368"/>
          <w:sz w:val="20"/>
          <w:szCs w:val="20"/>
        </w:rPr>
        <w:t xml:space="preserve">Use Cases · Domain Model · Sequence · Class · Package Diagrams</w:t>
      </w:r>
    </w:p>
    <w:p>
      <w:pPr>
        <w:jc w:val="center"/>
      </w:pPr>
      <w:r>
        <w:rPr>
          <w:sz w:val="22"/>
          <w:szCs w:val="22"/>
        </w:rPr>
        <w:t xml:space="preserve">Author: İkbal Aktaş</w:t>
      </w:r>
    </w:p>
    <w:p>
      <w:pPr>
        <w:jc w:val="center"/>
      </w:pPr>
      <w:r>
        <w:rPr>
          <w:color w:val="5f6368"/>
          <w:sz w:val="20"/>
          <w:szCs w:val="20"/>
        </w:rPr>
        <w:t xml:space="preserve">Version 0.1 (iterative — living document)</w:t>
      </w:r>
    </w:p>
    <w:p>
      <w:pPr>
        <w:spacing w:after="200"/>
        <w:jc w:val="center"/>
      </w:pPr>
      <w:r>
        <w:rPr>
          <w:color w:val="5f6368"/>
          <w:sz w:val="20"/>
          <w:szCs w:val="20"/>
        </w:rPr>
        <w:t xml:space="preserve">September 18, 2026</w:t>
      </w:r>
    </w:p>
    <w:p>
      <w:r>
        <w:br w:type="page"/>
      </w:r>
    </w:p>
    <w:p>
      <w:pPr>
        <w:spacing w:after="120"/>
      </w:pPr>
      <w:r>
        <w:rPr>
          <w:b/>
          <w:bCs/>
          <w:color w:val="1a73e8"/>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rPr>
        <w:t xml:space="preserve">1. Introduction and Purpose</w:t>
      </w:r>
    </w:p>
    <w:p>
      <w:pPr>
        <w:spacing w:after="100"/>
        <w:jc w:val="both"/>
      </w:pPr>
      <w:r>
        <w:rPr>
          <w:sz w:val="21"/>
          <w:szCs w:val="21"/>
        </w:rPr>
        <w:t xml:space="preserve">This document defines the software design of a proactive personal AI assistant — a “second brain” — built for a single user. The system captures the user’s ideas, bookmarks, journals, and tasks into an Obsidian vault (Markdown files), indexes them semantically, and — unlike a passive knowledge base — messages the user on its own initiative at appropriate times to deliver reminders and connection suggestions.</w:t>
      </w:r>
    </w:p>
    <w:p>
      <w:pPr>
        <w:spacing w:after="100"/>
        <w:jc w:val="both"/>
      </w:pPr>
      <w:r>
        <w:rPr>
          <w:sz w:val="21"/>
          <w:szCs w:val="21"/>
        </w:rPr>
        <w:t xml:space="preserve">The distinguishing design goal is that the system is proactive: not an archive that only answers when asked, but an assistant that nudges at the right moment by taking into account the user’s productivity and mood patterns (metrics derived from journal entries, the class/exam calendar, and user-reported state flags).</w:t>
      </w:r>
    </w:p>
    <w:p>
      <w:pPr>
        <w:pStyle w:val="Heading2"/>
        <w:spacing w:after="80" w:before="180"/>
      </w:pPr>
      <w:r>
        <w:rPr>
          <w:b/>
          <w:bCs/>
        </w:rPr>
        <w:t xml:space="preserve">1.1. Scope</w:t>
      </w:r>
    </w:p>
    <w:p>
      <w:pPr>
        <w:pStyle w:val="ListParagraph"/>
        <w:numPr>
          <w:ilvl w:val="0"/>
          <w:numId w:val="2"/>
        </w:numPr>
        <w:spacing w:after="40"/>
      </w:pPr>
      <w:r>
        <w:rPr>
          <w:b/>
          <w:bCs/>
          <w:sz w:val="21"/>
          <w:szCs w:val="21"/>
        </w:rPr>
        <w:t xml:space="preserve">Included: </w:t>
      </w:r>
      <w:r>
        <w:rPr>
          <w:sz w:val="21"/>
          <w:szCs w:val="21"/>
        </w:rPr>
        <w:t xml:space="preserve">chat-based capture, automatic Markdown filing, bookmark/link summarization, journaling and metric extraction, Google Calendar integration, semantic recall, and rule-based proactive reminders.</w:t>
      </w:r>
    </w:p>
    <w:p>
      <w:pPr>
        <w:pStyle w:val="ListParagraph"/>
        <w:numPr>
          <w:ilvl w:val="0"/>
          <w:numId w:val="2"/>
        </w:numPr>
        <w:spacing w:after="40"/>
      </w:pPr>
      <w:r>
        <w:rPr>
          <w:b/>
          <w:bCs/>
          <w:sz w:val="21"/>
          <w:szCs w:val="21"/>
        </w:rPr>
        <w:t xml:space="preserve">Excluded (this version): </w:t>
      </w:r>
      <w:r>
        <w:rPr>
          <w:sz w:val="21"/>
          <w:szCs w:val="21"/>
        </w:rPr>
        <w:t xml:space="preserve">multi-user support, mobile app development, a voice interface (optional future module), and machine-learned pattern “prediction” (descriptive statistics come first).</w:t>
      </w:r>
    </w:p>
    <w:p>
      <w:pPr>
        <w:pStyle w:val="Heading2"/>
        <w:spacing w:after="80" w:before="180"/>
      </w:pPr>
      <w:r>
        <w:rPr>
          <w:b/>
          <w:bCs/>
        </w:rPr>
        <w:t xml:space="preserve">1.2. Actors and external systems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600"/>
        <w:gridCol w:w="2400"/>
        <w:gridCol w:w="4360"/>
      </w:tblGrid>
      <w:tr>
        <w:trPr>
          <w:tblHeader/>
        </w:trPr>
        <w:tc>
          <w:tcPr>
            <w:tcW w:type="dxa" w:w="2600"/>
            <w:shd w:fill="1a73e8" w:val="clear"/>
            <w:tcMar>
              <w:top w:type="dxa" w:w="40"/>
              <w:left w:type="dxa" w:w="90"/>
              <w:bottom w:type="dxa" w:w="40"/>
              <w:right w:type="dxa" w:w="90"/>
            </w:tcMar>
          </w:tcPr>
          <w:p>
            <w:r>
              <w:rPr>
                <w:b/>
                <w:bCs/>
                <w:color w:val="ffffff"/>
                <w:sz w:val="19"/>
                <w:szCs w:val="19"/>
              </w:rPr>
              <w:t xml:space="preserve">Actor</w:t>
            </w:r>
          </w:p>
        </w:tc>
        <w:tc>
          <w:tcPr>
            <w:tcW w:type="dxa" w:w="2400"/>
            <w:shd w:fill="1a73e8" w:val="clear"/>
            <w:tcMar>
              <w:top w:type="dxa" w:w="40"/>
              <w:left w:type="dxa" w:w="90"/>
              <w:bottom w:type="dxa" w:w="40"/>
              <w:right w:type="dxa" w:w="90"/>
            </w:tcMar>
          </w:tcPr>
          <w:p>
            <w:r>
              <w:rPr>
                <w:b/>
                <w:bCs/>
                <w:color w:val="ffffff"/>
                <w:sz w:val="19"/>
                <w:szCs w:val="19"/>
              </w:rPr>
              <w:t xml:space="preserve">Type</w:t>
            </w:r>
          </w:p>
        </w:tc>
        <w:tc>
          <w:tcPr>
            <w:tcW w:type="dxa" w:w="4360"/>
            <w:shd w:fill="1a73e8" w:val="clear"/>
            <w:tcMar>
              <w:top w:type="dxa" w:w="40"/>
              <w:left w:type="dxa" w:w="90"/>
              <w:bottom w:type="dxa" w:w="40"/>
              <w:right w:type="dxa" w:w="90"/>
            </w:tcMar>
          </w:tcPr>
          <w:p>
            <w:r>
              <w:rPr>
                <w:b/>
                <w:bCs/>
                <w:color w:val="ffffff"/>
                <w:sz w:val="19"/>
                <w:szCs w:val="19"/>
              </w:rPr>
              <w:t xml:space="preserve">Role</w:t>
            </w:r>
          </w:p>
        </w:tc>
      </w:tr>
      <w:tr>
        <w:tc>
          <w:tcPr>
            <w:tcW w:type="dxa" w:w="2600"/>
            <w:shd w:fill="ffffff" w:val="clear"/>
            <w:tcMar>
              <w:top w:type="dxa" w:w="40"/>
              <w:left w:type="dxa" w:w="90"/>
              <w:bottom w:type="dxa" w:w="40"/>
              <w:right w:type="dxa" w:w="90"/>
            </w:tcMar>
          </w:tcPr>
          <w:p>
            <w:r>
              <w:rPr>
                <w:sz w:val="18"/>
                <w:szCs w:val="18"/>
              </w:rPr>
              <w:t xml:space="preserve">User (İkbal)</w:t>
            </w:r>
          </w:p>
        </w:tc>
        <w:tc>
          <w:tcPr>
            <w:tcW w:type="dxa" w:w="2400"/>
            <w:shd w:fill="ffffff" w:val="clear"/>
            <w:tcMar>
              <w:top w:type="dxa" w:w="40"/>
              <w:left w:type="dxa" w:w="90"/>
              <w:bottom w:type="dxa" w:w="40"/>
              <w:right w:type="dxa" w:w="90"/>
            </w:tcMar>
          </w:tcPr>
          <w:p>
            <w:r>
              <w:rPr>
                <w:sz w:val="18"/>
                <w:szCs w:val="18"/>
              </w:rPr>
              <w:t xml:space="preserve">Primary</w:t>
            </w:r>
          </w:p>
        </w:tc>
        <w:tc>
          <w:tcPr>
            <w:tcW w:type="dxa" w:w="4360"/>
            <w:shd w:fill="ffffff" w:val="clear"/>
            <w:tcMar>
              <w:top w:type="dxa" w:w="40"/>
              <w:left w:type="dxa" w:w="90"/>
              <w:bottom w:type="dxa" w:w="40"/>
              <w:right w:type="dxa" w:w="90"/>
            </w:tcMar>
          </w:tcPr>
          <w:p>
            <w:r>
              <w:rPr>
                <w:sz w:val="18"/>
                <w:szCs w:val="18"/>
              </w:rPr>
              <w:t xml:space="preserve">Interacts with the system over Telegram; enters content, queries, reports state.</w:t>
            </w:r>
          </w:p>
        </w:tc>
      </w:tr>
      <w:tr>
        <w:tc>
          <w:tcPr>
            <w:tcW w:type="dxa" w:w="2600"/>
            <w:shd w:fill="f5f7fa" w:val="clear"/>
            <w:tcMar>
              <w:top w:type="dxa" w:w="40"/>
              <w:left w:type="dxa" w:w="90"/>
              <w:bottom w:type="dxa" w:w="40"/>
              <w:right w:type="dxa" w:w="90"/>
            </w:tcMar>
          </w:tcPr>
          <w:p>
            <w:r>
              <w:rPr>
                <w:sz w:val="18"/>
                <w:szCs w:val="18"/>
              </w:rPr>
              <w:t xml:space="preserve">Scheduler (Time)</w:t>
            </w:r>
          </w:p>
        </w:tc>
        <w:tc>
          <w:tcPr>
            <w:tcW w:type="dxa" w:w="2400"/>
            <w:shd w:fill="f5f7fa" w:val="clear"/>
            <w:tcMar>
              <w:top w:type="dxa" w:w="40"/>
              <w:left w:type="dxa" w:w="90"/>
              <w:bottom w:type="dxa" w:w="40"/>
              <w:right w:type="dxa" w:w="90"/>
            </w:tcMar>
          </w:tcPr>
          <w:p>
            <w:r>
              <w:rPr>
                <w:sz w:val="18"/>
                <w:szCs w:val="18"/>
              </w:rPr>
              <w:t xml:space="preserve">Secondary (trigger)</w:t>
            </w:r>
          </w:p>
        </w:tc>
        <w:tc>
          <w:tcPr>
            <w:tcW w:type="dxa" w:w="4360"/>
            <w:shd w:fill="f5f7fa" w:val="clear"/>
            <w:tcMar>
              <w:top w:type="dxa" w:w="40"/>
              <w:left w:type="dxa" w:w="90"/>
              <w:bottom w:type="dxa" w:w="40"/>
              <w:right w:type="dxa" w:w="90"/>
            </w:tcMar>
          </w:tcPr>
          <w:p>
            <w:r>
              <w:rPr>
                <w:sz w:val="18"/>
                <w:szCs w:val="18"/>
              </w:rPr>
              <w:t xml:space="preserve">Starts scheduled jobs: proactive reminders, journal analysis, calendar sync.</w:t>
            </w:r>
          </w:p>
        </w:tc>
      </w:tr>
      <w:tr>
        <w:tc>
          <w:tcPr>
            <w:tcW w:type="dxa" w:w="2600"/>
            <w:shd w:fill="ffffff" w:val="clear"/>
            <w:tcMar>
              <w:top w:type="dxa" w:w="40"/>
              <w:left w:type="dxa" w:w="90"/>
              <w:bottom w:type="dxa" w:w="40"/>
              <w:right w:type="dxa" w:w="90"/>
            </w:tcMar>
          </w:tcPr>
          <w:p>
            <w:r>
              <w:rPr>
                <w:sz w:val="18"/>
                <w:szCs w:val="18"/>
              </w:rPr>
              <w:t xml:space="preserve">LLM Service (Claude)</w:t>
            </w:r>
          </w:p>
        </w:tc>
        <w:tc>
          <w:tcPr>
            <w:tcW w:type="dxa" w:w="2400"/>
            <w:shd w:fill="ffffff" w:val="clear"/>
            <w:tcMar>
              <w:top w:type="dxa" w:w="40"/>
              <w:left w:type="dxa" w:w="90"/>
              <w:bottom w:type="dxa" w:w="40"/>
              <w:right w:type="dxa" w:w="90"/>
            </w:tcMar>
          </w:tcPr>
          <w:p>
            <w:r>
              <w:rPr>
                <w:sz w:val="18"/>
                <w:szCs w:val="18"/>
              </w:rPr>
              <w:t xml:space="preserve">Secondary (external)</w:t>
            </w:r>
          </w:p>
        </w:tc>
        <w:tc>
          <w:tcPr>
            <w:tcW w:type="dxa" w:w="4360"/>
            <w:shd w:fill="ffffff" w:val="clear"/>
            <w:tcMar>
              <w:top w:type="dxa" w:w="40"/>
              <w:left w:type="dxa" w:w="90"/>
              <w:bottom w:type="dxa" w:w="40"/>
              <w:right w:type="dxa" w:w="90"/>
            </w:tcMar>
          </w:tcPr>
          <w:p>
            <w:r>
              <w:rPr>
                <w:sz w:val="18"/>
                <w:szCs w:val="18"/>
              </w:rPr>
              <w:t xml:space="preserve">Intent classification, summarization, text generation, and embeddings.</w:t>
            </w:r>
          </w:p>
        </w:tc>
      </w:tr>
      <w:tr>
        <w:tc>
          <w:tcPr>
            <w:tcW w:type="dxa" w:w="2600"/>
            <w:shd w:fill="f5f7fa" w:val="clear"/>
            <w:tcMar>
              <w:top w:type="dxa" w:w="40"/>
              <w:left w:type="dxa" w:w="90"/>
              <w:bottom w:type="dxa" w:w="40"/>
              <w:right w:type="dxa" w:w="90"/>
            </w:tcMar>
          </w:tcPr>
          <w:p>
            <w:r>
              <w:rPr>
                <w:sz w:val="18"/>
                <w:szCs w:val="18"/>
              </w:rPr>
              <w:t xml:space="preserve">Google Calendar</w:t>
            </w:r>
          </w:p>
        </w:tc>
        <w:tc>
          <w:tcPr>
            <w:tcW w:type="dxa" w:w="2400"/>
            <w:shd w:fill="f5f7fa" w:val="clear"/>
            <w:tcMar>
              <w:top w:type="dxa" w:w="40"/>
              <w:left w:type="dxa" w:w="90"/>
              <w:bottom w:type="dxa" w:w="40"/>
              <w:right w:type="dxa" w:w="90"/>
            </w:tcMar>
          </w:tcPr>
          <w:p>
            <w:r>
              <w:rPr>
                <w:sz w:val="18"/>
                <w:szCs w:val="18"/>
              </w:rPr>
              <w:t xml:space="preserve">Secondary (external)</w:t>
            </w:r>
          </w:p>
        </w:tc>
        <w:tc>
          <w:tcPr>
            <w:tcW w:type="dxa" w:w="4360"/>
            <w:shd w:fill="f5f7fa" w:val="clear"/>
            <w:tcMar>
              <w:top w:type="dxa" w:w="40"/>
              <w:left w:type="dxa" w:w="90"/>
              <w:bottom w:type="dxa" w:w="40"/>
              <w:right w:type="dxa" w:w="90"/>
            </w:tcMar>
          </w:tcPr>
          <w:p>
            <w:r>
              <w:rPr>
                <w:sz w:val="18"/>
                <w:szCs w:val="18"/>
              </w:rPr>
              <w:t xml:space="preserve">Reads/writes events; determines the proactive scheduling window.</w:t>
            </w:r>
          </w:p>
        </w:tc>
      </w:tr>
      <w:tr>
        <w:tc>
          <w:tcPr>
            <w:tcW w:type="dxa" w:w="2600"/>
            <w:shd w:fill="ffffff" w:val="clear"/>
            <w:tcMar>
              <w:top w:type="dxa" w:w="40"/>
              <w:left w:type="dxa" w:w="90"/>
              <w:bottom w:type="dxa" w:w="40"/>
              <w:right w:type="dxa" w:w="90"/>
            </w:tcMar>
          </w:tcPr>
          <w:p>
            <w:r>
              <w:rPr>
                <w:sz w:val="18"/>
                <w:szCs w:val="18"/>
              </w:rPr>
              <w:t xml:space="preserve">Web</w:t>
            </w:r>
          </w:p>
        </w:tc>
        <w:tc>
          <w:tcPr>
            <w:tcW w:type="dxa" w:w="2400"/>
            <w:shd w:fill="ffffff" w:val="clear"/>
            <w:tcMar>
              <w:top w:type="dxa" w:w="40"/>
              <w:left w:type="dxa" w:w="90"/>
              <w:bottom w:type="dxa" w:w="40"/>
              <w:right w:type="dxa" w:w="90"/>
            </w:tcMar>
          </w:tcPr>
          <w:p>
            <w:r>
              <w:rPr>
                <w:sz w:val="18"/>
                <w:szCs w:val="18"/>
              </w:rPr>
              <w:t xml:space="preserve">Secondary (external)</w:t>
            </w:r>
          </w:p>
        </w:tc>
        <w:tc>
          <w:tcPr>
            <w:tcW w:type="dxa" w:w="4360"/>
            <w:shd w:fill="ffffff" w:val="clear"/>
            <w:tcMar>
              <w:top w:type="dxa" w:w="40"/>
              <w:left w:type="dxa" w:w="90"/>
              <w:bottom w:type="dxa" w:w="40"/>
              <w:right w:type="dxa" w:w="90"/>
            </w:tcMar>
          </w:tcPr>
          <w:p>
            <w:r>
              <w:rPr>
                <w:sz w:val="18"/>
                <w:szCs w:val="18"/>
              </w:rPr>
              <w:t xml:space="preserve">Source of link content during bookmark capture.</w:t>
            </w:r>
          </w:p>
        </w:tc>
      </w:tr>
    </w:tbl>
    <w:p>
      <w:pPr>
        <w:pStyle w:val="Heading1"/>
        <w:spacing w:after="120" w:before="260"/>
      </w:pPr>
      <w:r>
        <w:rPr>
          <w:b/>
          <w:bCs/>
        </w:rPr>
        <w:t xml:space="preserve">2. Design Philosophy: Iterative Design, Feedback, Adaptation</w:t>
      </w:r>
    </w:p>
    <w:p>
      <w:pPr>
        <w:spacing w:after="100"/>
        <w:jc w:val="both"/>
      </w:pPr>
      <w:r>
        <w:rPr>
          <w:sz w:val="21"/>
          <w:szCs w:val="21"/>
        </w:rPr>
        <w:t xml:space="preserve">This project is grounded end to end in the principle of iterative design, feedback, and adaptation. The principle operates on two planes:</w:t>
      </w:r>
    </w:p>
    <w:p>
      <w:pPr>
        <w:pStyle w:val="Heading2"/>
        <w:spacing w:after="80" w:before="180"/>
      </w:pPr>
      <w:r>
        <w:rPr>
          <w:b/>
          <w:bCs/>
        </w:rPr>
        <w:t xml:space="preserve">2.1. At the development-process level</w:t>
      </w:r>
    </w:p>
    <w:p>
      <w:pPr>
        <w:spacing w:after="100"/>
        <w:jc w:val="both"/>
      </w:pPr>
      <w:r>
        <w:rPr>
          <w:sz w:val="21"/>
          <w:szCs w:val="21"/>
        </w:rPr>
        <w:t xml:space="preserve">The system is not built all at once; it grows in small phases, each of which works and is usable on its own (see Section 8). At the end of each phase, real usage is observed, this document is updated, and the design of the next phase is adapted to that observation. This document is therefore a “living document”; its version number (v0.1) increments with each iteration.</w:t>
      </w:r>
    </w:p>
    <w:p>
      <w:pPr>
        <w:spacing w:after="100"/>
        <w:jc w:val="both"/>
      </w:pPr>
      <w:r>
        <w:rPr>
          <w:sz w:val="21"/>
          <w:szCs w:val="21"/>
        </w:rPr>
        <w:t xml:space="preserve">This approach is also a defense against a well-known failure mode: such personal systems are typically set up over a weekend, used for two weeks, then abandoned. Small phases that are actually used are worth more than a system that is perfect on paper but never used.</w:t>
      </w:r>
    </w:p>
    <w:p>
      <w:pPr>
        <w:pStyle w:val="Heading2"/>
        <w:spacing w:after="80" w:before="180"/>
      </w:pPr>
      <w:r>
        <w:rPr>
          <w:b/>
          <w:bCs/>
        </w:rPr>
        <w:t xml:space="preserve">2.2. At the product-behavior level</w:t>
      </w:r>
    </w:p>
    <w:p>
      <w:pPr>
        <w:spacing w:after="100"/>
        <w:jc w:val="both"/>
      </w:pPr>
      <w:r>
        <w:rPr>
          <w:sz w:val="21"/>
          <w:szCs w:val="21"/>
        </w:rPr>
        <w:t xml:space="preserve">Iteration is not only the development method; it is at the heart of the product’s own behavior. At the system’s core is a feedback loop: journal entries → metric extraction → scheduling policy → proactive nudge → the user’s reaction → new journal entries. Instead of trying to guess the user’s state, the system reads from the data the user records and adapts its timing decisions accordingly.</w:t>
      </w:r>
    </w:p>
    <w:p>
      <w:pPr>
        <w:spacing w:after="100"/>
        <w:jc w:val="both"/>
      </w:pPr>
      <w:r>
        <w:rPr>
          <w:sz w:val="21"/>
          <w:szCs w:val="21"/>
        </w:rPr>
        <w:t xml:space="preserve">This loop deliberately starts conservative: patterns are first reported descriptively (“over recent weeks your productivity tends to be lower during period X”), moving to prediction only after enough data accumulates — or not at all. The aim is to keep self-observation from turning into anxious self-optimization.</w:t>
      </w:r>
    </w:p>
    <w:p>
      <w:pPr>
        <w:pStyle w:val="Heading2"/>
        <w:spacing w:after="80" w:before="180"/>
      </w:pPr>
      <w:r>
        <w:rPr>
          <w:b/>
          <w:bCs/>
        </w:rPr>
        <w:t xml:space="preserve">2.3. Interaction Principles — act, don’t chat</w:t>
      </w:r>
    </w:p>
    <w:p>
      <w:pPr>
        <w:spacing w:after="100"/>
        <w:jc w:val="both"/>
      </w:pPr>
      <w:r>
        <w:rPr>
          <w:sz w:val="21"/>
          <w:szCs w:val="21"/>
        </w:rPr>
        <w:t xml:space="preserve">The assistant is an agent that does things, not a chatbot that answers. This shapes every user-facing message and is deliberately the opposite of ordinary chat-assistant behavior. It is enforced in the orchestrator’s system prompt.</w:t>
      </w:r>
    </w:p>
    <w:p>
      <w:pPr>
        <w:pStyle w:val="ListParagraph"/>
        <w:numPr>
          <w:ilvl w:val="0"/>
          <w:numId w:val="2"/>
        </w:numPr>
        <w:spacing w:after="40"/>
      </w:pPr>
      <w:r>
        <w:rPr>
          <w:b/>
          <w:bCs/>
          <w:sz w:val="21"/>
          <w:szCs w:val="21"/>
        </w:rPr>
        <w:t xml:space="preserve">Act, don’t discuss. </w:t>
      </w:r>
      <w:r>
        <w:rPr>
          <w:sz w:val="21"/>
          <w:szCs w:val="21"/>
        </w:rPr>
        <w:t xml:space="preserve">Treat an input as a task to carry out with tools, not a question to answer. Do the work, then report it.</w:t>
      </w:r>
    </w:p>
    <w:p>
      <w:pPr>
        <w:pStyle w:val="ListParagraph"/>
        <w:numPr>
          <w:ilvl w:val="0"/>
          <w:numId w:val="2"/>
        </w:numPr>
        <w:spacing w:after="40"/>
      </w:pPr>
      <w:r>
        <w:rPr>
          <w:b/>
          <w:bCs/>
          <w:sz w:val="21"/>
          <w:szCs w:val="21"/>
        </w:rPr>
        <w:t xml:space="preserve">Receipts, not essays. </w:t>
      </w:r>
      <w:r>
        <w:rPr>
          <w:sz w:val="21"/>
          <w:szCs w:val="21"/>
        </w:rPr>
        <w:t xml:space="preserve">After a tool runs, confirm in one short line what was done — no filler, no “anything else?” closers, no restating the request.</w:t>
      </w:r>
    </w:p>
    <w:p>
      <w:pPr>
        <w:pStyle w:val="ListParagraph"/>
        <w:numPr>
          <w:ilvl w:val="0"/>
          <w:numId w:val="2"/>
        </w:numPr>
        <w:spacing w:after="40"/>
      </w:pPr>
      <w:r>
        <w:rPr>
          <w:b/>
          <w:bCs/>
          <w:sz w:val="21"/>
          <w:szCs w:val="21"/>
        </w:rPr>
        <w:t xml:space="preserve">Assume, don’t interrogate. </w:t>
      </w:r>
      <w:r>
        <w:rPr>
          <w:sz w:val="21"/>
          <w:szCs w:val="21"/>
        </w:rPr>
        <w:t xml:space="preserve">On ambiguity, act on the most reasonable interpretation and state the assumption in a few words; ask a question only when genuinely blocked — a missing required value, or a destructive/irreversible action.</w:t>
      </w:r>
    </w:p>
    <w:p>
      <w:pPr>
        <w:pStyle w:val="ListParagraph"/>
        <w:numPr>
          <w:ilvl w:val="0"/>
          <w:numId w:val="2"/>
        </w:numPr>
        <w:spacing w:after="40"/>
      </w:pPr>
      <w:r>
        <w:rPr>
          <w:b/>
          <w:bCs/>
          <w:sz w:val="21"/>
          <w:szCs w:val="21"/>
        </w:rPr>
        <w:t xml:space="preserve">Terse by default, with an escape hatch. </w:t>
      </w:r>
      <w:r>
        <w:rPr>
          <w:sz w:val="21"/>
          <w:szCs w:val="21"/>
        </w:rPr>
        <w:t xml:space="preserve">Keep replies to a line or two; on a command like “detail” or “explain”, switch to a full explanation for that turn, then return to terse mode.</w:t>
      </w:r>
    </w:p>
    <w:p>
      <w:pPr>
        <w:spacing w:after="40" w:before="60"/>
      </w:pPr>
      <w:r>
        <w:rPr>
          <w:i/>
          <w:iCs/>
          <w:sz w:val="21"/>
          <w:szCs w:val="21"/>
        </w:rPr>
        <w:t xml:space="preserve">Example receipt:</w:t>
      </w:r>
    </w:p>
    <w:p>
      <w:pPr>
        <w:spacing w:after="140"/>
      </w:pPr>
      <w:r>
        <w:rPr>
          <w:rFonts w:ascii="Consolas" w:cs="Consolas" w:eastAsia="Consolas" w:hAnsi="Consolas"/>
          <w:color w:val="137333"/>
          <w:sz w:val="19"/>
          <w:szCs w:val="19"/>
        </w:rPr>
        <w:t xml:space="preserve">✓ Saved → bookmarks · tags: gadget, wishlist · reminder Oct 2</w:t>
      </w:r>
    </w:p>
    <w:p>
      <w:pPr>
        <w:pStyle w:val="Heading1"/>
        <w:spacing w:after="120" w:before="260"/>
      </w:pPr>
      <w:r>
        <w:rPr>
          <w:b/>
          <w:bCs/>
        </w:rPr>
        <w:t xml:space="preserve">3. Use Cases</w:t>
      </w:r>
    </w:p>
    <w:p>
      <w:pPr>
        <w:spacing w:after="100"/>
        <w:jc w:val="both"/>
      </w:pPr>
      <w:r>
        <w:rPr>
          <w:sz w:val="21"/>
          <w:szCs w:val="21"/>
        </w:rPr>
        <w:t xml:space="preserve">The use case diagram below summarizes how the primary actor (the user) and the scheduler plus external services interact with the system. The proactive use cases (UC7–UC9) are triggered not by the user but by the Scheduler actor — this is how the system’s non-passive nature shows up in the diagram.</w:t>
      </w:r>
    </w:p>
    <w:p>
      <w:pPr>
        <w:spacing w:after="40" w:before="120"/>
        <w:jc w:val="center"/>
      </w:pPr>
      <w:r>
        <w:drawing>
          <wp:inline distT="0" distB="0" distL="0" distR="0">
            <wp:extent cx="43053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05300" cy="4895850"/>
                    </a:xfrm>
                    <a:prstGeom prst="rect">
                      <a:avLst/>
                    </a:prstGeom>
                  </pic:spPr>
                </pic:pic>
              </a:graphicData>
            </a:graphic>
          </wp:inline>
        </w:drawing>
      </w:r>
    </w:p>
    <w:p>
      <w:pPr>
        <w:spacing w:after="160"/>
        <w:jc w:val="center"/>
      </w:pPr>
      <w:r>
        <w:rPr>
          <w:i/>
          <w:iCs/>
          <w:color w:val="5f6368"/>
          <w:sz w:val="17"/>
          <w:szCs w:val="17"/>
        </w:rPr>
        <w:t xml:space="preserve">Figure 1 — Use case diagram</w:t>
      </w:r>
    </w:p>
    <w:p>
      <w:pPr>
        <w:pStyle w:val="Heading2"/>
        <w:spacing w:after="80" w:before="180"/>
      </w:pPr>
      <w:r>
        <w:rPr>
          <w:b/>
          <w:bCs/>
        </w:rPr>
        <w:t xml:space="preserve">3.1. Detailed use cases</w:t>
      </w:r>
    </w:p>
    <w:p>
      <w:pPr>
        <w:spacing w:after="100"/>
        <w:jc w:val="both"/>
      </w:pPr>
      <w:r>
        <w:rPr>
          <w:i/>
          <w:iCs/>
          <w:sz w:val="21"/>
          <w:szCs w:val="21"/>
        </w:rPr>
        <w:t xml:space="preserve">Two representative use cases are fully expanded; the others follow a similar structure.</w:t>
      </w:r>
    </w:p>
    <w:p>
      <w:pPr>
        <w:spacing w:after="60" w:before="100"/>
      </w:pPr>
      <w:r>
        <w:rPr>
          <w:b/>
          <w:bCs/>
          <w:sz w:val="22"/>
          <w:szCs w:val="22"/>
        </w:rPr>
        <w:t xml:space="preserve">UC2 — Save link (URL)</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200"/>
        <w:gridCol w:w="7160"/>
      </w:tblGrid>
      <w:tr>
        <w:trPr>
          <w:tblHeader/>
        </w:trPr>
        <w:tc>
          <w:tcPr>
            <w:tcW w:type="dxa" w:w="2200"/>
            <w:shd w:fill="1a73e8" w:val="clear"/>
            <w:tcMar>
              <w:top w:type="dxa" w:w="40"/>
              <w:left w:type="dxa" w:w="90"/>
              <w:bottom w:type="dxa" w:w="40"/>
              <w:right w:type="dxa" w:w="90"/>
            </w:tcMar>
          </w:tcPr>
          <w:p>
            <w:r>
              <w:rPr>
                <w:b/>
                <w:bCs/>
                <w:color w:val="ffffff"/>
                <w:sz w:val="19"/>
                <w:szCs w:val="19"/>
              </w:rPr>
              <w:t xml:space="preserve">Field</w:t>
            </w:r>
          </w:p>
        </w:tc>
        <w:tc>
          <w:tcPr>
            <w:tcW w:type="dxa" w:w="7160"/>
            <w:shd w:fill="1a73e8" w:val="clear"/>
            <w:tcMar>
              <w:top w:type="dxa" w:w="40"/>
              <w:left w:type="dxa" w:w="90"/>
              <w:bottom w:type="dxa" w:w="40"/>
              <w:right w:type="dxa" w:w="90"/>
            </w:tcMar>
          </w:tcPr>
          <w:p>
            <w:r>
              <w:rPr>
                <w:b/>
                <w:bCs/>
                <w:color w:val="ffffff"/>
                <w:sz w:val="19"/>
                <w:szCs w:val="19"/>
              </w:rPr>
              <w:t xml:space="preserve">Content</w:t>
            </w:r>
          </w:p>
        </w:tc>
      </w:tr>
      <w:tr>
        <w:tc>
          <w:tcPr>
            <w:tcW w:type="dxa" w:w="2200"/>
            <w:shd w:fill="ffffff" w:val="clear"/>
            <w:tcMar>
              <w:top w:type="dxa" w:w="40"/>
              <w:left w:type="dxa" w:w="90"/>
              <w:bottom w:type="dxa" w:w="40"/>
              <w:right w:type="dxa" w:w="90"/>
            </w:tcMar>
          </w:tcPr>
          <w:p>
            <w:r>
              <w:rPr>
                <w:sz w:val="18"/>
                <w:szCs w:val="18"/>
              </w:rPr>
              <w:t xml:space="preserve">Actor</w:t>
            </w:r>
          </w:p>
        </w:tc>
        <w:tc>
          <w:tcPr>
            <w:tcW w:type="dxa" w:w="7160"/>
            <w:shd w:fill="ffffff" w:val="clear"/>
            <w:tcMar>
              <w:top w:type="dxa" w:w="40"/>
              <w:left w:type="dxa" w:w="90"/>
              <w:bottom w:type="dxa" w:w="40"/>
              <w:right w:type="dxa" w:w="90"/>
            </w:tcMar>
          </w:tcPr>
          <w:p>
            <w:r>
              <w:rPr>
                <w:sz w:val="18"/>
                <w:szCs w:val="18"/>
              </w:rPr>
              <w:t xml:space="preserve">User (primary), Web and LLM (secondary)</w:t>
            </w:r>
          </w:p>
        </w:tc>
      </w:tr>
      <w:tr>
        <w:tc>
          <w:tcPr>
            <w:tcW w:type="dxa" w:w="2200"/>
            <w:shd w:fill="f5f7fa" w:val="clear"/>
            <w:tcMar>
              <w:top w:type="dxa" w:w="40"/>
              <w:left w:type="dxa" w:w="90"/>
              <w:bottom w:type="dxa" w:w="40"/>
              <w:right w:type="dxa" w:w="90"/>
            </w:tcMar>
          </w:tcPr>
          <w:p>
            <w:r>
              <w:rPr>
                <w:sz w:val="18"/>
                <w:szCs w:val="18"/>
              </w:rPr>
              <w:t xml:space="preserve">Precondition</w:t>
            </w:r>
          </w:p>
        </w:tc>
        <w:tc>
          <w:tcPr>
            <w:tcW w:type="dxa" w:w="7160"/>
            <w:shd w:fill="f5f7fa" w:val="clear"/>
            <w:tcMar>
              <w:top w:type="dxa" w:w="40"/>
              <w:left w:type="dxa" w:w="90"/>
              <w:bottom w:type="dxa" w:w="40"/>
              <w:right w:type="dxa" w:w="90"/>
            </w:tcMar>
          </w:tcPr>
          <w:p>
            <w:r>
              <w:rPr>
                <w:sz w:val="18"/>
                <w:szCs w:val="18"/>
              </w:rPr>
              <w:t xml:space="preserve">System running; user authenticated.</w:t>
            </w:r>
          </w:p>
        </w:tc>
      </w:tr>
      <w:tr>
        <w:tc>
          <w:tcPr>
            <w:tcW w:type="dxa" w:w="2200"/>
            <w:shd w:fill="ffffff" w:val="clear"/>
            <w:tcMar>
              <w:top w:type="dxa" w:w="40"/>
              <w:left w:type="dxa" w:w="90"/>
              <w:bottom w:type="dxa" w:w="40"/>
              <w:right w:type="dxa" w:w="90"/>
            </w:tcMar>
          </w:tcPr>
          <w:p>
            <w:r>
              <w:rPr>
                <w:sz w:val="18"/>
                <w:szCs w:val="18"/>
              </w:rPr>
              <w:t xml:space="preserve">Trigger</w:t>
            </w:r>
          </w:p>
        </w:tc>
        <w:tc>
          <w:tcPr>
            <w:tcW w:type="dxa" w:w="7160"/>
            <w:shd w:fill="ffffff" w:val="clear"/>
            <w:tcMar>
              <w:top w:type="dxa" w:w="40"/>
              <w:left w:type="dxa" w:w="90"/>
              <w:bottom w:type="dxa" w:w="40"/>
              <w:right w:type="dxa" w:w="90"/>
            </w:tcMar>
          </w:tcPr>
          <w:p>
            <w:r>
              <w:rPr>
                <w:sz w:val="18"/>
                <w:szCs w:val="18"/>
              </w:rPr>
              <w:t xml:space="preserve">User sends a URL with a short note (“look into this later”).</w:t>
            </w:r>
          </w:p>
        </w:tc>
      </w:tr>
      <w:tr>
        <w:tc>
          <w:tcPr>
            <w:tcW w:type="dxa" w:w="2200"/>
            <w:shd w:fill="f5f7fa" w:val="clear"/>
            <w:tcMar>
              <w:top w:type="dxa" w:w="40"/>
              <w:left w:type="dxa" w:w="90"/>
              <w:bottom w:type="dxa" w:w="40"/>
              <w:right w:type="dxa" w:w="90"/>
            </w:tcMar>
          </w:tcPr>
          <w:p>
            <w:r>
              <w:rPr>
                <w:sz w:val="18"/>
                <w:szCs w:val="18"/>
              </w:rPr>
              <w:t xml:space="preserve">Main flow</w:t>
            </w:r>
          </w:p>
        </w:tc>
        <w:tc>
          <w:tcPr>
            <w:tcW w:type="dxa" w:w="7160"/>
            <w:shd w:fill="f5f7fa" w:val="clear"/>
            <w:tcMar>
              <w:top w:type="dxa" w:w="40"/>
              <w:left w:type="dxa" w:w="90"/>
              <w:bottom w:type="dxa" w:w="40"/>
              <w:right w:type="dxa" w:w="90"/>
            </w:tcMar>
          </w:tcPr>
          <w:p>
            <w:r>
              <w:rPr>
                <w:sz w:val="18"/>
                <w:szCs w:val="18"/>
              </w:rPr>
              <w:t xml:space="preserve">1. System receives the message and classifies intent (capture + remind).</w:t>
            </w:r>
          </w:p>
          <w:p>
            <w:r>
              <w:rPr>
                <w:sz w:val="18"/>
                <w:szCs w:val="18"/>
              </w:rPr>
              <w:t xml:space="preserve">2. Link content is fetched and summarized with the LLM.</w:t>
            </w:r>
          </w:p>
          <w:p>
            <w:r>
              <w:rPr>
                <w:sz w:val="18"/>
                <w:szCs w:val="18"/>
              </w:rPr>
              <w:t xml:space="preserve">3. A bookmark note is created in the vault with frontmatter and tags.</w:t>
            </w:r>
          </w:p>
          <w:p>
            <w:r>
              <w:rPr>
                <w:sz w:val="18"/>
                <w:szCs w:val="18"/>
              </w:rPr>
              <w:t xml:space="preserve">4. The note is added to the semantic index.</w:t>
            </w:r>
          </w:p>
          <w:p>
            <w:r>
              <w:rPr>
                <w:sz w:val="18"/>
                <w:szCs w:val="18"/>
              </w:rPr>
              <w:t xml:space="preserve">5. An optional reminder is set.</w:t>
            </w:r>
          </w:p>
          <w:p>
            <w:r>
              <w:rPr>
                <w:sz w:val="18"/>
                <w:szCs w:val="18"/>
              </w:rPr>
              <w:t xml:space="preserve">6. A confirmation message is sent to the user.</w:t>
            </w:r>
          </w:p>
        </w:tc>
      </w:tr>
      <w:tr>
        <w:tc>
          <w:tcPr>
            <w:tcW w:type="dxa" w:w="2200"/>
            <w:shd w:fill="ffffff" w:val="clear"/>
            <w:tcMar>
              <w:top w:type="dxa" w:w="40"/>
              <w:left w:type="dxa" w:w="90"/>
              <w:bottom w:type="dxa" w:w="40"/>
              <w:right w:type="dxa" w:w="90"/>
            </w:tcMar>
          </w:tcPr>
          <w:p>
            <w:r>
              <w:rPr>
                <w:sz w:val="18"/>
                <w:szCs w:val="18"/>
              </w:rPr>
              <w:t xml:space="preserve">Alternative flow</w:t>
            </w:r>
          </w:p>
        </w:tc>
        <w:tc>
          <w:tcPr>
            <w:tcW w:type="dxa" w:w="7160"/>
            <w:shd w:fill="ffffff" w:val="clear"/>
            <w:tcMar>
              <w:top w:type="dxa" w:w="40"/>
              <w:left w:type="dxa" w:w="90"/>
              <w:bottom w:type="dxa" w:w="40"/>
              <w:right w:type="dxa" w:w="90"/>
            </w:tcMar>
          </w:tcPr>
          <w:p>
            <w:r>
              <w:rPr>
                <w:sz w:val="18"/>
                <w:szCs w:val="18"/>
              </w:rPr>
              <w:t xml:space="preserve">2a. If the link cannot be fetched: the note is still created, the raw link + the user’s note are stored instead of a summary, and the situation is reported to the user.</w:t>
            </w:r>
          </w:p>
        </w:tc>
      </w:tr>
      <w:tr>
        <w:tc>
          <w:tcPr>
            <w:tcW w:type="dxa" w:w="2200"/>
            <w:shd w:fill="f5f7fa" w:val="clear"/>
            <w:tcMar>
              <w:top w:type="dxa" w:w="40"/>
              <w:left w:type="dxa" w:w="90"/>
              <w:bottom w:type="dxa" w:w="40"/>
              <w:right w:type="dxa" w:w="90"/>
            </w:tcMar>
          </w:tcPr>
          <w:p>
            <w:r>
              <w:rPr>
                <w:sz w:val="18"/>
                <w:szCs w:val="18"/>
              </w:rPr>
              <w:t xml:space="preserve">Postcondition</w:t>
            </w:r>
          </w:p>
        </w:tc>
        <w:tc>
          <w:tcPr>
            <w:tcW w:type="dxa" w:w="7160"/>
            <w:shd w:fill="f5f7fa" w:val="clear"/>
            <w:tcMar>
              <w:top w:type="dxa" w:w="40"/>
              <w:left w:type="dxa" w:w="90"/>
              <w:bottom w:type="dxa" w:w="40"/>
              <w:right w:type="dxa" w:w="90"/>
            </w:tcMar>
          </w:tcPr>
          <w:p>
            <w:r>
              <w:rPr>
                <w:sz w:val="18"/>
                <w:szCs w:val="18"/>
              </w:rPr>
              <w:t xml:space="preserve">A searchable, tagged bookmark note exists in the vault.</w:t>
            </w:r>
          </w:p>
        </w:tc>
      </w:tr>
    </w:tbl>
    <w:p>
      <w:pPr>
        <w:spacing w:after="60" w:before="160"/>
      </w:pPr>
      <w:r>
        <w:rPr>
          <w:b/>
          <w:bCs/>
          <w:sz w:val="22"/>
          <w:szCs w:val="22"/>
        </w:rPr>
        <w:t xml:space="preserve">UC7 — Proactively remind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200"/>
        <w:gridCol w:w="7160"/>
      </w:tblGrid>
      <w:tr>
        <w:trPr>
          <w:tblHeader/>
        </w:trPr>
        <w:tc>
          <w:tcPr>
            <w:tcW w:type="dxa" w:w="2200"/>
            <w:shd w:fill="1a73e8" w:val="clear"/>
            <w:tcMar>
              <w:top w:type="dxa" w:w="40"/>
              <w:left w:type="dxa" w:w="90"/>
              <w:bottom w:type="dxa" w:w="40"/>
              <w:right w:type="dxa" w:w="90"/>
            </w:tcMar>
          </w:tcPr>
          <w:p>
            <w:r>
              <w:rPr>
                <w:b/>
                <w:bCs/>
                <w:color w:val="ffffff"/>
                <w:sz w:val="19"/>
                <w:szCs w:val="19"/>
              </w:rPr>
              <w:t xml:space="preserve">Field</w:t>
            </w:r>
          </w:p>
        </w:tc>
        <w:tc>
          <w:tcPr>
            <w:tcW w:type="dxa" w:w="7160"/>
            <w:shd w:fill="1a73e8" w:val="clear"/>
            <w:tcMar>
              <w:top w:type="dxa" w:w="40"/>
              <w:left w:type="dxa" w:w="90"/>
              <w:bottom w:type="dxa" w:w="40"/>
              <w:right w:type="dxa" w:w="90"/>
            </w:tcMar>
          </w:tcPr>
          <w:p>
            <w:r>
              <w:rPr>
                <w:b/>
                <w:bCs/>
                <w:color w:val="ffffff"/>
                <w:sz w:val="19"/>
                <w:szCs w:val="19"/>
              </w:rPr>
              <w:t xml:space="preserve">Content</w:t>
            </w:r>
          </w:p>
        </w:tc>
      </w:tr>
      <w:tr>
        <w:tc>
          <w:tcPr>
            <w:tcW w:type="dxa" w:w="2200"/>
            <w:shd w:fill="ffffff" w:val="clear"/>
            <w:tcMar>
              <w:top w:type="dxa" w:w="40"/>
              <w:left w:type="dxa" w:w="90"/>
              <w:bottom w:type="dxa" w:w="40"/>
              <w:right w:type="dxa" w:w="90"/>
            </w:tcMar>
          </w:tcPr>
          <w:p>
            <w:r>
              <w:rPr>
                <w:sz w:val="18"/>
                <w:szCs w:val="18"/>
              </w:rPr>
              <w:t xml:space="preserve">Actor</w:t>
            </w:r>
          </w:p>
        </w:tc>
        <w:tc>
          <w:tcPr>
            <w:tcW w:type="dxa" w:w="7160"/>
            <w:shd w:fill="ffffff" w:val="clear"/>
            <w:tcMar>
              <w:top w:type="dxa" w:w="40"/>
              <w:left w:type="dxa" w:w="90"/>
              <w:bottom w:type="dxa" w:w="40"/>
              <w:right w:type="dxa" w:w="90"/>
            </w:tcMar>
          </w:tcPr>
          <w:p>
            <w:r>
              <w:rPr>
                <w:sz w:val="18"/>
                <w:szCs w:val="18"/>
              </w:rPr>
              <w:t xml:space="preserve">Scheduler (trigger), User (recipient)</w:t>
            </w:r>
          </w:p>
        </w:tc>
      </w:tr>
      <w:tr>
        <w:tc>
          <w:tcPr>
            <w:tcW w:type="dxa" w:w="2200"/>
            <w:shd w:fill="f5f7fa" w:val="clear"/>
            <w:tcMar>
              <w:top w:type="dxa" w:w="40"/>
              <w:left w:type="dxa" w:w="90"/>
              <w:bottom w:type="dxa" w:w="40"/>
              <w:right w:type="dxa" w:w="90"/>
            </w:tcMar>
          </w:tcPr>
          <w:p>
            <w:r>
              <w:rPr>
                <w:sz w:val="18"/>
                <w:szCs w:val="18"/>
              </w:rPr>
              <w:t xml:space="preserve">Precondition</w:t>
            </w:r>
          </w:p>
        </w:tc>
        <w:tc>
          <w:tcPr>
            <w:tcW w:type="dxa" w:w="7160"/>
            <w:shd w:fill="f5f7fa" w:val="clear"/>
            <w:tcMar>
              <w:top w:type="dxa" w:w="40"/>
              <w:left w:type="dxa" w:w="90"/>
              <w:bottom w:type="dxa" w:w="40"/>
              <w:right w:type="dxa" w:w="90"/>
            </w:tcMar>
          </w:tcPr>
          <w:p>
            <w:r>
              <w:rPr>
                <w:sz w:val="18"/>
                <w:szCs w:val="18"/>
              </w:rPr>
              <w:t xml:space="preserve">A due reminder or a triggered context match exists.</w:t>
            </w:r>
          </w:p>
        </w:tc>
      </w:tr>
      <w:tr>
        <w:tc>
          <w:tcPr>
            <w:tcW w:type="dxa" w:w="2200"/>
            <w:shd w:fill="ffffff" w:val="clear"/>
            <w:tcMar>
              <w:top w:type="dxa" w:w="40"/>
              <w:left w:type="dxa" w:w="90"/>
              <w:bottom w:type="dxa" w:w="40"/>
              <w:right w:type="dxa" w:w="90"/>
            </w:tcMar>
          </w:tcPr>
          <w:p>
            <w:r>
              <w:rPr>
                <w:sz w:val="18"/>
                <w:szCs w:val="18"/>
              </w:rPr>
              <w:t xml:space="preserve">Trigger</w:t>
            </w:r>
          </w:p>
        </w:tc>
        <w:tc>
          <w:tcPr>
            <w:tcW w:type="dxa" w:w="7160"/>
            <w:shd w:fill="ffffff" w:val="clear"/>
            <w:tcMar>
              <w:top w:type="dxa" w:w="40"/>
              <w:left w:type="dxa" w:w="90"/>
              <w:bottom w:type="dxa" w:w="40"/>
              <w:right w:type="dxa" w:w="90"/>
            </w:tcMar>
          </w:tcPr>
          <w:p>
            <w:r>
              <w:rPr>
                <w:sz w:val="18"/>
                <w:szCs w:val="18"/>
              </w:rPr>
              <w:t xml:space="preserve">The scheduler loop (e.g., every 60 s) catches a condition.</w:t>
            </w:r>
          </w:p>
        </w:tc>
      </w:tr>
      <w:tr>
        <w:tc>
          <w:tcPr>
            <w:tcW w:type="dxa" w:w="2200"/>
            <w:shd w:fill="f5f7fa" w:val="clear"/>
            <w:tcMar>
              <w:top w:type="dxa" w:w="40"/>
              <w:left w:type="dxa" w:w="90"/>
              <w:bottom w:type="dxa" w:w="40"/>
              <w:right w:type="dxa" w:w="90"/>
            </w:tcMar>
          </w:tcPr>
          <w:p>
            <w:r>
              <w:rPr>
                <w:sz w:val="18"/>
                <w:szCs w:val="18"/>
              </w:rPr>
              <w:t xml:space="preserve">Main flow</w:t>
            </w:r>
          </w:p>
        </w:tc>
        <w:tc>
          <w:tcPr>
            <w:tcW w:type="dxa" w:w="7160"/>
            <w:shd w:fill="f5f7fa" w:val="clear"/>
            <w:tcMar>
              <w:top w:type="dxa" w:w="40"/>
              <w:left w:type="dxa" w:w="90"/>
              <w:bottom w:type="dxa" w:w="40"/>
              <w:right w:type="dxa" w:w="90"/>
            </w:tcMar>
          </w:tcPr>
          <w:p>
            <w:r>
              <w:rPr>
                <w:sz w:val="18"/>
                <w:szCs w:val="18"/>
              </w:rPr>
              <w:t xml:space="preserve">1. The scheduler detects the due job.</w:t>
            </w:r>
          </w:p>
          <w:p>
            <w:r>
              <w:rPr>
                <w:sz w:val="18"/>
                <w:szCs w:val="18"/>
              </w:rPr>
              <w:t xml:space="preserve">2. The policy engine evaluates “is now appropriate?”: quiet hours, calendar busyness, state flags, rate limit.</w:t>
            </w:r>
          </w:p>
          <w:p>
            <w:r>
              <w:rPr>
                <w:sz w:val="18"/>
                <w:szCs w:val="18"/>
              </w:rPr>
              <w:t xml:space="preserve">3. If appropriate, the orchestrator composes the message (with semantic recall if needed).</w:t>
            </w:r>
          </w:p>
          <w:p>
            <w:r>
              <w:rPr>
                <w:sz w:val="18"/>
                <w:szCs w:val="18"/>
              </w:rPr>
              <w:t xml:space="preserve">4. The message is sent to the user.</w:t>
            </w:r>
          </w:p>
        </w:tc>
      </w:tr>
      <w:tr>
        <w:tc>
          <w:tcPr>
            <w:tcW w:type="dxa" w:w="2200"/>
            <w:shd w:fill="ffffff" w:val="clear"/>
            <w:tcMar>
              <w:top w:type="dxa" w:w="40"/>
              <w:left w:type="dxa" w:w="90"/>
              <w:bottom w:type="dxa" w:w="40"/>
              <w:right w:type="dxa" w:w="90"/>
            </w:tcMar>
          </w:tcPr>
          <w:p>
            <w:r>
              <w:rPr>
                <w:sz w:val="18"/>
                <w:szCs w:val="18"/>
              </w:rPr>
              <w:t xml:space="preserve">Alternative flow</w:t>
            </w:r>
          </w:p>
        </w:tc>
        <w:tc>
          <w:tcPr>
            <w:tcW w:type="dxa" w:w="7160"/>
            <w:shd w:fill="ffffff" w:val="clear"/>
            <w:tcMar>
              <w:top w:type="dxa" w:w="40"/>
              <w:left w:type="dxa" w:w="90"/>
              <w:bottom w:type="dxa" w:w="40"/>
              <w:right w:type="dxa" w:w="90"/>
            </w:tcMar>
          </w:tcPr>
          <w:p>
            <w:r>
              <w:rPr>
                <w:sz w:val="18"/>
                <w:szCs w:val="18"/>
              </w:rPr>
              <w:t xml:space="preserve">2a. If not appropriate: the job is deferred to the next suitable window; the user is not disturbed.</w:t>
            </w:r>
          </w:p>
        </w:tc>
      </w:tr>
      <w:tr>
        <w:tc>
          <w:tcPr>
            <w:tcW w:type="dxa" w:w="2200"/>
            <w:shd w:fill="f5f7fa" w:val="clear"/>
            <w:tcMar>
              <w:top w:type="dxa" w:w="40"/>
              <w:left w:type="dxa" w:w="90"/>
              <w:bottom w:type="dxa" w:w="40"/>
              <w:right w:type="dxa" w:w="90"/>
            </w:tcMar>
          </w:tcPr>
          <w:p>
            <w:r>
              <w:rPr>
                <w:sz w:val="18"/>
                <w:szCs w:val="18"/>
              </w:rPr>
              <w:t xml:space="preserve">Postcondition</w:t>
            </w:r>
          </w:p>
        </w:tc>
        <w:tc>
          <w:tcPr>
            <w:tcW w:type="dxa" w:w="7160"/>
            <w:shd w:fill="f5f7fa" w:val="clear"/>
            <w:tcMar>
              <w:top w:type="dxa" w:w="40"/>
              <w:left w:type="dxa" w:w="90"/>
              <w:bottom w:type="dxa" w:w="40"/>
              <w:right w:type="dxa" w:w="90"/>
            </w:tcMar>
          </w:tcPr>
          <w:p>
            <w:r>
              <w:rPr>
                <w:sz w:val="18"/>
                <w:szCs w:val="18"/>
              </w:rPr>
              <w:t xml:space="preserve">The user receives a well-timed, relevant nudge, or is not disturbed at all.</w:t>
            </w:r>
          </w:p>
        </w:tc>
      </w:tr>
    </w:tbl>
    <w:p>
      <w:pPr>
        <w:pStyle w:val="Heading1"/>
        <w:spacing w:after="120" w:before="260"/>
      </w:pPr>
      <w:r>
        <w:rPr>
          <w:b/>
          <w:bCs/>
        </w:rPr>
        <w:t xml:space="preserve">4. Domain Model</w:t>
      </w:r>
    </w:p>
    <w:p>
      <w:pPr>
        <w:spacing w:after="100"/>
        <w:jc w:val="both"/>
      </w:pPr>
      <w:r>
        <w:rPr>
          <w:sz w:val="21"/>
          <w:szCs w:val="21"/>
        </w:rPr>
        <w:t xml:space="preserve">The domain model shows the concepts and relationships in the problem space the system addresses (not the implementation classes — those are in Section 6). The central concept is the Note; Bookmark and Journal Entry are its specializations. A Journal Entry is associated with Day Metrics derived at end of day, and those metrics form the data source for proactive scheduling.</w:t>
      </w:r>
    </w:p>
    <w:p>
      <w:pPr>
        <w:spacing w:after="40"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14650"/>
                    </a:xfrm>
                    <a:prstGeom prst="rect">
                      <a:avLst/>
                    </a:prstGeom>
                  </pic:spPr>
                </pic:pic>
              </a:graphicData>
            </a:graphic>
          </wp:inline>
        </w:drawing>
      </w:r>
    </w:p>
    <w:p>
      <w:pPr>
        <w:spacing w:after="160"/>
        <w:jc w:val="center"/>
      </w:pPr>
      <w:r>
        <w:rPr>
          <w:i/>
          <w:iCs/>
          <w:color w:val="5f6368"/>
          <w:sz w:val="17"/>
          <w:szCs w:val="17"/>
        </w:rPr>
        <w:t xml:space="preserve">Figure 2 — Domain model</w:t>
      </w:r>
    </w:p>
    <w:p>
      <w:pPr>
        <w:pStyle w:val="Heading2"/>
        <w:spacing w:after="80" w:before="180"/>
      </w:pPr>
      <w:r>
        <w:rPr>
          <w:b/>
          <w:bCs/>
        </w:rPr>
        <w:t xml:space="preserve">4.1. Concept glossary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400"/>
        <w:gridCol w:w="6960"/>
      </w:tblGrid>
      <w:tr>
        <w:trPr>
          <w:tblHeader/>
        </w:trPr>
        <w:tc>
          <w:tcPr>
            <w:tcW w:type="dxa" w:w="2400"/>
            <w:shd w:fill="1a73e8" w:val="clear"/>
            <w:tcMar>
              <w:top w:type="dxa" w:w="40"/>
              <w:left w:type="dxa" w:w="90"/>
              <w:bottom w:type="dxa" w:w="40"/>
              <w:right w:type="dxa" w:w="90"/>
            </w:tcMar>
          </w:tcPr>
          <w:p>
            <w:r>
              <w:rPr>
                <w:b/>
                <w:bCs/>
                <w:color w:val="ffffff"/>
                <w:sz w:val="19"/>
                <w:szCs w:val="19"/>
              </w:rPr>
              <w:t xml:space="preserve">Concept</w:t>
            </w:r>
          </w:p>
        </w:tc>
        <w:tc>
          <w:tcPr>
            <w:tcW w:type="dxa" w:w="6960"/>
            <w:shd w:fill="1a73e8" w:val="clear"/>
            <w:tcMar>
              <w:top w:type="dxa" w:w="40"/>
              <w:left w:type="dxa" w:w="90"/>
              <w:bottom w:type="dxa" w:w="40"/>
              <w:right w:type="dxa" w:w="90"/>
            </w:tcMar>
          </w:tcPr>
          <w:p>
            <w:r>
              <w:rPr>
                <w:b/>
                <w:bCs/>
                <w:color w:val="ffffff"/>
                <w:sz w:val="19"/>
                <w:szCs w:val="19"/>
              </w:rPr>
              <w:t xml:space="preserve">Definition</w:t>
            </w:r>
          </w:p>
        </w:tc>
      </w:tr>
      <w:tr>
        <w:tc>
          <w:tcPr>
            <w:tcW w:type="dxa" w:w="2400"/>
            <w:shd w:fill="ffffff" w:val="clear"/>
            <w:tcMar>
              <w:top w:type="dxa" w:w="40"/>
              <w:left w:type="dxa" w:w="90"/>
              <w:bottom w:type="dxa" w:w="40"/>
              <w:right w:type="dxa" w:w="90"/>
            </w:tcMar>
          </w:tcPr>
          <w:p>
            <w:r>
              <w:rPr>
                <w:sz w:val="18"/>
                <w:szCs w:val="18"/>
              </w:rPr>
              <w:t xml:space="preserve">Note</w:t>
            </w:r>
          </w:p>
        </w:tc>
        <w:tc>
          <w:tcPr>
            <w:tcW w:type="dxa" w:w="6960"/>
            <w:shd w:fill="ffffff" w:val="clear"/>
            <w:tcMar>
              <w:top w:type="dxa" w:w="40"/>
              <w:left w:type="dxa" w:w="90"/>
              <w:bottom w:type="dxa" w:w="40"/>
              <w:right w:type="dxa" w:w="90"/>
            </w:tcMar>
          </w:tcPr>
          <w:p>
            <w:r>
              <w:rPr>
                <w:sz w:val="18"/>
                <w:szCs w:val="18"/>
              </w:rPr>
              <w:t xml:space="preserve">The abstract supertype of every Markdown file in the vault; carries title, content, tags. The source of truth.</w:t>
            </w:r>
          </w:p>
        </w:tc>
      </w:tr>
      <w:tr>
        <w:tc>
          <w:tcPr>
            <w:tcW w:type="dxa" w:w="2400"/>
            <w:shd w:fill="f5f7fa" w:val="clear"/>
            <w:tcMar>
              <w:top w:type="dxa" w:w="40"/>
              <w:left w:type="dxa" w:w="90"/>
              <w:bottom w:type="dxa" w:w="40"/>
              <w:right w:type="dxa" w:w="90"/>
            </w:tcMar>
          </w:tcPr>
          <w:p>
            <w:r>
              <w:rPr>
                <w:sz w:val="18"/>
                <w:szCs w:val="18"/>
              </w:rPr>
              <w:t xml:space="preserve">Bookmark</w:t>
            </w:r>
          </w:p>
        </w:tc>
        <w:tc>
          <w:tcPr>
            <w:tcW w:type="dxa" w:w="6960"/>
            <w:shd w:fill="f5f7fa" w:val="clear"/>
            <w:tcMar>
              <w:top w:type="dxa" w:w="40"/>
              <w:left w:type="dxa" w:w="90"/>
              <w:bottom w:type="dxa" w:w="40"/>
              <w:right w:type="dxa" w:w="90"/>
            </w:tcMar>
          </w:tcPr>
          <w:p>
            <w:r>
              <w:rPr>
                <w:sz w:val="18"/>
                <w:szCs w:val="18"/>
              </w:rPr>
              <w:t xml:space="preserve">An external source saved with a URL, an auto-summary, and tags (a Note specialization).</w:t>
            </w:r>
          </w:p>
        </w:tc>
      </w:tr>
      <w:tr>
        <w:tc>
          <w:tcPr>
            <w:tcW w:type="dxa" w:w="2400"/>
            <w:shd w:fill="ffffff" w:val="clear"/>
            <w:tcMar>
              <w:top w:type="dxa" w:w="40"/>
              <w:left w:type="dxa" w:w="90"/>
              <w:bottom w:type="dxa" w:w="40"/>
              <w:right w:type="dxa" w:w="90"/>
            </w:tcMar>
          </w:tcPr>
          <w:p>
            <w:r>
              <w:rPr>
                <w:sz w:val="18"/>
                <w:szCs w:val="18"/>
              </w:rPr>
              <w:t xml:space="preserve">Journal Entry</w:t>
            </w:r>
          </w:p>
        </w:tc>
        <w:tc>
          <w:tcPr>
            <w:tcW w:type="dxa" w:w="6960"/>
            <w:shd w:fill="ffffff" w:val="clear"/>
            <w:tcMar>
              <w:top w:type="dxa" w:w="40"/>
              <w:left w:type="dxa" w:w="90"/>
              <w:bottom w:type="dxa" w:w="40"/>
              <w:right w:type="dxa" w:w="90"/>
            </w:tcMar>
          </w:tcPr>
          <w:p>
            <w:r>
              <w:rPr>
                <w:sz w:val="18"/>
                <w:szCs w:val="18"/>
              </w:rPr>
              <w:t xml:space="preserve">Free text for a given day: what was done, feelings, events, people (a Note specialization).</w:t>
            </w:r>
          </w:p>
        </w:tc>
      </w:tr>
      <w:tr>
        <w:tc>
          <w:tcPr>
            <w:tcW w:type="dxa" w:w="2400"/>
            <w:shd w:fill="f5f7fa" w:val="clear"/>
            <w:tcMar>
              <w:top w:type="dxa" w:w="40"/>
              <w:left w:type="dxa" w:w="90"/>
              <w:bottom w:type="dxa" w:w="40"/>
              <w:right w:type="dxa" w:w="90"/>
            </w:tcMar>
          </w:tcPr>
          <w:p>
            <w:r>
              <w:rPr>
                <w:sz w:val="18"/>
                <w:szCs w:val="18"/>
              </w:rPr>
              <w:t xml:space="preserve">Day Metrics</w:t>
            </w:r>
          </w:p>
        </w:tc>
        <w:tc>
          <w:tcPr>
            <w:tcW w:type="dxa" w:w="6960"/>
            <w:shd w:fill="f5f7fa" w:val="clear"/>
            <w:tcMar>
              <w:top w:type="dxa" w:w="40"/>
              <w:left w:type="dxa" w:w="90"/>
              <w:bottom w:type="dxa" w:w="40"/>
              <w:right w:type="dxa" w:w="90"/>
            </w:tcMar>
          </w:tcPr>
          <w:p>
            <w:r>
              <w:rPr>
                <w:sz w:val="18"/>
                <w:szCs w:val="18"/>
              </w:rPr>
              <w:t xml:space="preserve">Fixed-scale indicators derived from the journal entry via the LLM (mood, energy, productivity, stress — 1–5). Stored in frontmatter; the user can correct them by hand.</w:t>
            </w:r>
          </w:p>
        </w:tc>
      </w:tr>
      <w:tr>
        <w:tc>
          <w:tcPr>
            <w:tcW w:type="dxa" w:w="2400"/>
            <w:shd w:fill="ffffff" w:val="clear"/>
            <w:tcMar>
              <w:top w:type="dxa" w:w="40"/>
              <w:left w:type="dxa" w:w="90"/>
              <w:bottom w:type="dxa" w:w="40"/>
              <w:right w:type="dxa" w:w="90"/>
            </w:tcMar>
          </w:tcPr>
          <w:p>
            <w:r>
              <w:rPr>
                <w:sz w:val="18"/>
                <w:szCs w:val="18"/>
              </w:rPr>
              <w:t xml:space="preserve">State Flag</w:t>
            </w:r>
          </w:p>
        </w:tc>
        <w:tc>
          <w:tcPr>
            <w:tcW w:type="dxa" w:w="6960"/>
            <w:shd w:fill="ffffff" w:val="clear"/>
            <w:tcMar>
              <w:top w:type="dxa" w:w="40"/>
              <w:left w:type="dxa" w:w="90"/>
              <w:bottom w:type="dxa" w:w="40"/>
              <w:right w:type="dxa" w:w="90"/>
            </w:tcMar>
          </w:tcPr>
          <w:p>
            <w:r>
              <w:rPr>
                <w:sz w:val="18"/>
                <w:szCs w:val="18"/>
              </w:rPr>
              <w:t xml:space="preserve">Contextual state reported by the user: energy level, cycle phase, exam week. Input to the policy engine.</w:t>
            </w:r>
          </w:p>
        </w:tc>
      </w:tr>
      <w:tr>
        <w:tc>
          <w:tcPr>
            <w:tcW w:type="dxa" w:w="2400"/>
            <w:shd w:fill="f5f7fa" w:val="clear"/>
            <w:tcMar>
              <w:top w:type="dxa" w:w="40"/>
              <w:left w:type="dxa" w:w="90"/>
              <w:bottom w:type="dxa" w:w="40"/>
              <w:right w:type="dxa" w:w="90"/>
            </w:tcMar>
          </w:tcPr>
          <w:p>
            <w:r>
              <w:rPr>
                <w:sz w:val="18"/>
                <w:szCs w:val="18"/>
              </w:rPr>
              <w:t xml:space="preserve">Reminder / Task</w:t>
            </w:r>
          </w:p>
        </w:tc>
        <w:tc>
          <w:tcPr>
            <w:tcW w:type="dxa" w:w="6960"/>
            <w:shd w:fill="f5f7fa" w:val="clear"/>
            <w:tcMar>
              <w:top w:type="dxa" w:w="40"/>
              <w:left w:type="dxa" w:w="90"/>
              <w:bottom w:type="dxa" w:w="40"/>
              <w:right w:type="dxa" w:w="90"/>
            </w:tcMar>
          </w:tcPr>
          <w:p>
            <w:r>
              <w:rPr>
                <w:sz w:val="18"/>
                <w:szCs w:val="18"/>
              </w:rPr>
              <w:t xml:space="preserve">A scheduled nudge; a prioritized to-do. Optionally linked to a Note.</w:t>
            </w:r>
          </w:p>
        </w:tc>
      </w:tr>
      <w:tr>
        <w:tc>
          <w:tcPr>
            <w:tcW w:type="dxa" w:w="2400"/>
            <w:shd w:fill="ffffff" w:val="clear"/>
            <w:tcMar>
              <w:top w:type="dxa" w:w="40"/>
              <w:left w:type="dxa" w:w="90"/>
              <w:bottom w:type="dxa" w:w="40"/>
              <w:right w:type="dxa" w:w="90"/>
            </w:tcMar>
          </w:tcPr>
          <w:p>
            <w:r>
              <w:rPr>
                <w:sz w:val="18"/>
                <w:szCs w:val="18"/>
              </w:rPr>
              <w:t xml:space="preserve">Calendar Event</w:t>
            </w:r>
          </w:p>
        </w:tc>
        <w:tc>
          <w:tcPr>
            <w:tcW w:type="dxa" w:w="6960"/>
            <w:shd w:fill="ffffff" w:val="clear"/>
            <w:tcMar>
              <w:top w:type="dxa" w:w="40"/>
              <w:left w:type="dxa" w:w="90"/>
              <w:bottom w:type="dxa" w:w="40"/>
              <w:right w:type="dxa" w:w="90"/>
            </w:tcMar>
          </w:tcPr>
          <w:p>
            <w:r>
              <w:rPr>
                <w:sz w:val="18"/>
                <w:szCs w:val="18"/>
              </w:rPr>
              <w:t xml:space="preserve">An event read from Google Calendar; constrains the proactive scheduling window.</w:t>
            </w:r>
          </w:p>
        </w:tc>
      </w:tr>
    </w:tbl>
    <w:p>
      <w:pPr>
        <w:pStyle w:val="Heading1"/>
        <w:spacing w:after="120" w:before="260"/>
      </w:pPr>
      <w:r>
        <w:rPr>
          <w:b/>
          <w:bCs/>
        </w:rPr>
        <w:t xml:space="preserve">5. Interaction / Sequence Diagrams</w:t>
      </w:r>
    </w:p>
    <w:p>
      <w:pPr>
        <w:spacing w:after="100"/>
        <w:jc w:val="both"/>
      </w:pPr>
      <w:r>
        <w:rPr>
          <w:sz w:val="21"/>
          <w:szCs w:val="21"/>
        </w:rPr>
        <w:t xml:space="preserve">Three representative flows show the message order between objects. Solid arrows denote synchronous calls; dashed arrows denote returns.</w:t>
      </w:r>
    </w:p>
    <w:p>
      <w:pPr>
        <w:pStyle w:val="Heading2"/>
        <w:spacing w:after="80" w:before="180"/>
      </w:pPr>
      <w:r>
        <w:rPr>
          <w:b/>
          <w:bCs/>
        </w:rPr>
        <w:t xml:space="preserve">5.1. Link capture</w:t>
      </w:r>
    </w:p>
    <w:p>
      <w:pPr>
        <w:spacing w:after="100"/>
        <w:jc w:val="both"/>
      </w:pPr>
      <w:r>
        <w:rPr>
          <w:sz w:val="21"/>
          <w:szCs w:val="21"/>
        </w:rPr>
        <w:t xml:space="preserve">The flow from the user sending a URL with a “look later” note to a tagged bookmark being created in the vault and a reminder being set:</w:t>
      </w:r>
    </w:p>
    <w:p>
      <w:pPr>
        <w:spacing w:after="40" w:before="120"/>
        <w:jc w:val="center"/>
      </w:pPr>
      <w:r>
        <w:drawing>
          <wp:inline distT="0" distB="0" distL="0" distR="0">
            <wp:extent cx="59436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76525"/>
                    </a:xfrm>
                    <a:prstGeom prst="rect">
                      <a:avLst/>
                    </a:prstGeom>
                  </pic:spPr>
                </pic:pic>
              </a:graphicData>
            </a:graphic>
          </wp:inline>
        </w:drawing>
      </w:r>
    </w:p>
    <w:p>
      <w:pPr>
        <w:spacing w:after="160"/>
        <w:jc w:val="center"/>
      </w:pPr>
      <w:r>
        <w:rPr>
          <w:i/>
          <w:iCs/>
          <w:color w:val="5f6368"/>
          <w:sz w:val="17"/>
          <w:szCs w:val="17"/>
        </w:rPr>
        <w:t xml:space="preserve">Figure 3 — Sequence: link capture</w:t>
      </w:r>
    </w:p>
    <w:p>
      <w:pPr>
        <w:pStyle w:val="Heading2"/>
        <w:spacing w:after="80" w:before="180"/>
      </w:pPr>
      <w:r>
        <w:rPr>
          <w:b/>
          <w:bCs/>
        </w:rPr>
        <w:t xml:space="preserve">5.2. Proactive journal reminder and analysis</w:t>
      </w:r>
    </w:p>
    <w:p>
      <w:pPr>
        <w:spacing w:after="100"/>
        <w:jc w:val="both"/>
      </w:pPr>
      <w:r>
        <w:rPr>
          <w:sz w:val="21"/>
          <w:szCs w:val="21"/>
        </w:rPr>
        <w:t xml:space="preserve">The scheduler detecting that today’s journal is empty, passing the policy check, then nudging the user; followed by metrics being extracted at end of day and written to the note’s frontmatter:</w:t>
      </w:r>
    </w:p>
    <w:p>
      <w:pPr>
        <w:spacing w:after="40" w:before="120"/>
        <w:jc w:val="center"/>
      </w:pPr>
      <w:r>
        <w:drawing>
          <wp:inline distT="0" distB="0" distL="0" distR="0">
            <wp:extent cx="59436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76575"/>
                    </a:xfrm>
                    <a:prstGeom prst="rect">
                      <a:avLst/>
                    </a:prstGeom>
                  </pic:spPr>
                </pic:pic>
              </a:graphicData>
            </a:graphic>
          </wp:inline>
        </w:drawing>
      </w:r>
    </w:p>
    <w:p>
      <w:pPr>
        <w:spacing w:after="160"/>
        <w:jc w:val="center"/>
      </w:pPr>
      <w:r>
        <w:rPr>
          <w:i/>
          <w:iCs/>
          <w:color w:val="5f6368"/>
          <w:sz w:val="17"/>
          <w:szCs w:val="17"/>
        </w:rPr>
        <w:t xml:space="preserve">Figure 4 — Sequence: proactive reminder + analysis</w:t>
      </w:r>
    </w:p>
    <w:p>
      <w:pPr>
        <w:pStyle w:val="Heading2"/>
        <w:spacing w:after="80" w:before="180"/>
      </w:pPr>
      <w:r>
        <w:rPr>
          <w:b/>
          <w:bCs/>
        </w:rPr>
        <w:t xml:space="preserve">5.3. Query and semantic recall</w:t>
      </w:r>
    </w:p>
    <w:p>
      <w:pPr>
        <w:spacing w:after="100"/>
        <w:jc w:val="both"/>
      </w:pPr>
      <w:r>
        <w:rPr>
          <w:sz w:val="21"/>
          <w:szCs w:val="21"/>
        </w:rPr>
        <w:t xml:space="preserve">The flow from a user question to the system finding related notes saved weeks earlier in the semantic index and adding them as context to the answer:</w:t>
      </w:r>
    </w:p>
    <w:p>
      <w:pPr>
        <w:spacing w:after="40" w:before="120"/>
        <w:jc w:val="center"/>
      </w:pPr>
      <w:r>
        <w:drawing>
          <wp:inline distT="0" distB="0" distL="0" distR="0">
            <wp:extent cx="59436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14700"/>
                    </a:xfrm>
                    <a:prstGeom prst="rect">
                      <a:avLst/>
                    </a:prstGeom>
                  </pic:spPr>
                </pic:pic>
              </a:graphicData>
            </a:graphic>
          </wp:inline>
        </w:drawing>
      </w:r>
    </w:p>
    <w:p>
      <w:pPr>
        <w:spacing w:after="160"/>
        <w:jc w:val="center"/>
      </w:pPr>
      <w:r>
        <w:rPr>
          <w:i/>
          <w:iCs/>
          <w:color w:val="5f6368"/>
          <w:sz w:val="17"/>
          <w:szCs w:val="17"/>
        </w:rPr>
        <w:t xml:space="preserve">Figure 5 — Sequence: query + semantic recall</w:t>
      </w:r>
    </w:p>
    <w:p>
      <w:pPr>
        <w:pStyle w:val="Heading1"/>
        <w:spacing w:after="120" w:before="260"/>
      </w:pPr>
      <w:r>
        <w:rPr>
          <w:b/>
          <w:bCs/>
        </w:rPr>
        <w:t xml:space="preserve">6. Design Class Diagram</w:t>
      </w:r>
    </w:p>
    <w:p>
      <w:pPr>
        <w:spacing w:after="100"/>
        <w:jc w:val="both"/>
      </w:pPr>
      <w:r>
        <w:rPr>
          <w:sz w:val="21"/>
          <w:szCs w:val="21"/>
        </w:rPr>
        <w:t xml:space="preserve">The design class diagram shows the implementation-level classes, their responsibilities, and their dependencies. Tool is an interface; each tool (NoteWriter, LinkCapturer, Retriever, JournalWriter …) realizes it, and the Orchestrator invokes these tools via tool-calling. The storage classes (VaultRepository, IndexStore, StateDB) separate where data lives: Markdown is the source of truth, the index is derived, and StateDB holds only operational state.</w:t>
      </w:r>
    </w:p>
    <w:p>
      <w:pPr>
        <w:spacing w:after="40" w:before="120"/>
        <w:jc w:val="center"/>
      </w:pPr>
      <w:r>
        <w:drawing>
          <wp:inline distT="0" distB="0" distL="0" distR="0">
            <wp:extent cx="59436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52775"/>
                    </a:xfrm>
                    <a:prstGeom prst="rect">
                      <a:avLst/>
                    </a:prstGeom>
                  </pic:spPr>
                </pic:pic>
              </a:graphicData>
            </a:graphic>
          </wp:inline>
        </w:drawing>
      </w:r>
    </w:p>
    <w:p>
      <w:pPr>
        <w:spacing w:after="160"/>
        <w:jc w:val="center"/>
      </w:pPr>
      <w:r>
        <w:rPr>
          <w:i/>
          <w:iCs/>
          <w:color w:val="5f6368"/>
          <w:sz w:val="17"/>
          <w:szCs w:val="17"/>
        </w:rPr>
        <w:t xml:space="preserve">Figure 6 — Design class diagram</w:t>
      </w:r>
    </w:p>
    <w:p>
      <w:pPr>
        <w:pStyle w:val="Heading2"/>
        <w:spacing w:after="80" w:before="180"/>
      </w:pPr>
      <w:r>
        <w:rPr>
          <w:b/>
          <w:bCs/>
        </w:rPr>
        <w:t xml:space="preserve">6.1. Class responsibilities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500"/>
        <w:gridCol w:w="1600"/>
        <w:gridCol w:w="5260"/>
      </w:tblGrid>
      <w:tr>
        <w:trPr>
          <w:tblHeader/>
        </w:trPr>
        <w:tc>
          <w:tcPr>
            <w:tcW w:type="dxa" w:w="2500"/>
            <w:shd w:fill="1a73e8" w:val="clear"/>
            <w:tcMar>
              <w:top w:type="dxa" w:w="40"/>
              <w:left w:type="dxa" w:w="90"/>
              <w:bottom w:type="dxa" w:w="40"/>
              <w:right w:type="dxa" w:w="90"/>
            </w:tcMar>
          </w:tcPr>
          <w:p>
            <w:r>
              <w:rPr>
                <w:b/>
                <w:bCs/>
                <w:color w:val="ffffff"/>
                <w:sz w:val="19"/>
                <w:szCs w:val="19"/>
              </w:rPr>
              <w:t xml:space="preserve">Class</w:t>
            </w:r>
          </w:p>
        </w:tc>
        <w:tc>
          <w:tcPr>
            <w:tcW w:type="dxa" w:w="1600"/>
            <w:shd w:fill="1a73e8" w:val="clear"/>
            <w:tcMar>
              <w:top w:type="dxa" w:w="40"/>
              <w:left w:type="dxa" w:w="90"/>
              <w:bottom w:type="dxa" w:w="40"/>
              <w:right w:type="dxa" w:w="90"/>
            </w:tcMar>
          </w:tcPr>
          <w:p>
            <w:r>
              <w:rPr>
                <w:b/>
                <w:bCs/>
                <w:color w:val="ffffff"/>
                <w:sz w:val="19"/>
                <w:szCs w:val="19"/>
              </w:rPr>
              <w:t xml:space="preserve">Layer</w:t>
            </w:r>
          </w:p>
        </w:tc>
        <w:tc>
          <w:tcPr>
            <w:tcW w:type="dxa" w:w="5260"/>
            <w:shd w:fill="1a73e8" w:val="clear"/>
            <w:tcMar>
              <w:top w:type="dxa" w:w="40"/>
              <w:left w:type="dxa" w:w="90"/>
              <w:bottom w:type="dxa" w:w="40"/>
              <w:right w:type="dxa" w:w="90"/>
            </w:tcMar>
          </w:tcPr>
          <w:p>
            <w:r>
              <w:rPr>
                <w:b/>
                <w:bCs/>
                <w:color w:val="ffffff"/>
                <w:sz w:val="19"/>
                <w:szCs w:val="19"/>
              </w:rPr>
              <w:t xml:space="preserve">Responsibility</w:t>
            </w:r>
          </w:p>
        </w:tc>
      </w:tr>
      <w:tr>
        <w:tc>
          <w:tcPr>
            <w:tcW w:type="dxa" w:w="2500"/>
            <w:shd w:fill="ffffff" w:val="clear"/>
            <w:tcMar>
              <w:top w:type="dxa" w:w="40"/>
              <w:left w:type="dxa" w:w="90"/>
              <w:bottom w:type="dxa" w:w="40"/>
              <w:right w:type="dxa" w:w="90"/>
            </w:tcMar>
          </w:tcPr>
          <w:p>
            <w:r>
              <w:rPr>
                <w:sz w:val="18"/>
                <w:szCs w:val="18"/>
              </w:rPr>
              <w:t xml:space="preserve">TelegramGateway</w:t>
            </w:r>
          </w:p>
        </w:tc>
        <w:tc>
          <w:tcPr>
            <w:tcW w:type="dxa" w:w="1600"/>
            <w:shd w:fill="ffffff" w:val="clear"/>
            <w:tcMar>
              <w:top w:type="dxa" w:w="40"/>
              <w:left w:type="dxa" w:w="90"/>
              <w:bottom w:type="dxa" w:w="40"/>
              <w:right w:type="dxa" w:w="90"/>
            </w:tcMar>
          </w:tcPr>
          <w:p>
            <w:r>
              <w:rPr>
                <w:sz w:val="18"/>
                <w:szCs w:val="18"/>
              </w:rPr>
              <w:t xml:space="preserve">interface</w:t>
            </w:r>
          </w:p>
        </w:tc>
        <w:tc>
          <w:tcPr>
            <w:tcW w:type="dxa" w:w="5260"/>
            <w:shd w:fill="ffffff" w:val="clear"/>
            <w:tcMar>
              <w:top w:type="dxa" w:w="40"/>
              <w:left w:type="dxa" w:w="90"/>
              <w:bottom w:type="dxa" w:w="40"/>
              <w:right w:type="dxa" w:w="90"/>
            </w:tcMar>
          </w:tcPr>
          <w:p>
            <w:r>
              <w:rPr>
                <w:sz w:val="18"/>
                <w:szCs w:val="18"/>
              </w:rPr>
              <w:t xml:space="preserve">Receive and send messages; the single bidirectional channel (including proactive output).</w:t>
            </w:r>
          </w:p>
        </w:tc>
      </w:tr>
      <w:tr>
        <w:tc>
          <w:tcPr>
            <w:tcW w:type="dxa" w:w="2500"/>
            <w:shd w:fill="f5f7fa" w:val="clear"/>
            <w:tcMar>
              <w:top w:type="dxa" w:w="40"/>
              <w:left w:type="dxa" w:w="90"/>
              <w:bottom w:type="dxa" w:w="40"/>
              <w:right w:type="dxa" w:w="90"/>
            </w:tcMar>
          </w:tcPr>
          <w:p>
            <w:r>
              <w:rPr>
                <w:sz w:val="18"/>
                <w:szCs w:val="18"/>
              </w:rPr>
              <w:t xml:space="preserve">Router</w:t>
            </w:r>
          </w:p>
        </w:tc>
        <w:tc>
          <w:tcPr>
            <w:tcW w:type="dxa" w:w="1600"/>
            <w:shd w:fill="f5f7fa" w:val="clear"/>
            <w:tcMar>
              <w:top w:type="dxa" w:w="40"/>
              <w:left w:type="dxa" w:w="90"/>
              <w:bottom w:type="dxa" w:w="40"/>
              <w:right w:type="dxa" w:w="90"/>
            </w:tcMar>
          </w:tcPr>
          <w:p>
            <w:r>
              <w:rPr>
                <w:sz w:val="18"/>
                <w:szCs w:val="18"/>
              </w:rPr>
              <w:t xml:space="preserve">orchestration</w:t>
            </w:r>
          </w:p>
        </w:tc>
        <w:tc>
          <w:tcPr>
            <w:tcW w:type="dxa" w:w="5260"/>
            <w:shd w:fill="f5f7fa" w:val="clear"/>
            <w:tcMar>
              <w:top w:type="dxa" w:w="40"/>
              <w:left w:type="dxa" w:w="90"/>
              <w:bottom w:type="dxa" w:w="40"/>
              <w:right w:type="dxa" w:w="90"/>
            </w:tcMar>
          </w:tcPr>
          <w:p>
            <w:r>
              <w:rPr>
                <w:sz w:val="18"/>
                <w:szCs w:val="18"/>
              </w:rPr>
              <w:t xml:space="preserve">Classifies the intent of the incoming message with a cheap model.</w:t>
            </w:r>
          </w:p>
        </w:tc>
      </w:tr>
      <w:tr>
        <w:tc>
          <w:tcPr>
            <w:tcW w:type="dxa" w:w="2500"/>
            <w:shd w:fill="ffffff" w:val="clear"/>
            <w:tcMar>
              <w:top w:type="dxa" w:w="40"/>
              <w:left w:type="dxa" w:w="90"/>
              <w:bottom w:type="dxa" w:w="40"/>
              <w:right w:type="dxa" w:w="90"/>
            </w:tcMar>
          </w:tcPr>
          <w:p>
            <w:r>
              <w:rPr>
                <w:sz w:val="18"/>
                <w:szCs w:val="18"/>
              </w:rPr>
              <w:t xml:space="preserve">Orchestrator</w:t>
            </w:r>
          </w:p>
        </w:tc>
        <w:tc>
          <w:tcPr>
            <w:tcW w:type="dxa" w:w="1600"/>
            <w:shd w:fill="ffffff" w:val="clear"/>
            <w:tcMar>
              <w:top w:type="dxa" w:w="40"/>
              <w:left w:type="dxa" w:w="90"/>
              <w:bottom w:type="dxa" w:w="40"/>
              <w:right w:type="dxa" w:w="90"/>
            </w:tcMar>
          </w:tcPr>
          <w:p>
            <w:r>
              <w:rPr>
                <w:sz w:val="18"/>
                <w:szCs w:val="18"/>
              </w:rPr>
              <w:t xml:space="preserve">orchestration</w:t>
            </w:r>
          </w:p>
        </w:tc>
        <w:tc>
          <w:tcPr>
            <w:tcW w:type="dxa" w:w="5260"/>
            <w:shd w:fill="ffffff" w:val="clear"/>
            <w:tcMar>
              <w:top w:type="dxa" w:w="40"/>
              <w:left w:type="dxa" w:w="90"/>
              <w:bottom w:type="dxa" w:w="40"/>
              <w:right w:type="dxa" w:w="90"/>
            </w:tcMar>
          </w:tcPr>
          <w:p>
            <w:r>
              <w:rPr>
                <w:sz w:val="18"/>
                <w:szCs w:val="18"/>
              </w:rPr>
              <w:t xml:space="preserve">The core decision center; invokes tools via tool-calling.</w:t>
            </w:r>
          </w:p>
        </w:tc>
      </w:tr>
      <w:tr>
        <w:tc>
          <w:tcPr>
            <w:tcW w:type="dxa" w:w="2500"/>
            <w:shd w:fill="f5f7fa" w:val="clear"/>
            <w:tcMar>
              <w:top w:type="dxa" w:w="40"/>
              <w:left w:type="dxa" w:w="90"/>
              <w:bottom w:type="dxa" w:w="40"/>
              <w:right w:type="dxa" w:w="90"/>
            </w:tcMar>
          </w:tcPr>
          <w:p>
            <w:r>
              <w:rPr>
                <w:sz w:val="18"/>
                <w:szCs w:val="18"/>
              </w:rPr>
              <w:t xml:space="preserve">ContextBuilder</w:t>
            </w:r>
          </w:p>
        </w:tc>
        <w:tc>
          <w:tcPr>
            <w:tcW w:type="dxa" w:w="1600"/>
            <w:shd w:fill="f5f7fa" w:val="clear"/>
            <w:tcMar>
              <w:top w:type="dxa" w:w="40"/>
              <w:left w:type="dxa" w:w="90"/>
              <w:bottom w:type="dxa" w:w="40"/>
              <w:right w:type="dxa" w:w="90"/>
            </w:tcMar>
          </w:tcPr>
          <w:p>
            <w:r>
              <w:rPr>
                <w:sz w:val="18"/>
                <w:szCs w:val="18"/>
              </w:rPr>
              <w:t xml:space="preserve">orchestration</w:t>
            </w:r>
          </w:p>
        </w:tc>
        <w:tc>
          <w:tcPr>
            <w:tcW w:type="dxa" w:w="5260"/>
            <w:shd w:fill="f5f7fa" w:val="clear"/>
            <w:tcMar>
              <w:top w:type="dxa" w:w="40"/>
              <w:left w:type="dxa" w:w="90"/>
              <w:bottom w:type="dxa" w:w="40"/>
              <w:right w:type="dxa" w:w="90"/>
            </w:tcMar>
          </w:tcPr>
          <w:p>
            <w:r>
              <w:rPr>
                <w:sz w:val="18"/>
                <w:szCs w:val="18"/>
              </w:rPr>
              <w:t xml:space="preserve">Builds the LLM context (history + related notes + state); manages token budget.</w:t>
            </w:r>
          </w:p>
        </w:tc>
      </w:tr>
      <w:tr>
        <w:tc>
          <w:tcPr>
            <w:tcW w:type="dxa" w:w="2500"/>
            <w:shd w:fill="ffffff" w:val="clear"/>
            <w:tcMar>
              <w:top w:type="dxa" w:w="40"/>
              <w:left w:type="dxa" w:w="90"/>
              <w:bottom w:type="dxa" w:w="40"/>
              <w:right w:type="dxa" w:w="90"/>
            </w:tcMar>
          </w:tcPr>
          <w:p>
            <w:r>
              <w:rPr>
                <w:sz w:val="18"/>
                <w:szCs w:val="18"/>
              </w:rPr>
              <w:t xml:space="preserve">Tool «interface» + realizers</w:t>
            </w:r>
          </w:p>
        </w:tc>
        <w:tc>
          <w:tcPr>
            <w:tcW w:type="dxa" w:w="1600"/>
            <w:shd w:fill="ffffff" w:val="clear"/>
            <w:tcMar>
              <w:top w:type="dxa" w:w="40"/>
              <w:left w:type="dxa" w:w="90"/>
              <w:bottom w:type="dxa" w:w="40"/>
              <w:right w:type="dxa" w:w="90"/>
            </w:tcMar>
          </w:tcPr>
          <w:p>
            <w:r>
              <w:rPr>
                <w:sz w:val="18"/>
                <w:szCs w:val="18"/>
              </w:rPr>
              <w:t xml:space="preserve">tools</w:t>
            </w:r>
          </w:p>
        </w:tc>
        <w:tc>
          <w:tcPr>
            <w:tcW w:type="dxa" w:w="5260"/>
            <w:shd w:fill="ffffff" w:val="clear"/>
            <w:tcMar>
              <w:top w:type="dxa" w:w="40"/>
              <w:left w:type="dxa" w:w="90"/>
              <w:bottom w:type="dxa" w:w="40"/>
              <w:right w:type="dxa" w:w="90"/>
            </w:tcMar>
          </w:tcPr>
          <w:p>
            <w:r>
              <w:rPr>
                <w:sz w:val="18"/>
                <w:szCs w:val="18"/>
              </w:rPr>
              <w:t xml:space="preserve">Testable single capabilities: writing, capturing, retrieving, journaling.</w:t>
            </w:r>
          </w:p>
        </w:tc>
      </w:tr>
      <w:tr>
        <w:tc>
          <w:tcPr>
            <w:tcW w:type="dxa" w:w="2500"/>
            <w:shd w:fill="f5f7fa" w:val="clear"/>
            <w:tcMar>
              <w:top w:type="dxa" w:w="40"/>
              <w:left w:type="dxa" w:w="90"/>
              <w:bottom w:type="dxa" w:w="40"/>
              <w:right w:type="dxa" w:w="90"/>
            </w:tcMar>
          </w:tcPr>
          <w:p>
            <w:r>
              <w:rPr>
                <w:sz w:val="18"/>
                <w:szCs w:val="18"/>
              </w:rPr>
              <w:t xml:space="preserve">JournalAnalyzer</w:t>
            </w:r>
          </w:p>
        </w:tc>
        <w:tc>
          <w:tcPr>
            <w:tcW w:type="dxa" w:w="1600"/>
            <w:shd w:fill="f5f7fa" w:val="clear"/>
            <w:tcMar>
              <w:top w:type="dxa" w:w="40"/>
              <w:left w:type="dxa" w:w="90"/>
              <w:bottom w:type="dxa" w:w="40"/>
              <w:right w:type="dxa" w:w="90"/>
            </w:tcMar>
          </w:tcPr>
          <w:p>
            <w:r>
              <w:rPr>
                <w:sz w:val="18"/>
                <w:szCs w:val="18"/>
              </w:rPr>
              <w:t xml:space="preserve">tools</w:t>
            </w:r>
          </w:p>
        </w:tc>
        <w:tc>
          <w:tcPr>
            <w:tcW w:type="dxa" w:w="5260"/>
            <w:shd w:fill="f5f7fa" w:val="clear"/>
            <w:tcMar>
              <w:top w:type="dxa" w:w="40"/>
              <w:left w:type="dxa" w:w="90"/>
              <w:bottom w:type="dxa" w:w="40"/>
              <w:right w:type="dxa" w:w="90"/>
            </w:tcMar>
          </w:tcPr>
          <w:p>
            <w:r>
              <w:rPr>
                <w:sz w:val="18"/>
                <w:szCs w:val="18"/>
              </w:rPr>
              <w:t xml:space="preserve">End-of-day metric extraction; fills the fixed schema, never invents new metrics.</w:t>
            </w:r>
          </w:p>
        </w:tc>
      </w:tr>
      <w:tr>
        <w:tc>
          <w:tcPr>
            <w:tcW w:type="dxa" w:w="2500"/>
            <w:shd w:fill="ffffff" w:val="clear"/>
            <w:tcMar>
              <w:top w:type="dxa" w:w="40"/>
              <w:left w:type="dxa" w:w="90"/>
              <w:bottom w:type="dxa" w:w="40"/>
              <w:right w:type="dxa" w:w="90"/>
            </w:tcMar>
          </w:tcPr>
          <w:p>
            <w:r>
              <w:rPr>
                <w:sz w:val="18"/>
                <w:szCs w:val="18"/>
              </w:rPr>
              <w:t xml:space="preserve">Scheduler</w:t>
            </w:r>
          </w:p>
        </w:tc>
        <w:tc>
          <w:tcPr>
            <w:tcW w:type="dxa" w:w="1600"/>
            <w:shd w:fill="ffffff" w:val="clear"/>
            <w:tcMar>
              <w:top w:type="dxa" w:w="40"/>
              <w:left w:type="dxa" w:w="90"/>
              <w:bottom w:type="dxa" w:w="40"/>
              <w:right w:type="dxa" w:w="90"/>
            </w:tcMar>
          </w:tcPr>
          <w:p>
            <w:r>
              <w:rPr>
                <w:sz w:val="18"/>
                <w:szCs w:val="18"/>
              </w:rPr>
              <w:t xml:space="preserve">proactive</w:t>
            </w:r>
          </w:p>
        </w:tc>
        <w:tc>
          <w:tcPr>
            <w:tcW w:type="dxa" w:w="5260"/>
            <w:shd w:fill="ffffff" w:val="clear"/>
            <w:tcMar>
              <w:top w:type="dxa" w:w="40"/>
              <w:left w:type="dxa" w:w="90"/>
              <w:bottom w:type="dxa" w:w="40"/>
              <w:right w:type="dxa" w:w="90"/>
            </w:tcMar>
          </w:tcPr>
          <w:p>
            <w:r>
              <w:rPr>
                <w:sz w:val="18"/>
                <w:szCs w:val="18"/>
              </w:rPr>
              <w:t xml:space="preserve">Background loop; detects due jobs and starts the flow.</w:t>
            </w:r>
          </w:p>
        </w:tc>
      </w:tr>
      <w:tr>
        <w:tc>
          <w:tcPr>
            <w:tcW w:type="dxa" w:w="2500"/>
            <w:shd w:fill="f5f7fa" w:val="clear"/>
            <w:tcMar>
              <w:top w:type="dxa" w:w="40"/>
              <w:left w:type="dxa" w:w="90"/>
              <w:bottom w:type="dxa" w:w="40"/>
              <w:right w:type="dxa" w:w="90"/>
            </w:tcMar>
          </w:tcPr>
          <w:p>
            <w:r>
              <w:rPr>
                <w:sz w:val="18"/>
                <w:szCs w:val="18"/>
              </w:rPr>
              <w:t xml:space="preserve">Policy</w:t>
            </w:r>
          </w:p>
        </w:tc>
        <w:tc>
          <w:tcPr>
            <w:tcW w:type="dxa" w:w="1600"/>
            <w:shd w:fill="f5f7fa" w:val="clear"/>
            <w:tcMar>
              <w:top w:type="dxa" w:w="40"/>
              <w:left w:type="dxa" w:w="90"/>
              <w:bottom w:type="dxa" w:w="40"/>
              <w:right w:type="dxa" w:w="90"/>
            </w:tcMar>
          </w:tcPr>
          <w:p>
            <w:r>
              <w:rPr>
                <w:sz w:val="18"/>
                <w:szCs w:val="18"/>
              </w:rPr>
              <w:t xml:space="preserve">proactive</w:t>
            </w:r>
          </w:p>
        </w:tc>
        <w:tc>
          <w:tcPr>
            <w:tcW w:type="dxa" w:w="5260"/>
            <w:shd w:fill="f5f7fa" w:val="clear"/>
            <w:tcMar>
              <w:top w:type="dxa" w:w="40"/>
              <w:left w:type="dxa" w:w="90"/>
              <w:bottom w:type="dxa" w:w="40"/>
              <w:right w:type="dxa" w:w="90"/>
            </w:tcMar>
          </w:tcPr>
          <w:p>
            <w:r>
              <w:rPr>
                <w:sz w:val="18"/>
                <w:szCs w:val="18"/>
              </w:rPr>
              <w:t xml:space="preserve">Applies the “whether/when to nudge” rules; rate limiting and quiet hours.</w:t>
            </w:r>
          </w:p>
        </w:tc>
      </w:tr>
      <w:tr>
        <w:tc>
          <w:tcPr>
            <w:tcW w:type="dxa" w:w="2500"/>
            <w:shd w:fill="ffffff" w:val="clear"/>
            <w:tcMar>
              <w:top w:type="dxa" w:w="40"/>
              <w:left w:type="dxa" w:w="90"/>
              <w:bottom w:type="dxa" w:w="40"/>
              <w:right w:type="dxa" w:w="90"/>
            </w:tcMar>
          </w:tcPr>
          <w:p>
            <w:r>
              <w:rPr>
                <w:sz w:val="18"/>
                <w:szCs w:val="18"/>
              </w:rPr>
              <w:t xml:space="preserve">VaultRepository / IndexStore / StateDB</w:t>
            </w:r>
          </w:p>
        </w:tc>
        <w:tc>
          <w:tcPr>
            <w:tcW w:type="dxa" w:w="1600"/>
            <w:shd w:fill="ffffff" w:val="clear"/>
            <w:tcMar>
              <w:top w:type="dxa" w:w="40"/>
              <w:left w:type="dxa" w:w="90"/>
              <w:bottom w:type="dxa" w:w="40"/>
              <w:right w:type="dxa" w:w="90"/>
            </w:tcMar>
          </w:tcPr>
          <w:p>
            <w:r>
              <w:rPr>
                <w:sz w:val="18"/>
                <w:szCs w:val="18"/>
              </w:rPr>
              <w:t xml:space="preserve">storage</w:t>
            </w:r>
          </w:p>
        </w:tc>
        <w:tc>
          <w:tcPr>
            <w:tcW w:type="dxa" w:w="5260"/>
            <w:shd w:fill="ffffff" w:val="clear"/>
            <w:tcMar>
              <w:top w:type="dxa" w:w="40"/>
              <w:left w:type="dxa" w:w="90"/>
              <w:bottom w:type="dxa" w:w="40"/>
              <w:right w:type="dxa" w:w="90"/>
            </w:tcMar>
          </w:tcPr>
          <w:p>
            <w:r>
              <w:rPr>
                <w:sz w:val="18"/>
                <w:szCs w:val="18"/>
              </w:rPr>
              <w:t xml:space="preserve">Markdown (source) / embedding index (derived) / SQLite (operational state).</w:t>
            </w:r>
          </w:p>
        </w:tc>
      </w:tr>
      <w:tr>
        <w:tc>
          <w:tcPr>
            <w:tcW w:type="dxa" w:w="2500"/>
            <w:shd w:fill="f5f7fa" w:val="clear"/>
            <w:tcMar>
              <w:top w:type="dxa" w:w="40"/>
              <w:left w:type="dxa" w:w="90"/>
              <w:bottom w:type="dxa" w:w="40"/>
              <w:right w:type="dxa" w:w="90"/>
            </w:tcMar>
          </w:tcPr>
          <w:p>
            <w:r>
              <w:rPr>
                <w:sz w:val="18"/>
                <w:szCs w:val="18"/>
              </w:rPr>
              <w:t xml:space="preserve">LLMClient / Config</w:t>
            </w:r>
          </w:p>
        </w:tc>
        <w:tc>
          <w:tcPr>
            <w:tcW w:type="dxa" w:w="1600"/>
            <w:shd w:fill="f5f7fa" w:val="clear"/>
            <w:tcMar>
              <w:top w:type="dxa" w:w="40"/>
              <w:left w:type="dxa" w:w="90"/>
              <w:bottom w:type="dxa" w:w="40"/>
              <w:right w:type="dxa" w:w="90"/>
            </w:tcMar>
          </w:tcPr>
          <w:p>
            <w:r>
              <w:rPr>
                <w:sz w:val="18"/>
                <w:szCs w:val="18"/>
              </w:rPr>
              <w:t xml:space="preserve">cross-cutting</w:t>
            </w:r>
          </w:p>
        </w:tc>
        <w:tc>
          <w:tcPr>
            <w:tcW w:type="dxa" w:w="5260"/>
            <w:shd w:fill="f5f7fa" w:val="clear"/>
            <w:tcMar>
              <w:top w:type="dxa" w:w="40"/>
              <w:left w:type="dxa" w:w="90"/>
              <w:bottom w:type="dxa" w:w="40"/>
              <w:right w:type="dxa" w:w="90"/>
            </w:tcMar>
          </w:tcPr>
          <w:p>
            <w:r>
              <w:rPr>
                <w:sz w:val="18"/>
                <w:szCs w:val="18"/>
              </w:rPr>
              <w:t xml:space="preserve">Model access; module manifest and secret management.</w:t>
            </w:r>
          </w:p>
        </w:tc>
      </w:tr>
    </w:tbl>
    <w:p>
      <w:pPr>
        <w:pStyle w:val="Heading1"/>
        <w:spacing w:after="120" w:before="260"/>
      </w:pPr>
      <w:r>
        <w:rPr>
          <w:b/>
          <w:bCs/>
        </w:rPr>
        <w:t xml:space="preserve">7. UML Package Diagram</w:t>
      </w:r>
    </w:p>
    <w:p>
      <w:pPr>
        <w:spacing w:after="100"/>
        <w:jc w:val="both"/>
      </w:pPr>
      <w:r>
        <w:rPr>
          <w:sz w:val="21"/>
          <w:szCs w:val="21"/>
        </w:rPr>
        <w:t xml:space="preserve">The package diagram shows how the code is split into layers and the direction of dependencies. Dependencies are one-way and flow top to bottom: interface depends on orchestration, orchestration on tools, and the proactive layer on orchestration and storage. The storage and cross-cutting layers (config, llm_client, sync) depend on no upper layer — this keeps the layers independently testable and replaceable.</w:t>
      </w:r>
    </w:p>
    <w:p>
      <w:pPr>
        <w:spacing w:after="40" w:before="120"/>
        <w:jc w:val="center"/>
      </w:pPr>
      <w:r>
        <w:drawing>
          <wp:inline distT="0" distB="0" distL="0" distR="0">
            <wp:extent cx="59436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000250"/>
                    </a:xfrm>
                    <a:prstGeom prst="rect">
                      <a:avLst/>
                    </a:prstGeom>
                  </pic:spPr>
                </pic:pic>
              </a:graphicData>
            </a:graphic>
          </wp:inline>
        </w:drawing>
      </w:r>
    </w:p>
    <w:p>
      <w:pPr>
        <w:spacing w:after="160"/>
        <w:jc w:val="center"/>
      </w:pPr>
      <w:r>
        <w:rPr>
          <w:i/>
          <w:iCs/>
          <w:color w:val="5f6368"/>
          <w:sz w:val="17"/>
          <w:szCs w:val="17"/>
        </w:rPr>
        <w:t xml:space="preserve">Figure 7 — UML package diagram</w:t>
      </w:r>
    </w:p>
    <w:p>
      <w:pPr>
        <w:pStyle w:val="Heading2"/>
        <w:spacing w:after="80" w:before="180"/>
      </w:pPr>
      <w:r>
        <w:rPr>
          <w:b/>
          <w:bCs/>
        </w:rPr>
        <w:t xml:space="preserve">7.1. Dependency rules</w:t>
      </w:r>
    </w:p>
    <w:p>
      <w:pPr>
        <w:pStyle w:val="ListParagraph"/>
        <w:numPr>
          <w:ilvl w:val="0"/>
          <w:numId w:val="2"/>
        </w:numPr>
        <w:spacing w:after="40"/>
      </w:pPr>
      <w:r>
        <w:rPr>
          <w:b/>
          <w:bCs/>
          <w:sz w:val="21"/>
          <w:szCs w:val="21"/>
        </w:rPr>
        <w:t xml:space="preserve">One direction: </w:t>
      </w:r>
      <w:r>
        <w:rPr>
          <w:sz w:val="21"/>
          <w:szCs w:val="21"/>
        </w:rPr>
        <w:t xml:space="preserve">an upper layer depends on a lower one, never the reverse. Cyclic dependencies are forbidden.</w:t>
      </w:r>
    </w:p>
    <w:p>
      <w:pPr>
        <w:pStyle w:val="ListParagraph"/>
        <w:numPr>
          <w:ilvl w:val="0"/>
          <w:numId w:val="2"/>
        </w:numPr>
        <w:spacing w:after="40"/>
      </w:pPr>
      <w:r>
        <w:rPr>
          <w:b/>
          <w:bCs/>
          <w:sz w:val="21"/>
          <w:szCs w:val="21"/>
        </w:rPr>
        <w:t xml:space="preserve">Storage isolation: </w:t>
      </w:r>
      <w:r>
        <w:rPr>
          <w:sz w:val="21"/>
          <w:szCs w:val="21"/>
        </w:rPr>
        <w:t xml:space="preserve">only note_writer/journal_writer write to the vault; reads are free but writes go through a single door.</w:t>
      </w:r>
    </w:p>
    <w:p>
      <w:pPr>
        <w:pStyle w:val="ListParagraph"/>
        <w:numPr>
          <w:ilvl w:val="0"/>
          <w:numId w:val="2"/>
        </w:numPr>
        <w:spacing w:after="40"/>
      </w:pPr>
      <w:r>
        <w:rPr>
          <w:b/>
          <w:bCs/>
          <w:sz w:val="21"/>
          <w:szCs w:val="21"/>
        </w:rPr>
        <w:t xml:space="preserve">Cross-cutting access: </w:t>
      </w:r>
      <w:r>
        <w:rPr>
          <w:sz w:val="21"/>
          <w:szCs w:val="21"/>
        </w:rPr>
        <w:t xml:space="preserve">config and llm_client may be called from any layer; secrets only via config, never inside the vault.</w:t>
      </w:r>
    </w:p>
    <w:p>
      <w:pPr>
        <w:pStyle w:val="ListParagraph"/>
        <w:numPr>
          <w:ilvl w:val="0"/>
          <w:numId w:val="2"/>
        </w:numPr>
        <w:spacing w:after="40"/>
      </w:pPr>
      <w:r>
        <w:rPr>
          <w:b/>
          <w:bCs/>
          <w:sz w:val="21"/>
          <w:szCs w:val="21"/>
        </w:rPr>
        <w:t xml:space="preserve">Fail-closed modules: </w:t>
      </w:r>
      <w:r>
        <w:rPr>
          <w:sz w:val="21"/>
          <w:szCs w:val="21"/>
        </w:rPr>
        <w:t xml:space="preserve">when a module is turned off it disappears entirely from the tool list, commands, and sync — it is not merely hidden in a menu.</w:t>
      </w:r>
    </w:p>
    <w:p>
      <w:pPr>
        <w:pStyle w:val="Heading1"/>
        <w:spacing w:after="120" w:before="260"/>
      </w:pPr>
      <w:r>
        <w:rPr>
          <w:b/>
          <w:bCs/>
        </w:rPr>
        <w:t xml:space="preserve">8. Iterative Roadmap</w:t>
      </w:r>
    </w:p>
    <w:p>
      <w:pPr>
        <w:spacing w:after="100"/>
        <w:jc w:val="both"/>
      </w:pPr>
      <w:r>
        <w:rPr>
          <w:sz w:val="21"/>
          <w:szCs w:val="21"/>
        </w:rPr>
        <w:t xml:space="preserve">The system is built in phases, each usable on its own. At the end of each phase this document is updated based on observed real usage (Section 2).</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100"/>
        <w:gridCol w:w="2600"/>
        <w:gridCol w:w="5660"/>
      </w:tblGrid>
      <w:tr>
        <w:trPr>
          <w:tblHeader/>
        </w:trPr>
        <w:tc>
          <w:tcPr>
            <w:tcW w:type="dxa" w:w="1100"/>
            <w:shd w:fill="1a73e8" w:val="clear"/>
            <w:tcMar>
              <w:top w:type="dxa" w:w="40"/>
              <w:left w:type="dxa" w:w="90"/>
              <w:bottom w:type="dxa" w:w="40"/>
              <w:right w:type="dxa" w:w="90"/>
            </w:tcMar>
          </w:tcPr>
          <w:p>
            <w:r>
              <w:rPr>
                <w:b/>
                <w:bCs/>
                <w:color w:val="ffffff"/>
                <w:sz w:val="19"/>
                <w:szCs w:val="19"/>
              </w:rPr>
              <w:t xml:space="preserve">Phase</w:t>
            </w:r>
          </w:p>
        </w:tc>
        <w:tc>
          <w:tcPr>
            <w:tcW w:type="dxa" w:w="2600"/>
            <w:shd w:fill="1a73e8" w:val="clear"/>
            <w:tcMar>
              <w:top w:type="dxa" w:w="40"/>
              <w:left w:type="dxa" w:w="90"/>
              <w:bottom w:type="dxa" w:w="40"/>
              <w:right w:type="dxa" w:w="90"/>
            </w:tcMar>
          </w:tcPr>
          <w:p>
            <w:r>
              <w:rPr>
                <w:b/>
                <w:bCs/>
                <w:color w:val="ffffff"/>
                <w:sz w:val="19"/>
                <w:szCs w:val="19"/>
              </w:rPr>
              <w:t xml:space="preserve">Scope</w:t>
            </w:r>
          </w:p>
        </w:tc>
        <w:tc>
          <w:tcPr>
            <w:tcW w:type="dxa" w:w="5660"/>
            <w:shd w:fill="1a73e8" w:val="clear"/>
            <w:tcMar>
              <w:top w:type="dxa" w:w="40"/>
              <w:left w:type="dxa" w:w="90"/>
              <w:bottom w:type="dxa" w:w="40"/>
              <w:right w:type="dxa" w:w="90"/>
            </w:tcMar>
          </w:tcPr>
          <w:p>
            <w:r>
              <w:rPr>
                <w:b/>
                <w:bCs/>
                <w:color w:val="ffffff"/>
                <w:sz w:val="19"/>
                <w:szCs w:val="19"/>
              </w:rPr>
              <w:t xml:space="preserve">Done / output</w:t>
            </w:r>
          </w:p>
        </w:tc>
      </w:tr>
      <w:tr>
        <w:tc>
          <w:tcPr>
            <w:tcW w:type="dxa" w:w="1100"/>
            <w:shd w:fill="ffffff" w:val="clear"/>
            <w:tcMar>
              <w:top w:type="dxa" w:w="40"/>
              <w:left w:type="dxa" w:w="90"/>
              <w:bottom w:type="dxa" w:w="40"/>
              <w:right w:type="dxa" w:w="90"/>
            </w:tcMar>
          </w:tcPr>
          <w:p>
            <w:r>
              <w:rPr>
                <w:sz w:val="18"/>
                <w:szCs w:val="18"/>
              </w:rPr>
              <w:t xml:space="preserve">Phase 0</w:t>
            </w:r>
          </w:p>
        </w:tc>
        <w:tc>
          <w:tcPr>
            <w:tcW w:type="dxa" w:w="2600"/>
            <w:shd w:fill="ffffff" w:val="clear"/>
            <w:tcMar>
              <w:top w:type="dxa" w:w="40"/>
              <w:left w:type="dxa" w:w="90"/>
              <w:bottom w:type="dxa" w:w="40"/>
              <w:right w:type="dxa" w:w="90"/>
            </w:tcMar>
          </w:tcPr>
          <w:p>
            <w:r>
              <w:rPr>
                <w:sz w:val="18"/>
                <w:szCs w:val="18"/>
              </w:rPr>
              <w:t xml:space="preserve">Backbone (MVP)</w:t>
            </w:r>
          </w:p>
        </w:tc>
        <w:tc>
          <w:tcPr>
            <w:tcW w:type="dxa" w:w="5660"/>
            <w:shd w:fill="ffffff" w:val="clear"/>
            <w:tcMar>
              <w:top w:type="dxa" w:w="40"/>
              <w:left w:type="dxa" w:w="90"/>
              <w:bottom w:type="dxa" w:w="40"/>
              <w:right w:type="dxa" w:w="90"/>
            </w:tcMar>
          </w:tcPr>
          <w:p>
            <w:r>
              <w:rPr>
                <w:sz w:val="18"/>
                <w:szCs w:val="18"/>
              </w:rPr>
              <w:t xml:space="preserve">Telegram + LLM + Python; message → reply → Markdown note in the vault. Runs on the laptop.</w:t>
            </w:r>
          </w:p>
        </w:tc>
      </w:tr>
      <w:tr>
        <w:tc>
          <w:tcPr>
            <w:tcW w:type="dxa" w:w="1100"/>
            <w:shd w:fill="f5f7fa" w:val="clear"/>
            <w:tcMar>
              <w:top w:type="dxa" w:w="40"/>
              <w:left w:type="dxa" w:w="90"/>
              <w:bottom w:type="dxa" w:w="40"/>
              <w:right w:type="dxa" w:w="90"/>
            </w:tcMar>
          </w:tcPr>
          <w:p>
            <w:r>
              <w:rPr>
                <w:sz w:val="18"/>
                <w:szCs w:val="18"/>
              </w:rPr>
              <w:t xml:space="preserve">Phase 1</w:t>
            </w:r>
          </w:p>
        </w:tc>
        <w:tc>
          <w:tcPr>
            <w:tcW w:type="dxa" w:w="2600"/>
            <w:shd w:fill="f5f7fa" w:val="clear"/>
            <w:tcMar>
              <w:top w:type="dxa" w:w="40"/>
              <w:left w:type="dxa" w:w="90"/>
              <w:bottom w:type="dxa" w:w="40"/>
              <w:right w:type="dxa" w:w="90"/>
            </w:tcMar>
          </w:tcPr>
          <w:p>
            <w:r>
              <w:rPr>
                <w:sz w:val="18"/>
                <w:szCs w:val="18"/>
              </w:rPr>
              <w:t xml:space="preserve">Capture</w:t>
            </w:r>
          </w:p>
        </w:tc>
        <w:tc>
          <w:tcPr>
            <w:tcW w:type="dxa" w:w="5660"/>
            <w:shd w:fill="f5f7fa" w:val="clear"/>
            <w:tcMar>
              <w:top w:type="dxa" w:w="40"/>
              <w:left w:type="dxa" w:w="90"/>
              <w:bottom w:type="dxa" w:w="40"/>
              <w:right w:type="dxa" w:w="90"/>
            </w:tcMar>
          </w:tcPr>
          <w:p>
            <w:r>
              <w:rPr>
                <w:sz w:val="18"/>
                <w:szCs w:val="18"/>
              </w:rPr>
              <w:t xml:space="preserve">Bookmark flow: URL → fetch → summarize → write with frontmatter + tags.</w:t>
            </w:r>
          </w:p>
        </w:tc>
      </w:tr>
      <w:tr>
        <w:tc>
          <w:tcPr>
            <w:tcW w:type="dxa" w:w="1100"/>
            <w:shd w:fill="ffffff" w:val="clear"/>
            <w:tcMar>
              <w:top w:type="dxa" w:w="40"/>
              <w:left w:type="dxa" w:w="90"/>
              <w:bottom w:type="dxa" w:w="40"/>
              <w:right w:type="dxa" w:w="90"/>
            </w:tcMar>
          </w:tcPr>
          <w:p>
            <w:r>
              <w:rPr>
                <w:sz w:val="18"/>
                <w:szCs w:val="18"/>
              </w:rPr>
              <w:t xml:space="preserve">Phase 2</w:t>
            </w:r>
          </w:p>
        </w:tc>
        <w:tc>
          <w:tcPr>
            <w:tcW w:type="dxa" w:w="2600"/>
            <w:shd w:fill="ffffff" w:val="clear"/>
            <w:tcMar>
              <w:top w:type="dxa" w:w="40"/>
              <w:left w:type="dxa" w:w="90"/>
              <w:bottom w:type="dxa" w:w="40"/>
              <w:right w:type="dxa" w:w="90"/>
            </w:tcMar>
          </w:tcPr>
          <w:p>
            <w:r>
              <w:rPr>
                <w:sz w:val="18"/>
                <w:szCs w:val="18"/>
              </w:rPr>
              <w:t xml:space="preserve">Always-on + calendar</w:t>
            </w:r>
          </w:p>
        </w:tc>
        <w:tc>
          <w:tcPr>
            <w:tcW w:type="dxa" w:w="5660"/>
            <w:shd w:fill="ffffff" w:val="clear"/>
            <w:tcMar>
              <w:top w:type="dxa" w:w="40"/>
              <w:left w:type="dxa" w:w="90"/>
              <w:bottom w:type="dxa" w:w="40"/>
              <w:right w:type="dxa" w:w="90"/>
            </w:tcMar>
          </w:tcPr>
          <w:p>
            <w:r>
              <w:rPr>
                <w:sz w:val="18"/>
                <w:szCs w:val="18"/>
              </w:rPr>
              <w:t xml:space="preserve">Service runs 24/7 on a VPS/Pi; Google Calendar read; scheduled jobs possible.</w:t>
            </w:r>
          </w:p>
        </w:tc>
      </w:tr>
      <w:tr>
        <w:tc>
          <w:tcPr>
            <w:tcW w:type="dxa" w:w="1100"/>
            <w:shd w:fill="f5f7fa" w:val="clear"/>
            <w:tcMar>
              <w:top w:type="dxa" w:w="40"/>
              <w:left w:type="dxa" w:w="90"/>
              <w:bottom w:type="dxa" w:w="40"/>
              <w:right w:type="dxa" w:w="90"/>
            </w:tcMar>
          </w:tcPr>
          <w:p>
            <w:r>
              <w:rPr>
                <w:sz w:val="18"/>
                <w:szCs w:val="18"/>
              </w:rPr>
              <w:t xml:space="preserve">Phase 3</w:t>
            </w:r>
          </w:p>
        </w:tc>
        <w:tc>
          <w:tcPr>
            <w:tcW w:type="dxa" w:w="2600"/>
            <w:shd w:fill="f5f7fa" w:val="clear"/>
            <w:tcMar>
              <w:top w:type="dxa" w:w="40"/>
              <w:left w:type="dxa" w:w="90"/>
              <w:bottom w:type="dxa" w:w="40"/>
              <w:right w:type="dxa" w:w="90"/>
            </w:tcMar>
          </w:tcPr>
          <w:p>
            <w:r>
              <w:rPr>
                <w:sz w:val="18"/>
                <w:szCs w:val="18"/>
              </w:rPr>
              <w:t xml:space="preserve">Proactive (rules)</w:t>
            </w:r>
          </w:p>
        </w:tc>
        <w:tc>
          <w:tcPr>
            <w:tcW w:type="dxa" w:w="5660"/>
            <w:shd w:fill="f5f7fa" w:val="clear"/>
            <w:tcMar>
              <w:top w:type="dxa" w:w="40"/>
              <w:left w:type="dxa" w:w="90"/>
              <w:bottom w:type="dxa" w:w="40"/>
              <w:right w:type="dxa" w:w="90"/>
            </w:tcMar>
          </w:tcPr>
          <w:p>
            <w:r>
              <w:rPr>
                <w:sz w:val="18"/>
                <w:szCs w:val="18"/>
              </w:rPr>
              <w:t xml:space="preserve">Reminders + calendar-aware nudges; the policy engine’s first rules.</w:t>
            </w:r>
          </w:p>
        </w:tc>
      </w:tr>
      <w:tr>
        <w:tc>
          <w:tcPr>
            <w:tcW w:type="dxa" w:w="1100"/>
            <w:shd w:fill="ffffff" w:val="clear"/>
            <w:tcMar>
              <w:top w:type="dxa" w:w="40"/>
              <w:left w:type="dxa" w:w="90"/>
              <w:bottom w:type="dxa" w:w="40"/>
              <w:right w:type="dxa" w:w="90"/>
            </w:tcMar>
          </w:tcPr>
          <w:p>
            <w:r>
              <w:rPr>
                <w:sz w:val="18"/>
                <w:szCs w:val="18"/>
              </w:rPr>
              <w:t xml:space="preserve">Phase 4</w:t>
            </w:r>
          </w:p>
        </w:tc>
        <w:tc>
          <w:tcPr>
            <w:tcW w:type="dxa" w:w="2600"/>
            <w:shd w:fill="ffffff" w:val="clear"/>
            <w:tcMar>
              <w:top w:type="dxa" w:w="40"/>
              <w:left w:type="dxa" w:w="90"/>
              <w:bottom w:type="dxa" w:w="40"/>
              <w:right w:type="dxa" w:w="90"/>
            </w:tcMar>
          </w:tcPr>
          <w:p>
            <w:r>
              <w:rPr>
                <w:sz w:val="18"/>
                <w:szCs w:val="18"/>
              </w:rPr>
              <w:t xml:space="preserve">Recall</w:t>
            </w:r>
          </w:p>
        </w:tc>
        <w:tc>
          <w:tcPr>
            <w:tcW w:type="dxa" w:w="5660"/>
            <w:shd w:fill="ffffff" w:val="clear"/>
            <w:tcMar>
              <w:top w:type="dxa" w:w="40"/>
              <w:left w:type="dxa" w:w="90"/>
              <w:bottom w:type="dxa" w:w="40"/>
              <w:right w:type="dxa" w:w="90"/>
            </w:tcMar>
          </w:tcPr>
          <w:p>
            <w:r>
              <w:rPr>
                <w:sz w:val="18"/>
                <w:szCs w:val="18"/>
              </w:rPr>
              <w:t xml:space="preserve">Embedding index over the vault; the “you saved this weeks ago” suggestion.</w:t>
            </w:r>
          </w:p>
        </w:tc>
      </w:tr>
      <w:tr>
        <w:tc>
          <w:tcPr>
            <w:tcW w:type="dxa" w:w="1100"/>
            <w:shd w:fill="f5f7fa" w:val="clear"/>
            <w:tcMar>
              <w:top w:type="dxa" w:w="40"/>
              <w:left w:type="dxa" w:w="90"/>
              <w:bottom w:type="dxa" w:w="40"/>
              <w:right w:type="dxa" w:w="90"/>
            </w:tcMar>
          </w:tcPr>
          <w:p>
            <w:r>
              <w:rPr>
                <w:sz w:val="18"/>
                <w:szCs w:val="18"/>
              </w:rPr>
              <w:t xml:space="preserve">Phase 5</w:t>
            </w:r>
          </w:p>
        </w:tc>
        <w:tc>
          <w:tcPr>
            <w:tcW w:type="dxa" w:w="2600"/>
            <w:shd w:fill="f5f7fa" w:val="clear"/>
            <w:tcMar>
              <w:top w:type="dxa" w:w="40"/>
              <w:left w:type="dxa" w:w="90"/>
              <w:bottom w:type="dxa" w:w="40"/>
              <w:right w:type="dxa" w:w="90"/>
            </w:tcMar>
          </w:tcPr>
          <w:p>
            <w:r>
              <w:rPr>
                <w:sz w:val="18"/>
                <w:szCs w:val="18"/>
              </w:rPr>
              <w:t xml:space="preserve">Adaptive timing</w:t>
            </w:r>
          </w:p>
        </w:tc>
        <w:tc>
          <w:tcPr>
            <w:tcW w:type="dxa" w:w="5660"/>
            <w:shd w:fill="f5f7fa" w:val="clear"/>
            <w:tcMar>
              <w:top w:type="dxa" w:w="40"/>
              <w:left w:type="dxa" w:w="90"/>
              <w:bottom w:type="dxa" w:w="40"/>
              <w:right w:type="dxa" w:w="90"/>
            </w:tcMar>
          </w:tcPr>
          <w:p>
            <w:r>
              <w:rPr>
                <w:sz w:val="18"/>
                <w:szCs w:val="18"/>
              </w:rPr>
              <w:t xml:space="preserve">Journal + metrics + state flags → descriptive patterns → shape the timing.</w:t>
            </w:r>
          </w:p>
        </w:tc>
      </w:tr>
    </w:tbl>
    <w:p>
      <w:pPr>
        <w:pStyle w:val="Heading2"/>
        <w:spacing w:after="80" w:before="180"/>
      </w:pPr>
      <w:r>
        <w:rPr>
          <w:b/>
          <w:bCs/>
        </w:rPr>
        <w:t xml:space="preserve">8.1. To be added to this document in the next iteration</w:t>
      </w:r>
    </w:p>
    <w:p>
      <w:pPr>
        <w:pStyle w:val="ListParagraph"/>
        <w:numPr>
          <w:ilvl w:val="0"/>
          <w:numId w:val="2"/>
        </w:numPr>
        <w:spacing w:after="40"/>
      </w:pPr>
      <w:r>
        <w:rPr>
          <w:sz w:val="21"/>
          <w:szCs w:val="21"/>
        </w:rPr>
        <w:t xml:space="preserve">State machine diagram: the lifecycle of a Reminder (pending → deferred → sent → closed).</w:t>
      </w:r>
    </w:p>
    <w:p>
      <w:pPr>
        <w:pStyle w:val="ListParagraph"/>
        <w:numPr>
          <w:ilvl w:val="0"/>
          <w:numId w:val="2"/>
        </w:numPr>
        <w:spacing w:after="40"/>
      </w:pPr>
      <w:r>
        <w:rPr>
          <w:sz w:val="21"/>
          <w:szCs w:val="21"/>
        </w:rPr>
        <w:t xml:space="preserve">Deployment diagram: the physical placement of the VPS/Pi, the sync agent, and external services.</w:t>
      </w:r>
    </w:p>
    <w:p>
      <w:pPr>
        <w:pStyle w:val="ListParagraph"/>
        <w:numPr>
          <w:ilvl w:val="0"/>
          <w:numId w:val="2"/>
        </w:numPr>
        <w:spacing w:after="40"/>
      </w:pPr>
      <w:r>
        <w:rPr>
          <w:sz w:val="21"/>
          <w:szCs w:val="21"/>
        </w:rPr>
        <w:t xml:space="preserve">Locking the metric schema and a privacy note: keeping the most sensitive data (state flags) in plain text, under user control.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Second Brain — Design Document v0.1   ·   Page </w:t>
    </w:r>
    <w:r>
      <w:rPr>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60"/>
    </w:pPr>
    <w:rPr>
      <w:rFonts w:ascii="Calibri" w:cs="Calibri" w:eastAsia="Calibri" w:hAnsi="Calibri"/>
      <w:b/>
      <w:bCs/>
      <w:color w:val="1a73e8"/>
      <w:sz w:val="30"/>
      <w:szCs w:val="30"/>
    </w:rPr>
  </w:style>
  <w:style w:type="paragraph" w:styleId="Heading2">
    <w:name w:val="Heading 2"/>
    <w:basedOn w:val="Normal"/>
    <w:next w:val="Normal"/>
    <w:qFormat/>
    <w:pPr>
      <w:spacing w:after="80" w:before="180"/>
    </w:pPr>
    <w:rPr>
      <w:rFonts w:ascii="Calibri" w:cs="Calibri" w:eastAsia="Calibri" w:hAnsi="Calibri"/>
      <w:b/>
      <w:bCs/>
      <w:color w:val="20212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a435bf0ecbcc3e68444c75a3406d39c65861c3.png"/><Relationship Id="rId9" Type="http://schemas.openxmlformats.org/officeDocument/2006/relationships/image" Target="media/fe9b7fbf96e4352842045db67f4305aaff724f7b.png"/><Relationship Id="rId10" Type="http://schemas.openxmlformats.org/officeDocument/2006/relationships/image" Target="media/a0b900baee8323ad6fa00aacd187e2552654e537.png"/><Relationship Id="rId11" Type="http://schemas.openxmlformats.org/officeDocument/2006/relationships/image" Target="media/61360ee6c0652352a0a3e291392e1dc3bb0a17f9.png"/><Relationship Id="rId12" Type="http://schemas.openxmlformats.org/officeDocument/2006/relationships/image" Target="media/d2fd5a50b0bd14393bab3cc70684bfd5e68d367d.png"/><Relationship Id="rId13" Type="http://schemas.openxmlformats.org/officeDocument/2006/relationships/image" Target="media/63d0b3ef73fedb62764ec0f48896038a1f4366ed.png"/><Relationship Id="rId14" Type="http://schemas.openxmlformats.org/officeDocument/2006/relationships/image" Target="media/ff982b3cc948716c3b4f5ec0d537da7a68d11c4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Assistant — Second Brain — Design Document</dc:title>
  <dc:creator>İkbal Aktaş</dc:creator>
  <cp:lastModifiedBy>Un-named</cp:lastModifiedBy>
  <cp:revision>1</cp:revision>
  <dcterms:created xsi:type="dcterms:W3CDTF">2026-09-19T15:37:57.939Z</dcterms:created>
  <dcterms:modified xsi:type="dcterms:W3CDTF">2026-09-19T15:37:57.948Z</dcterms:modified>
</cp:coreProperties>
</file>

<file path=docProps/custom.xml><?xml version="1.0" encoding="utf-8"?>
<Properties xmlns="http://schemas.openxmlformats.org/officeDocument/2006/custom-properties" xmlns:vt="http://schemas.openxmlformats.org/officeDocument/2006/docPropsVTypes"/>
</file>