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content.xml" manifest:media-type="text/xml"/>
  <manifest:file-entry manifest:full-path="styles.xml" manifest:media-type="text/xml"/>
  <manifest:file-entry manifest:full-path="settings.xml" manifest:media-type="text/xml"/>
  <manifest:file-entry manifest:full-path="meta.xml" manifest:media-type="text/xml"/>
  <manifest:file-entry manifest:full-path="manifest.rdf" manifest:media-type="application/rdf+xml"/>
  <manifest:file-entry manifest:full-path="Configurations2/" manifest:media-type="application/vnd.sun.xml.ui.configuration"/>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Arial" svg:font-family="Arial" style:font-family-generic="roman" style:font-pitch="variable"/>
    <style:font-face style:name="Calibri" svg:font-family="Calibri"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Arial1" svg:font-family="Arial" style:font-family-generic="system" style:font-pitch="variable"/>
    <style:font-face style:name="Linux Libertine G" svg:font-family="'Linux Libertine G'" style:font-family-generic="system" style:font-pitch="variable"/>
    <style:font-face style:name="Times New Roman1" svg:font-family="'Times New Roman'" style:font-family-generic="system" style:font-pitch="variable"/>
  </office:font-face-decls>
  <office:automatic-styles>
    <style:style style:name="Table1" style:family="table">
      <style:table-properties style:width="6.5in" fo:margin-left="0in" fo:margin-top="0in" fo:margin-bottom="0in" table:align="left"/>
    </style:style>
    <style:style style:name="Table1.A" style:family="table-column">
      <style:table-column-properties style:column-width="1.8646in"/>
    </style:style>
    <style:style style:name="Table1.B" style:family="table-column">
      <style:table-column-properties style:column-width="4.6347in"/>
    </style:style>
    <style:style style:name="Table1.1" style:family="table-row">
      <style:table-row-properties fo:keep-together="auto"/>
    </style:style>
    <style:style style:name="Table1.A1" style:family="table-cell">
      <style:table-cell-properties style:vertical-align="" fo:padding="0.0694in" fo:border="1pt solid #000000"/>
    </style:style>
    <style:style style:name="P1" style:family="paragraph" style:parent-style-name="Standard">
      <style:paragraph-properties fo:line-height="150%"/>
    </style:style>
    <style:style style:name="P2" style:family="paragraph" style:parent-style-name="Standard">
      <style:paragraph-properties fo:line-height="150%" fo:text-align="justify" style:justify-single-word="false"/>
    </style:style>
    <style:style style:name="P3" style:family="paragraph" style:parent-style-name="Standard">
      <style:paragraph-properties fo:line-height="150%" fo:text-align="center" style:justify-single-word="false"/>
    </style:style>
    <style:style style:name="P4" style:family="paragraph" style:parent-style-name="Standard">
      <style:text-properties style:font-name="Times New Roman" style:font-name-asian="Times New Roman1" style:font-name-complex="Times New Roman1"/>
    </style:style>
    <style:style style:name="P5" style:family="paragraph" style:parent-style-name="Standard">
      <style:paragraph-properties fo:line-height="150%"/>
      <style:text-properties style:font-name="Times New Roman" style:font-name-asian="Times New Roman1" style:font-name-complex="Times New Roman1"/>
    </style:style>
    <style:style style:name="P6" style:family="paragraph" style:parent-style-name="Standard">
      <style:paragraph-properties fo:line-height="150%" fo:text-align="justify" style:justify-single-word="false"/>
      <style:text-properties style:font-name="Times New Roman" style:font-name-asian="Times New Roman1" style:font-name-complex="Times New Roman1"/>
    </style:style>
    <style:style style:name="P7" style:family="paragraph" style:parent-style-name="Standard">
      <style:paragraph-properties fo:line-height="150%" fo:text-align="center" style:justify-single-word="false"/>
      <style:text-properties style:font-name="Times New Roman" style:font-name-asian="Times New Roman1" style:font-name-complex="Times New Roman1"/>
    </style:style>
    <style:style style:name="P8" style:family="paragraph" style:parent-style-name="Standard">
      <style:paragraph-properties fo:line-height="150%" fo:text-align="justify" style:justify-single-word="false"/>
      <style:text-properties style:font-name="Times New Roman" fo:font-style="italic" style:font-name-asian="Times New Roman1" style:font-style-asian="italic" style:font-name-complex="Times New Roman1"/>
    </style:style>
    <style:style style:name="P9" style:family="paragraph" style:parent-style-name="Standard">
      <style:paragraph-properties fo:line-height="100%" fo:orphans="0" fo:widows="0"/>
    </style:style>
    <style:style style:name="P10" style:family="paragraph" style:parent-style-name="Standard">
      <style:paragraph-properties fo:line-height="100%" fo:text-align="justify" style:justify-single-word="false"/>
    </style:style>
    <style:style style:name="P11" style:family="paragraph" style:parent-style-name="Standard">
      <style:paragraph-properties fo:margin-top="0in" fo:margin-bottom="0.111in" loext:contextual-spacing="false" fo:line-height="150%" fo:text-align="justify" style:justify-single-word="false"/>
    </style:style>
    <style:style style:name="P12" style:family="paragraph" style:parent-style-name="Standard">
      <style:paragraph-properties fo:margin-left="0in" fo:margin-right="0in" fo:line-height="150%" fo:text-align="justify" style:justify-single-word="false" fo:text-indent="0.5in" style:auto-text-indent="false"/>
    </style:style>
    <style:style style:name="P13" style:family="paragraph" style:parent-style-name="Standard">
      <style:paragraph-properties fo:margin-left="0in" fo:margin-right="0in" fo:line-height="150%" fo:text-align="justify" style:justify-single-word="false" fo:text-indent="0.5in" style:auto-text-indent="false"/>
      <style:text-properties style:font-name="Times New Roman" style:font-name-asian="Times New Roman1" style:font-name-complex="Times New Roman1"/>
    </style:style>
    <style:style style:name="P14" style:family="paragraph" style:parent-style-name="Standard">
      <style:paragraph-properties fo:margin-left="0in" fo:margin-right="0in" fo:text-indent="0in" style:auto-text-indent="false"/>
    </style:style>
    <style:style style:name="P15" style:family="paragraph" style:parent-style-name="Standard">
      <style:paragraph-properties fo:margin-left="0in" fo:margin-right="0in" fo:line-height="150%" fo:text-align="justify" style:justify-single-word="false" fo:text-indent="0in" style:auto-text-indent="false"/>
    </style:style>
    <style:style style:name="P16" style:family="paragraph" style:parent-style-name="Standard">
      <style:paragraph-properties fo:margin-left="0in" fo:margin-right="0in" fo:text-indent="0.5in" style:auto-text-indent="false"/>
    </style:style>
    <style:style style:name="P17" style:family="paragraph" style:parent-style-name="Heading_20_2">
      <style:paragraph-properties fo:line-height="150%" fo:text-align="justify" style:justify-single-word="false"/>
    </style:style>
    <style:style style:name="P18" style:family="paragraph" style:parent-style-name="Heading_20_1">
      <style:paragraph-properties fo:line-height="150%" fo:text-align="justify" style:justify-single-word="false"/>
    </style:style>
    <style:style style:name="P19" style:family="paragraph" style:parent-style-name="Heading_20_1">
      <style:paragraph-properties fo:margin-top="0.278in" fo:margin-bottom="0.111in" loext:contextual-spacing="false" fo:line-height="150%" fo:text-align="justify" style:justify-single-word="false"/>
    </style:style>
    <style:style style:name="P20" style:family="paragraph" style:parent-style-name="Heading_20_1" style:master-page-name="Standard">
      <style:paragraph-properties fo:margin-top="0.278in" fo:margin-bottom="0.111in" loext:contextual-spacing="false" fo:line-height="150%" fo:text-align="justify" style:justify-single-word="false" style:page-number="1"/>
    </style:style>
    <style:style style:name="T1" style:family="text">
      <style:text-properties style:font-name="Times New Roman" style:font-name-asian="Times New Roman1" style:font-name-complex="Times New Roman1"/>
    </style:style>
    <style:style style:name="T2" style:family="text">
      <style:text-properties style:font-name="Times New Roman" style:font-name-asian="Times New Roman1" style:font-name-complex="Times New Roman1" fo:background-color="#ffffff"/>
    </style:style>
    <style:style style:name="T3" style:family="text">
      <style:text-properties style:font-name="Times New Roman" fo:font-style="italic" style:font-name-asian="Times New Roman1" style:font-style-asian="italic" style:font-name-complex="Times New Roman1"/>
    </style:style>
    <style:style style:name="T4" style:family="text">
      <style:text-properties style:font-name="Times New Roman" fo:font-weight="bold" style:font-name-asian="Times New Roman1" style:font-weight-asian="bold" style:font-name-complex="Times New Roman1"/>
    </style:style>
    <style:style style:name="T5" style:family="text">
      <style:text-properties style:font-name="Times New Roman" fo:font-size="10pt" style:font-name-asian="Times New Roman1" style:font-size-asian="10pt" style:font-name-complex="Times New Roman1" style:font-size-complex="10pt"/>
    </style:style>
    <style:style style:name="T6" style:family="text">
      <style:text-properties fo:font-style="italic" style:font-style-asian="italic"/>
    </style:style>
    <style:style style:name="T7" style:family="text">
      <style:text-properties fo:color="#202124" style:font-name="Times New Roman" style:font-name-asian="Times New Roman1" style:font-name-complex="Times New Roman1" fo:background-color="#ffffff"/>
    </style:style>
    <style:style style:name="T8" style:family="text">
      <style:text-properties fo:color="#1155cc" style:font-name="Times New Roman" style:text-underline-style="solid" style:text-underline-width="auto" style:text-underline-color="font-color" style:font-name-asian="Times New Roman1" style:font-name-complex="Times New Roman1"/>
    </style:style>
    <style:style style:name="T9" style:family="text">
      <style:text-properties fo:color="#0563c1" style:font-name="Times New Roman" style:text-underline-style="solid" style:text-underline-width="auto" style:text-underline-color="font-color" style:font-name-asian="Times New Roman1" style:font-name-complex="Times New Roman1"/>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20">
        <text:bookmark text:name="_5ddr6a44r8ev"/>
        <text:span text:style-name="T1">Abstract</text:span>
      </text:p>
      <text:p text:style-name="P19">
        <text:bookmark text:name="_w6ulngvy81bh"/>
        <text:span text:style-name="T1">Introduction</text:span>
      </text:p>
      <text:p text:style-name="P11">
        <text:span text:style-name="T1">
          This project is set up in collaboration with the minor Data Wise and the CBS North-Netherlands. The official English concept for CBS (Centraal Bureau voor de Statistiek) is Statistics Netherlands. The mission of Statistic Netherlands is to publish reliable and coherent statistical information which responds to the needs of Dutch society. 
          <text:s/>
          The responsibility of CBS is twofold: firstly, to compile (official) national statistics and secondly to compile European statistics. Statistics Netherlands is since 2004 an autonomous administrative body (Wikipedia, 2020). This means that CBS performs public service tasks but operates independently and not under the direct authority of a Dutch ministry. The Minister of Economic Affairs and Climate is politically responsible for relevant legislation, budget, and conditions. CBS is financed from the state budget. (Business.gov, 2020).
        </text:span>
      </text:p>
      <text:p text:style-name="P11">
        <text:span text:style-name="T1">The project partner from CBS is Jelmer Hitzert. After studying the masters Real Estate and Cultural Geography at the University of Groningen, Jelmer held several positions in governmental companies. Such as, Kadaster, Ministry of Economic Affairs and Fries Social planning agency. Since May 2019, he has been working at CBS as a Coordinator of the Urban Data Centres (LinkedIn, 2020). </text:span>
      </text:p>
      <text:p text:style-name="P11">
        <text:span text:style-name="T1">The CBS publishes dashboards between-whiles. The plan for our dashboard is not that it will be directly posted by CBS since the standards of those dashboards lie far beyond our knowledge and skills. However, the CBS is considering building a housing market dashboard for Northern Netherlands and will use our dashboard as an example. For example, as an instance for the selection of indicators or for ways of visualising. Therefore, our work will not be directly used, but certain aspects/parts. When the project is finished and our dashboard is transmitted to CBS, the team is excited to see what parts will be taken over and which not. </text:span>
      </text:p>
      <text:p text:style-name="P2">
        <text:span text:style-name="T1">The main aim of this paper is to investigate the housing market in the North of the Netherlands, especially the shrinkage regions in comparison with growing regions. Stuart-Fox et al. (2019) identify two types of shrinkage regions: population shrinkage and household shrinkage. Population shrinkage is used to define shrinkage regions. Growing regions are identified as so if the population is increasing in that region. According to Rijksoverheid (2019), the three northern provinces have several shrinkage or potential shrinkage regions. Groningen and Friesland contain shrinkage regions and Friesland and Drenthe contain potential shrinkage regions. Potential shrinkage regions are regions that do not undergo population shrinkage at the moment but are likely to do in the future. SER (2010) states that shrinkage is a combination of different demographic processes, like aging, migration and the birth rate. The interaction of these factors is various in different shrinkage regions. Therefore it is hard to provide a blueprint for shrinkage regions regarding population dynamics. SER (2010) also noticed that there are some shrinkage regions in the North of the Netherlands. Overall however, the three northern provinces will have a slight and flattening increase of population. The population increase is mainly caused by the growing cities. Especially younger people are moving from rural areas to cities for their study. For Drenthe it is also likely that affluent elderly will move to Drenthe for their retirement (SER, 2010). That can lead to a rare combination of youth population decline and population growth.</text:span>
      </text:p>
      <text:p text:style-name="P6"/>
      <text:p text:style-name="P2">
        <text:span text:style-name="T1">Stuart-Fox et al. pointed out that the northern province Groningen is subject to earthquakes in several parts of the province. This can both have an impact on the social and economic environment but also on the housing market. The liveability of the region has decreased over time, the housing prices are lower and it takes more time to sell a house. According to Boelhouwer et al. (2016), earthquakes are the main motive in these regions to move to another region. So the earthquakes in Groningen are an important factor while considering shrinkage in these regions. The municipalities that are in the earthquake area and are also shrinkage regions are Appingedam, Delfzijl, Loppersum, Eemsmond, and De Marne. </text:span>
      </text:p>
      <text:p text:style-name="P6"/>
      <text:p text:style-name="P2">
        <text:span text:style-name="T1">Considering all above mentioned, we were able to come up with the following general research question for our research paper. Important to mention that this research paper is an addition to the dashboard we build, this dashboard should be seen as our main deliverable.</text:span>
      </text:p>
      <text:p text:style-name="P7"/>
      <text:p text:style-name="P3">
        <text:span text:style-name="T1">RQ: </text:span>
        <text:span text:style-name="T3">What insights can be found regarding the dynamics of the housing market in the Northern Netherlands using open data?</text:span>
      </text:p>
      <text:p text:style-name="P6"/>
      <text:p text:style-name="P2">
        <text:span text:style-name="T1">
          In the following section, the indicators will be described more elaborately by using past research and literature. Based on the literature research, 
          <text:s/>
          six hypotheses, one for each indicator, will be drawn up.
        </text:span>
      </text:p>
      <text:p text:style-name="P17">
        <text:bookmark text:name="_dqk707yus3kw"/>
        <text:span text:style-name="T1">Indicators</text:span>
      </text:p>
      <text:p text:style-name="P2">
        <text:span text:style-name="T1">A look will be taken at six indicators that are related to shrinkage/growing areas. </text:span>
        <text:span text:style-name="T4">More text later</text:span>
      </text:p>
      <text:p text:style-name="P6"/>
      <text:p text:style-name="P2">
        <text:span text:style-name="T4">Population dynamics</text:span>
      </text:p>
      <text:p text:style-name="P2">
        <text:span text:style-name="T1">Dam et al. (2018) mentioned that there is a considerable amount of migration from the north of the Netherlands to the Randstad. The reason behind this phenomenon is maybe the increasing inequality between the wages, as Hamouda et al. (2012) states in his paper. The wages within the Randstad area tend to increase faster than other areas in the Netherlands. Broersma and Oosterhaven, (2009) mentioned another explanation for the migration to the Randstad, namely that there is a positive relationship between the agglomeration effect and economic development in for example the Randstad. So the Randstad area tends to enjoy superior advantages in attracting migration by offering a higher variety of jobs.</text:span>
      </text:p>
      <text:p text:style-name="P6"/>
      <text:p text:style-name="P2">
        <text:soft-page-break/>
        <text:span text:style-name="T1">
          Besides the migration to the Randstad, there is migration from rural to urban regions within the three Northern provinces because there are more jobs or education facilities within the cities (CBS, 2008). On other hand, Kempen et al. (2000) show that some people tend to move from cities to rural regions because of for example unaffordable housing costs in the city. However, Heins et al. (2004) and Fuguitt and Zuiches (1975) 
          <text:s/>
          show that people will move from the city to rural areas but the rural areas nearby the city are preferred above the rural areas which are far from the city since the majority of jobs are within the cities. The three county capitals
        </text:span>
         -Groningen, Leeuwarden and Assen- are the three biggest cities regarding population density (Rijksoverheid, 2019) 
        <text:span text:style-name="T1">Having considered the facts mentioned above, the following hypothesis is stated: </text:span>
      </text:p>
      <text:p text:style-name="P8"/>
      <text:p text:style-name="P2">
        <text:span text:style-name="T6">H1: </text:span>
        <text:span text:style-name="T3">The municipalities near the </text:span>
        <text:span text:style-name="T6">county capitals</text:span>
        <text:span text:style-name="T3"> and the </text:span>
        <text:span text:style-name="T6">county capital</text:span>
        <text:span text:style-name="T3"> will have a higher population increase compared with municipalities that are far from the </text:span>
        <text:span text:style-name="T6">county capitals</text:span>
        <text:span text:style-name="T3">.</text:span>
      </text:p>
      <text:p text:style-name="P8"/>
      <text:p text:style-name="P2">
        <text:span text:style-name="T4">Housing stock</text:span>
      </text:p>
      <text:p text:style-name="P2">
        <text:span text:style-name="T1">There are two components of the housing stock, the first one is the countryside housing stock and the second one is the urban housing stock. Heins (2004) states in his report that the rural housing stock also has the requirements to protect the rural area from urbanization because of nature conservation. This can possibly lead to a shortage of housing stock in rural areas since the construction of new houses is limited. Heins also points out that this limitation is less important for the urban areas since there is less nature to conserve or protect. </text:span>
      </text:p>
      <text:p text:style-name="P6"/>
      <text:p text:style-name="P2">
        <text:span text:style-name="T1">
          When we come to the situation in the north of the Netherlands, there are different trends between the housing stock in rural areas compared to the cities. Sociaal Planbureau Groningen (2019) shows that the housing stock in the cities, e.g. Groningen, is increasing. Whereas the housing stock in the rural part of 
          <text:s/>
          the shrinkage regions is decreasing. There is a small increase of the housing stock in the urban part of shrinkage regions. However, this is a significantly smaller increase compared with cities in regions that are not exposed to shrinkage. Deilmann et al. (2009) shows as well that shrinkage regions in Europe will lead to a decrease of the housing stock. A housing stock decline of 1 percent a year is necessary for some regions to maintain the vacancy rate of homes below 20 percent. Having considered the facts mentioned above, the following hypothesis is stated:
        </text:span>
      </text:p>
      <text:p text:style-name="P6"/>
      <text:p text:style-name="P2">
        <text:span text:style-name="T6">H2: </text:span>
        <text:span text:style-name="T3">The housing stock is increasing faster in the growing municipalities compared to shrinkage municipalities, even a stock decrease for shrinkage municipalities is possible. </text:span>
      </text:p>
      <text:p text:style-name="P6"/>
      <text:p text:style-name="P2">
        <text:span text:style-name="T4">Housing price</text:span>
      </text:p>
      <text:p text:style-name="P2">
        <text:span text:style-name="T1">The shrinkage of the region will directly affect the housing price. The research from Maennig(2008) states that there is a negative relationship between the shrink of the region and the housing price. The increase of the housing price on the other hand does not directly indicate economic development of the region because of the existence of housing bubbles. There are previous examples related to housing bubbles in developed countries such as Japan (Cutts, 1990). </text:span>
      </text:p>
      <text:p text:style-name="P6"/>
      <text:p text:style-name="P2">
        <text:span text:style-name="T1">Another important factor for the housing price is the density of the population. Florida (2016) found out that the housing price is higher in urban areas (i.e. higher population density) compared to rural areas (i.e. lower population density). This is especially the case for more developed countries like the Netherlands or the United States. This price gap between the rural and urban areas is growing even more the last few years. The research from Clark (2018) supports this argument that the urban housing price is higher compared with the rural area in the United states. Nijskens and Lohaus (2019) shows that the housing price is higher in urban areas compared to rural areas for the Netherlands as well. Having considered the facts mentioned above, the following hypothesis is stated:</text:span>
      </text:p>
      <text:p text:style-name="P6"/>
      <text:p text:style-name="P2">
        <text:span text:style-name="T6">H3: </text:span>
        <text:span text:style-name="T3">The housing prices are higher in the more urban municipalities compared to the rural municipalities.</text:span>
      </text:p>
      <text:p text:style-name="P6"/>
      <text:p text:style-name="P2">
        <text:span text:style-name="T4">Satisfaction with the region</text:span>
      </text:p>
      <text:p text:style-name="P2">
        <text:span text:style-name="T1">Most studies investigate residents' general satisfaction with their home, including the actual house, the neighborhood and region. Residential satisfaction is the subjective evaluation of various house, neighborhood and regional characteristics. Neighborhood satisfaction has however been shown to be an essential independent predictor of housing satisfaction (Abidin et al., 2019). The indicator that is going to be focused on in this research project is residents’ satisfaction solely with the living environment in the region. This is because housing style and quality can vary greatly and patterns could potentially get lost when looking at entire regions rather than streets or houses. </text:span>
      </text:p>
      <text:p text:style-name="P2">
        <text:span text:style-name="T5">
          <text:s/>
        </text:span>
      </text:p>
      <text:p text:style-name="P2">
        <text:soft-page-break/>
        <text:span text:style-name="T1">Neighborhood satisfaction is an important predictor of residential satisfaction as a whole (Abidin et al., 2019). One of the main predictors of neighborhood satisfaction is the distance travelled to medical centers, schools, shopping, work etc (Abidin et al., 2019). Quality of streets and roads, homogeneity regarding social class, race, and ethnic group, crime rates and the physical environment also factor into the reported neighborhood satisfaction (Abidin et al., 2019).</text:span>
      </text:p>
      <text:p text:style-name="P2">
        <text:span text:style-name="T1">
          <text:s/>
        </text:span>
      </text:p>
      <text:p text:style-name="P2">
        <text:span text:style-name="T1">Positive neighborhood norms are an important basis for residents’ neighborhood satisfaction and attachment (Van Assche et al., 2019). These norms are unwritten social rules for interactions with neighbors and one’s behavior in common spaces (Van Assche et al., 2019). The presence of positive neighborhood norms in the form of friendships, mutual trust, helping and a sense of community have shown to result in higher neighborhood satisfaction and could also predict lower moving intentions of the residents (Van Assche et al., 2019). The previous research on this topic leads to this data project’s fourth hypothesis: </text:span>
      </text:p>
      <text:p text:style-name="P2"/>
      <text:p text:style-name="P2">
        <text:span text:style-name="T6">H4: </text:span>
        <text:span text:style-name="T3">Satisfaction with the region is negatively correlated with shrinking of the region.</text:span>
      </text:p>
      <text:p text:style-name="P6"/>
      <text:p text:style-name="P2">
        <text:span text:style-name="T4">Willingness to move</text:span>
      </text:p>
      <text:p text:style-name="P2">
        <text:span text:style-name="T1">Mobility as defined by Speare in his 1974 study on residential satisfaction can be measured by the wish to move to a new home in the first year and subsequent mobility one year later. He found the wish to move in the first year to be positively related to subsequent mobility. Naturally, satisfaction with the initial home was negatively related to wish to move and subsequent mobility. Residential satisfaction, wish to move, duration of residence, and home ownership had significant independent effects on subsequent mobility. However, together these factors only explained 24 per cent of the variance in residential mobility, while residential satisfaction and home ownership explained 25 per cent of the variance in residents’ wish to move.</text:span>
      </text:p>
      <text:p text:style-name="P2">
        <text:span text:style-name="T5">
          <text:s/>
        </text:span>
      </text:p>
      <text:p text:style-name="P2">
        <text:span text:style-name="T1">
          This clearly raises the question of what factors into the variables in order to explain the other circa 75 percent of the mobility and wish to move variables. Why do all factors together only account for 25 per cent of the variance in residential mobility? One may consider that the wish to move is not the same as the propensity to move, which would indicate that the residents have desires, plans, inclinations or expectations about future mobility (Morris et al., 1976). 
          <text:s/>
          However even if some people would like to move but think it is out of reach or are not seriously considering it. Why does residential satisfaction have a relatively small impact on the wish to move? One may contemplate whether people often move spontaneously, whose intention or desire to move is not caught by the ‘wish to move’ variable. They may be happy with their house, however stumble across one that they feel would suit them better, and spontaneously move.
        </text:span>
      </text:p>
      <text:p text:style-name="P2">
        <text:span text:style-name="T5">
          <text:s/>
        </text:span>
      </text:p>
      <text:p text:style-name="P2">
        <text:span text:style-name="T1">Additional factors that may factor into the intention or desire to move are financial constraints, family and personal circumstances, housing stock and various other indicators also considered in this project. One should also consider that in most studies on this topic, residential mobility includes any move, even if it is just down the block. The shrinkage regions in the North of the Netherlands considered in our project are larger regions and are concerned with mobility over longer distances than within local neighborhoods. Nonetheless, the trend of the literature on this topic indicates that the willingness to move is a significant predictor of subsequent changes in address. The fifth hypothesis therefore states: </text:span>
      </text:p>
      <text:p text:style-name="P2"/>
      <text:p text:style-name="P2">
        <text:span text:style-name="T6">H5: </text:span>
        <text:span text:style-name="T3">There is a positive correlation between willingness to move and shrinking of the region.</text:span>
      </text:p>
      <text:p text:style-name="P6"/>
      <text:p text:style-name="P2">
        <text:span text:style-name="T4">Vacancy rates of homes</text:span>
      </text:p>
      <text:p text:style-name="P2">
        <text:span text:style-name="T1">In the Netherlands more than 400 thousand houses are unoccupied and 190 thousand remain unoccupied for more than 18 months (Statistics Netherlands, 2014). An increasing vacancy rate indicates that the region would indicate shrinking. Nonetheless, due to the decline in population, an increasing vacancy of housing will be inevitable (</text:span>
        <text:span text:style-name="T2">PBL Netherlands Environmental Assessment Agency, 2010)</text:span>
        <text:span text:style-name="T1"> Residents of the area may notice this trend when the streets and neighbourhood gets emptier. Stores, medical centers and schools may also reduce in number. Location is a primary factor people take into consideration when deciding on which property to buy (Abidin et al., 2019). The easy mobility and closeness of facilities provided by cities has attracted large parts of the global population for the past decades (Abidin et al., 2019). Therefore, one may expect that if people notice the vacancy rate of homes in their neighbourhood rising, they plan differently for the future as they foresee facilities and mobility to also reduce. If regular citizens have noticed an increased vacancy rate, private investors and builders are probably also less likely to purchase properties in the area, which could halt the housing market all together. This line of reasoning guides the sixth hypothesis explored in this project: </text:span>
      </text:p>
      <text:p text:style-name="P2"/>
      <text:p text:style-name="P2">
        <text:span text:style-name="T6">H6: </text:span>
        <text:span text:style-name="T3">The vacancy rate of homes in the neighborhood is positively correlated with shrinking of the region.</text:span>
      </text:p>
      <text:p text:style-name="Heading_20_2">
        <text:bookmark text:name="_g952nrbvldwk"/>
        <text:span text:style-name="T1">Main deliverable</text:span>
      </text:p>
      <text:p text:style-name="P1">
        <text:span text:style-name="T1">Our main deliverable is a dashboard of the housing market in the Northern Netherlands. The Northern Netherlands has regions that undergo shrinkage whereas other regions are growing slightly or more extreme. This dashboard was built to provide better insight in the indicators that are relevant for the population dynamics of regions. </text:span>
      </text:p>
      <text:p text:style-name="P5">
        <text:soft-page-break/>
      </text:p>
      <text:p text:style-name="P1">
        <text:span text:style-name="T1">The dashboard shows a total of 6 indicators which are divided into two different categories: registered and subjective indicators. The registered indicators are visualized with the help of public CBS data that is provided on Statline and is based on registered data. The three registered indicators are housing stock, housing price and population dynamics. The data is visualized on municipality level for the years 2015-2019. The subjective indicators are based on the Woon Onderzoek 2018 (Residence Investigation 2018). Woon Onderzoek 2018 is a national questionnaire with subjective questions filled in by a representative amount of Dutch inhabitants. The three subjective indicators are satisfaction with the region, willingness to move and the vacancy rate in the region. The data is visualized on COROP region level, that is a group of adjacent municipalities, for the year 2018. The dataset was retrieved from DANS (</text:span>
        <text:span text:style-name="T7">Data Archiving and Networked Services). Several different ways of visualisation, such as maps, graphs and boxplots, are used to visualize the data in a structured manner. </text:span>
      </text:p>
      <text:p text:style-name="P5"/>
      <text:p text:style-name="P1">
        <text:span text:style-name="T1">
          An accountability section is also available on the dashboard. The accountability section contains a summary of the provided information, the references to the used data sets, information about the handling of data from merged municipalities and information about the legal issues. Besides the accountability section, there is a download section. 
          <text:s/>
          This section contains links for downloading the final report that serves as an addition to the dashboard. 
        </text:span>
      </text:p>
      <text:p text:style-name="P6"/>
      <text:p text:style-name="P18">
        <text:bookmark text:name="_20d3byqfklit"/>
        <text:span text:style-name="T1">Method</text:span>
      </text:p>
      <text:p text:style-name="P17">
        <text:bookmark text:name="_1xktw3fsvlh7"/>
        <text:span text:style-name="T1">Data gathering</text:span>
      </text:p>
      <text:p text:style-name="P2">
        <text:span text:style-name="T1">To test the stated hypotheses, data will be collected to describe the indicators that we are investigating. Data collection is chosen since the project partner, Statistics Netherlands, provides numerous data sets for the Netherlands and also for the North of the Netherlands. The CBS provides two main sources of data that are relevant for this study: Statline and Woon Onderzoek. Statline is a database where the CBS makes numerous databases publicly available. Statline is used to find relevant data for the objective indicators, which are housing stock, housing price and migration within the region. </text:span>
      </text:p>
      <text:p text:style-name="P6"/>
      <text:p text:style-name="P2">
        <text:span text:style-name="T1">A dataset on the dwelling and non-residential stock is used to describe the housing stock (CBS, 2020a). Only the dwelling stock is used in the dataset since the housing stock is investigated instead of the whole building stock. The housing stock is based on the initial stock, the new constructed houses, other auditions (e.g. from non-residential to residential), demolished houses and other withdrawals (e.g. from residential to non-residential). CBS (2020a) shows that the data is abstracted from the Key Register Addresses and Buildings (BAG). This registers all the addresses in the Netherlands and these are provided by all the municipalities. </text:span>
      </text:p>
      <text:p text:style-name="P6"/>
      <text:p text:style-name="P2">
        <text:span text:style-name="T1">The development of the housing price is represented by a dataset that contains data about the average purchase price (CBS, 2020b). The average purchase price is calculated by the sum of the purchase transactions and relative to the number of sold houses. CBS (2020b) retrieves the data from the Netherlands’ Cadastre, Land Registry and Mapping Agency (Kadaster) and the Kadaster is involved in all the purchases of the houses. Therefore it is likely that the used data is quite accurate. </text:span>
      </text:p>
      <text:p text:style-name="P6"/>
      <text:p text:style-name="Standard">CBS (2020c) is a data set about the population dynamics of the Netherlands. This dataset is used for the indicator migration within the region since it provides information about the population growth or decrease for each municipality which is related to migration. Especially, the population growth ratio (per thousand) is retrieved from the data to describe the relative change of population. CBS (2020c) based the data on the Municipal population register and this data is quite accurate. Only in a few cases, data is missing and then the CBS will estimate the values itself.</text:p>
      <text:p text:style-name="P6"/>
      <text:p text:style-name="P2">
        <text:span text:style-name="T1">
          The Woon Onderzoek 2018 dataset is used for all the three subjective indicators (see Table 1). The Woon Onderzoek is a survey that is conducted by Dutch citizens of the and they are asked questions about their way of life, their satisfaction with their region, the type of house they live in, etc. (Dugteren et al., 2019). 
          <text:s/>
          BZK (2017) shows that the WoonOnderzoek is made representative with the use of oversampling if the sample is too small, e.g. in shrinkage regions. Hauner et al. (2014) investigated the oversampling method on potential biases and errors and he did not detect a bias or substantial error in the oversampling method. 
        </text:span>
      </text:p>
      <text:p text:style-name="P6"/>
      <table:table table:name="Table1" table:style-name="Table1">
        <table:table-column table:style-name="Table1.A"/>
        <table:table-column table:style-name="Table1.B"/>
        <table:table-row table:style-name="Table1.1">
          <table:table-cell table:style-name="Table1.A1" office:value-type="string">
            <text:p text:style-name="P9">
              <text:span text:style-name="T4">Indicator</text:span>
            </text:p>
          </table:table-cell>
          <table:table-cell table:style-name="Table1.A1" office:value-type="string">
            <text:p text:style-name="P9">
              <text:span text:style-name="T4">Question</text:span>
            </text:p>
          </table:table-cell>
        </table:table-row>
        <table:table-row table:style-name="Table1.1">
          <table:table-cell table:style-name="Table1.A1" office:value-type="string">
            <text:p text:style-name="P9">
              <text:span text:style-name="T1">Satisfaction with the region</text:span>
            </text:p>
          </table:table-cell>
          <table:table-cell table:style-name="Table1.A1" office:value-type="string">
            <text:p text:style-name="P10">
              <text:span text:style-name="T1">How satisfied are you with the region where you are living?</text:span>
            </text:p>
          </table:table-cell>
        </table:table-row>
        <table:table-row table:style-name="Table1.1">
          <table:table-cell table:style-name="Table1.A1" office:value-type="string">
            <text:p text:style-name="P10">
              <text:span text:style-name="T1">Vacancy rate of homes in neighbourhood</text:span>
            </text:p>
          </table:table-cell>
          <table:table-cell table:style-name="Table1.A1" office:value-type="string">
            <text:p text:style-name="P10">
              <text:span text:style-name="T1">How has the vacancy rate of homes in your area changed in the past 5 years?</text:span>
            </text:p>
          </table:table-cell>
        </table:table-row>
        <table:table-row table:style-name="Table1.1">
          <table:table-cell table:style-name="Table1.A1" office:value-type="string">
            <text:p text:style-name="P9">
              <text:span text:style-name="T1">Willingness to move</text:span>
            </text:p>
          </table:table-cell>
          <table:table-cell table:style-name="Table1.A1" office:value-type="string">
            <text:p text:style-name="P9">
              <text:span text:style-name="T1">Do you want to move within 2 years</text:span>
            </text:p>
          </table:table-cell>
        </table:table-row>
      </table:table>
      <text:p text:style-name="P2">
        <text:soft-page-break/>
        <text:span text:style-name="T3">Table 1: Questions from the Woon Onderzoek which represents the subjective indicators</text:span>
      </text:p>
      <text:p text:style-name="P6"/>
      <text:p text:style-name="P17">
        <text:bookmark text:name="_p7uwiv9ulqci"/>
        <text:span text:style-name="T1">Data processing </text:span>
      </text:p>
      <text:p text:style-name="Heading_20_2">
        <text:bookmark text:name="_ymdo927xr69m"/>
        <text:span text:style-name="T1">Data analysis</text:span>
      </text:p>
      <text:p text:style-name="Heading_20_1">
        <text:bookmark text:name="_fc2o7j8zie9x"/>
        <text:span text:style-name="T1">Results</text:span>
      </text:p>
      <text:p text:style-name="P4"/>
      <text:p text:style-name="Heading_20_1">
        <text:bookmark text:name="_rnoitnrmj6dh"/>
        <text:span text:style-name="T1">Discussion and advice </text:span>
      </text:p>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soft-page-break/>
      </text:p>
      <text:p text:style-name="P6"/>
      <text:p text:style-name="P6"/>
      <text:p text:style-name="P6"/>
      <text:p text:style-name="P6"/>
      <text:p text:style-name="P6"/>
      <text:p text:style-name="P6"/>
      <text:p text:style-name="P6"/>
      <text:p text:style-name="P6"/>
      <text:p text:style-name="P18">
        <text:bookmark text:name="_69p4g6k7haej"/>
        <text:span text:style-name="T1">Literature</text:span>
      </text:p>
      <text:p text:style-name="P2">
        <text:span text:style-name="T1">Boelhouwer, P., Boumeester, H., Groetelaers, D., Hoekstra, J., Heijden van der, H., Jansen, S., Korthals</text:span>
      </text:p>
      <text:p text:style-name="P12">
        <text:span text:style-name="T1">Altes, W., Wolff de, H., Simon, C,. Haan de, F., Grisnich, F. and Ringersma, R. (2016).</text:span>
      </text:p>
      <text:p text:style-name="P12">
        <text:span text:style-name="T1">
          Woningmarkt- en leefbaarheidsonderzoek aardbevingsgebied Groningen. 
          <text:s/>
        </text:span>
      </text:p>
      <text:p text:style-name="P6"/>
      <text:p text:style-name="P2">
        <text:span text:style-name="T1">Broersma, L., &amp; Oosterhaven, J. (2009). Regional labor productivity in the Netherlands: Evidence of</text:span>
      </text:p>
      <text:p text:style-name="P12">
        <text:span text:style-name="T1">agglomeration and congestion effects. Journal of Regional Science, 49(3), 483-511.</text:span>
      </text:p>
      <text:p text:style-name="P6"/>
      <text:p text:style-name="P2">
        <text:span text:style-name="T1">CBS. (2008). De stad Groningen als roltrap van Noord-Nederland. Statistics Netherlands. Available at:</text:span>
      </text:p>
      <text:p text:style-name="P12">
        <text:a xlink:type="simple" xlink:href="https://www.cbs.nl./nl-nl/achtergrond/2008/28/de-stad-groningen-als-roltrap-van-noordnederland" text:style-name="ListLabel_20_1" text:visited-style-name="ListLabel_20_1">
          <text:span text:style-name="T8">https://www.cbs.nl./nl-nl/achtergrond/2008/28/de-stad-groningen-als-roltrap-van-noordnederland</text:span>
        </text:a>
      </text:p>
      <text:p text:style-name="P12">
        <text:span text:style-name="T1">(Accessed: 26 November 2020)</text:span>
      </text:p>
      <text:p text:style-name="P12"/>
      <text:p text:style-name="P2">
        <text:soft-page-break/>
        <text:span text:style-name="T1">Clark, C.J.H. (2018). The Boom in Urban Housing Prices is Holding Back Economic Growth. Available</text:span>
      </text:p>
      <text:p text:style-name="P12">
        <text:span text:style-name="T1">at: </text:span>
        <text:a xlink:type="simple" xlink:href="https://www.bushcenter.org/catalyst/your-town/clark-urban-housing.html" text:style-name="ListLabel_20_1" text:visited-style-name="ListLabel_20_1">
          <text:span text:style-name="T8">https://www.bushcenter.org/catalyst/your-town/clark-urban-housing.html</text:span>
        </text:a>
        <text:span text:style-name="T1"> (Accessed: 10</text:span>
      </text:p>
      <text:p text:style-name="P12">
        <text:span text:style-name="T1">December 2020)</text:span>
      </text:p>
      <text:p text:style-name="P13"/>
      <text:p text:style-name="P2">
        <text:span text:style-name="T1">Cutts, R. J. (2014, August 1). Power from the Ground Up: Japan’s Land Bubble. Harvard Business</text:span>
      </text:p>
      <text:p text:style-name="P12">
        <text:span text:style-name="T1">Review. Available at: </text:span>
        <text:a xlink:type="simple" xlink:href="https://hbr.org/1990/05/power-from-the-ground-up-japans-land-bubble" text:style-name="ListLabel_20_1" text:visited-style-name="ListLabel_20_1">
          <text:span text:style-name="T8">https://hbr.org/1990/05/power-from-the-ground-up-japans-land-bubble</text:span>
        </text:a>
        <text:span text:style-name="T1">.</text:span>
      </text:p>
      <text:p text:style-name="P12">
        <text:span text:style-name="T1">(Accessed: 26 November 2020)</text:span>
      </text:p>
      <text:p text:style-name="P6"/>
      <text:p text:style-name="P2">
        <text:span text:style-name="T1">Dam van, K., Wissen van, L., Roo de, G., Dijk van, J., Strijker, D., &amp; Veenstra, J. (2009). Regionale</text:span>
      </text:p>
      <text:p text:style-name="P12">
        <text:span text:style-name="T1">bevolkingskrimp en de Stad Groningen. Quick Scan. Faculteit Ruimtelijke Wetenschappen,</text:span>
      </text:p>
      <text:p text:style-name="P12">
        <text:span text:style-name="T1">Groningen.</text:span>
      </text:p>
      <text:p text:style-name="P6"/>
      <text:p text:style-name="P2">
        <text:span text:style-name="T1">Deilmann, C., Effenberger, K. H., &amp; Banse, J. (2009). Housing stock shrinkage: vacancy and demolition</text:span>
      </text:p>
      <text:p text:style-name="P12">
        <text:span text:style-name="T1">trends in Germany. Building Research &amp; Information, 37(5-6), 660-668.</text:span>
      </text:p>
      <text:p text:style-name="P13"/>
      <text:p text:style-name="P2">
        <text:span text:style-name="T1">Florida, R. (2016). The Incredible Rise of Urban Real Estate. Bloomberg. Available at:</text:span>
      </text:p>
      <text:p text:style-name="P12">
        <text:a xlink:type="simple" xlink:href="https://www.bloomberg.com/news/articles/2016-02-25/the-growth-of-urban-vs-suburban-housin" text:style-name="ListLabel_20_1" text:visited-style-name="ListLabel_20_1">
          <text:span text:style-name="T8">https://www.bloomberg.com/news/articles/2016-02-25/the-growth-of-urban-vs-suburban-housin</text:span>
        </text:a>
      </text:p>
      <text:p text:style-name="P12">
        <text:span text:style-name="T1">prices-zillow-report (Accessed: 26 November 2020)</text:span>
      </text:p>
      <text:p text:style-name="P13"/>
      <text:p text:style-name="P2">
        <text:span text:style-name="T1">Fuguitt, G. V., &amp; Zuiches, J. J. (1975). Residential preferences and population distribution. Demography,</text:span>
      </text:p>
      <text:p text:style-name="P12">
        <text:span text:style-name="T1">12(3), 491-504.</text:span>
      </text:p>
      <text:p text:style-name="P6">
        <text:soft-page-break/>
      </text:p>
      <text:p text:style-name="P2">
        <text:span text:style-name="T1">Hamouda, O. F., de Groot, H. L., &amp; Groot, S. P. (2012). Wage inequality in the Netherlands: Evidence,</text:span>
      </text:p>
      <text:p text:style-name="P12">
        <text:span text:style-name="T1">trends, and explanations. Journal of Income Distribution.</text:span>
      </text:p>
      <text:p text:style-name="P6"/>
      <text:p text:style-name="P2">
        <text:span text:style-name="T1">Heins, S. (2004). Rural living in city and countryside: Demand and supply in the Netherlands. Journal of</text:span>
      </text:p>
      <text:p text:style-name="P12">
        <text:span text:style-name="T1">Housing and the Built Environment, 19(4), 391-408.</text:span>
      </text:p>
      <text:p text:style-name="P6"/>
      <text:p text:style-name="P2">
        <text:span text:style-name="T1">Kempen, van, R., Schutjens, V. A., &amp; Weesep, van , J. (2000). Housing and social fragmentation in the</text:span>
      </text:p>
      <text:p text:style-name="P12">
        <text:span text:style-name="T1">Netherlands. Housing Studies, 15(4), 505-531.</text:span>
      </text:p>
      <text:p text:style-name="P13"/>
      <text:p text:style-name="P2">
        <text:span text:style-name="T1">Maennig, W., &amp; Dust, L. (2008). Shrinking and growing metropolitan areas asymmetric real estate price</text:span>
      </text:p>
      <text:p text:style-name="P12">
        <text:span text:style-name="T1">reactions?: The case of German single-family houses. Regional Science and Urban Economics,</text:span>
      </text:p>
      <text:p text:style-name="P12">
        <text:span text:style-name="T1">38(1), 63-69.</text:span>
      </text:p>
      <text:p text:style-name="P13"/>
      <text:p text:style-name="P2">
        <text:span text:style-name="T1">Nijskens, R., &amp; Lohuis, M. (2019). The housing market in major Dutch cities. Hot Property, 23.</text:span>
      </text:p>
      <text:p text:style-name="P2"/>
      <text:p text:style-name="P14">Rijksoverheid. (2019). Bijlage 1 Invulling van het begrip dichtbevolkt door ILT voor toezicht en</text:p>
      <text:p text:style-name="P16">handhaving </text:p>
      <text:p text:style-name="P16"/>
      <text:p text:style-name="P2">
        <text:span text:style-name="T1">Rijksoverheid. (n.d.). Krimpgebieden en anticipeergebieden. Retrieved on December 7, 2020, from</text:span>
      </text:p>
      <text:p text:style-name="P12">
        <text:a xlink:type="simple" xlink:href="https://www.rijksoverheid.nl/onderwerpen/bevolkingsdaling/krimpgebieden-en-anticipeergebied" text:style-name="ListLabel_20_1" text:visited-style-name="ListLabel_20_1">
          <text:span text:style-name="T8">https://www.rijksoverheid.nl/onderwerpen/bevolkingsdaling/krimpgebieden-en-anticipeergebied</text:span>
        </text:a>
      </text:p>
      <text:p text:style-name="P12">
        <text:soft-page-break/>
        <text:span text:style-name="T1">en</text:span>
      </text:p>
      <text:p text:style-name="P6"/>
      <text:p text:style-name="P2">
        <text:span text:style-name="T1">SER Noord-Nederland. (2010). Het Noorden geeft geen krimp.</text:span>
      </text:p>
      <text:p text:style-name="P6"/>
      <text:p text:style-name="P2">
        <text:span text:style-name="T1">Sociaal Planbureau Groningen. (2019). Woningvoorraad krimpgebieden Groningen concentreert zich</text:span>
      </text:p>
      <text:p text:style-name="P12">
        <text:span text:style-name="T1">langzaam in grote kernen. Available at: </text:span>
      </text:p>
      <text:p text:style-name="P12">
        <text:a xlink:type="simple" xlink:href="https://sociaalplanbureaugroningen.nl/woningvoorraad-krimpgebieden-groningen-concentreert-" text:style-name="ListLabel_20_1" text:visited-style-name="ListLabel_20_1">
          <text:span text:style-name="T8">https://sociaalplanbureaugroningen.nl/woningvoorraad-krimpgebieden-groningen-concentreert-</text:span>
        </text:a>
      </text:p>
      <text:p text:style-name="P12">
        <text:span text:style-name="T1">zich-langzaam-grote-kernen/ (Accessed: 26 November 2020)</text:span>
      </text:p>
      <text:p text:style-name="P13"/>
      <text:p text:style-name="P2">
        <text:span text:style-name="T1">Stuart-Fox, M., Blijie, B., Ligthart, D., Faessen, W., &amp; Kleinepier, T. (2019). De woningmarkt en</text:span>
      </text:p>
      <text:p text:style-name="P12">
        <text:span text:style-name="T1">leefbaarheid in krimpgebieden. ABF Research: Delft, NL</text:span>
      </text:p>
      <text:p text:style-name="P13"/>
      <text:p text:style-name="P15">
        <text:span text:style-name="T4">Literature </text:span>
      </text:p>
      <text:p text:style-name="P11">
        <text:a xlink:type="simple" xlink:href="https://business.gov.nl/partners/statistics-netherlands/" text:style-name="ListLabel_20_2" text:visited-style-name="ListLabel_20_2">
          <text:span text:style-name="T9">https://business.gov.nl/partners/statistics-netherlands/</text:span>
        </text:a>
      </text:p>
      <text:p text:style-name="P11">
        <text:a xlink:type="simple" xlink:href="https://en.wikipedia.org/wiki/Statistics_Netherlands" text:style-name="ListLabel_20_2" text:visited-style-name="ListLabel_20_2">
          <text:span text:style-name="T9">https://en.wikipedia.org/wiki/Statistics_Netherland</text:span>
        </text:a>
      </text:p>
      <text:p text:style-name="P4"/>
      <text:p text:style-name="P2">
        <text:span text:style-name="T4">Literature</text:span>
      </text:p>
      <text:p text:style-name="P2">
        <text:span text:style-name="T1">CBS. (2020a). Dwellings and non-residential stock; changes, utility function, regions [Data set].</text:span>
      </text:p>
      <text:p text:style-name="P12">
        <text:span text:style-name="T1">Available at: https://opendata.cbs.nl/statline/#/CBS/en/dataset/81955ENG/table?dl=46A0F </text:span>
      </text:p>
      <text:p text:style-name="P6"/>
      <text:p text:style-name="P2">
        <text:span text:style-name="T1">
          CBS. (2020b). 
          <text:s/>
          Existing own homes; average purchase prices, region [Data set]. Available at:
        </text:span>
      </text:p>
      <text:p text:style-name="P12">
        <text:soft-page-break/>
        <text:span text:style-name="T1">https://opendata.cbs.nl/#/CBS/en/dataset/83625ENG/table?dl=32761</text:span>
      </text:p>
      <text:p text:style-name="P6"/>
      <text:p text:style-name="P2">
        <text:span text:style-name="T1">CBS. (2020c). Population dynamics; birth, death and migration per region [Data set]. Available at:</text:span>
      </text:p>
      <text:p text:style-name="P12">
        <text:a xlink:type="simple" xlink:href="https://opendata.cbs.nl/statline/#/CBS/en/dataset/37259eng/table?dl=41867" text:style-name="ListLabel_20_1" text:visited-style-name="ListLabel_20_1">
          <text:span text:style-name="T8">https://opendata.cbs.nl/statline/#/CBS/en/dataset/37259eng/table?dl=41867</text:span>
        </text:a>
      </text:p>
      <text:p text:style-name="P13"/>
      <text:p text:style-name="P2">
        <text:span text:style-name="T1">Dugteren van, F., Eskinasi, M., &amp; Kleefstra, H. (2019). Van volkstelling naar Big Data. Ruimte plus</text:span>
      </text:p>
      <text:p text:style-name="P12">
        <text:span text:style-name="T1">Wonen: Vakblad over de Leefomgeving Voor Ruimtelijke Professionals En Woonexperts, 6–15</text:span>
      </text:p>
      <text:p text:style-name="P6"/>
      <text:p text:style-name="P2">
        <text:span text:style-name="T1">Hauner, K. K., Zinbarg, R. E., &amp; Revelle, W. (2014). A latent variable model approach to estimating</text:span>
      </text:p>
      <text:p text:style-name="P12">
        <text:span text:style-name="T1">systematic bias in the oversampling method. Behavior research methods, 46(3), 786-797.</text:span>
      </text:p>
      <text:p text:style-name="P6"/>
      <text:p text:style-name="P2">
        <text:span text:style-name="T1">Minister van Binnenlandse Zaken en Koninkrijksrelaties. (2017). Oversampling WoOn 2018.</text:span>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document-statistic meta:table-count="1" meta:image-count="0" meta:object-count="0" meta:page-count="10" meta:paragraph-count="127" meta:word-count="3807" meta:character-count="25301" meta:non-whitespace-character-count="21580"/>
    <meta:generator>LibreOfficeDev/6.0.5.2$Linux_X86_64 LibreOffice_project/</meta:generator>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0</config:config-item>
      <config:config-item config:name="ViewAreaHeight" config:type="long">0</config:config-item>
      <config:config-item config:name="ShowRedlineChanges" config:type="boolean">true</config:config-item>
      <config:config-item config:name="InBrowseMode" config:type="boolean">false</config:config-item>
    </config:config-item-set>
    <config:config-item-set config:name="ooo:configuration-settings">
      <config:config-item config:name="PrintProspect" config:type="boolean">false</config:config-item>
      <config:config-item config:name="PrintLeftPages" config:type="boolean">true</config:config-item>
      <config:config-item config:name="PrintGraphic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DisableOffPagePositioning" config:type="boolean">true</config:config-item>
      <config:config-item config:name="ApplyParagraphMarkFormatToNumbering" config:type="boolean">true</config:config-item>
      <config:config-item config:name="PrintReversed" config:type="boolean">false</config:config-item>
      <config:config-item config:name="TabOverMargin" config:type="boolean">true</config:config-item>
      <config:config-item config:name="EmbedFonts" config:type="boolean">false</config:config-item>
      <config:config-item config:name="SurroundTextWrapSmall" config:type="boolean">true</config:config-item>
      <config:config-item config:name="BackgroundParaOverDrawings" config:type="boolean">true</config:config-item>
      <config:config-item config:name="ClippedPictures" config:type="boolean">true</config:config-item>
      <config:config-item config:name="FloattableNomargins" config:type="boolean">true</config:config-item>
      <config:config-item config:name="UnbreakableNumberings" config:type="boolean">true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TreatSingleColumnBreakAsPageBreak" config:type="boolean">true</config:config-item>
      <config:config-item config:name="MathBaselineAlignment" config:type="boolean">true</config:config-item>
      <config:config-item config:name="AddFrameOffsets" config:type="boolean">true</config:config-item>
      <config:config-item config:name="IsLabelDocument" config:type="boolean">false</config:config-item>
      <config:config-item config:name="PrinterName" config:type="string"/>
      <config:config-item config:name="OutlineLevelYieldsNumbering" config:type="boolean">false</config:config-item>
      <config:config-item config:name="MsWordCompTrailingBlanks" config:type="boolean">true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true</config:config-item>
      <config:config-item config:name="EmbeddedDatabaseName" config:type="string"/>
      <config:config-item config:name="IgnoreTabsAndBlanksForLineCalculation" config:type="boolean">true</config:config-item>
      <config:config-item config:name="UseOldPrinterMetrics" config:type="boolean">false</config:config-item>
      <config:config-item config:name="InvertBorderSpacing" config:type="boolean">true</config:config-item>
      <config:config-item config:name="SaveGlobalDocumentLinks" config:type="boolean">false</config:config-item>
      <config:config-item config:name="TabsRelativeToIndent" config:type="boolean">false</config:config-item>
      <config:config-item config:name="Rsid" config:type="int">1892628</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false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AddVerticalFrameOffsets" config:type="boolean">true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true</config:config-item>
      <config:config-item config:name="RsidRoot" config:type="int">1892628</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Arial" svg:font-family="Arial" style:font-family-generic="roman" style:font-pitch="variable"/>
    <style:font-face style:name="Calibri" svg:font-family="Calibri"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Arial1" svg:font-family="Arial" style:font-family-generic="system" style:font-pitch="variable"/>
    <style:font-face style:name="Linux Libertine G" svg:font-family="'Linux Libertine G'" style:font-family-generic="system" style:font-pitch="variable"/>
    <style:font-face style:name="Times New Roman1" svg:font-family="'Times New Roma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Calibri" fo:font-size="11pt" fo:language="en" fo:country="none" style:letter-kerning="false" style:font-name-asian="Linux Libertine G" style:font-size-asian="11pt" style:language-asian="zh" style:country-asian="CN" style:font-name-complex="Linux Libertine G" style:font-size-complex="11pt" style:language-complex="hi" style:country-complex="IN"/>
    </style:default-style>
    <style:default-style style:family="paragraph">
      <style:paragraph-properties fo:hyphenation-ladder-count="no-limit" style:text-autospace="ideograph-alpha" style:punctuation-wrap="hanging" style:line-break="strict" style:tab-stop-distance="0.5in" style:writing-mode="page"/>
      <style:text-properties style:use-window-font-color="true" style:font-name="Calibri" fo:font-size="11pt" fo:language="en" fo:country="none" style:letter-kerning="false" style:font-name-asian="Linux Libertine G" style:font-size-asian="11pt" style:language-asian="zh" style:country-asian="CN" style:font-name-complex="Linux Libertine G" style:font-size-complex="11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paragraph-properties fo:line-height="150%" fo:text-align="justify" style:justify-single-word="false"/>
    </style:style>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Linux Libertine G" style:font-family-asian="'Linux Libertine G'" style:font-family-generic-asian="system" style:font-pitch-asian="variable" style:font-size-asian="14pt" style:font-name-complex="Linux Libertine G" style:font-family-complex="'Linux Libertine G'"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15%"/>
    </style:style>
    <style:style style:name="List" style:family="paragraph" style:parent-style-name="Text_20_body" style:class="list">
      <style:text-properties style:font-size-asian="12pt"/>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size-complex="12pt" style:font-style-complex="italic"/>
    </style:style>
    <style:style style:name="Index" style:family="paragraph" style:parent-style-name="Standard" style:class="index">
      <style:paragraph-properties text:number-lines="false" text:line-number="0"/>
      <style:text-properties style:font-size-asian="12pt"/>
    </style:style>
    <style:style style:name="normal" style:family="paragraph" style:default-outline-level="">
      <style:paragraph-properties fo:text-align="justify" style:justify-single-word="false" fo:orphans="2" fo:widows="2" style:writing-mode="lr-tb"/>
    </style:style>
    <style:style style:name="Heading_20_1" style:display-name="Heading 1" style:family="paragraph" style:parent-style-name="normal" style:next-style-name="Standard" style:default-outline-level="" style:class="text">
      <style:paragraph-properties fo:margin-top="0.278in" fo:margin-bottom="0.0835in" loext:contextual-spacing="false" fo:line-height="100%" fo:keep-together="always" fo:keep-with-next="always"/>
      <style:text-properties fo:font-size="20pt" style:font-size-asian="20pt" style:font-size-complex="20pt"/>
    </style:style>
    <style:style style:name="Heading_20_2" style:display-name="Heading 2" style:family="paragraph" style:parent-style-name="normal" style:next-style-name="Standard" style:default-outline-level="" style:class="text">
      <style:paragraph-properties fo:margin-top="0.25in" fo:margin-bottom="0.0835in" loext:contextual-spacing="false" fo:line-height="100%" fo:keep-together="always" fo:keep-with-next="always"/>
      <style:text-properties fo:font-size="16pt" fo:font-weight="normal" style:font-size-asian="16pt" style:font-weight-asian="normal" style:font-size-complex="16pt"/>
    </style:style>
    <style:style style:name="Heading_20_3" style:display-name="Heading 3" style:family="paragraph" style:parent-style-name="normal" style:next-style-name="Standard" style:default-outline-level="" style:class="text">
      <style:paragraph-properties fo:margin-top="0.222in" fo:margin-bottom="0.0555in" loext:contextual-spacing="false" fo:line-height="100%" fo:keep-together="always" fo:keep-with-next="always"/>
      <style:text-properties fo:color="#434343" fo:font-size="14pt" fo:font-weight="normal" style:font-size-asian="14pt" style:font-weight-asian="normal" style:font-size-complex="14pt"/>
    </style:style>
    <style:style style:name="Heading_20_4" style:display-name="Heading 4" style:family="paragraph" style:parent-style-name="normal" style:next-style-name="Standard" style:default-outline-level="" style:class="text">
      <style:paragraph-properties fo:margin-top="0.1945in" fo:margin-bottom="0.0555in" loext:contextual-spacing="false" fo:line-height="100%" fo:keep-together="always" fo:keep-with-next="always"/>
      <style:text-properties fo:color="#666666" fo:font-size="12pt" style:font-size-asian="12pt" style:font-size-complex="12pt"/>
    </style:style>
    <style:style style:name="Heading_20_5" style:display-name="Heading 5" style:family="paragraph" style:parent-style-name="normal" style:next-style-name="Standard" style:default-outline-level="" style:class="text">
      <style:paragraph-properties fo:margin-top="0.1665in" fo:margin-bottom="0.0555in" loext:contextual-spacing="false" fo:line-height="100%" fo:keep-together="always" fo:keep-with-next="always"/>
      <style:text-properties fo:color="#666666" fo:font-size="11pt" style:font-size-asian="11pt" style:font-size-complex="11pt"/>
    </style:style>
    <style:style style:name="Heading_20_6" style:display-name="Heading 6" style:family="paragraph" style:parent-style-name="normal" style:next-style-name="Standard" style:default-outline-level="" style:class="text">
      <style:paragraph-properties fo:margin-top="0.1665in" fo:margin-bottom="0.0555in" loext:contextual-spacing="false" fo:line-height="100%" fo:keep-together="always" fo:keep-with-next="always"/>
      <style:text-properties fo:color="#666666" fo:font-size="11pt" fo:font-style="italic" style:font-size-asian="11pt" style:font-style-asian="italic" style:font-size-complex="11pt"/>
    </style:style>
    <style:style style:name="Title" style:family="paragraph" style:parent-style-name="normal" style:next-style-name="Standard" style:default-outline-level="" style:class="chapter">
      <style:paragraph-properties fo:margin-top="0in" fo:margin-bottom="0.0417in" loext:contextual-spacing="false" fo:line-height="100%" fo:keep-together="always" fo:keep-with-next="always"/>
      <style:text-properties fo:font-size="26pt" style:font-size-asian="26pt" style:font-size-complex="26pt"/>
    </style:style>
    <style:style style:name="Subtitle" style:family="paragraph" style:parent-style-name="normal" style:next-style-name="Standard" style:default-outline-level="" style:class="chapter">
      <style:paragraph-properties fo:margin-top="0in" fo:margin-bottom="0.222in" loext:contextual-spacing="false" fo:line-height="100%" fo:keep-together="always" fo:keep-with-next="always"/>
      <style:text-properties fo:color="#666666" style:font-name="Arial" fo:font-family="Arial" style:font-family-generic="roman" style:font-pitch="variable" fo:font-size="15pt" fo:font-style="normal" style:font-name-asian="Arial1" style:font-family-asian="Arial" style:font-family-generic-asian="system" style:font-pitch-asian="variable" style:font-size-asian="15pt" style:font-style-asian="normal" style:font-name-complex="Arial1" style:font-family-complex="Arial" style:font-family-generic-complex="system" style:font-pitch-complex="variable" style:font-size-complex="15pt"/>
    </style:style>
    <style:style style:name="ListLabel_20_1" style:display-name="ListLabel 1" style:family="text">
      <style:text-properties fo:color="#1155cc" style:font-name="Times New Roman" fo:font-family="'Times New Roman'" style:font-family-generic="roman" style:font-pitch="variable" style:text-underline-style="solid" style:text-underline-width="auto" style:text-underline-color="font-color" style:font-name-asian="Times New Roman1" style:font-family-asian="'Times New Roman'" style:font-family-generic-asian="system" style:font-pitch-asian="variable" style:font-name-complex="Times New Roman1" style:font-family-complex="'Times New Roman'" style:font-family-generic-complex="system" style:font-pitch-complex="variable"/>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ListLabel_20_2" style:display-name="ListLabel 2" style:family="text">
      <style:text-properties fo:color="#0563c1" style:font-name="Times New Roman" fo:font-family="'Times New Roman'" style:font-family-generic="roman" style:font-pitch="variable" style:text-underline-style="solid" style:text-underline-width="auto" style:text-underline-color="font-color" style:font-name-asian="Times New Roman1" style:font-family-asian="'Times New Roman'" style:font-family-generic-asian="system" style:font-pitch-asian="variable" style:font-name-complex="Times New Roman1" style:font-family-complex="'Times New Roman'" style:font-family-generic-complex="system" style:font-pitch-complex="variable"/>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layout-grid-standard-mode="true"/>
    </style:default-page-layout>
  </office:styles>
  <office:automatic-styles>
    <style:page-layout style:name="Mpm1">
      <style:page-layout-properties fo:page-width="8.5in" fo:page-height="11in" style:num-format="1" style:print-orientation="portrait" fo:margin-top="1in" fo:margin-bottom="1in" fo:margin-left="1in" fo:margin-right="1in" style:writing-mode="lr-tb" style:layout-grid-color="#c0c0c0" style:layout-grid-lines="22860" style:layout-grid-base-height="0.0693in" style:layout-grid-ruby-height="0in" style:layout-grid-mode="none" style:layout-grid-ruby-below="false" style:layout-grid-print="false" style:layout-grid-display="false" style:layout-grid-base-width="0.1665in" style:layout-grid-snap-to="tru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