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vs" ContentType="text/plain; charset=utf-8"/>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e-version"/>
    <w:p>
      <w:pPr>
        <w:pStyle w:val="Heading2"/>
      </w:pPr>
      <w:r>
        <w:t xml:space="preserve">Finale Version</w:t>
      </w:r>
    </w:p>
    <w:p>
      <w:pPr>
        <w:pStyle w:val="FirstParagraph"/>
      </w:pPr>
      <w:r>
        <w:t xml:space="preserve">Oktober 2021</w:t>
      </w:r>
    </w:p>
    <w:bookmarkEnd w:id="23"/>
    <w:bookmarkEnd w:id="24"/>
    <w:bookmarkStart w:id="34" w:name="frontispiece"/>
    <w:p>
      <w:pPr>
        <w:pStyle w:val="Heading1"/>
      </w:pPr>
      <w:r>
        <w:t xml:space="preserve">Frontispiece</w:t>
      </w:r>
    </w:p>
    <w:bookmarkStart w:id="25" w:name="über-diesen-standard"/>
    <w:p>
      <w:pPr>
        <w:pStyle w:val="Heading2"/>
      </w:pPr>
      <w:r>
        <w:t xml:space="preserve">Über diesen Standard</w:t>
      </w:r>
    </w:p>
    <w:p>
      <w:pPr>
        <w:pStyle w:val="FirstParagraph"/>
      </w:pPr>
      <w:r>
        <w:t xml:space="preserve">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bookmarkEnd w:id="25"/>
    <w:bookmarkStart w:id="30" w:name="copyright-and-license"/>
    <w:p>
      <w:pPr>
        <w:pStyle w:val="Heading2"/>
      </w:pPr>
      <w:r>
        <w:t xml:space="preserve">Copyright and License</w:t>
      </w:r>
    </w:p>
    <w:p>
      <w:pPr>
        <w:pStyle w:val="FirstParagraph"/>
      </w:pPr>
      <w:r>
        <w:t xml:space="preserve">Version 4.0.3, Oktober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Dieses Dokument wird lizensiert unter</w:t>
      </w:r>
      <w:r>
        <w:t xml:space="preserve"> </w:t>
      </w:r>
      <w:hyperlink r:id="rId29">
        <w:r>
          <w:rPr>
            <w:rStyle w:val="Hyperlink"/>
          </w:rPr>
          <w:t xml:space="preserve">Creative Commons Attribution ShareAlike 3.0 license</w:t>
        </w:r>
      </w:hyperlink>
      <w:r>
        <w:t xml:space="preserve">. Für jedwede Wiederverwendung oder Verbreitung müssen die Lizenzbedingungen dieses Dokumentes an die jeweiligen Dritten kommuniziert werden.</w:t>
      </w:r>
    </w:p>
    <w:bookmarkEnd w:id="30"/>
    <w:bookmarkStart w:id="31" w:name="projektleitung"/>
    <w:p>
      <w:pPr>
        <w:pStyle w:val="Heading2"/>
      </w:pPr>
      <w:r>
        <w:t xml:space="preserve">Projektleitung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hauptautoren"/>
    <w:p>
      <w:pPr>
        <w:pStyle w:val="Heading2"/>
      </w:pPr>
      <w:r>
        <w:t xml:space="preserve">Hauptautoren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weitere-autoren-und-reviews-von"/>
    <w:p>
      <w:pPr>
        <w:pStyle w:val="Heading2"/>
      </w:pPr>
      <w:r>
        <w:t xml:space="preserve">Weitere Autoren und Reviews von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Sollte ein Dank fehlen, eröffne bitte ein Ticket bei GitHub, so dass er in künftigen Updates berücksichtigt werden kann.</w:t>
      </w:r>
    </w:p>
    <w:p>
      <w:pPr>
        <w:pStyle w:val="BodyText"/>
      </w:pPr>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bookmarkEnd w:id="33"/>
    <w:bookmarkEnd w:id="34"/>
    <w:bookmarkStart w:id="36" w:name="vorwort"/>
    <w:p>
      <w:pPr>
        <w:pStyle w:val="Heading1"/>
      </w:pPr>
      <w:r>
        <w:t xml:space="preserve">Vorwort</w:t>
      </w:r>
    </w:p>
    <w:p>
      <w:pPr>
        <w:pStyle w:val="FirstParagraph"/>
      </w:pPr>
      <w:r>
        <w:t xml:space="preserve">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w:t>
      </w:r>
    </w:p>
    <w:p>
      <w:pPr>
        <w:pStyle w:val="BodyText"/>
      </w:pPr>
      <w:r>
        <w:t xml:space="preserve">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pPr>
        <w:pStyle w:val="BodyText"/>
      </w:pPr>
      <w:r>
        <w:t xml:space="preserve">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pPr>
        <w:pStyle w:val="BodyText"/>
      </w:pPr>
      <w:r>
        <w:t xml:space="preserve">Wir gehen daher davon aus, dass es wohl nie eine 100%ige Einigung über den Inhalt eines Webanwendungsstandards, einschließlich des ASVS, geben wird. Risikoanalyse ist in gewissem Maße immer subjektiv. Es ist eine Herausforderung diese mit einen universellem und für alle gleichen Standard zu verallgemeinern. Wir hoffen jedoch, dass diese neue Version einen Schritt in die richtige Richtung darstellt und die Konzepte verbessert, die in diesem Standard eingeführt wurden.</w:t>
      </w:r>
    </w:p>
    <w:bookmarkStart w:id="35" w:name="was-ist-neu-in-version-40"/>
    <w:p>
      <w:pPr>
        <w:pStyle w:val="Heading2"/>
      </w:pPr>
      <w:r>
        <w:t xml:space="preserve">Was ist neu in Version 4.0</w:t>
      </w:r>
    </w:p>
    <w:p>
      <w:pPr>
        <w:pStyle w:val="FirstParagraph"/>
      </w:pPr>
      <w:r>
        <w:t xml:space="preserve">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pPr>
        <w:pStyle w:val="BodyText"/>
      </w:pPr>
      <w:r>
        <w:t xml:space="preserve">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pPr>
        <w:pStyle w:val="BodyText"/>
      </w:pPr>
      <w:r>
        <w:t xml:space="preserve">Im ASVS 4.0 wurde komplett neu durchnummeriert.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w:t>
      </w:r>
    </w:p>
    <w:p>
      <w:pPr>
        <w:pStyle w:val="BodyText"/>
      </w:pPr>
      <w:r>
        <w:t xml:space="preserve">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pPr>
        <w:pStyle w:val="BodyText"/>
      </w:pPr>
      <w:r>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pPr>
        <w:pStyle w:val="BodyText"/>
      </w:pPr>
      <w:r>
        <w:t xml:space="preserve">ASVS 4.0 Stufe 1 soll die Anforderungen von PCI DSS 3.2.1, Abschnitt 6.5 für Anwendungsdesign, Programmierung, Tests, Überprüfungen von sicheren Codes und Penetrationstests vollständig abdecken. Daher wurden der Pufferüberlauf sowie die unsicheren Speicheroperationen in V5 und unsichere speicherbezogene Compilierflags in V14 zusätzlich zu den bestehenden Anforderungen für die Verifizierung von Anwendungen und Webservices aufgenommen.</w:t>
      </w:r>
    </w:p>
    <w:p>
      <w:pPr>
        <w:pStyle w:val="BodyText"/>
      </w:pPr>
      <w:r>
        <w:t xml:space="preserve">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pPr>
        <w:pStyle w:val="BodyText"/>
      </w:pPr>
      <w:r>
        <w:t xml:space="preserve">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pPr>
        <w:pStyle w:val="BodyText"/>
      </w:pPr>
      <w:r>
        <w:t xml:space="preserve">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pPr>
        <w:pStyle w:val="BodyText"/>
      </w:pPr>
      <w:r>
        <w:t xml:space="preserve">Ab Version 4.0 wird sich der ASVS ausschließlich darauf konzentrieren, der führende Webanwendungs- und Webservicestandard zu sein, welcher die traditionelle und moderne Anwendungsarchitektur sowie agile Sicherheitspraktiken und die DevSecOps-Kultur abdeckt.</w:t>
      </w:r>
    </w:p>
    <w:bookmarkEnd w:id="35"/>
    <w:bookmarkEnd w:id="36"/>
    <w:bookmarkStart w:id="47" w:name="verwendung-des-asvs"/>
    <w:p>
      <w:pPr>
        <w:pStyle w:val="Heading1"/>
      </w:pPr>
      <w:r>
        <w:t xml:space="preserve">Verwendung des ASVS</w:t>
      </w:r>
    </w:p>
    <w:p>
      <w:pPr>
        <w:pStyle w:val="FirstParagraph"/>
      </w:pPr>
      <w:r>
        <w:t xml:space="preserve">Der ASVS hat die zwei Hauptziele:</w:t>
      </w:r>
    </w:p>
    <w:p>
      <w:pPr>
        <w:numPr>
          <w:ilvl w:val="0"/>
          <w:numId w:val="1001"/>
        </w:numPr>
        <w:pStyle w:val="Compact"/>
      </w:pPr>
      <w:r>
        <w:t xml:space="preserve">Organisationen bei der Entwicklung und Pflege sicherer Anwendungen zu unterstützen.</w:t>
      </w:r>
    </w:p>
    <w:p>
      <w:pPr>
        <w:numPr>
          <w:ilvl w:val="0"/>
          <w:numId w:val="1001"/>
        </w:numPr>
        <w:pStyle w:val="Compact"/>
      </w:pPr>
      <w:r>
        <w:t xml:space="preserve">Anbietern von Sicherheitsdienstleistungen oder -werkzeugen und deren Kunden die Möglichkeit zu geben, ihre Anforderungen und Angebote aufeinander abzustimmen.</w:t>
      </w:r>
    </w:p>
    <w:bookmarkStart w:id="40" w:name="X481336818fe1cd174ee0c7e08fef962af27d944"/>
    <w:p>
      <w:pPr>
        <w:pStyle w:val="Heading2"/>
      </w:pPr>
      <w:r>
        <w:t xml:space="preserve">Stufen zur Verifizierung der Anwendungssicherheit</w:t>
      </w:r>
    </w:p>
    <w:p>
      <w:pPr>
        <w:pStyle w:val="FirstParagraph"/>
      </w:pPr>
      <w:r>
        <w:t xml:space="preserve">Der Application Security Verification Standard definiert drei Stufen der Sicherheitsverifikation, wobei jede Stufe an Tiefe zunimmt.</w:t>
      </w:r>
    </w:p>
    <w:p>
      <w:pPr>
        <w:numPr>
          <w:ilvl w:val="0"/>
          <w:numId w:val="1002"/>
        </w:numPr>
        <w:pStyle w:val="Compact"/>
      </w:pPr>
      <w:r>
        <w:t xml:space="preserve">Stufe 1 ist für geringe Sicherheitsanforderungen gedacht und lässt sich mittels Pentests prüfen.</w:t>
      </w:r>
    </w:p>
    <w:p>
      <w:pPr>
        <w:numPr>
          <w:ilvl w:val="0"/>
          <w:numId w:val="1002"/>
        </w:numPr>
        <w:pStyle w:val="Compact"/>
      </w:pPr>
      <w:r>
        <w:t xml:space="preserve">Stufe 2 ist für Anwendungen, die sensible Daten enthalten und diese schützen müssen. Das ist die empfohlene Stufe für die meisten Anwendungen.</w:t>
      </w:r>
    </w:p>
    <w:p>
      <w:pPr>
        <w:numPr>
          <w:ilvl w:val="0"/>
          <w:numId w:val="1002"/>
        </w:numPr>
        <w:pStyle w:val="Compact"/>
      </w:pPr>
      <w:r>
        <w:t xml:space="preserve">Stufe 3 ist für die kritischsten Anwendungen, z. B. solche, die hochwertige Transaktionen durchführen, sensible medizinische Daten enthalten oder aus anderen Gründen ein Höchstmaß an Vertrauen erfordern.</w:t>
      </w:r>
    </w:p>
    <w:p>
      <w:pPr>
        <w:pStyle w:val="FirstParagraph"/>
      </w:pPr>
      <w:r>
        <w:t xml:space="preserve">Jede Stufe des ASVS enthält eine Liste von Sicherheitsanforderungen. Jede dieser Anforderungen kann auch auf sicherheitsspezifische Merkmale und Fähigkeiten abgebildet werden, die von den Entwicklern in die Software eingebaut werden müssen.</w:t>
      </w:r>
    </w:p>
    <w:p>
      <w:pPr>
        <w:pStyle w:val="BodyText"/>
      </w:pPr>
      <w:r>
        <w:drawing>
          <wp:inline>
            <wp:extent cx="3810000" cy="2540000"/>
            <wp:effectExtent b="0" l="0" r="0" t="0"/>
            <wp:docPr descr="ASVS Levels" title="ASVS Stufen" id="38" name="Picture"/>
            <a:graphic>
              <a:graphicData uri="http://schemas.openxmlformats.org/drawingml/2006/picture">
                <pic:pic>
                  <pic:nvPicPr>
                    <pic:cNvPr descr="https://raw.githubusercontent.com/OWASP/ASVS/master/4.0/images/asvs_40_levels_de.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Bild 1 - Stufen des OWASP Application Security Verification Standard 4.0</w:t>
      </w:r>
    </w:p>
    <w:p>
      <w:pPr>
        <w:pStyle w:val="BodyText"/>
      </w:pPr>
      <w:r>
        <w:t xml:space="preserve">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pPr>
        <w:pStyle w:val="BodyText"/>
      </w:pPr>
      <w:r>
        <w:t xml:space="preserve">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pPr>
        <w:pStyle w:val="BodyText"/>
      </w:pPr>
      <w:r>
        <w:t xml:space="preserve">Wir befürworten ausdrücklich die Verwendung von Sicherheitstools innerhalb des Entwicklungsprozesses. DAST- und SAST-Tools können in die Buildpipeline eingebunden werden, um leicht zu findende Sicherheitsprobleme aufzuspüren, die niemals vorhanden sein dürfen.</w:t>
      </w:r>
    </w:p>
    <w:p>
      <w:pPr>
        <w:pStyle w:val="BodyText"/>
      </w:pPr>
      <w:r>
        <w:t xml:space="preserve">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bookmarkEnd w:id="40"/>
    <w:bookmarkStart w:id="44" w:name="verwendung-dieses-standards"/>
    <w:p>
      <w:pPr>
        <w:pStyle w:val="Heading2"/>
      </w:pPr>
      <w:r>
        <w:t xml:space="preserve">Verwendung dieses Standards</w:t>
      </w:r>
    </w:p>
    <w:p>
      <w:pPr>
        <w:pStyle w:val="FirstParagraph"/>
      </w:pPr>
      <w:r>
        <w:t xml:space="preserve">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pPr>
        <w:pStyle w:val="BodyText"/>
      </w:pPr>
      <w:r>
        <w:t xml:space="preserve">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bookmarkStart w:id="41" w:name="X160f63b09ac876a5b39685b7182c523607aa6d9"/>
    <w:p>
      <w:pPr>
        <w:pStyle w:val="Heading3"/>
      </w:pPr>
      <w:r>
        <w:t xml:space="preserve">Stufe 1 - Erste Schritte oder das absolute Minimum</w:t>
      </w:r>
    </w:p>
    <w:p>
      <w:pPr>
        <w:pStyle w:val="FirstParagraph"/>
      </w:pPr>
      <w:r>
        <w:t xml:space="preserve">Eine Anwendung erreicht ASVS Stufe 1, wenn sie einen ausreichenden Schutz gegen leicht zu entdeckende Schwachstellen bietet, die auch in den OWASP Top 10 und anderen ähnlichen Checklisten aufgeführt sind.</w:t>
      </w:r>
    </w:p>
    <w:p>
      <w:pPr>
        <w:pStyle w:val="BodyText"/>
      </w:pPr>
      <w:r>
        <w:t xml:space="preserve">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pPr>
        <w:pStyle w:val="BodyText"/>
      </w:pPr>
      <w:r>
        <w:t xml:space="preserve">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bookmarkEnd w:id="41"/>
    <w:bookmarkStart w:id="42" w:name="stufe-2--die-meisten-anwendungen"/>
    <w:p>
      <w:pPr>
        <w:pStyle w:val="Heading3"/>
      </w:pPr>
      <w:r>
        <w:t xml:space="preserve">Stufe 2 – Die meisten Anwendungen</w:t>
      </w:r>
    </w:p>
    <w:p>
      <w:pPr>
        <w:pStyle w:val="FirstParagraph"/>
      </w:pPr>
      <w:r>
        <w:t xml:space="preserve">Eine Anwendung erreicht ASVS Level 2 (oder Standard), wenn sie die meisten Risiken, die heutzutage mit dem Einsatz von Software verbunden sind, angemessen abwehrt.</w:t>
      </w:r>
    </w:p>
    <w:p>
      <w:pPr>
        <w:pStyle w:val="BodyText"/>
      </w:pPr>
      <w:r>
        <w:t xml:space="preserve">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pPr>
        <w:pStyle w:val="BodyText"/>
      </w:pPr>
      <w:r>
        <w:t xml:space="preserve">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bookmarkEnd w:id="42"/>
    <w:bookmarkStart w:id="43" w:name="Xefa0e0e5f24f911f6e74b53cfaf01e37567b6ce"/>
    <w:p>
      <w:pPr>
        <w:pStyle w:val="Heading3"/>
      </w:pPr>
      <w:r>
        <w:t xml:space="preserve">Stufe 3 - Hoher Wert, hohe Zuverlässigkeit oder hohe Sicherheit</w:t>
      </w:r>
    </w:p>
    <w:p>
      <w:pPr>
        <w:pStyle w:val="FirstParagraph"/>
      </w:pPr>
      <w:r>
        <w:t xml:space="preserve">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w:t>
      </w:r>
    </w:p>
    <w:p>
      <w:pPr>
        <w:pStyle w:val="BodyText"/>
      </w:pPr>
      <w:r>
        <w:t xml:space="preserve">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w:t>
      </w:r>
    </w:p>
    <w:p>
      <w:pPr>
        <w:pStyle w:val="BodyText"/>
      </w:pPr>
      <w:r>
        <w:t xml:space="preserve">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bookmarkEnd w:id="43"/>
    <w:bookmarkEnd w:id="44"/>
    <w:bookmarkStart w:id="45" w:name="auswahl-der-asvs-stufen-in-der-praxis"/>
    <w:p>
      <w:pPr>
        <w:pStyle w:val="Heading2"/>
      </w:pPr>
      <w:r>
        <w:t xml:space="preserve">Auswahl der ASVS-Stufen in der Praxis</w:t>
      </w:r>
    </w:p>
    <w:p>
      <w:pPr>
        <w:pStyle w:val="FirstParagraph"/>
      </w:pPr>
      <w:r>
        <w:t xml:space="preserve">Unterschiedliche Angreifer haben unterschiedliche Beweggründe. Einige Branchen verfügen über einzigartige Informations- und Technologiewerte sowie branchenspezifische gesetzliche Regulierungen.</w:t>
      </w:r>
    </w:p>
    <w:p>
      <w:pPr>
        <w:pStyle w:val="BodyText"/>
      </w:pPr>
      <w:r>
        <w:t xml:space="preserve">Wir raten Organisationen dringend dazu, ihre spezifischen Risikomerkmale auf der Grundlage ihres Geschäftsmodells eingehend zu prüfen. Auf dieser Basis wählen sie dann die geeignete ASVS-Stufe aus.</w:t>
      </w:r>
    </w:p>
    <w:bookmarkEnd w:id="45"/>
    <w:bookmarkStart w:id="46" w:name="referenzen-auf-anforderungen-des-asvs"/>
    <w:p>
      <w:pPr>
        <w:pStyle w:val="Heading2"/>
      </w:pPr>
      <w:r>
        <w:t xml:space="preserve">Referenzen auf Anforderungen des ASVS</w:t>
      </w:r>
    </w:p>
    <w:p>
      <w:pPr>
        <w:pStyle w:val="FirstParagraph"/>
      </w:pPr>
      <w:r>
        <w:t xml:space="preserve">Jede Anforderung des ASVS wird mittels</w:t>
      </w:r>
      <w:r>
        <w:t xml:space="preserve"> </w:t>
      </w:r>
      <w:r>
        <w:rPr>
          <w:rStyle w:val="VerbatimChar"/>
        </w:rPr>
        <w:t xml:space="preserve">&lt;Kapitel&gt;.&lt;Abschnitt&gt;.&lt;Laufende Nummer&gt;</w:t>
      </w:r>
      <w:r>
        <w:t xml:space="preserve"> </w:t>
      </w:r>
      <w:r>
        <w:t xml:space="preserve">identifiziert, z.B.:</w:t>
      </w:r>
      <w:r>
        <w:t xml:space="preserve"> </w:t>
      </w:r>
      <w:r>
        <w:rPr>
          <w:rStyle w:val="VerbatimChar"/>
        </w:rPr>
        <w:t xml:space="preserve">1.11.3</w:t>
      </w:r>
      <w:r>
        <w:t xml:space="preserve">.</w:t>
      </w:r>
    </w:p>
    <w:p>
      <w:pPr>
        <w:numPr>
          <w:ilvl w:val="0"/>
          <w:numId w:val="1003"/>
        </w:numPr>
        <w:pStyle w:val="Compact"/>
      </w:pPr>
      <w:r>
        <w:t xml:space="preserve">Das</w:t>
      </w:r>
      <w:r>
        <w:t xml:space="preserve"> </w:t>
      </w:r>
      <w:r>
        <w:rPr>
          <w:rStyle w:val="VerbatimChar"/>
        </w:rPr>
        <w:t xml:space="preserve">&lt;Kapitel&gt;</w:t>
      </w:r>
      <w:r>
        <w:t xml:space="preserve"> </w:t>
      </w:r>
      <w:r>
        <w:t xml:space="preserve">gibt Anforderungen das Kapitel des Standards an, dem die Anforderung entstammt, z.B.: alle Anforderungen mit der Nummer</w:t>
      </w:r>
      <w:r>
        <w:t xml:space="preserve"> </w:t>
      </w:r>
      <w:r>
        <w:rPr>
          <w:rStyle w:val="VerbatimChar"/>
        </w:rPr>
        <w:t xml:space="preserve">1.#.#</w:t>
      </w:r>
      <w:r>
        <w:t xml:space="preserve"> </w:t>
      </w:r>
      <w:r>
        <w:t xml:space="preserve">sind an die Architektur.</w:t>
      </w:r>
    </w:p>
    <w:p>
      <w:pPr>
        <w:numPr>
          <w:ilvl w:val="0"/>
          <w:numId w:val="1003"/>
        </w:numPr>
        <w:pStyle w:val="Compact"/>
      </w:pPr>
      <w:r>
        <w:t xml:space="preserve">Der</w:t>
      </w:r>
      <w:r>
        <w:t xml:space="preserve"> </w:t>
      </w:r>
      <w:r>
        <w:rPr>
          <w:rStyle w:val="VerbatimChar"/>
        </w:rPr>
        <w:t xml:space="preserve">&lt;Abschnitt&gt;</w:t>
      </w:r>
      <w:r>
        <w:t xml:space="preserve"> </w:t>
      </w:r>
      <w:r>
        <w:t xml:space="preserve">referenziert auf den Abschnitt, in dem die Anforderung beschrieben wird, z.B.: alle Anforderungen mit der Nummer</w:t>
      </w:r>
      <w:r>
        <w:t xml:space="preserve"> </w:t>
      </w:r>
      <w:r>
        <w:rPr>
          <w:rStyle w:val="VerbatimChar"/>
        </w:rPr>
        <w:t xml:space="preserve">1.11.#</w:t>
      </w:r>
      <w:r>
        <w:t xml:space="preserve"> </w:t>
      </w:r>
      <w:r>
        <w:t xml:space="preserve">beziehen sich auf die architekturellen Anforderungen an die Geschäftslogik.</w:t>
      </w:r>
    </w:p>
    <w:p>
      <w:pPr>
        <w:numPr>
          <w:ilvl w:val="0"/>
          <w:numId w:val="1003"/>
        </w:numPr>
        <w:pStyle w:val="Compact"/>
      </w:pPr>
      <w:r>
        <w:t xml:space="preserve">Innerhalb der Abschnitte gibt die</w:t>
      </w:r>
      <w:r>
        <w:t xml:space="preserve"> </w:t>
      </w:r>
      <w:r>
        <w:rPr>
          <w:rStyle w:val="VerbatimChar"/>
        </w:rPr>
        <w:t xml:space="preserve">&lt;Laufende Nummer&gt;</w:t>
      </w:r>
      <w:r>
        <w:t xml:space="preserve"> </w:t>
      </w:r>
      <w:r>
        <w:t xml:space="preserve">schließlich die konkrete Anforderung an, so steht</w:t>
      </w:r>
      <w:r>
        <w:t xml:space="preserve"> </w:t>
      </w:r>
      <w:r>
        <w:rPr>
          <w:rStyle w:val="VerbatimChar"/>
        </w:rPr>
        <w:t xml:space="preserve">1.11.3</w:t>
      </w:r>
      <w:r>
        <w:t xml:space="preserve"> </w:t>
      </w:r>
      <w:r>
        <w:t xml:space="preserve">in der Version 4.0.3 dieses Standards für:</w:t>
      </w:r>
    </w:p>
    <w:p>
      <w:pPr>
        <w:pStyle w:val="BlockText"/>
      </w:pPr>
      <w:r>
        <w:t xml:space="preserve">Prüfen Sie, dass alle geschäftskritischen Abläufe, einschließlich der Authentifizierung, des Sessionmanagements und der Zugriffssteuerung thread-sicher und sicher gegen TOCTOU Race Conditions sind.</w:t>
      </w:r>
    </w:p>
    <w:p>
      <w:pPr>
        <w:pStyle w:val="FirstParagraph"/>
      </w:pPr>
      <w:r>
        <w:t xml:space="preserve">Da sich die Kennungen der Anforderungen von Version zu Version ändern, sollten andere DOkumente oder Werkzeuge das Format</w:t>
      </w:r>
      <w:r>
        <w:t xml:space="preserve"> </w:t>
      </w:r>
      <w:r>
        <w:rPr>
          <w:rStyle w:val="VerbatimChar"/>
        </w:rPr>
        <w:t xml:space="preserve">v&lt;Version&gt;-&lt;Kapitel&gt;.&lt;Abschnitt&gt;.&lt;Laufende Nummer&gt;</w:t>
      </w:r>
      <w:r>
        <w:t xml:space="preserve"> </w:t>
      </w:r>
      <w:r>
        <w:t xml:space="preserve">nutzen. 'Version' ist die Versionsnummer des ASVS, z.B.: ist</w:t>
      </w:r>
      <w:r>
        <w:t xml:space="preserve"> </w:t>
      </w:r>
      <w:r>
        <w:rPr>
          <w:rStyle w:val="VerbatimChar"/>
        </w:rPr>
        <w:t xml:space="preserve">v4.0.3-1.11.3</w:t>
      </w:r>
      <w:r>
        <w:t xml:space="preserve"> </w:t>
      </w:r>
      <w:r>
        <w:t xml:space="preserve">die dritte Anforderung des Abschnittes Architektur der Geschäftslogik im Kapitel Architektur, Design und Threat Modeling der Version 4.0.3. Das kann zu</w:t>
      </w:r>
      <w:r>
        <w:t xml:space="preserve"> </w:t>
      </w:r>
      <w:r>
        <w:rPr>
          <w:rStyle w:val="VerbatimChar"/>
        </w:rPr>
        <w:t xml:space="preserve">v&lt;Version&gt;-&lt;AnforderungsID&gt;</w:t>
      </w:r>
      <w:r>
        <w:t xml:space="preserve"> </w:t>
      </w:r>
      <w:r>
        <w:t xml:space="preserve">zusammengefasst werden.</w:t>
      </w:r>
    </w:p>
    <w:p>
      <w:pPr>
        <w:pStyle w:val="BodyText"/>
      </w:pPr>
      <w:r>
        <w:t xml:space="preserve">Hinweis: Das</w:t>
      </w:r>
      <w:r>
        <w:t xml:space="preserve"> </w:t>
      </w:r>
      <w:r>
        <w:rPr>
          <w:rStyle w:val="VerbatimChar"/>
        </w:rPr>
        <w:t xml:space="preserve">v</w:t>
      </w:r>
      <w:r>
        <w:t xml:space="preserve"> </w:t>
      </w:r>
      <w:r>
        <w:t xml:space="preserve">vor der Versionsnummer ist ein Kleinbuchstabe.</w:t>
      </w:r>
    </w:p>
    <w:p>
      <w:pPr>
        <w:pStyle w:val="BodyText"/>
      </w:pPr>
      <w:r>
        <w:t xml:space="preserve">Falls AnforderungsIDs ohne die Angabe der Version genutzt werden, so ist anzunehmen, dass die aktuelle Version des ASVS gemeint ist. Da der Standard wächst, sollte die Version stets angegeben werden.</w:t>
      </w:r>
    </w:p>
    <w:p>
      <w:pPr>
        <w:pStyle w:val="BodyText"/>
      </w:pPr>
      <w:r>
        <w:t xml:space="preserve">Die ASVS Anforderungen werden in CSV, JSON und anderen Formaten zur Verfügung gestellt.</w:t>
      </w:r>
    </w:p>
    <w:bookmarkEnd w:id="46"/>
    <w:bookmarkEnd w:id="47"/>
    <w:bookmarkStart w:id="60" w:name="zertifizierung"/>
    <w:p>
      <w:pPr>
        <w:pStyle w:val="Heading1"/>
      </w:pPr>
      <w:r>
        <w:t xml:space="preserve">Zertifizierung</w:t>
      </w:r>
    </w:p>
    <w:bookmarkStart w:id="48" w:name="asvs-zertifizierungen-und-gütesiegel"/>
    <w:p>
      <w:pPr>
        <w:pStyle w:val="Heading2"/>
      </w:pPr>
      <w:r>
        <w:t xml:space="preserve">ASVS-Zertifizierungen und Gütesiegel</w:t>
      </w:r>
    </w:p>
    <w:p>
      <w:pPr>
        <w:pStyle w:val="FirstParagraph"/>
      </w:pPr>
      <w:r>
        <w:t xml:space="preserve">OWASP ist eine herstellerneutrale, gemeinnützige Organisation. Sie zertifiziert derzeit keine Hersteller, Prüfstellen oder Software.</w:t>
      </w:r>
    </w:p>
    <w:p>
      <w:pPr>
        <w:pStyle w:val="BodyText"/>
      </w:pPr>
      <w:r>
        <w:t xml:space="preserve">Alle derartigen Versicherungen, Gütesiegel oder Zertifizierungen werden von OWASP nicht offiziell überprüft, registriert oder zertifiziert. Jede Organisation sollte in Bezug auf Aussagen eines Dritten, der behauptet, ASVS-zertifiziert zu sein, vorsichtig sein.</w:t>
      </w:r>
    </w:p>
    <w:p>
      <w:pPr>
        <w:pStyle w:val="BodyText"/>
      </w:pPr>
      <w:r>
        <w:t xml:space="preserve">Dies ist jedoch kein Verbot, solche Assurancedienstleistungen anzubieten, solange sie keine offizielle OWASP-Zertifizierung geltend machen.</w:t>
      </w:r>
    </w:p>
    <w:bookmarkEnd w:id="48"/>
    <w:bookmarkStart w:id="52" w:name="X8d626e1a9c10e7363c615ffc7a9fa57be3be16d"/>
    <w:p>
      <w:pPr>
        <w:pStyle w:val="Heading2"/>
      </w:pPr>
      <w:r>
        <w:t xml:space="preserve">Leitfaden für zertifizierende Organisationen</w:t>
      </w:r>
    </w:p>
    <w:p>
      <w:pPr>
        <w:pStyle w:val="FirstParagraph"/>
      </w:pPr>
      <w:r>
        <w:t xml:space="preserve">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pPr>
        <w:pStyle w:val="BodyText"/>
      </w:pPr>
      <w:r>
        <w:t xml:space="preserve">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pPr>
        <w:pStyle w:val="BodyText"/>
      </w:pPr>
      <w:r>
        <w:t xml:space="preserve">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pPr>
        <w:pStyle w:val="BodyText"/>
      </w:pPr>
      <w:r>
        <w:t xml:space="preserve">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bookmarkStart w:id="51" w:name="prüfmethode"/>
    <w:p>
      <w:pPr>
        <w:pStyle w:val="Heading3"/>
      </w:pPr>
      <w:r>
        <w:t xml:space="preserve">Prüfmethode</w:t>
      </w:r>
    </w:p>
    <w:p>
      <w:pPr>
        <w:pStyle w:val="FirstParagraph"/>
      </w:pPr>
      <w:r>
        <w:t xml:space="preserve">Zertifizierende Organisationen können die geeigneten Prüfmethoden frei wählen, sollten diese aber in einem Bericht angeben.</w:t>
      </w:r>
    </w:p>
    <w:p>
      <w:pPr>
        <w:pStyle w:val="BodyText"/>
      </w:pPr>
      <w:r>
        <w:t xml:space="preserve">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bookmarkStart w:id="49" w:name="X589a9dbe6e014fb283be781f9c8951093cb8b90"/>
    <w:p>
      <w:pPr>
        <w:pStyle w:val="Heading4"/>
      </w:pPr>
      <w:r>
        <w:t xml:space="preserve">Die Rolle automatisierter Sicherheitstesttools</w:t>
      </w:r>
    </w:p>
    <w:p>
      <w:pPr>
        <w:pStyle w:val="FirstParagraph"/>
      </w:pPr>
      <w:r>
        <w:t xml:space="preserve">Der Einsatz von automatisierten Penetrationstests wird empfohlen, um eine möglichst hohe Abdeckung zu erreichen.</w:t>
      </w:r>
    </w:p>
    <w:p>
      <w:pPr>
        <w:pStyle w:val="BodyText"/>
      </w:pPr>
      <w:r>
        <w:t xml:space="preserve">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w:t>
      </w:r>
    </w:p>
    <w:p>
      <w:pPr>
        <w:pStyle w:val="BodyText"/>
      </w:pPr>
      <w:r>
        <w:t xml:space="preserve">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bookmarkEnd w:id="49"/>
    <w:bookmarkStart w:id="50" w:name="Xa91dcd69bb71d5705146f5b1e4ec3e1da1af959"/>
    <w:p>
      <w:pPr>
        <w:pStyle w:val="Heading4"/>
      </w:pPr>
      <w:r>
        <w:t xml:space="preserve">Die Rolle automatisierter Sicherheitstests</w:t>
      </w:r>
    </w:p>
    <w:p>
      <w:pPr>
        <w:pStyle w:val="FirstParagraph"/>
      </w:pPr>
      <w:r>
        <w:t xml:space="preserve">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w:t>
      </w:r>
    </w:p>
    <w:p>
      <w:pPr>
        <w:pStyle w:val="BodyText"/>
      </w:pPr>
      <w:r>
        <w:t xml:space="preserve">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bookmarkEnd w:id="50"/>
    <w:bookmarkEnd w:id="51"/>
    <w:bookmarkEnd w:id="52"/>
    <w:bookmarkStart w:id="59" w:name="andere-verwendungszwecke-für-den-asvs"/>
    <w:p>
      <w:pPr>
        <w:pStyle w:val="Heading2"/>
      </w:pPr>
      <w:r>
        <w:t xml:space="preserve">Andere Verwendungszwecke für den ASVS</w:t>
      </w:r>
    </w:p>
    <w:p>
      <w:pPr>
        <w:pStyle w:val="FirstParagraph"/>
      </w:pPr>
      <w:r>
        <w:t xml:space="preserve">Neben der Verwendung zur Bewertung der Sicherheit einer Anwendung haben wir eine Reihe anderer möglicher Anwendungen für den ASVS identifiziert.</w:t>
      </w:r>
    </w:p>
    <w:bookmarkStart w:id="53" w:name="X244d7d9a248035ab41658766e3448e677622956"/>
    <w:p>
      <w:pPr>
        <w:pStyle w:val="Heading3"/>
      </w:pPr>
      <w:r>
        <w:t xml:space="preserve">Detaillierte Anleitung zur Sicherheitsarchitektur</w:t>
      </w:r>
    </w:p>
    <w:p>
      <w:pPr>
        <w:pStyle w:val="FirstParagraph"/>
      </w:pPr>
      <w:r>
        <w:t xml:space="preserve">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bookmarkEnd w:id="53"/>
    <w:bookmarkStart w:id="54" w:name="X94100aa3a5f2545ac523b9fe4c5a81b19ef7e7c"/>
    <w:p>
      <w:pPr>
        <w:pStyle w:val="Heading3"/>
      </w:pPr>
      <w:r>
        <w:t xml:space="preserve">Ersatz für Standardchecklisten für sichere Softwareentwicklung</w:t>
      </w:r>
    </w:p>
    <w:p>
      <w:pPr>
        <w:pStyle w:val="FirstParagraph"/>
      </w:pPr>
      <w:r>
        <w:t xml:space="preserve">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bookmarkEnd w:id="54"/>
    <w:bookmarkStart w:id="55" w:name="X20a6c090202933ca1dc9654228fea20587091ea"/>
    <w:p>
      <w:pPr>
        <w:pStyle w:val="Heading3"/>
      </w:pPr>
      <w:r>
        <w:t xml:space="preserve">Als Leitfaden für automatisierte Unit- und Integrationstests</w:t>
      </w:r>
    </w:p>
    <w:p>
      <w:pPr>
        <w:pStyle w:val="FirstParagraph"/>
      </w:pPr>
      <w:r>
        <w:t xml:space="preserve">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bookmarkEnd w:id="55"/>
    <w:bookmarkStart w:id="56" w:name="Xeb3fcf31653b86bd657df1d429b782579421a3e"/>
    <w:p>
      <w:pPr>
        <w:pStyle w:val="Heading3"/>
      </w:pPr>
      <w:r>
        <w:t xml:space="preserve">Für Schulungen zur sicheren Softwareentwicklung</w:t>
      </w:r>
    </w:p>
    <w:p>
      <w:pPr>
        <w:pStyle w:val="FirstParagraph"/>
      </w:pPr>
      <w:r>
        <w:t xml:space="preserve">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bookmarkEnd w:id="56"/>
    <w:bookmarkStart w:id="57" w:name="X185ae033917cfa0f309d0e8203fb064982d60e4"/>
    <w:p>
      <w:pPr>
        <w:pStyle w:val="Heading3"/>
      </w:pPr>
      <w:r>
        <w:t xml:space="preserve">Als Treiber für agile Anwendungssicherheit</w:t>
      </w:r>
    </w:p>
    <w:p>
      <w:pPr>
        <w:pStyle w:val="FirstParagraph"/>
      </w:pPr>
      <w: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bookmarkEnd w:id="57"/>
    <w:bookmarkStart w:id="58" w:name="zur-beschaffung-sicherer-software"/>
    <w:p>
      <w:pPr>
        <w:pStyle w:val="Heading3"/>
      </w:pPr>
      <w:r>
        <w:t xml:space="preserve">Zur Beschaffung sicherer Software</w:t>
      </w:r>
    </w:p>
    <w:p>
      <w:pPr>
        <w:pStyle w:val="FirstParagraph"/>
      </w:pPr>
      <w:r>
        <w:t xml:space="preserve">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bookmarkEnd w:id="58"/>
    <w:bookmarkEnd w:id="59"/>
    <w:bookmarkEnd w:id="60"/>
    <w:bookmarkStart w:id="84" w:name="X8e0ee55042fa47a92a69cdecc6c9059748056c5"/>
    <w:p>
      <w:pPr>
        <w:pStyle w:val="Heading1"/>
      </w:pPr>
      <w:r>
        <w:t xml:space="preserve">V1 Architektur, Design und Threat Modeling</w:t>
      </w:r>
    </w:p>
    <w:bookmarkStart w:id="61" w:name="ziel"/>
    <w:p>
      <w:pPr>
        <w:pStyle w:val="Heading2"/>
      </w:pPr>
      <w:r>
        <w:t xml:space="preserve">Ziel</w:t>
      </w:r>
    </w:p>
    <w:p>
      <w:pPr>
        <w:pStyle w:val="FirstParagraph"/>
      </w:pPr>
      <w:r>
        <w:t xml:space="preserve">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pPr>
        <w:pStyle w:val="BodyText"/>
      </w:pPr>
      <w:r>
        <w:t xml:space="preserve">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w:t>
      </w:r>
    </w:p>
    <w:p>
      <w:pPr>
        <w:pStyle w:val="BodyText"/>
      </w:pPr>
      <w:r>
        <w:t xml:space="preserve">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pPr>
        <w:pStyle w:val="BodyText"/>
      </w:pPr>
      <w: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bookmarkEnd w:id="61"/>
    <w:bookmarkStart w:id="63" w:name="X15aa1ac56550ef08168f0c0db07140a97e8c86c"/>
    <w:p>
      <w:pPr>
        <w:pStyle w:val="Heading2"/>
      </w:pPr>
      <w:r>
        <w:t xml:space="preserve">V1.1 Der sichere Softwareentwicklungszyklus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Prüfen Sie, dass der SDLC die Sicherheit in allen Entwicklungsphasen berücksichtigt.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Prüfen Sie, dass für Designänderung oder Sprintplanung eine Bedrohungsanalyse stattfand, um Bedrohungen zu identifizieren, Gegenmaßnahmen zu planen und umzusetzen sowie passende Sicherheitstests zu planen.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Prüfen Sie die Dokumentation und Erläuterung aller Sicherheitsgrenzen, Komponenten und wichtigen Datenflüsse der Anwendung.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Prüfen Sie die Definition und Sicherheitsanalyse der High Level Architektur der Anwendung und aller verbundenen Remoteservices.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Prüfen Sie, dass Sicherheitsmaßnahmen zentralisiert, einfach, geprüft, sicher und wiederverwendbar implementiert worden sind. Dies vermeidet doppelte, fehlende, unwirksame oder unsichere Maßnahmen.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Prüfen Sie die Verfügbarkeit einer Checkliste für die sichere Programmierung, Sicherheitsanforderungen, eines Leitfadens oder Richtlinien für alle Entwickler und Tester.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chitektur-der-authentifizierung"/>
    <w:p>
      <w:pPr>
        <w:pStyle w:val="Heading2"/>
      </w:pPr>
      <w:r>
        <w:t xml:space="preserve">V1.2 Architektur der Authentifizierung</w:t>
      </w:r>
    </w:p>
    <w:p>
      <w:pPr>
        <w:pStyle w:val="FirstParagraph"/>
      </w:pPr>
      <w:r>
        <w:t xml:space="preserve">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Prüfen Sie die Nutzung spezifischer Betriebssystemkonten bzw. solcher mit minimalen Berechtigungen für alle Komponenten, Dienste und Server.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Prüfen Sie, dass die Kommunikation zwischen Anwendungskomponenten, einschließlich APIs, Middleware und Datenschichten, authentifiziert wird. Komponenten sollten die minimal notwendigen Berechtigungen haben.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Prüfen Sie, dass alle Authentifizierungspfade und Identitätsmanagement-APIs eine einheitliche Stärke der Authentifizierung implementieren, so dass es keine schwächeren Alternativen pro Anwendungsrisiko gibt.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chitektur-des-sessionmanagements"/>
    <w:p>
      <w:pPr>
        <w:pStyle w:val="Heading2"/>
      </w:pPr>
      <w:r>
        <w:t xml:space="preserve">V1.3 Architektur des Sessionmanagements</w:t>
      </w:r>
    </w:p>
    <w:p>
      <w:pPr>
        <w:pStyle w:val="FirstParagraph"/>
      </w:pPr>
      <w:r>
        <w:t xml:space="preserve">Dies ist ein Platzhalter für zukünftige architektonische Anforderungen.</w:t>
      </w:r>
    </w:p>
    <w:bookmarkEnd w:id="65"/>
    <w:bookmarkStart w:id="66" w:name="v14-architektur-der-zugriffskontrolle"/>
    <w:p>
      <w:pPr>
        <w:pStyle w:val="Heading2"/>
      </w:pPr>
      <w:r>
        <w:t xml:space="preserve">V1.4 Architektur der Zugriffskontrolle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Prüfen Sie, dass Zugriffskontrollen von vertrauenswürdigen Stellen, wie z.B. Accesscontrol Gateways, Servern oder serverlosen Funktionen, ausgeführt werden. Implementieren Sie Zugriffskontrollen niemals am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[GELÖSCHT, NICHT UMSETZBAR]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Prüfen Sie, dass die Anwendung mit einer einzigen und gut erprobten Zugriffssteuerung auf geschützte Daten und Ressourcen zugreift. Alle Anfragen müssen diesen einen Weg nutzen, um Kopieren und Einfügen oder unsichere Alternativpfade zu vermeiden.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a2c175c3c1aaceeb640f52c2295b8a44a106112"/>
    <w:p>
      <w:pPr>
        <w:pStyle w:val="Heading2"/>
      </w:pPr>
      <w:r>
        <w:t xml:space="preserve">V1.5 Architektur des Ein- und Ausgabemanagements</w:t>
      </w:r>
    </w:p>
    <w:p>
      <w:pPr>
        <w:pStyle w:val="FirstParagraph"/>
      </w:pPr>
      <w:r>
        <w:t xml:space="preserve">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pPr>
        <w:pStyle w:val="BodyText"/>
      </w:pPr>
      <w:r>
        <w:t xml:space="preserve">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Prüfen Sie, dass die Ein- und Ausgabeanforderungen klar definieren, wie die Daten auf der Grundlage des Typs, des Inhalts und der anwendbaren Gesetze, Vorschriften und anderen Richtlinien zu verarbeiten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Prüfen Sie, dass die Eingabevalidierung in einer vertrauenswürdigen Serviceschicht durchgesetzt wird.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Prüfen Sie, dass die Ausgabecodierung in der Nähe des oder durch den Interpreter erfolgt, für den sie bestimmt ist.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82e1daf99fced15c52d9a06796ecfea6f2c14b9"/>
    <w:p>
      <w:pPr>
        <w:pStyle w:val="Heading2"/>
      </w:pPr>
      <w:r>
        <w:t xml:space="preserve">V1.6 Architektur kryptographischer Maßnahmen</w:t>
      </w:r>
    </w:p>
    <w:p>
      <w:pPr>
        <w:pStyle w:val="FirstParagraph"/>
      </w:pPr>
      <w:r>
        <w:t xml:space="preserve">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pPr>
        <w:pStyle w:val="BodyText"/>
      </w:pPr>
      <w:r>
        <w:t xml:space="preserve">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Prüfen Sie, dass es eine explizite Richtlinie für das Schlüsselmanagement gibt, und dass der Lebenszyklus eines kryptografischen Schlüssels konform zu einem Standard für das Schlüsselmanagement wie NIST SP 800-57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Prüfen Sie, dass Nutzer kryptografischer Dienste Schlüssel und andere Geheimnisse mit Hilfe von Schlüsseltresoren oder API-basierte Alternativen schützen.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Prüfen Sie, dass alle Schlüssel und Passwörter ersetzbar und Teil eines genau definierten Prozesses zur Neuverschlüsselung sensibler Daten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Prüfen Sie, dass clientseitige Geheimnisse, wie symmetrische Schlüssel, Passwörter oder API-Token, architektonisch als unsicher betrachtet werden. Sie dürfen nicht zum Schutz sensibler Daten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bb7eca5dc11b68f94ab1d2b478344286e8af481"/>
    <w:p>
      <w:pPr>
        <w:pStyle w:val="Heading2"/>
      </w:pPr>
      <w:r>
        <w:t xml:space="preserve">V1.7 Architektur von Fehlerbehandlung, Protokollierung und Audit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Prüfen Sie, dass im gesamten System Herangehensweise und Protokollformat einheitlich sind.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Prüfen Sie, dass die Protokolle zur Analyse, Erkennung, Alarmierung und Eskalation sicher übertragen werden - vorzugsweise an ein eigenständiges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f75839994e716e05eac19a565e4df50d1600d13"/>
    <w:p>
      <w:pPr>
        <w:pStyle w:val="Heading2"/>
      </w:pPr>
      <w:r>
        <w:t xml:space="preserve">V1.8 Architektonische Anforderungen zur Einhaltung des Datenschutzes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Prüfen Sie, dass alle sensiblen Daten identifiziert und klassifiziert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Prüfen Sie, dass für alle Schutzklassen entsprechende Anforderungen existieren, z. B. an die Vertraulichkeit, die Integrität, Aufbewahrung, Datenschutz etc. und dass diese in der Architektur angewendet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62778ffd73399418c0162ec0b491a8501ce4721"/>
    <w:p>
      <w:pPr>
        <w:pStyle w:val="Heading2"/>
      </w:pPr>
      <w:r>
        <w:t xml:space="preserve">V1.9 Architektur der Kommunikationsverbindungen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Prüfen Sie, dass die Anwendung die Kommunikation zwischen Komponenten verschlüsselt, insbesondere wenn sich diese in verschiedenen Containern, Systemen, Standorten oder Cloudanbietern befinden.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f19ed298b0a90fcec0a25af40bb6c1156b58fb4"/>
    <w:p>
      <w:pPr>
        <w:pStyle w:val="Heading2"/>
      </w:pPr>
      <w:r>
        <w:t xml:space="preserve">V1.10 Architektonische Anforderungen zum Schutz vor unbefugten Änderungen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chitektur-der-geschäftslogik"/>
    <w:p>
      <w:pPr>
        <w:pStyle w:val="Heading2"/>
      </w:pPr>
      <w:r>
        <w:t xml:space="preserve">V1.11 Architektur der Geschäftslogik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die Definition und Dokumentation aller Anwendungskomponenten auf die von ihnen bereitgestellten Fach- oder Sicherheitsfunktionen.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Prüfen Sie, dass alle geschäftskritischen Abläufe, inkl. der Authentifizierung, des Sessionmanagements und der Zugriffssteuerung stets synchronisiert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Prüfen Sie, dass alle geschäftskritischen Abläufe, einschließlich der Authentifizierung, des Sessionmanagements und der Zugriffssteuerung thread-sicher und sicher gegen TOCTOU Race Conditions sind.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icheres-datei-upload"/>
    <w:p>
      <w:pPr>
        <w:pStyle w:val="Heading2"/>
      </w:pPr>
      <w:r>
        <w:t xml:space="preserve">V1.12 Sicheres Datei Upload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[GELÖSCHT, DUPLIKAT VON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ktur"/>
    <w:p>
      <w:pPr>
        <w:pStyle w:val="Heading2"/>
      </w:pPr>
      <w:r>
        <w:t xml:space="preserve">V1.13 API-Architektur</w:t>
      </w:r>
    </w:p>
    <w:p>
      <w:pPr>
        <w:pStyle w:val="FirstParagraph"/>
      </w:pPr>
      <w:r>
        <w:t xml:space="preserve">Dies ist ein Platzhalter für zukünftige architektonische Anforderungen.</w:t>
      </w:r>
    </w:p>
    <w:bookmarkEnd w:id="75"/>
    <w:bookmarkStart w:id="76" w:name="X6b8beab5a5e619e660411e70a6aeb6060a21aec"/>
    <w:p>
      <w:pPr>
        <w:pStyle w:val="Heading2"/>
      </w:pPr>
      <w:r>
        <w:t xml:space="preserve">V1.14 Architektonische Anforderungen an die Konfiguration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Prüfen Sie die Trennung von Komponenten unterschiedlicher Vertrauensstufen durch gut durchdachte Sicherheitsmaßnahmen, Firewallregeln, API-Gateways, Reverseproxies, cloudbasierte Sicherheitsgruppen o.ä.</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Prüfen Sie, dass digitale Signaturen, vertrauenswürdige Verbindungen und vertrauenswürdige Downloadquellen verwendet werden, um Binärdaten auf Endgeräte zu verteilen.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Prüfen Sie, dass die Buildpipeline vor veralteten oder unsicheren Komponenten warnt und entsprechende Maßnahmen ergreift.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Prüfen Sie, dass die Buildpipeline einen Schritt enthält, um die sichere Deploymentversion der Anwendung automatisch zu erstellen und zu verifizieren, insbesondere wenn die Anwendungsinfrastruktur softwarebasiert ist, wie z. B. Cloudumgebungen.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Prüfen Sie, dass die Anwendung keine nicht unterstützten, unsicheren oder veralteten clientseitigen Technologien wie NSAPI-Plugins, Flash, Shockwave, ActiveX, Silverlight, NACL oder clientseitige Java-Applets verwendet.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zen"/>
    <w:p>
      <w:pPr>
        <w:pStyle w:val="Heading2"/>
      </w:pPr>
      <w:r>
        <w:t xml:space="preserve">Referenzen</w:t>
      </w:r>
    </w:p>
    <w:p>
      <w:pPr>
        <w:pStyle w:val="FirstParagraph"/>
      </w:pPr>
      <w:r>
        <w:t xml:space="preserve">Weitere Informationen finden Sie unter:</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zierung"/>
    <w:p>
      <w:pPr>
        <w:pStyle w:val="Heading1"/>
      </w:pPr>
      <w:r>
        <w:t xml:space="preserve">V2 Authentifizierung</w:t>
      </w:r>
    </w:p>
    <w:bookmarkStart w:id="86" w:name="ziel-1"/>
    <w:p>
      <w:pPr>
        <w:pStyle w:val="Heading2"/>
      </w:pPr>
      <w:r>
        <w:t xml:space="preserve">Ziel</w:t>
      </w:r>
    </w:p>
    <w:p>
      <w:pPr>
        <w:pStyle w:val="FirstParagraph"/>
      </w:pPr>
      <w:r>
        <w:t xml:space="preserve">Authentifizierung ist die Bestätigung einer Eigenschaft, wie z.B. der Identität einer Person oder eines Gerätes. Sie muss u.a. widerstandsfähig gegen Nachahmer sein und Passwörter sicher übertragen.</w:t>
      </w:r>
    </w:p>
    <w:p>
      <w:pPr>
        <w:pStyle w:val="BodyText"/>
      </w:pPr>
      <w:r>
        <w:t xml:space="preserve">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w:t>
      </w:r>
      <w:r>
        <w:t xml:space="preserve"> </w:t>
      </w:r>
      <w:hyperlink r:id="rId85">
        <w:r>
          <w:rPr>
            <w:rStyle w:val="Hyperlink"/>
          </w:rPr>
          <w:t xml:space="preserve">"eingeschränkte" Authentifikatoren (restricted authenticators)</w:t>
        </w:r>
      </w:hyperlink>
      <w:r>
        <w:t xml:space="preserve"> </w:t>
      </w:r>
      <w:r>
        <w:t xml:space="preserve">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pPr>
        <w:pStyle w:val="BodyText"/>
      </w:pPr>
      <w:r>
        <w:t xml:space="preserve">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bookmarkEnd w:id="86"/>
    <w:bookmarkStart w:id="90" w:name="Xa3889df66ce0f7e5747d18d6619ae05df90f1f3"/>
    <w:p>
      <w:pPr>
        <w:pStyle w:val="Heading2"/>
      </w:pPr>
      <w:r>
        <w:t xml:space="preserve">NIST 800-63 - Ein moderner, evidenzbasierter Authentifizierungsstandard</w:t>
      </w:r>
    </w:p>
    <w:p>
      <w:pPr>
        <w:pStyle w:val="FirstParagraph"/>
      </w:pPr>
      <w:hyperlink r:id="rId87">
        <w:r>
          <w:rPr>
            <w:rStyle w:val="Hyperlink"/>
          </w:rPr>
          <w:t xml:space="preserve">NIST 800-63b</w:t>
        </w:r>
      </w:hyperlink>
      <w:r>
        <w:t xml:space="preserve"> </w:t>
      </w:r>
      <w:r>
        <w:t xml:space="preserve">ist ein moderner, evidenzbasierter Standard. Der Standard ist für alle Organisationen auf der ganzen Welt hilfreich, besonders relevant jedoch für US-Behörden und Organisationen, die mit ihnen in Verbindung stehen.</w:t>
      </w:r>
    </w:p>
    <w:p>
      <w:pPr>
        <w:pStyle w:val="BodyText"/>
      </w:pPr>
      <w:r>
        <w:t xml:space="preserve">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pPr>
        <w:pStyle w:val="BodyText"/>
      </w:pPr>
      <w:r>
        <w:t xml:space="preserve">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bookmarkStart w:id="89" w:name="auswahl-einer-geeigneten-nist-aal-stufe"/>
    <w:p>
      <w:pPr>
        <w:pStyle w:val="Heading3"/>
      </w:pPr>
      <w:r>
        <w:t xml:space="preserve">Auswahl einer geeigneten NIST AAL-Stufe</w:t>
      </w:r>
    </w:p>
    <w:p>
      <w:pPr>
        <w:pStyle w:val="FirstParagraph"/>
      </w:pPr>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w:t>
      </w:r>
      <w:r>
        <w:t xml:space="preserve"> </w:t>
      </w:r>
      <w:hyperlink r:id="rId88">
        <w:r>
          <w:rPr>
            <w:rStyle w:val="Hyperlink"/>
          </w:rPr>
          <w:t xml:space="preserve">NIST800-63b, Abschnitt 6.2</w:t>
        </w:r>
      </w:hyperlink>
      <w:r>
        <w:t xml:space="preserve"> </w:t>
      </w:r>
      <w:r>
        <w:t xml:space="preserve">unter</w:t>
      </w:r>
      <w:r>
        <w:t xml:space="preserve"> </w:t>
      </w:r>
      <w:r>
        <w:rPr>
          <w:iCs/>
          <w:i/>
        </w:rPr>
        <w:t xml:space="preserve">Selecting AAL</w:t>
      </w:r>
      <w:r>
        <w:t xml:space="preserve"> </w:t>
      </w:r>
      <w:r>
        <w:t xml:space="preserve">beschrieben sind.</w:t>
      </w:r>
    </w:p>
    <w:bookmarkEnd w:id="89"/>
    <w:bookmarkEnd w:id="90"/>
    <w:bookmarkStart w:id="91" w:name="legende"/>
    <w:p>
      <w:pPr>
        <w:pStyle w:val="Heading2"/>
      </w:pPr>
      <w:r>
        <w:t xml:space="preserve">Legende</w:t>
      </w:r>
    </w:p>
    <w:p>
      <w:pPr>
        <w:pStyle w:val="FirstParagraph"/>
      </w:pPr>
      <w:r>
        <w:t xml:space="preserve">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left"/>
            </w:pPr>
            <w:r>
              <w:t xml:space="preserve">Beschreibung</w:t>
            </w:r>
          </w:p>
        </w:tc>
      </w:tr>
      <w:tr>
        <w:tc>
          <w:tcPr/>
          <w:p>
            <w:pPr>
              <w:pStyle w:val="Compact"/>
            </w:pPr>
          </w:p>
        </w:tc>
        <w:tc>
          <w:tcPr/>
          <w:p>
            <w:pPr>
              <w:pStyle w:val="Compact"/>
              <w:jc w:val="left"/>
            </w:pPr>
            <w:r>
              <w:t xml:space="preserve">Nicht erforderlich</w:t>
            </w:r>
          </w:p>
        </w:tc>
      </w:tr>
      <w:tr>
        <w:tc>
          <w:tcPr/>
          <w:p>
            <w:pPr>
              <w:pStyle w:val="Compact"/>
              <w:jc w:val="center"/>
            </w:pPr>
            <w:r>
              <w:t xml:space="preserve">o</w:t>
            </w:r>
          </w:p>
        </w:tc>
        <w:tc>
          <w:tcPr/>
          <w:p>
            <w:pPr>
              <w:pStyle w:val="Compact"/>
              <w:jc w:val="left"/>
            </w:pPr>
            <w:r>
              <w:t xml:space="preserve">Empfohlen</w:t>
            </w:r>
          </w:p>
        </w:tc>
      </w:tr>
      <w:tr>
        <w:tc>
          <w:tcPr/>
          <w:p>
            <w:pPr>
              <w:pStyle w:val="Compact"/>
              <w:jc w:val="center"/>
            </w:pPr>
            <w:r>
              <w:t xml:space="preserve">✓</w:t>
            </w:r>
          </w:p>
        </w:tc>
        <w:tc>
          <w:tcPr/>
          <w:p>
            <w:pPr>
              <w:pStyle w:val="Compact"/>
              <w:jc w:val="left"/>
            </w:pPr>
            <w:r>
              <w:t xml:space="preserve">Erforderlich</w:t>
            </w:r>
          </w:p>
        </w:tc>
      </w:tr>
    </w:tbl>
    <w:bookmarkEnd w:id="91"/>
    <w:bookmarkStart w:id="92" w:name="v21-passwortsicherheit"/>
    <w:p>
      <w:pPr>
        <w:pStyle w:val="Heading2"/>
      </w:pPr>
      <w:r>
        <w:t xml:space="preserve">V2.1 Passwortsicherheit</w:t>
      </w:r>
    </w:p>
    <w:p>
      <w:pPr>
        <w:pStyle w:val="FirstParagraph"/>
      </w:pPr>
      <w:r>
        <w:t xml:space="preserve">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pPr>
        <w:pStyle w:val="BodyText"/>
      </w:pPr>
      <w:r>
        <w:t xml:space="preserve">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Prüfen Sie, dass Benutzerpasswörter mindestens 12 Zeichen lang sind, nachdem zusammenhängende Leerzeichen gekürzt wurden.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Prüfen Sie, dass Passwörter mit 64 oder mehr Zeichen erlaubt sind, jedoch nicht mehr als 128 Zeichen.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Prüfen Sie, dass Passwörter nicht gekürzt werden. Mehrere aufeinanderfolgende Leerzeichen können zu einem zusammengefasst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Prüfen Sie, ob alle druckbaren Unicode-Zeichen, auch Leerzeichen oder Emojis, in Passwörtern zulässig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Prüfen Sie, dass Benutzer ihr Passwort ändern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Prüfen Sie, dass die Passwortänderungsfunktion das bisherige sowie das neue Kennwort des Benutzers erfordert.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Prüfen Sie, dass ein Maß für die Passwortstärke bereitgestellt wird, damit Benutzer ein stärkeres Passwort erstellen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Prüfen Sie, dass es keine Regeln für die Zusammenstellung der Passwörter gibt, welche die Art der zulässigen Zeichen einschränken. Die Verwendung bestimmter Zeichen, wie Groß- oder Kleinschreibung, Zahlen oder Sonderzeichen sollte nicht verlangt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Prüfen Sie, dass weder periodischer Passwortwechsel notwendig ist noch eine Passworthistorie gespeichert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Prüfen Sie, dass die "Einfügen"-Funktion, Passworthilfen der Browser und externe Passwortmanager zugelassen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Prüfen Sie, dass der Benutzer wählen kann, entweder das gesamte Passwort vorübergehend angezeigt zu bekommen oder das letzte eingetippte Zeichen des Passwortes angezeigt zu bekommen.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bookmarkEnd w:id="92"/>
    <w:bookmarkStart w:id="93" w:name="Xc94e3daf0508962eac272f771dedf8200e658bb"/>
    <w:p>
      <w:pPr>
        <w:pStyle w:val="Heading2"/>
      </w:pPr>
      <w:r>
        <w:t xml:space="preserve">V2.2 Allgemeine Sicherheitsanforderungen an den Authentifikator</w:t>
      </w:r>
    </w:p>
    <w:p>
      <w:pPr>
        <w:pStyle w:val="FirstParagraph"/>
      </w:pPr>
      <w:r>
        <w:t xml:space="preserve">Die Agilität des Authentifikators ist für zukunftssichere Anwendungen unerlässlich. Überarbeiten Sie die Application Verifier um zusätzliche Authentifikatoren nach Benutzerpräferenz zuzulassen. Entfernen Sie veraltete oder unsichere Authentifikatoren.</w:t>
      </w:r>
    </w:p>
    <w:p>
      <w:pPr>
        <w:pStyle w:val="BodyText"/>
      </w:pPr>
      <w:r>
        <w:t xml:space="preserve">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Prüfen Sie die Resistenz gegen Phishing durch Authentifizierung mittels Mehrfaktor-Authentifizierung, Public Key Kryptographie, Chipkarten und Push-Nachrichten, auf höheren AAL-Ebenen: clientseitige Zertifikate.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Prüfen Sie, dass der CSP und die nutzende Anwendung über zweiseitig authentifiziertes TLS kommunizieren.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Prüfen Sie, dass Authentifikationsdaten nicht wieder eingespielt werden können. Dies kann z.B. mit One Time Password (OTP) Generatoren, Chipkarten o.ä. verhindert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Prüfen Sie, dass eine Authentifikation nicht unbeabsichtigt stattfinden kann. Verlangen Sie die Eingabe eines OTP-Tokens oder eine vom Benutzer initiierte Aktion, wie z.B. einen Tastendruck auf einem FIDO-Hardwaretoken.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lebenszyklus-des-authentifikators"/>
    <w:p>
      <w:pPr>
        <w:pStyle w:val="Heading2"/>
      </w:pPr>
      <w:r>
        <w:t xml:space="preserve">V2.3 Lebenszyklus des Authentifikators</w:t>
      </w:r>
    </w:p>
    <w:p>
      <w:pPr>
        <w:pStyle w:val="FirstParagraph"/>
      </w:pPr>
      <w:r>
        <w:t xml:space="preserve">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pPr>
        <w:pStyle w:val="BodyText"/>
      </w:pPr>
      <w:r>
        <w:t xml:space="preserve">Hinweis: Die NIST hat die Regulierung von Passwörtern geändert. Sie dürfen keine maximale Lebensdauer haben und sollten keinem routinemäßigen Wechsel mehr unterliegen. Passwörter müssen nur noch beim Verdacht auf Offenlegung ersetzt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Prüfen Sie, dass die Registrierung und die Verwendung von vom Teilnehmer bereitgestellten Authentifizierungsgeräten unterstützt werden, wie z. B. U2F- oder FIDO-Token.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Prüfen Sie, dass die Aufforderung zur Erneuerung zeitgebundener Authentifikatoren rechtzeitig gesendet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speicherung-der-anmeldedaten"/>
    <w:p>
      <w:pPr>
        <w:pStyle w:val="Heading2"/>
      </w:pPr>
      <w:r>
        <w:t xml:space="preserve">V2.4 Speicherung der Anmeldedaten</w:t>
      </w:r>
    </w:p>
    <w:p>
      <w:pPr>
        <w:pStyle w:val="FirstParagraph"/>
      </w:pPr>
      <w:r>
        <w:t xml:space="preserve">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pPr>
        <w:pStyle w:val="BodyText"/>
      </w:pPr>
      <w:r>
        <w:t xml:space="preserve">Die Liste der anerkannten Einwegfunktionen für die Schlüsselableitung wird in NIST 800-63 B, Abschnitt 5.1.1.2 und in</w:t>
      </w:r>
      <w:r>
        <w:t xml:space="preserve"> </w:t>
      </w:r>
      <w:hyperlink r:id="rId95">
        <w:r>
          <w:rPr>
            <w:rStyle w:val="Hyperlink"/>
          </w:rPr>
          <w:t xml:space="preserve">BSI Kryptographische Verfahren: Empfehlungen und Schlüssellängen (2018)</w:t>
        </w:r>
      </w:hyperlink>
      <w:r>
        <w:t xml:space="preserve"> </w:t>
      </w:r>
      <w:r>
        <w:t xml:space="preserve">detailliert aufgeführt. Anstelle dieser Auswahlmöglichkeiten können die neuesten nationalen oder regionalen Algorithmen und Schlüssellängenstandards gewählt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Prüfen Sie, dass bei Verwendung von PBKDF2 der Iterationszähler so groß sein SOLLTE, wie es die Leistung des Verifikationsservers zulässt, normalerweise mindestens 100.000 Iterationen.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Prüfen Sie, dass bei Verwendung von bcrypt der Arbeitsfaktor so groß sein SOLLTE, wie es die Leistung des Verifikationsservers erlaubt, jedoch mindestens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Wo US-Normen erwähnt werden, kann bei Bedarf anstelle der US-Norm oder zusätzlich zu dieser eine lokale Norm verwendet werden. Ein Teil der Inhalte des SP 800-131A wird von der TR-02102-1 "Kryptographische Verfahren: Empfehlungen und Schlüssellängen" des BSI abgedeckt.</w:t>
      </w:r>
    </w:p>
    <w:bookmarkEnd w:id="96"/>
    <w:bookmarkStart w:id="97" w:name="v25-wiederherstellung-von-anmeldedaten"/>
    <w:p>
      <w:pPr>
        <w:pStyle w:val="Heading2"/>
      </w:pPr>
      <w:r>
        <w:t xml:space="preserve">V2.5 Wiederherstellung von Anmeldedaten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Prüfen Sie, dass ein vom System generiertes Initial- oder Wiederherstellungsgeheimnis nicht im Klartext an den Benutzer gesendet wird.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Prüfen Sie, dass keine Hinweise auf Passwörter oder wissensbasierte Authentifizierung, z.B. "geheime Fragen" vorliegen.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Prüfen Sie, dass die Wiederherstellung von Anmeldedaten das aktuelle Kennwort nicht preisgibt.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Prüfen Sie, dass Gemeinschafts- oder Standardkonten, z.B. "root", "admin", "Gast" oder "sa" deaktiviert oder gelöscht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Prüfen Sie, dass der Benutzer informiert wird, wenn ein Authentifizierungsfaktor geändert oder ersetzt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Prüfen Sie, dass der Prozess zur Wiederherstellung, z.B. für vergessene Passwörter, einen sicheren Kanal, z. B. TOTP oder andere Softtoken, Mobile Push oder andere Offlinekanäle, verwendet.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Prüfen Sie, dass der Identitätsnachweis bei Verlust von OTP- oder Mehrfaktor-Token auf derselben Ebene wie bei der Registrierung durchgeführt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zierung-von-tan-listen"/>
    <w:p>
      <w:pPr>
        <w:pStyle w:val="Heading2"/>
      </w:pPr>
      <w:r>
        <w:t xml:space="preserve">V2.6 Verifizierung von TAN-Listen</w:t>
      </w:r>
    </w:p>
    <w:p>
      <w:pPr>
        <w:pStyle w:val="FirstParagraph"/>
      </w:pPr>
      <w:r>
        <w:t xml:space="preserve">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Prüfen Sie, dass die Geheimcodes nur einmal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Prüfen Sie, ob die Geheimcodes eine ausreichende Zufälligkeit aufweisen (112 Bit Entropie). Falls weniger als 112 Bit Entropie vorhanden sind, sind ein einzigartiger und zufälliger 32 Bit Salt und eine zugelassene Hashfunktion zu nutzen.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Prüfen Sie, dass Geheimcodes gegen Offlineangriffe, wie z.B. vorhersehbare Werte, immun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zierer"/>
    <w:p>
      <w:pPr>
        <w:pStyle w:val="Heading2"/>
      </w:pPr>
      <w:r>
        <w:t xml:space="preserve">V2.7 Out-of-Band Verifizierer</w:t>
      </w:r>
    </w:p>
    <w:p>
      <w:pPr>
        <w:pStyle w:val="FirstParagraph"/>
      </w:pPr>
      <w:r>
        <w:t xml:space="preserve">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pPr>
        <w:pStyle w:val="BodyText"/>
      </w:pPr>
      <w:r>
        <w:t xml:space="preserve">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pPr>
        <w:pStyle w:val="BodyText"/>
      </w:pPr>
      <w:r>
        <w:t xml:space="preserve">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pPr>
        <w:pStyle w:val="BodyText"/>
      </w:pPr>
      <w:r>
        <w:t xml:space="preserve">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Prüfen Sie, dass Out-of-Band Authentifikatoren, die NIST "restricted" sind, wie z.B. SMS, nicht standardmäßig angeboten werden und dass stärkere Alternativen wie Push-Nachrichten zuerst angeboten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Prüfen Sie, dass der Out-of-Band Verifizierer bei Out-of-Band Authentifizierungsanforderungen, -Codes oder -Tokens nach 10 Minuten abläuft.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Prüfen Sie, dass Authentifizierungsanfragen, -Codes oder ‑Token an den Out-of-Band Verifizierer nur einmal und nur für die ursprüngliche Authentifizierungsanfrage verwendbar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Prüfen Sie, dass der Out-of-Band Authentifizierer und der Verifizierer über einen sicheren, unabhängigen Kanal kommunizieren.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Prüfen Sie, dass der Out-of-Band Verifizierer nur eine gehashte Version des Authentifizierungscodes speichert.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Prüfen Sie, dass der initiale Authentifizierungscode von einem sicheren Zufallszahlengenerator erzeugt wird, der mindestens 20 Bit Entropie enthält. Normalerweise ist eine sechsstellige Zufallszahl ausreichend.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2cd764081b09b5eefd84c791991120b2e6495f7"/>
    <w:p>
      <w:pPr>
        <w:pStyle w:val="Heading2"/>
      </w:pPr>
      <w:r>
        <w:t xml:space="preserve">V2.8 Ein- oder Mehrfaktor-Einwegverifizierer</w:t>
      </w:r>
    </w:p>
    <w:p>
      <w:pPr>
        <w:pStyle w:val="FirstParagraph"/>
      </w:pPr>
      <w:r>
        <w:t xml:space="preserve">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Prüfen Sie, dass zeitbasierte OTPs eine definierte Lebensdauer haben, bevor sie ablaufen.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Prüfen Sie, dass die symmetrischen Schlüssel, die zur Prüfung der eingegebenen OTPs verwendet werden, sicher geschützt sind, z.B. durch Verwendung eines HSM oder der sicheren Schlüsselspeicherung des Betriebssystems.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Prüfen Sie, dass anerkannte kryptografische Algorithmen bei der Generierung, dem Seeding und der Verifizierung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Prüfen Sie, dass das zeitbasierte OTP nur einmal innerhalb des Gültigkeitszeitraums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Prüfen Sie, dass ein zeitbasiertes Mehrfaktor-OTP, das während der Gültigkeitsdauer wiederverwendet wird, protokolliert und mit sicheren Benachrichtigungen an den Inhaber des Geräts abgelehnt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Prüfen Sie, ob physische OTP-Generatoren im Falle von Diebstahl oder Verlust gesperrt werden können. Stellen Sie sicher, dass der Widerruf sofort für alle eingeloggten Sitzungen, unabhängig vom Standort, wirksam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Prüfen Sie, dass biometrische Authentifikatoren nur als sekundäre Faktoren in Verbindung mit etwas, das Sie haben oder etwas, das Sie wissen, verwendet werden dürfen.</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068413aa30c893fa04e7f6610bba1d9527674ee"/>
    <w:p>
      <w:pPr>
        <w:pStyle w:val="Heading2"/>
      </w:pPr>
      <w:r>
        <w:t xml:space="preserve">V2.9 Kryptografische Software und Geräte im Authentifizierungsprozess</w:t>
      </w:r>
    </w:p>
    <w:p>
      <w:pPr>
        <w:pStyle w:val="FirstParagraph"/>
      </w:pPr>
      <w:r>
        <w:t xml:space="preserve">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w:t>
      </w:r>
    </w:p>
    <w:p>
      <w:pPr>
        <w:pStyle w:val="BodyText"/>
      </w:pPr>
      <w:r>
        <w:t xml:space="preserve">Die Anforderungen für kryptographische Geräte und Software sind für Ein- und Mehrfaktorauthentifizierung gleich, da die Verifizierung der berechneten Antwort den Besitz des Authentisierungsfaktors nachweist.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Prüfen Sie, dass der Zufallswert mindestens 64 Bit lang ist und statistisch einmalig oder für die Lebensdauer des kryptografischen Geräts einmalig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Prüfen Sie, dass anerkannte kryptografische Algorithmen bei allen kryptographischen Operationen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fizierung"/>
    <w:p>
      <w:pPr>
        <w:pStyle w:val="Heading2"/>
      </w:pPr>
      <w:r>
        <w:t xml:space="preserve">V2.10 Service-Authentifizierung</w:t>
      </w:r>
    </w:p>
    <w:p>
      <w:pPr>
        <w:pStyle w:val="FirstParagraph"/>
      </w:pPr>
      <w:r>
        <w:t xml:space="preserve">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Prüfen Sie, dass Intra-Service-Geheimnisse nicht auf unveränderlichen Credentials, wie Passwörtern, API-Schlüsseln oder gemeinsam genutzten privilegierten Konten beruhen.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Prüfen Sie, dass Servicekonten, die zur Anmeldung genutzt werden, keine Standardpasswörter, wie root / root oder admin / admin, die häufig voreingestellt sind, nutzen.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Prüfen Sie, dass Passworthashwerte mit ausreichendem Schutz gespeichert werden, um Offlineangriffe, zu verhindern.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47ed7ef98b8430221909d88827a184bf502d437"/>
    <w:p>
      <w:pPr>
        <w:pStyle w:val="Heading2"/>
      </w:pPr>
      <w:r>
        <w:t xml:space="preserve">Zusätzliche Anforderungen der US-Behörden</w:t>
      </w:r>
    </w:p>
    <w:p>
      <w:pPr>
        <w:pStyle w:val="FirstParagraph"/>
      </w:pPr>
      <w:r>
        <w:t xml:space="preserve">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w:t>
      </w:r>
    </w:p>
    <w:p>
      <w:pPr>
        <w:pStyle w:val="BodyText"/>
      </w:pPr>
      <w:r>
        <w:t xml:space="preserve">Wenn Sie Software für die US-Regierungsbehörden entwickeln, müssen Sie NIST 800‑63 in seiner Gesamtheit überprüfen und umzusetzen.</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zen-1"/>
    <w:p>
      <w:pPr>
        <w:pStyle w:val="Heading2"/>
      </w:pPr>
      <w:r>
        <w:t xml:space="preserve">Referenzen</w:t>
      </w:r>
    </w:p>
    <w:p>
      <w:pPr>
        <w:pStyle w:val="FirstParagraph"/>
      </w:pPr>
      <w:r>
        <w:t xml:space="preserve">Weitere Informationen finden Sie unter:</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29" w:name="v3-sessionmanagement"/>
    <w:p>
      <w:pPr>
        <w:pStyle w:val="Heading1"/>
      </w:pPr>
      <w:r>
        <w:t xml:space="preserve">V3 Sessionmanagement</w:t>
      </w:r>
    </w:p>
    <w:bookmarkStart w:id="116" w:name="ziel-2"/>
    <w:p>
      <w:pPr>
        <w:pStyle w:val="Heading2"/>
      </w:pPr>
      <w:r>
        <w:t xml:space="preserve">Ziel</w:t>
      </w:r>
    </w:p>
    <w:p>
      <w:pPr>
        <w:pStyle w:val="FirstParagraph"/>
      </w:pPr>
      <w:r>
        <w:t xml:space="preserve">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pPr>
        <w:numPr>
          <w:ilvl w:val="0"/>
          <w:numId w:val="1006"/>
        </w:numPr>
        <w:pStyle w:val="Compact"/>
      </w:pPr>
      <w:r>
        <w:t xml:space="preserve">Sessions sind für jede Person einzigartig und können nicht erraten oder geteilt werden.</w:t>
      </w:r>
    </w:p>
    <w:p>
      <w:pPr>
        <w:numPr>
          <w:ilvl w:val="0"/>
          <w:numId w:val="1006"/>
        </w:numPr>
        <w:pStyle w:val="Compact"/>
      </w:pPr>
      <w:r>
        <w:t xml:space="preserve">Sessions werden ungültig, wenn sie nicht mehr benötigt werden.</w:t>
      </w:r>
    </w:p>
    <w:p>
      <w:pPr>
        <w:numPr>
          <w:ilvl w:val="0"/>
          <w:numId w:val="1006"/>
        </w:numPr>
        <w:pStyle w:val="Compact"/>
      </w:pPr>
      <w:r>
        <w:t xml:space="preserve">Sessions laufen ab, wenn sie eine bestimmte Zeit nicht aktiv sind.</w:t>
      </w:r>
    </w:p>
    <w:p>
      <w:pPr>
        <w:pStyle w:val="FirstParagraph"/>
      </w:pPr>
      <w:r>
        <w:t xml:space="preserve">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w:t>
      </w:r>
      <w:r>
        <w:t xml:space="preserve"> </w:t>
      </w:r>
      <w:hyperlink r:id="rId87">
        <w:r>
          <w:rPr>
            <w:rStyle w:val="Hyperlink"/>
          </w:rPr>
          <w:t xml:space="preserve">NIST 800-63b</w:t>
        </w:r>
      </w:hyperlink>
      <w:r>
        <w:t xml:space="preserve"> </w:t>
      </w:r>
      <w:r>
        <w:t xml:space="preserve">orientieren.</w:t>
      </w:r>
    </w:p>
    <w:bookmarkEnd w:id="116"/>
    <w:bookmarkStart w:id="117" w:name="Xaa24ec85fcae8a9f69064bacd3c8f2617af8fdf"/>
    <w:p>
      <w:pPr>
        <w:pStyle w:val="Heading2"/>
      </w:pPr>
      <w:r>
        <w:t xml:space="preserve">V3.1 Grundlegende Sicherheit des Sessionmanagements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Prüfen Sie, dass die Anwendung niemals Sessiontoken in URL-Parametern oder Fehlermeldungen offenbart.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7"/>
    <w:bookmarkStart w:id="118"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Prüfen Sie, ob die Anwendung bei der Authentifizierung eines Benutzers ein neues Sessiontoken generiert.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Prüfen Sie, dass Sessiontoken mindestens 64 Bit Entropie aufweisen.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Prüfen Sie, dass die Anwendung Sessiontoken im Browser nur mit sicheren Methoden wie z.B. gesicherten Cookies (siehe Abschnitt 3.4) oder den HTML 5-Methoden speichert.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Prüfen Sie, dass die Sessiontoken mit anerkannten kryptografischen Algorithmen generiert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oder ein anderer sicherer Transportkanal ist für das Sessionmanagement obligatorisch. Dies wird im Kapitel Kommunikationssicherheit behandelt.</w:t>
      </w:r>
    </w:p>
    <w:bookmarkEnd w:id="118"/>
    <w:bookmarkStart w:id="119" w:name="v33-beenden-der-session"/>
    <w:p>
      <w:pPr>
        <w:pStyle w:val="Heading2"/>
      </w:pPr>
      <w:r>
        <w:t xml:space="preserve">V3.3 Beenden der Session</w:t>
      </w:r>
    </w:p>
    <w:p>
      <w:pPr>
        <w:pStyle w:val="FirstParagraph"/>
      </w:pPr>
      <w:r>
        <w:t xml:space="preserve">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pPr>
        <w:pStyle w:val="BodyText"/>
      </w:pPr>
      <w:r>
        <w:t xml:space="preserve">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Prüfen Sie, dass Abmeldung und Ablauf das Sessiontoken ungültig machen, so dass die Zurück-Taste oder eine nachgeschaltete Relying Party eine authentifizierte Sitzung auch nicht zwischen den Relying Parties wiederaufnimmt.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Wenn die Benutzer eingeloggt bleiben, Prüfen Sie, dass eine erneute Authentifizierung in regelmäßigen Abständen sowohl bei aktiver Nutzung als auch nach einer Leerlaufphase erfolgt. (</w:t>
            </w:r>
            <w:hyperlink r:id="rId62">
              <w:r>
                <w:rPr>
                  <w:rStyle w:val="Hyperlink"/>
                </w:rPr>
                <w:t xml:space="preserve">C6</w:t>
              </w:r>
            </w:hyperlink>
            <w:r>
              <w:t xml:space="preserve">)</w:t>
            </w:r>
          </w:p>
        </w:tc>
        <w:tc>
          <w:tcPr/>
          <w:p>
            <w:pPr>
              <w:pStyle w:val="Compact"/>
              <w:jc w:val="center"/>
            </w:pPr>
            <w:r>
              <w:t xml:space="preserve">30 Tage</w:t>
            </w:r>
          </w:p>
        </w:tc>
        <w:tc>
          <w:tcPr/>
          <w:p>
            <w:pPr>
              <w:pStyle w:val="Compact"/>
              <w:jc w:val="center"/>
            </w:pPr>
            <w:r>
              <w:t xml:space="preserve">12 Stunden oder 30 Minuten Inaktivität, 2FA optional</w:t>
            </w:r>
          </w:p>
        </w:tc>
        <w:tc>
          <w:tcPr/>
          <w:p>
            <w:pPr>
              <w:pStyle w:val="Compact"/>
              <w:jc w:val="center"/>
            </w:pPr>
            <w:r>
              <w:t xml:space="preserve">12 Stunden oder 15 Minuten Inaktivität, mit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Prüfen Sie, dass es die Anwendung ermöglicht, alle anderen aktiven Sitzungen nach einer erfolgreichen Kennwortänderung zu beenden. Dies muss in der gesamten Anwendung, der föderierten Anmeldung (falls vorhanden) und bei allen Relying Parties wirksam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Prüfen Sie, dass die Benutzer jede oder alle derzeit aktiven Sitzungen und Geräte sehen und sich von ihnen abmelden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19"/>
    <w:bookmarkStart w:id="120" w:name="v34-cookiebasiertes-session-management"/>
    <w:p>
      <w:pPr>
        <w:pStyle w:val="Heading2"/>
      </w:pPr>
      <w:r>
        <w:t xml:space="preserve">V3.4 Cookiebasiertes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Prüfen Sie, dass bei Session-Cookies das Attribut 'Secure'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Prüfen Sie, dass bei Session-Cookies das Attribut 'HttpOnly'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Prüfen Sie, dass Session-Cookies das 'SameSite'-Attribut verwenden, um die Anfälligkeit für Cross Site Request Forgery zu begrenzen.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Prüfen Sie, dass Session-Cookies das Präfix '__Host-' verwenden (siehe Referenzen), um die Vertraulichkeit von Session-Cookies zu gewährleisten.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0"/>
    <w:bookmarkStart w:id="121" w:name="v35-tokenbasiertes-sessionmanagement"/>
    <w:p>
      <w:pPr>
        <w:pStyle w:val="Heading2"/>
      </w:pPr>
      <w:r>
        <w:t xml:space="preserve">V3.5 Tokenbasiertes Sessionmanagement</w:t>
      </w:r>
    </w:p>
    <w:p>
      <w:pPr>
        <w:pStyle w:val="FirstParagraph"/>
      </w:pPr>
      <w:r>
        <w:t xml:space="preserve">Tokenbasiertes Sessionmanagement umfasst z.B. JWT-, OAuth-, SAML- und API-Schlüssel. API-Schlüssel sind bekanntermaßen schwach und sollten im neuen Code nicht mehr verwendet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Prüfen Sie, dass die Anwendung Benutzern erlaubt, OAuth-Token, die Vertrauensbeziehungen zu verknüpften Anwendungen herstellen, zurückzuziehen.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Prüfen Sie, dass die Anwendung Sessiontoken anstatt statischer API-Schlüssel verwendet, außer bei Legacy-Implementierungen.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Prüfen Sie, dass zustandslose Session-Token digitale Signaturen, Verschlüsselung und andere Gegenmaßnahmen zum Schutz vor Manipulation, Enveloping, Wiedergabe, Null-Chiffren und Schlüsselaustausch-Angriffen verwenden.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1"/>
    <w:bookmarkStart w:id="122" w:name="v36-erneute-authentisierung"/>
    <w:p>
      <w:pPr>
        <w:pStyle w:val="Heading2"/>
      </w:pPr>
      <w:r>
        <w:t xml:space="preserve">V3.6 Erneute Authentisierung</w:t>
      </w:r>
    </w:p>
    <w:p>
      <w:pPr>
        <w:pStyle w:val="FirstParagraph"/>
      </w:pPr>
      <w:r>
        <w:t xml:space="preserve">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Prüfen Sie, dass die Relying Parties gegenüber den CSPs die maximale Authentifizierungszeit angeben, und dass die CSPs den Teilnehmer erneut authentifizieren, wenn sie innerhalb dieses Zeitraums keine Sitzung verwendet haben.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Prüfen Sie, dass die CSPs die Relying Parties über das letzte Authentifizierungsereignis informieren, damit die RPs feststellen können, ob sie den Benutzer erneut authentifizieren müssen.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2"/>
    <w:bookmarkStart w:id="124" w:name="Xee7c224e475815f8668683607229e9993a1cffc"/>
    <w:p>
      <w:pPr>
        <w:pStyle w:val="Heading2"/>
      </w:pPr>
      <w:r>
        <w:t xml:space="preserve">V3.7 Verteidigung gegen Session Management Exploits</w:t>
      </w:r>
    </w:p>
    <w:p>
      <w:pPr>
        <w:pStyle w:val="FirstParagraph"/>
      </w:pPr>
      <w:r>
        <w:t xml:space="preserve">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bookmarkStart w:id="123" w:name="beschreibung-des-halboffenen-angriffs"/>
    <w:p>
      <w:pPr>
        <w:pStyle w:val="Heading3"/>
      </w:pPr>
      <w:r>
        <w:t xml:space="preserve">Beschreibung des halboffenen Angriffs</w:t>
      </w:r>
    </w:p>
    <w:p>
      <w:pPr>
        <w:pStyle w:val="FirstParagraph"/>
      </w:pPr>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w:t>
      </w:r>
    </w:p>
    <w:p>
      <w:pPr>
        <w:pStyle w:val="BodyText"/>
      </w:pPr>
      <w:r>
        <w:t xml:space="preserve">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Mehrfaktorauthentifizierung deaktivieren oder ein neues MFA-Gerät registrieren, API-Schlüssel offenlegen bzw. ändern und so weiter.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Prüfen Sie, dass die Anwendung eine gültige Login Session gewährleistet oder eine erneute Authentifizierung oder eine sekundäre Verifizierung erfordert, bevor sensible Transaktionen oder Kontenänderungen zugelassen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3"/>
    <w:bookmarkEnd w:id="124"/>
    <w:bookmarkStart w:id="128" w:name="referenzen-2"/>
    <w:p>
      <w:pPr>
        <w:pStyle w:val="Heading2"/>
      </w:pPr>
      <w:r>
        <w:t xml:space="preserve">Referenzen</w:t>
      </w:r>
    </w:p>
    <w:p>
      <w:pPr>
        <w:pStyle w:val="FirstParagraph"/>
      </w:pPr>
      <w:r>
        <w:t xml:space="preserve">Weitere Informationen finden Sie unter:</w:t>
      </w:r>
    </w:p>
    <w:p>
      <w:pPr>
        <w:numPr>
          <w:ilvl w:val="0"/>
          <w:numId w:val="1007"/>
        </w:numPr>
        <w:pStyle w:val="Compact"/>
      </w:pPr>
      <w:hyperlink r:id="rId125">
        <w:r>
          <w:rPr>
            <w:rStyle w:val="Hyperlink"/>
          </w:rPr>
          <w:t xml:space="preserve">OWASP Testing Guide 4.0: Session Management Testing</w:t>
        </w:r>
      </w:hyperlink>
    </w:p>
    <w:p>
      <w:pPr>
        <w:numPr>
          <w:ilvl w:val="0"/>
          <w:numId w:val="1007"/>
        </w:numPr>
        <w:pStyle w:val="Compact"/>
      </w:pPr>
      <w:hyperlink r:id="rId126">
        <w:r>
          <w:rPr>
            <w:rStyle w:val="Hyperlink"/>
          </w:rPr>
          <w:t xml:space="preserve">OWASP Session Management Cheat Sheet</w:t>
        </w:r>
      </w:hyperlink>
    </w:p>
    <w:p>
      <w:pPr>
        <w:numPr>
          <w:ilvl w:val="0"/>
          <w:numId w:val="1007"/>
        </w:numPr>
        <w:pStyle w:val="Compact"/>
      </w:pPr>
      <w:hyperlink r:id="rId127">
        <w:r>
          <w:rPr>
            <w:rStyle w:val="Hyperlink"/>
          </w:rPr>
          <w:t xml:space="preserve">Set-Cookie __Host- prefix details</w:t>
        </w:r>
      </w:hyperlink>
    </w:p>
    <w:bookmarkEnd w:id="128"/>
    <w:bookmarkEnd w:id="129"/>
    <w:bookmarkStart w:id="139" w:name="v4-maßnahmen-zur-zugriffssteuerung"/>
    <w:p>
      <w:pPr>
        <w:pStyle w:val="Heading1"/>
      </w:pPr>
      <w:r>
        <w:t xml:space="preserve">V4 Maßnahmen zur Zugriffssteuerung</w:t>
      </w:r>
    </w:p>
    <w:bookmarkStart w:id="130" w:name="ziel-3"/>
    <w:p>
      <w:pPr>
        <w:pStyle w:val="Heading2"/>
      </w:pPr>
      <w:r>
        <w:t xml:space="preserve">Ziel</w:t>
      </w:r>
    </w:p>
    <w:p>
      <w:pPr>
        <w:pStyle w:val="FirstParagraph"/>
      </w:pPr>
      <w:r>
        <w:t xml:space="preserve">Autorisierung ist das Konzept, nur denjenigen den Zugriff auf Ressourcen zu gestatten, die diese auch nutzen dürfen. Prüfen Sie, dass eine verifizierte Anwendung die folgenden High Level Anforderungen erfüllt:</w:t>
      </w:r>
    </w:p>
    <w:p>
      <w:pPr>
        <w:numPr>
          <w:ilvl w:val="0"/>
          <w:numId w:val="1008"/>
        </w:numPr>
        <w:pStyle w:val="Compact"/>
      </w:pPr>
      <w:r>
        <w:t xml:space="preserve">Personen, die auf Ressourcen zugreifen, müssen dafür über gültige Berechtigungen verfügen.</w:t>
      </w:r>
    </w:p>
    <w:p>
      <w:pPr>
        <w:numPr>
          <w:ilvl w:val="0"/>
          <w:numId w:val="1008"/>
        </w:numPr>
        <w:pStyle w:val="Compact"/>
      </w:pPr>
      <w:r>
        <w:t xml:space="preserve">Die Benutzer sind mit einem genau definierten Satz von Rollen und Berechtigungen verbunden.</w:t>
      </w:r>
    </w:p>
    <w:p>
      <w:pPr>
        <w:numPr>
          <w:ilvl w:val="0"/>
          <w:numId w:val="1008"/>
        </w:numPr>
        <w:pStyle w:val="Compact"/>
      </w:pPr>
      <w:r>
        <w:t xml:space="preserve">Rollen- und Berechtigungsmetadaten sind vor Wiedereinspielen oder Manipulation geschützt.</w:t>
      </w:r>
    </w:p>
    <w:bookmarkEnd w:id="130"/>
    <w:bookmarkStart w:id="131" w:name="X323dcf1922b4dc44f938fad6a88cb836570b149"/>
    <w:p>
      <w:pPr>
        <w:pStyle w:val="Heading2"/>
      </w:pPr>
      <w:r>
        <w:t xml:space="preserve">V4.1 Design der Allgemeinen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Prüfen Sie, dass die Anwendung Regeln zur Steuerung der Zugriffe auf einer vertrauenswürdigen Serviceschicht durchsetzt, insbesondere wenn die clientseitige Zugriffssteuerung umgangen werden könnte.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Prüfen Sie, dass alle Benutzer- und Datenattribute sowie Richtlinieninformationen, die von der Zugriffssteuerung verwendet werden, von den Endnutzern nicht manipuliert werden können, es sei denn, dies wird ausdrücklich genehmigt.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Prüfen Sie, dass die Zugriffssteuerungsroutinen im Fehlerfall in einen sicheren Zustand fallen.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1"/>
    <w:bookmarkStart w:id="132" w:name="v42-operative-zugriffssteuerung"/>
    <w:p>
      <w:pPr>
        <w:pStyle w:val="Heading2"/>
      </w:pPr>
      <w:r>
        <w:t xml:space="preserve">V4.2 Operative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Prüfen Sie, dass die Anwendung oder das Framework einen starken Anti-CSRF-Mechanismus zum Schutz authentifizierter Funktionen durchsetzt, und dass eine effektive Anti-Automatisierung oder Anti-CSRF nicht authentifizierte Funktionen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2"/>
    <w:bookmarkStart w:id="133" w:name="X2771c30ae3f24ffd364bbd039bd43901d516cbf"/>
    <w:p>
      <w:pPr>
        <w:pStyle w:val="Heading2"/>
      </w:pPr>
      <w:r>
        <w:t xml:space="preserve">V4.3 Weitere Maßnahmen zur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Prüfen Sie, dass administrative Schnittstellen eine geeignete Mehrfaktorauthentifizierung verwenden, um unbefugte Nutzung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Prüfen Sie, dass das Durchsuchen von Verzeichnissen deaktiviert ist, es sei denn, dies ist absichtlich gewünscht. Ferner ist das Auffinden oder die Offenlegung von Datei- oder Verzeichnis-Metadaten, wie z.B. Thumbs.db, .DS_Store, .git oder .svn-Ordner, nicht zulässig.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3"/>
    <w:bookmarkStart w:id="138" w:name="referenzen-3"/>
    <w:p>
      <w:pPr>
        <w:pStyle w:val="Heading2"/>
      </w:pPr>
      <w:r>
        <w:t xml:space="preserve">Referenzen</w:t>
      </w:r>
    </w:p>
    <w:p>
      <w:pPr>
        <w:pStyle w:val="FirstParagraph"/>
      </w:pPr>
      <w:r>
        <w:t xml:space="preserve">Weitere Informationen finden Sie unter:</w:t>
      </w:r>
    </w:p>
    <w:p>
      <w:pPr>
        <w:numPr>
          <w:ilvl w:val="0"/>
          <w:numId w:val="1009"/>
        </w:numPr>
        <w:pStyle w:val="Compact"/>
      </w:pPr>
      <w:hyperlink r:id="rId134">
        <w:r>
          <w:rPr>
            <w:rStyle w:val="Hyperlink"/>
          </w:rPr>
          <w:t xml:space="preserve">OWASP Testing Guide 4.0: Authorization</w:t>
        </w:r>
      </w:hyperlink>
    </w:p>
    <w:p>
      <w:pPr>
        <w:numPr>
          <w:ilvl w:val="0"/>
          <w:numId w:val="1009"/>
        </w:numPr>
        <w:pStyle w:val="Compact"/>
      </w:pPr>
      <w:hyperlink r:id="rId135">
        <w:r>
          <w:rPr>
            <w:rStyle w:val="Hyperlink"/>
          </w:rPr>
          <w:t xml:space="preserve">OWASP Cheat Sheet: Access Control</w:t>
        </w:r>
      </w:hyperlink>
    </w:p>
    <w:p>
      <w:pPr>
        <w:numPr>
          <w:ilvl w:val="0"/>
          <w:numId w:val="1009"/>
        </w:numPr>
        <w:pStyle w:val="Compact"/>
      </w:pPr>
      <w:hyperlink r:id="rId136">
        <w:r>
          <w:rPr>
            <w:rStyle w:val="Hyperlink"/>
          </w:rPr>
          <w:t xml:space="preserve">OWASP CSRF Cheat Sheet</w:t>
        </w:r>
      </w:hyperlink>
    </w:p>
    <w:p>
      <w:pPr>
        <w:numPr>
          <w:ilvl w:val="0"/>
          <w:numId w:val="1009"/>
        </w:numPr>
        <w:pStyle w:val="Compact"/>
      </w:pPr>
      <w:hyperlink r:id="rId137">
        <w:r>
          <w:rPr>
            <w:rStyle w:val="Hyperlink"/>
          </w:rPr>
          <w:t xml:space="preserve">OWASP REST Cheat Sheet</w:t>
        </w:r>
      </w:hyperlink>
    </w:p>
    <w:bookmarkEnd w:id="138"/>
    <w:bookmarkEnd w:id="139"/>
    <w:bookmarkStart w:id="167" w:name="X35b0617d3a804a5358d2a5c38f5ad0bec0a4566"/>
    <w:p>
      <w:pPr>
        <w:pStyle w:val="Heading1"/>
      </w:pPr>
      <w:r>
        <w:t xml:space="preserve">V5 Eingabeprüfung, die Bereinigung der Ausgaben und die Zeichencodierung</w:t>
      </w:r>
    </w:p>
    <w:bookmarkStart w:id="140" w:name="ziel-4"/>
    <w:p>
      <w:pPr>
        <w:pStyle w:val="Heading2"/>
      </w:pPr>
      <w:r>
        <w:t xml:space="preserve">Ziel</w:t>
      </w:r>
    </w:p>
    <w:p>
      <w:pPr>
        <w:pStyle w:val="FirstParagraph"/>
      </w:pPr>
      <w:r>
        <w:t xml:space="preserve">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pPr>
        <w:pStyle w:val="BodyText"/>
      </w:pPr>
      <w:r>
        <w:t xml:space="preserve">Prüfen Sie, dass eine verifizierte Anwendung die folgenden High Level Anforderungen erfüllt:</w:t>
      </w:r>
    </w:p>
    <w:p>
      <w:pPr>
        <w:numPr>
          <w:ilvl w:val="0"/>
          <w:numId w:val="1010"/>
        </w:numPr>
        <w:pStyle w:val="Compact"/>
      </w:pPr>
      <w:r>
        <w:t xml:space="preserve">Die Architektur der Inputvalidierung und der Ausgabebereinigung haben eine abgestimmte Pipeline, um Injektionsangriffe zu verhindern.</w:t>
      </w:r>
    </w:p>
    <w:p>
      <w:pPr>
        <w:numPr>
          <w:ilvl w:val="0"/>
          <w:numId w:val="1010"/>
        </w:numPr>
        <w:pStyle w:val="Compact"/>
      </w:pPr>
      <w:r>
        <w:t xml:space="preserve">Die Eingabedaten werden stark typisiert, ihr Wertebereich bzw. ihre Länge wird überprüft, im Maximum werden sie bereinigt oder gefiltert.</w:t>
      </w:r>
    </w:p>
    <w:p>
      <w:pPr>
        <w:numPr>
          <w:ilvl w:val="0"/>
          <w:numId w:val="1010"/>
        </w:numPr>
        <w:pStyle w:val="Compact"/>
      </w:pPr>
      <w:r>
        <w:t xml:space="preserve">Die Ausgabedaten werden entsprechend dem Kontext der Daten so nah wie möglich am Interpreter codiert oder bereinigt.</w:t>
      </w:r>
    </w:p>
    <w:p>
      <w:pPr>
        <w:pStyle w:val="FirstParagraph"/>
      </w:pPr>
      <w:r>
        <w:t xml:space="preserve">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bookmarkEnd w:id="140"/>
    <w:bookmarkStart w:id="141" w:name="v51-eingabeprüfung"/>
    <w:p>
      <w:pPr>
        <w:pStyle w:val="Heading2"/>
      </w:pPr>
      <w:r>
        <w:t xml:space="preserve">V5.1 Eingabeprüfung</w:t>
      </w:r>
    </w:p>
    <w:p>
      <w:pPr>
        <w:pStyle w:val="FirstParagraph"/>
      </w:pPr>
      <w:r>
        <w:t xml:space="preserve">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Prüfen Sie, dass die Anwendung über Abwehrmechanismen gegen Angriffe auf HTTP-Parameter verfügt, insbesondere dann, wenn das Anwendungsframework die Quelle der Anforderungsparameter (GET, POST, Cookies, Header oder Umgebungsvariablen) nicht unterscheidet.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Prüfen Sie, dass Frameworks vor Angriffen durch massenhafte Parameterzuweisung schützen, oder dass die Anwendung über Gegenmaßnahmen zum Schutz vor unsicherer Parameterzuweisung verfügt, wie z.B. das Markieren von Feldern als privat oder ähnliches.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Prüfen Sie, dass alle Eingaben (HTML-Formularfelder, REST-Anforderungen, URL-Parameter, HTTP-Header, Cookies, Batch-Dateien, RSS-Feeds usw.) mittels positiver Validierung (Whitelisting) validiert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Prüfen Sie, dass URL-Umleitungen und -Weiterleitungen nur Whitelist-Ziele zulassen, oder bei der Weiterleitung auf potenziell nicht vertrauenswürdige Inhalte einen Warnhinweis anzeigen.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1"/>
    <w:bookmarkStart w:id="142" w:name="v52-bereinigung-und-sandboxing"/>
    <w:p>
      <w:pPr>
        <w:pStyle w:val="Heading2"/>
      </w:pPr>
      <w:r>
        <w:t xml:space="preserve">V5.2 Bereinigung und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Prüfen Sie, dass alle nicht vertrauenswürdigen HTML-Eingaben von WYSIWYG-Editoren o.ä. ordnungsgemäß mit einer HTML-Bereinigungsbibliothek oder einer Frameworkfunktion bereinigt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Prüfen Sie, dass unstrukturierte Daten bereinigt werden, um Sicherheitsmaßnahmen wie erlaubte Zeichen und Längenbegrenzung durchzusetzen.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Prüfen Sie, dass die Anwendung zum Schutz vor SMTP- oder IMAP-Injektion Benutzereingaben bereinigt, bevor sie an Mailsysteme weitergeleitet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Prüfen Sie, dass die Anwendung vor Template-Injection-Angriffen schützt, indem Sie sicherstellen, dass alle Benutzereingaben, die aufgenommen werden, bereinigt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Prüfen Sie, dass die Anwendung vom Benutzer bereitgestellte Scaleable Vector Graphics (SVG) von skriptfähigen Inhalten bereinigt, deaktiviert oder in Sandboxen abgrenzt, insbesondere in Bezug auf XSS, das aus Inline-Skripten und aus foreignObject resultiert.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Prüfen Sie, dass die Anwendung vom Benutzer zur Verfügung gestellte skriptfähige Inhalte oder Inhalte von Expression Language Templates wie Markdown, CSS- oder XSL-Stylesheets, BBCode oder Ähnliches bereinigt, deaktiviert oder in Sandboxen abgrenzt.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2"/>
    <w:bookmarkStart w:id="143" w:name="X9ef43288cbad37d195d76d4f1cf199b2e04d578"/>
    <w:p>
      <w:pPr>
        <w:pStyle w:val="Heading2"/>
      </w:pPr>
      <w:r>
        <w:t xml:space="preserve">V5.3 Ausgabecodierung und Injektionsverhinderung</w:t>
      </w:r>
    </w:p>
    <w:p>
      <w:pPr>
        <w:pStyle w:val="FirstParagraph"/>
      </w:pPr>
      <w:r>
        <w:t xml:space="preserve">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ねこ oder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Prüfen Sie, dass die Ausgabecodierung den vom Benutzer gewählten Zeichensatz sowie die Spracheinstellung beibehält, so dass jeder Unicode-Zeichenpunkt gültig ist und sicher verarbeitet wird.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Prüfen Sie, dass kontextabhängiges, vorzugsweise automatisches Output Escaping vor reflektierten, gespeicherten und DOM-basierten XSS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Prüfen Sie, dass die Datenauswahl- oder Datenbankabfragen (z.B. SQL, HQL, ORM, NoSQL) parametrisierte Abfragen, ORMs, Entity Frameworks verwenden oder anderweitig vor Datenbank-Injektionsangriffen geschützt sind.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Prüfen Sie, dass dort, wo keine parametrisierten oder sichereren Mechanismen vorhanden sind, eine kontextspezifische Ausgabecodierung, z. B. SQL-Escaping, zum Schutz vor Injektionsangriffen verwendet wird.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Prüfen Sie, dass die Anwendung vor Angriffen mittels JSON-Injektion, JSON-eval() und Evaluierung von JavaScript-Ausdrücken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Prüfen Sie, dass die Anwendung vor LDAP-Injektionsschwachstellen schützt oder das spezifische Sicherheitsmaßnahmen zur Verhinderung der LDAP-Injektion implementiert wurden.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Prüfen Sie, dass die Anwendung vor dem Einfügen von Betriebssystemkommandos schützt und dass Betriebssystemaufrufe parametrisierte Abfragen oder eine kontextbezogene Ausgabecodierung der Befehlszeile verwenden.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Prüfen Sie, dass die Anwendung vor Local File Inclusion (LFI)- oder Remote File Inclusion (RFI)-Angriffen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Prüfen Sie, dass die Anwendung gegen XPath Injection- oder XML-Injection-Angriffe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pPr>
        <w:pStyle w:val="BodyText"/>
      </w:pPr>
      <w:r>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bookmarkEnd w:id="143"/>
    <w:bookmarkStart w:id="144" w:name="v54-speicher-strings-und-unmanaged-code"/>
    <w:p>
      <w:pPr>
        <w:pStyle w:val="Heading2"/>
      </w:pPr>
      <w:r>
        <w:t xml:space="preserve">V5.4 Speicher, Strings und Unmanaged Code</w:t>
      </w:r>
    </w:p>
    <w:p>
      <w:pPr>
        <w:pStyle w:val="FirstParagraph"/>
      </w:pPr>
      <w:r>
        <w:t xml:space="preserve">Die folgenden Anforderungen gelten nur, wenn die Anwendung eine Systemprogrammiersprache oder unmanaged Code verwendet.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Prüfen Sie, dass die Anwendung speichersichere Zeichenfolgen, sicherere Speicherkopien und sichere Zeigerarithmetik verwendet, um Stapel-, Puffer- oder Heapüberläufe zu erkennen oder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Prüfen Sie, dass Formatstrings keine potenziell feindliche Eingabe annehmen und konstant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Prüfen Sie, dass Zeichen-, Bereichs- und Eingabeprüfungstechniken verwendet werden, um Ganzzahlüberläufe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4"/>
    <w:bookmarkStart w:id="145" w:name="Xbe6f13334af77f1889f4f6b79204949ff6307f9"/>
    <w:p>
      <w:pPr>
        <w:pStyle w:val="Heading2"/>
      </w:pPr>
      <w:r>
        <w:t xml:space="preserve">V5.5 Prävention von Deserialisierungsangriffen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Prüfen Sie, dass serialisierte Objekte Integritätsprüfungen verwenden oder verschlüsselt sind, um die Erstellung feindlicher Objekte oder die Manipulation von Daten zu verhindern.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Prüfen Sie, dass XML-Parser nur die restriktivste Konfiguration verwenden und das unsichere Funktionen wie die Auflösung externer Entitäten deaktiviert sind, um XXE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Prüfen Sie, dass die Deserialisierung nicht vertrauenswürdiger Daten sowohl im benutzerdefinierten Code als auch in Bibliotheken von Drittanbietern (wie JSON-, XML- und YAML-Parser) entweder verhindert oder gesichert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Prüfen Sie, dass beim Parsen von JSON in Browsern oder JavaScript-basierten Backends JSON.parse zum Parsen des JSON-Dokuments verwendet wird. Verwenden Sie kein eval() zum Parsen von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5"/>
    <w:bookmarkStart w:id="166" w:name="referenzen-4"/>
    <w:p>
      <w:pPr>
        <w:pStyle w:val="Heading2"/>
      </w:pPr>
      <w:r>
        <w:t xml:space="preserve">Referenzen</w:t>
      </w:r>
    </w:p>
    <w:p>
      <w:pPr>
        <w:pStyle w:val="FirstParagraph"/>
      </w:pPr>
      <w:r>
        <w:t xml:space="preserve">Weitere Informationen finden Sie unter:</w:t>
      </w:r>
    </w:p>
    <w:p>
      <w:pPr>
        <w:numPr>
          <w:ilvl w:val="0"/>
          <w:numId w:val="1011"/>
        </w:numPr>
        <w:pStyle w:val="Compact"/>
      </w:pPr>
      <w:hyperlink r:id="rId146">
        <w:r>
          <w:rPr>
            <w:rStyle w:val="Hyperlink"/>
          </w:rPr>
          <w:t xml:space="preserve">OWASP Testing Guide 4.0: Input Validation Testing</w:t>
        </w:r>
      </w:hyperlink>
    </w:p>
    <w:p>
      <w:pPr>
        <w:numPr>
          <w:ilvl w:val="0"/>
          <w:numId w:val="1011"/>
        </w:numPr>
        <w:pStyle w:val="Compact"/>
      </w:pPr>
      <w:hyperlink r:id="rId147">
        <w:r>
          <w:rPr>
            <w:rStyle w:val="Hyperlink"/>
          </w:rPr>
          <w:t xml:space="preserve">OWASP Cheat Sheet: Input Validation</w:t>
        </w:r>
      </w:hyperlink>
    </w:p>
    <w:p>
      <w:pPr>
        <w:numPr>
          <w:ilvl w:val="0"/>
          <w:numId w:val="1011"/>
        </w:numPr>
        <w:pStyle w:val="Compact"/>
      </w:pPr>
      <w:hyperlink r:id="rId148">
        <w:r>
          <w:rPr>
            <w:rStyle w:val="Hyperlink"/>
          </w:rPr>
          <w:t xml:space="preserve">OWASP Testing Guide 4.0: Testing for HTTP Parameter Pollution</w:t>
        </w:r>
      </w:hyperlink>
    </w:p>
    <w:p>
      <w:pPr>
        <w:numPr>
          <w:ilvl w:val="0"/>
          <w:numId w:val="1011"/>
        </w:numPr>
        <w:pStyle w:val="Compact"/>
      </w:pPr>
      <w:hyperlink r:id="rId149">
        <w:r>
          <w:rPr>
            <w:rStyle w:val="Hyperlink"/>
          </w:rPr>
          <w:t xml:space="preserve">OWASP LDAP Injection Cheat Sheet</w:t>
        </w:r>
      </w:hyperlink>
    </w:p>
    <w:p>
      <w:pPr>
        <w:numPr>
          <w:ilvl w:val="0"/>
          <w:numId w:val="1011"/>
        </w:numPr>
        <w:pStyle w:val="Compact"/>
      </w:pPr>
      <w:hyperlink r:id="rId150">
        <w:r>
          <w:rPr>
            <w:rStyle w:val="Hyperlink"/>
          </w:rPr>
          <w:t xml:space="preserve">OWASP Testing Guide 4.0: Client Side Testing</w:t>
        </w:r>
      </w:hyperlink>
    </w:p>
    <w:p>
      <w:pPr>
        <w:numPr>
          <w:ilvl w:val="0"/>
          <w:numId w:val="1011"/>
        </w:numPr>
        <w:pStyle w:val="Compact"/>
      </w:pPr>
      <w:hyperlink r:id="rId151">
        <w:r>
          <w:rPr>
            <w:rStyle w:val="Hyperlink"/>
          </w:rPr>
          <w:t xml:space="preserve">OWASP Cross Site Scripting Prevention Cheat Sheet</w:t>
        </w:r>
      </w:hyperlink>
    </w:p>
    <w:p>
      <w:pPr>
        <w:numPr>
          <w:ilvl w:val="0"/>
          <w:numId w:val="1011"/>
        </w:numPr>
        <w:pStyle w:val="Compact"/>
      </w:pPr>
      <w:hyperlink r:id="rId152">
        <w:r>
          <w:rPr>
            <w:rStyle w:val="Hyperlink"/>
          </w:rPr>
          <w:t xml:space="preserve">OWASP DOM Based Cross Site Scripting Prevention Cheat Sheet</w:t>
        </w:r>
      </w:hyperlink>
    </w:p>
    <w:p>
      <w:pPr>
        <w:numPr>
          <w:ilvl w:val="0"/>
          <w:numId w:val="1011"/>
        </w:numPr>
        <w:pStyle w:val="Compact"/>
      </w:pPr>
      <w:hyperlink r:id="rId153">
        <w:r>
          <w:rPr>
            <w:rStyle w:val="Hyperlink"/>
          </w:rPr>
          <w:t xml:space="preserve">OWASP Java Encoding Project</w:t>
        </w:r>
      </w:hyperlink>
    </w:p>
    <w:p>
      <w:pPr>
        <w:numPr>
          <w:ilvl w:val="0"/>
          <w:numId w:val="1011"/>
        </w:numPr>
        <w:pStyle w:val="Compact"/>
      </w:pPr>
      <w:hyperlink r:id="rId154">
        <w:r>
          <w:rPr>
            <w:rStyle w:val="Hyperlink"/>
          </w:rPr>
          <w:t xml:space="preserve">OWASP Mass Assignment Prevention Cheat Sheet</w:t>
        </w:r>
      </w:hyperlink>
    </w:p>
    <w:p>
      <w:pPr>
        <w:numPr>
          <w:ilvl w:val="0"/>
          <w:numId w:val="1011"/>
        </w:numPr>
        <w:pStyle w:val="Compact"/>
      </w:pPr>
      <w:hyperlink r:id="rId155">
        <w:r>
          <w:rPr>
            <w:rStyle w:val="Hyperlink"/>
          </w:rPr>
          <w:t xml:space="preserve">DOMPurify - Client-side HTML Sanitization Library</w:t>
        </w:r>
      </w:hyperlink>
    </w:p>
    <w:p>
      <w:pPr>
        <w:numPr>
          <w:ilvl w:val="0"/>
          <w:numId w:val="1011"/>
        </w:numPr>
        <w:pStyle w:val="Compact"/>
      </w:pPr>
      <w:hyperlink r:id="rId156">
        <w:r>
          <w:rPr>
            <w:rStyle w:val="Hyperlink"/>
          </w:rPr>
          <w:t xml:space="preserve">XML External Entity (XXE) Prevention Cheat Sheet</w:t>
        </w:r>
      </w:hyperlink>
    </w:p>
    <w:p>
      <w:pPr>
        <w:pStyle w:val="FirstParagraph"/>
      </w:pPr>
      <w:r>
        <w:t xml:space="preserve">Weitere Informationen zum Auto-Escaping finden Sie unter:</w:t>
      </w:r>
    </w:p>
    <w:p>
      <w:pPr>
        <w:numPr>
          <w:ilvl w:val="0"/>
          <w:numId w:val="1012"/>
        </w:numPr>
        <w:pStyle w:val="Compact"/>
      </w:pPr>
      <w:hyperlink r:id="rId157">
        <w:r>
          <w:rPr>
            <w:rStyle w:val="Hyperlink"/>
          </w:rPr>
          <w:t xml:space="preserve">Reducing XSS by way of Automatic Context-Aware Escaping in Template Systems</w:t>
        </w:r>
      </w:hyperlink>
    </w:p>
    <w:p>
      <w:pPr>
        <w:numPr>
          <w:ilvl w:val="0"/>
          <w:numId w:val="1012"/>
        </w:numPr>
        <w:pStyle w:val="Compact"/>
      </w:pPr>
      <w:hyperlink r:id="rId158">
        <w:r>
          <w:rPr>
            <w:rStyle w:val="Hyperlink"/>
          </w:rPr>
          <w:t xml:space="preserve">AngularJS Strict Contextual Escaping</w:t>
        </w:r>
      </w:hyperlink>
    </w:p>
    <w:p>
      <w:pPr>
        <w:numPr>
          <w:ilvl w:val="0"/>
          <w:numId w:val="1012"/>
        </w:numPr>
        <w:pStyle w:val="Compact"/>
      </w:pPr>
      <w:hyperlink r:id="rId159">
        <w:r>
          <w:rPr>
            <w:rStyle w:val="Hyperlink"/>
          </w:rPr>
          <w:t xml:space="preserve">AngularJS ngBind</w:t>
        </w:r>
      </w:hyperlink>
    </w:p>
    <w:p>
      <w:pPr>
        <w:numPr>
          <w:ilvl w:val="0"/>
          <w:numId w:val="1012"/>
        </w:numPr>
        <w:pStyle w:val="Compact"/>
      </w:pPr>
      <w:hyperlink r:id="rId160">
        <w:r>
          <w:rPr>
            <w:rStyle w:val="Hyperlink"/>
          </w:rPr>
          <w:t xml:space="preserve">Angular Sanitization</w:t>
        </w:r>
      </w:hyperlink>
    </w:p>
    <w:p>
      <w:pPr>
        <w:numPr>
          <w:ilvl w:val="0"/>
          <w:numId w:val="1012"/>
        </w:numPr>
        <w:pStyle w:val="Compact"/>
      </w:pPr>
      <w:hyperlink r:id="rId161">
        <w:r>
          <w:rPr>
            <w:rStyle w:val="Hyperlink"/>
          </w:rPr>
          <w:t xml:space="preserve">Angular Security</w:t>
        </w:r>
      </w:hyperlink>
    </w:p>
    <w:p>
      <w:pPr>
        <w:numPr>
          <w:ilvl w:val="0"/>
          <w:numId w:val="1012"/>
        </w:numPr>
        <w:pStyle w:val="Compact"/>
      </w:pPr>
      <w:hyperlink r:id="rId162">
        <w:r>
          <w:rPr>
            <w:rStyle w:val="Hyperlink"/>
          </w:rPr>
          <w:t xml:space="preserve">ReactJS Escaping</w:t>
        </w:r>
      </w:hyperlink>
    </w:p>
    <w:p>
      <w:pPr>
        <w:numPr>
          <w:ilvl w:val="0"/>
          <w:numId w:val="1012"/>
        </w:numPr>
        <w:pStyle w:val="Compact"/>
      </w:pPr>
      <w:hyperlink r:id="rId163">
        <w:r>
          <w:rPr>
            <w:rStyle w:val="Hyperlink"/>
          </w:rPr>
          <w:t xml:space="preserve">Improperly Controlled Modification of Dynamically-Determined Object Attributes</w:t>
        </w:r>
      </w:hyperlink>
    </w:p>
    <w:p>
      <w:pPr>
        <w:pStyle w:val="FirstParagraph"/>
      </w:pPr>
      <w:r>
        <w:t xml:space="preserve">Weitere Informationen zur Deserialisierung finden Sie unter:</w:t>
      </w:r>
    </w:p>
    <w:p>
      <w:pPr>
        <w:numPr>
          <w:ilvl w:val="0"/>
          <w:numId w:val="1013"/>
        </w:numPr>
        <w:pStyle w:val="Compact"/>
      </w:pPr>
      <w:hyperlink r:id="rId164">
        <w:r>
          <w:rPr>
            <w:rStyle w:val="Hyperlink"/>
          </w:rPr>
          <w:t xml:space="preserve">OWASP Deserialization Cheat Sheet</w:t>
        </w:r>
      </w:hyperlink>
    </w:p>
    <w:p>
      <w:pPr>
        <w:numPr>
          <w:ilvl w:val="0"/>
          <w:numId w:val="1013"/>
        </w:numPr>
        <w:pStyle w:val="Compact"/>
      </w:pPr>
      <w:hyperlink r:id="rId165">
        <w:r>
          <w:rPr>
            <w:rStyle w:val="Hyperlink"/>
          </w:rPr>
          <w:t xml:space="preserve">OWASP Deserialization of Untrusted Data Guide</w:t>
        </w:r>
      </w:hyperlink>
    </w:p>
    <w:bookmarkEnd w:id="166"/>
    <w:bookmarkEnd w:id="167"/>
    <w:bookmarkStart w:id="177" w:name="v6-kryptographische-komponenten"/>
    <w:p>
      <w:pPr>
        <w:pStyle w:val="Heading1"/>
      </w:pPr>
      <w:r>
        <w:t xml:space="preserve">V6 kryptographische Komponenten</w:t>
      </w:r>
    </w:p>
    <w:bookmarkStart w:id="168" w:name="ziel-5"/>
    <w:p>
      <w:pPr>
        <w:pStyle w:val="Heading2"/>
      </w:pPr>
      <w:r>
        <w:t xml:space="preserve">Ziel</w:t>
      </w:r>
    </w:p>
    <w:p>
      <w:pPr>
        <w:pStyle w:val="FirstParagraph"/>
      </w:pPr>
      <w:r>
        <w:t xml:space="preserve">Prüfen Sie, dass eine verifizierte Anwendung die folgenden High Level Anforderungen erfüllt:</w:t>
      </w:r>
    </w:p>
    <w:p>
      <w:pPr>
        <w:numPr>
          <w:ilvl w:val="0"/>
          <w:numId w:val="1014"/>
        </w:numPr>
        <w:pStyle w:val="Compact"/>
      </w:pPr>
      <w:r>
        <w:t xml:space="preserve">Alle kryptographischen Module fallen in einen sicheren Fehlerzustand und behandeln Fehler korrekt.</w:t>
      </w:r>
    </w:p>
    <w:p>
      <w:pPr>
        <w:numPr>
          <w:ilvl w:val="0"/>
          <w:numId w:val="1014"/>
        </w:numPr>
        <w:pStyle w:val="Compact"/>
      </w:pPr>
      <w:r>
        <w:t xml:space="preserve">Es wird ein geeigneter Zufallszahlengenerator verwendet.</w:t>
      </w:r>
    </w:p>
    <w:p>
      <w:pPr>
        <w:numPr>
          <w:ilvl w:val="0"/>
          <w:numId w:val="1014"/>
        </w:numPr>
        <w:pStyle w:val="Compact"/>
      </w:pPr>
      <w:r>
        <w:t xml:space="preserve">Der Zugriff auf Schlüssel wird sicher verwaltet.</w:t>
      </w:r>
    </w:p>
    <w:bookmarkEnd w:id="168"/>
    <w:bookmarkStart w:id="169" w:name="v61-datenklassifizierung"/>
    <w:p>
      <w:pPr>
        <w:pStyle w:val="Heading2"/>
      </w:pPr>
      <w:r>
        <w:t xml:space="preserve">V6.1 Datenklassifizierung</w:t>
      </w:r>
    </w:p>
    <w:p>
      <w:pPr>
        <w:pStyle w:val="FirstParagraph"/>
      </w:pPr>
      <w:r>
        <w:t xml:space="preserve">Das wichtigste Gut sind die Daten, die von einer Anwendung verarbeitet, gespeichert oder übertragen werden. Führen Sie immer eine Datenschutzfolgenabschätzung durch, um die Datenschutzbedürfnisse der gespeicherten Daten korrekt einzuschätzen.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Prüfen Sie, dass sensible personenbezogene Daten, oder Daten, die unter andere gesetzliche Regelungen zur Vertraulichkeit fallen,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Prüfen Sie, dass Gesundheitsdaten, wie z. B. medizinische Aufzeichnungen, Details zu medizinischen Geräten oder deanonymisierte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Prüfen Sie, dass Finanzdaten, wie z.B. Konten, Zahlungsausfälle oder Kredithistorie, Steuerunterlagen, Lohnhistorie, Begünstigte oder deanonymisierte Markt- oder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69"/>
    <w:bookmarkStart w:id="170" w:name="v62-algorithmen"/>
    <w:p>
      <w:pPr>
        <w:pStyle w:val="Heading2"/>
      </w:pPr>
      <w:r>
        <w:t xml:space="preserve">V6.2 Algorithmen</w:t>
      </w:r>
    </w:p>
    <w:p>
      <w:pPr>
        <w:pStyle w:val="FirstParagraph"/>
      </w:pPr>
      <w:r>
        <w:t xml:space="preserve">Fortschritte in der Kryptographie führen dazu, dass bisher sichere Algorithmen und Schlüssellängen nicht länger sicher genug sind, um Daten zu schützen. Daher muss es möglich sein, die Algorithmen zu ändern.</w:t>
      </w:r>
    </w:p>
    <w:p>
      <w:pPr>
        <w:pStyle w:val="BodyText"/>
      </w:pPr>
      <w:r>
        <w:t xml:space="preserve">Obwohl dieser Abschnitt nicht leicht mittels Pentests geprüft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Prüfen Sie, dass alle kryptografischen Module in einen sicheren Fehlerzustand fallen und Fehler so behandelt werden, dass keine Padding-Orakel-Angriffe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Prüfen Sie, dass allgemein anerkannte oder von der Regierung freigegebene kryptografische Algorithmen, Modi und Bibliotheken anstelle von Eigenentwicklungen verwendet werden.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Prüfen Sie, dass der Initialisierungsvektoren, die Chiffrierkonfiguration und die Blockmodi gemäß den neuesten Empfehlungen sicher konfiguriert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Prüfen Sie, dass Zufallszahlengeneratoren, Verschlüsselungs- oder Hashalgorithmen, Schlüssellängen, Runden, Chiffren oder Modi jederzeit rekonfiguriert, aktualisiert oder ausgetauscht werden können.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Prüfen Sie, dass Nonces, Initialisierungsvektoren u. ä. nicht mehr als einmal mit einem bestimmten Verschlüsselungsschlüssel verwendet werden dürfen. Die Methode der Generierung muss für den verwendeten Algorithmus geeignet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Prüfen Sie, dass verschlüsselte Daten mittels Signaturen, authentifizierte Chiffriermodi oder HMAC authentifiziert werden, um sicherzustellen, dass der Chiffriertext nicht von Unbefugten verändert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Prüfen Sie, dass alle kryptografischen Operationen zeitkonstant sind und keine „Kurzschluss“-Operationen bei Vergleichen, Berechnungen oder Rückgaben stattfinden, um Informationslecks zu vermeiden.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0"/>
    <w:bookmarkStart w:id="171" w:name="v63-zufallswerte"/>
    <w:p>
      <w:pPr>
        <w:pStyle w:val="Heading2"/>
      </w:pPr>
      <w:r>
        <w:t xml:space="preserve">V6.3 Zufallswerte</w:t>
      </w:r>
    </w:p>
    <w:p>
      <w:pPr>
        <w:pStyle w:val="FirstParagraph"/>
      </w:pPr>
      <w:r>
        <w:t xml:space="preserve">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Prüfen Sie, dass zufällige GUIDs mit dem GUID v4-Algorithmus und einem kryptografisch sicheren Zufallszahlengenerator erstellt werden. GUIDs, die mit anderen Zufallszahlengeneratoren erstellt wurden, können vorhersehbar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Prüfen Sie, dass die Zufallszahlen mit der richtigen Entropie erzeugt werden, auch wenn die Anwendung unter starker Belastung steht, oder dass die Anwendung unter solchen Umständen angemessen reagiert.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1"/>
    <w:bookmarkStart w:id="172" w:name="Xe346442b0753e1453ea7e768c2dd9523eadbb64"/>
    <w:p>
      <w:pPr>
        <w:pStyle w:val="Heading2"/>
      </w:pPr>
      <w:r>
        <w:t xml:space="preserve">V6.4 Management von Schlüsseln und Geheimnissen</w:t>
      </w:r>
    </w:p>
    <w:p>
      <w:pPr>
        <w:pStyle w:val="FirstParagraph"/>
      </w:pPr>
      <w:r>
        <w:t xml:space="preserve">Obwohl dieser Abschnitt nicht leicht mittels Pentests getestet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Prüfen Sie, dass eine Lösung für das Schlüsselmanagement, wie z.B. ein Schlüsseltresor, verwendet wird, um Geheimnisse sicher zu erstellen, zu speichern, die Nutzung zu kontrollieren und sie zu zerstören.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Prüfen Sie, dass das Schlüsselmaterial nicht in der Anwendung genutzt wird sondern ein Sicherheitsmodul kryptographische Operationen ausführt.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2"/>
    <w:bookmarkStart w:id="176" w:name="referenzen-5"/>
    <w:p>
      <w:pPr>
        <w:pStyle w:val="Heading2"/>
      </w:pPr>
      <w:r>
        <w:t xml:space="preserve">Referenzen</w:t>
      </w:r>
    </w:p>
    <w:p>
      <w:pPr>
        <w:pStyle w:val="FirstParagraph"/>
      </w:pPr>
      <w:r>
        <w:t xml:space="preserve">Weitere Informationen finden Sie unter:</w:t>
      </w:r>
    </w:p>
    <w:p>
      <w:pPr>
        <w:numPr>
          <w:ilvl w:val="0"/>
          <w:numId w:val="1015"/>
        </w:numPr>
        <w:pStyle w:val="Compact"/>
      </w:pPr>
      <w:hyperlink r:id="rId173">
        <w:r>
          <w:rPr>
            <w:rStyle w:val="Hyperlink"/>
          </w:rPr>
          <w:t xml:space="preserve">OWASP Testing Guide 4.0: Testing for weak Cryptography</w:t>
        </w:r>
      </w:hyperlink>
    </w:p>
    <w:p>
      <w:pPr>
        <w:numPr>
          <w:ilvl w:val="0"/>
          <w:numId w:val="1015"/>
        </w:numPr>
        <w:pStyle w:val="Compact"/>
      </w:pPr>
      <w:hyperlink r:id="rId174">
        <w:r>
          <w:rPr>
            <w:rStyle w:val="Hyperlink"/>
          </w:rPr>
          <w:t xml:space="preserve">OWASP Cheat Sheet: Cryptographic Storage</w:t>
        </w:r>
      </w:hyperlink>
    </w:p>
    <w:p>
      <w:pPr>
        <w:numPr>
          <w:ilvl w:val="0"/>
          <w:numId w:val="1015"/>
        </w:numPr>
        <w:pStyle w:val="Compact"/>
      </w:pPr>
      <w:hyperlink r:id="rId175">
        <w:r>
          <w:rPr>
            <w:rStyle w:val="Hyperlink"/>
          </w:rPr>
          <w:t xml:space="preserve">FIPS 140-2</w:t>
        </w:r>
      </w:hyperlink>
    </w:p>
    <w:bookmarkEnd w:id="176"/>
    <w:bookmarkEnd w:id="177"/>
    <w:bookmarkStart w:id="186" w:name="v7-fehlerbehandlung-und-protokollierung"/>
    <w:p>
      <w:pPr>
        <w:pStyle w:val="Heading1"/>
      </w:pPr>
      <w:r>
        <w:t xml:space="preserve">V7 Fehlerbehandlung und Protokollierung</w:t>
      </w:r>
    </w:p>
    <w:bookmarkStart w:id="178" w:name="ziel-6"/>
    <w:p>
      <w:pPr>
        <w:pStyle w:val="Heading2"/>
      </w:pPr>
      <w:r>
        <w:t xml:space="preserve">Ziel</w:t>
      </w:r>
    </w:p>
    <w:p>
      <w:pPr>
        <w:pStyle w:val="FirstParagraph"/>
      </w:pPr>
      <w:r>
        <w:t xml:space="preserve">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w:t>
      </w:r>
    </w:p>
    <w:p>
      <w:pPr>
        <w:pStyle w:val="BodyText"/>
      </w:pPr>
      <w:r>
        <w:t xml:space="preserve">Hochwertige Protokolle enthalten oft sensible Daten und müssen gemäß den lokalen Datenschutzgesetzen oder -richtlinien geschützt werden. Dies sollte beinhalten:</w:t>
      </w:r>
    </w:p>
    <w:p>
      <w:pPr>
        <w:numPr>
          <w:ilvl w:val="0"/>
          <w:numId w:val="1016"/>
        </w:numPr>
        <w:pStyle w:val="Compact"/>
      </w:pPr>
      <w:r>
        <w:t xml:space="preserve">Keine sensiblen Informationen zu protokollieren, es sei denn, dies ist ausdrücklich erforderlich.</w:t>
      </w:r>
    </w:p>
    <w:p>
      <w:pPr>
        <w:numPr>
          <w:ilvl w:val="0"/>
          <w:numId w:val="1016"/>
        </w:numPr>
        <w:pStyle w:val="Compact"/>
      </w:pPr>
      <w:r>
        <w:t xml:space="preserve">Sicherzustellen, dass alle protokollierten Informationen sicher gehandhabt und gemäß ihrer Datenklassifizierung geschützt werden.</w:t>
      </w:r>
    </w:p>
    <w:p>
      <w:pPr>
        <w:numPr>
          <w:ilvl w:val="0"/>
          <w:numId w:val="1016"/>
        </w:numPr>
        <w:pStyle w:val="Compact"/>
      </w:pPr>
      <w:r>
        <w:t xml:space="preserve">Sicherzustellen, dass die Protokolle nicht für immer gespeichert werden, sondern eine möglichst kurze Lebensdauer haben.</w:t>
      </w:r>
    </w:p>
    <w:p>
      <w:pPr>
        <w:pStyle w:val="FirstParagraph"/>
      </w:pPr>
      <w:r>
        <w:t xml:space="preserve">Wenn Protokolle personenbezogene oder sensible Daten enthalten, werden sie für Angreifer sehr attraktiv.</w:t>
      </w:r>
    </w:p>
    <w:p>
      <w:pPr>
        <w:pStyle w:val="BodyText"/>
      </w:pPr>
      <w:r>
        <w:t xml:space="preserve">Es ist ferner wichtig zu gewährleisten, dass die Anwendung in sichere Fehlerzustände fällt und dass Fehler keine unnötigen Informationen offenbaren.</w:t>
      </w:r>
    </w:p>
    <w:bookmarkEnd w:id="178"/>
    <w:bookmarkStart w:id="179" w:name="v71-protokollinhalt"/>
    <w:p>
      <w:pPr>
        <w:pStyle w:val="Heading2"/>
      </w:pPr>
      <w:r>
        <w:t xml:space="preserve">V7.1 Protokollinhalt</w:t>
      </w:r>
    </w:p>
    <w:p>
      <w:pPr>
        <w:pStyle w:val="FirstParagraph"/>
      </w:pPr>
      <w:r>
        <w:t xml:space="preserve">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w:t>
      </w:r>
    </w:p>
    <w:p>
      <w:pPr>
        <w:pStyle w:val="BodyText"/>
      </w:pPr>
      <w:r>
        <w:t xml:space="preserve">Dieser Abschnitt deckt OWASP Top 10 2017:A10 ab. Weil er nicht durch Penetrationstests verifizierbar ist, sollen:</w:t>
      </w:r>
    </w:p>
    <w:p>
      <w:pPr>
        <w:numPr>
          <w:ilvl w:val="0"/>
          <w:numId w:val="1017"/>
        </w:numPr>
        <w:pStyle w:val="Compact"/>
      </w:pPr>
      <w:r>
        <w:t xml:space="preserve">Entwickler die vollständige Einhaltung dieses Abschnitts sicherstellen, als ob alle Punkte mit L1 gekennzeichnet wären.</w:t>
      </w:r>
    </w:p>
    <w:p>
      <w:pPr>
        <w:numPr>
          <w:ilvl w:val="0"/>
          <w:numId w:val="1017"/>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Prüfen Sie, dass die Anwendung keine Anmeldeinformationen oder Zahlungsdetails protokolliert. Sessiontoken sollten nur in einer irreversiblen, gehashten Form in Protokollen gespeichert werden.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Prüfen Sie, dass die Anwendung keine sonstigen sensiblen Daten protokolliert, die z. B. gemäß Datenschutzgesetzen oder den einschlägigen Sicherheitsrichtlinien als solche definiert werden.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Prüfen Sie, dass die Anwendung sicherheitsrelevante Ereignisse, einschließlich erfolgreicher und fehlgeschlagener Authentifizierungsereignisse, Fehler bei der Zugriffskontrolle, Deserialisierungsfehler und Fehler bei der Eingabeprüfung protokolliert.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Prüfen Sie, dass jedes Protokollereignis die notwendigen Informationen enthält, um bei einem Vorfall eine detaillierte Untersuchung der Timeline zu ermöglichen.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79"/>
    <w:bookmarkStart w:id="180" w:name="v72-protokollbearbeitung"/>
    <w:p>
      <w:pPr>
        <w:pStyle w:val="Heading2"/>
      </w:pPr>
      <w:r>
        <w:t xml:space="preserve">V7.2 Protokollbearbeitung</w:t>
      </w:r>
    </w:p>
    <w:p>
      <w:pPr>
        <w:pStyle w:val="FirstParagraph"/>
      </w:pPr>
      <w:r>
        <w:t xml:space="preserve">Die rechtzeitige Protokollierung ist entscheidend für Auditereignisse, Triage und Eskalation. Prüfen Sie, dass die Anwendungsprotokolle klar sind und entweder lokal oder per Versand an ein Fernüberwachungssystem leicht überwacht und analysiert werden können.</w:t>
      </w:r>
    </w:p>
    <w:p>
      <w:pPr>
        <w:pStyle w:val="BodyText"/>
      </w:pPr>
      <w:r>
        <w:t xml:space="preserve">Dieser Abschnitt deckt OWASP Top 10 2017:A10 ab. Weil er nicht durch Penetrationstests verifizierbar ist, sollen:</w:t>
      </w:r>
    </w:p>
    <w:p>
      <w:pPr>
        <w:numPr>
          <w:ilvl w:val="0"/>
          <w:numId w:val="1018"/>
        </w:numPr>
        <w:pStyle w:val="Compact"/>
      </w:pPr>
      <w:r>
        <w:t xml:space="preserve">Entwickler die vollständige Einhaltung dieses Abschnitts sicherstellen, als ob alle Punkte mit L1 gekennzeichnet wären.</w:t>
      </w:r>
    </w:p>
    <w:p>
      <w:pPr>
        <w:numPr>
          <w:ilvl w:val="0"/>
          <w:numId w:val="1018"/>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Prüfen Sie, dass alle Authentifizierungsentscheidungen protokolliert werden, ohne dass sensible Sitzungstoken oder Passwörter gespeichert werden. Dies sollte auch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Prüfen Sie, dass alle Authentifizierungen protokolliert werden können, und dass alle fehlgeschlagenen Versuche protokolliert werden. Dies sollte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0"/>
    <w:bookmarkStart w:id="181" w:name="v73-schutz-von-protokollen"/>
    <w:p>
      <w:pPr>
        <w:pStyle w:val="Heading2"/>
      </w:pPr>
      <w:r>
        <w:t xml:space="preserve">V7.3 Schutz von Protokollen</w:t>
      </w:r>
    </w:p>
    <w:p>
      <w:pPr>
        <w:pStyle w:val="FirstParagraph"/>
      </w:pPr>
      <w:r>
        <w:t xml:space="preserve">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Prüfen Sie, dass alle Komponenten Daten angemessen codieren, um Log-Injektions-Angriffe zu verhindern.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[GELÖSCHT, DUPLIKAT VON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Prüfen Sie, dass die Protokolle vor unbefugtem Zugriff und Änderungen geschützt werden.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Prüfen Sie, dass die Zeitquellen mit der richtigen Zeit und Zeitzone synchronisiert sind. Erwägen Sie ernsthaft die Protokollierung ausschließlich in UTC, wenn die Systeme global sind, damit die forensische Analyse nach dem Vorfall unterstützt wird.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Hinweis: Das korrekte Codieren von Logeinträgen (7.3.1) ist mit automatisierten Tools und Penetrationstests schwer zu testen, aber Architekten, Entwickler und Quellcodeprüfer sollten sie dennoch als L1-Anforderung betrachten.</w:t>
      </w:r>
    </w:p>
    <w:bookmarkEnd w:id="181"/>
    <w:bookmarkStart w:id="182" w:name="v74-fehlerbehandlung"/>
    <w:p>
      <w:pPr>
        <w:pStyle w:val="Heading2"/>
      </w:pPr>
      <w:r>
        <w:t xml:space="preserve">V7.4 Fehlerbehandlung</w:t>
      </w:r>
    </w:p>
    <w:p>
      <w:pPr>
        <w:pStyle w:val="FirstParagraph"/>
      </w:pPr>
      <w:r>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Prüfen Sie, dass bei Auftreten eines unerwarteten oder sicherheitsrelevanten Fehlers eine generische Meldung angezeigt wird. Ggf. kann die Meldung eine ID enthalten, die dem Supportpersonal die Untersuchung erleichtert.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Prüfen Sie, dass die Ausnahmebehandlung in der gesamten Codebasis verwendet wird, um erwartete und unerwartete Fehlerbedingungen zu berücksichtigen.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Prüfen Sie, dass ein Fehlerbehandlungsdienst der letzten Instanz definiert ist, der alle nicht behandelten Ausnahmen abfängt.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bookmarkEnd w:id="182"/>
    <w:bookmarkStart w:id="185" w:name="referenzen-6"/>
    <w:p>
      <w:pPr>
        <w:pStyle w:val="Heading2"/>
      </w:pPr>
      <w:r>
        <w:t xml:space="preserve">Referenzen</w:t>
      </w:r>
    </w:p>
    <w:p>
      <w:pPr>
        <w:pStyle w:val="FirstParagraph"/>
      </w:pPr>
      <w:r>
        <w:t xml:space="preserve">Weitere Informationen finden Sie unter:</w:t>
      </w:r>
    </w:p>
    <w:p>
      <w:pPr>
        <w:numPr>
          <w:ilvl w:val="0"/>
          <w:numId w:val="1019"/>
        </w:numPr>
        <w:pStyle w:val="Compact"/>
      </w:pPr>
      <w:hyperlink r:id="rId183">
        <w:r>
          <w:rPr>
            <w:rStyle w:val="Hyperlink"/>
          </w:rPr>
          <w:t xml:space="preserve">OWASP Testing Guide 4.0 content: Testing for Error Handling</w:t>
        </w:r>
      </w:hyperlink>
    </w:p>
    <w:p>
      <w:pPr>
        <w:numPr>
          <w:ilvl w:val="0"/>
          <w:numId w:val="1019"/>
        </w:numPr>
        <w:pStyle w:val="Compact"/>
      </w:pPr>
      <w:hyperlink r:id="rId184">
        <w:r>
          <w:rPr>
            <w:rStyle w:val="Hyperlink"/>
          </w:rPr>
          <w:t xml:space="preserve">OWASP Authentication Cheat Sheet section about error messages</w:t>
        </w:r>
      </w:hyperlink>
    </w:p>
    <w:bookmarkEnd w:id="185"/>
    <w:bookmarkEnd w:id="186"/>
    <w:bookmarkStart w:id="198" w:name="v8-schutz-von-informationen"/>
    <w:p>
      <w:pPr>
        <w:pStyle w:val="Heading1"/>
      </w:pPr>
      <w:r>
        <w:t xml:space="preserve">V8 Schutz von Informationen</w:t>
      </w:r>
    </w:p>
    <w:bookmarkStart w:id="187" w:name="ziel-7"/>
    <w:p>
      <w:pPr>
        <w:pStyle w:val="Heading2"/>
      </w:pPr>
      <w:r>
        <w:t xml:space="preserve">Ziel</w:t>
      </w:r>
    </w:p>
    <w:p>
      <w:pPr>
        <w:pStyle w:val="FirstParagraph"/>
      </w:pPr>
      <w:r>
        <w:t xml:space="preserve">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pPr>
        <w:pStyle w:val="BodyText"/>
      </w:pPr>
      <w:r>
        <w:t xml:space="preserve">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pPr>
        <w:pStyle w:val="BodyText"/>
      </w:pPr>
      <w:r>
        <w:t xml:space="preserve">Prüfen Sie, dass eine verifizierte Anwendung die folgenden High Level Anforderungen erfüllt:</w:t>
      </w:r>
    </w:p>
    <w:p>
      <w:pPr>
        <w:numPr>
          <w:ilvl w:val="0"/>
          <w:numId w:val="1020"/>
        </w:numPr>
        <w:pStyle w:val="Compact"/>
      </w:pPr>
      <w:r>
        <w:t xml:space="preserve">Vertraulichkeit: Daten sollten sowohl während der Übertragung als auch bei der Speicherung vor unbefugter Beobachtung oder Offenlegung geschützt werden.</w:t>
      </w:r>
    </w:p>
    <w:p>
      <w:pPr>
        <w:numPr>
          <w:ilvl w:val="0"/>
          <w:numId w:val="1020"/>
        </w:numPr>
        <w:pStyle w:val="Compact"/>
      </w:pPr>
      <w:r>
        <w:t xml:space="preserve">Integrität: Daten sollten vor böswilliger Erstellung, Änderung oder Löschung durch unbefugte Angreifer geschützt werden.</w:t>
      </w:r>
    </w:p>
    <w:p>
      <w:pPr>
        <w:numPr>
          <w:ilvl w:val="0"/>
          <w:numId w:val="1020"/>
        </w:numPr>
        <w:pStyle w:val="Compact"/>
      </w:pPr>
      <w:r>
        <w:t xml:space="preserve">Verfügbarkeit: Die Daten sollten für autorisierte Benutzer nach Bedarf verfügbar sein.</w:t>
      </w:r>
    </w:p>
    <w:bookmarkEnd w:id="187"/>
    <w:bookmarkStart w:id="188" w:name="v81-allgemeines"/>
    <w:p>
      <w:pPr>
        <w:pStyle w:val="Heading2"/>
      </w:pPr>
      <w:r>
        <w:t xml:space="preserve">V8.1 Allgemeines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Prüfen Sie, dass die Anwendung sensible Daten davor schützt, in Serverkomponenten wie Loadbalancern, Proxies u.ä. zwischengespeichert zu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Prüfen Sie, dass alle serverseitigen temporären Kopien sensibler Daten vor unbefugtem Zugriff geschützt oder nach dem Zugriff des autorisierten Benutzers auf die sensiblen Daten bereinigt/invalidiert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Prüfen Sie, dass die Anwendung die Anzahl der Parameter in einer Anfrage, wie z.B. versteckte Felder, Ajax-Variablen, Cookies und Header-Werte minimiert.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Prüfen Sie, dass die Anwendung eine abnormale Anzahl von Anfragen, z.B. nach IP, Benutzer, Gesamtzahl pro Stunde oder Tag o. ä., erkennt und Alarm auslöst.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Prüfen Sie, dass wichtige Daten regelmäßig gesichert werden und dass die Wiederherstellung regelmäßig geübt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Prüfen Sie, dass die Backups sicher aufbewahrt werden, um zu verhindern, dass Daten gestohlen oder verfälscht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88"/>
    <w:bookmarkStart w:id="189" w:name="v82-clientseitiger-schutz"/>
    <w:p>
      <w:pPr>
        <w:pStyle w:val="Heading2"/>
      </w:pPr>
      <w:r>
        <w:t xml:space="preserve">V8.2 Clientseitiger 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Prüfen Sie, dass die Anwendung Anti-Caching Header sendet, damit sensible Daten in modernen Browsern nicht zwischengespeichert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Prüfen Sie, dass die im clientseitigen Speicher (z. B. lokaler HTML5-Speicher, Sitzungsspeicher, IndexedDB oder Cookies) gespeicherten Daten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Prüfen Sie, dass authentifizierte Daten aus dem clientseitigem Speicher, z. B. dem Browser-DOM, gelöscht werden, nachdem der Client geschlossen oder die Sitzung beendet wurde.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89"/>
    <w:bookmarkStart w:id="190" w:name="v83-personenbezogene-daten"/>
    <w:p>
      <w:pPr>
        <w:pStyle w:val="Heading2"/>
      </w:pPr>
      <w:r>
        <w:t xml:space="preserve">V8.3 Personenbezogene Daten</w:t>
      </w:r>
    </w:p>
    <w:p>
      <w:pPr>
        <w:pStyle w:val="FirstParagraph"/>
      </w:pPr>
      <w:r>
        <w:t xml:space="preserve">Dieser Abschnitt trägt dazu bei, sensible Daten vor unbefugtem Erstellen, Lesen, Ändern oder Löschen zu schützen.</w:t>
      </w:r>
    </w:p>
    <w:p>
      <w:pPr>
        <w:pStyle w:val="BodyText"/>
      </w:pPr>
      <w:r>
        <w:t xml:space="preserve">Voraussetzung für die Umsetzung dieses Abschnittes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pPr>
        <w:pStyle w:val="BodyText"/>
      </w:pPr>
      <w:r>
        <w:t xml:space="preserve">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Prüfen Sie, dass sensible Daten im HTTP-Textkörper oder in Headern an den Server gesendet werden, und dass die Query-String-Parameter aller HTTP-Requests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Prüfen Sie, dass die Benutzer ihre Daten bei Bedarf entfernen oder exportieren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Prüfen Sie, dass alle von der Anwendung erstellten und verarbeiteten personenbezogenen Daten identifiziert wurden und dass eine Regelung für den Umgang mit diesen Daten vorhanden ist.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Prüfen Sie, dass bei Zugriff auf personenbezogene Daten geprüft wird - ohne die Daten selbst zu protokollieren - ob die Daten gemäß den einschlägigen Datenschutzrichtlinien erfasst werden oder ob eine Protokollierung des Zugriffs erforderlich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Prüfen Sie, dass die im Speicher enthaltenen Informationen überschrieben werden, sobald sie nicht mehr benötigt werden, um Memory-Dump-Angriffe abzuschwächen.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Prüfen Sie, dass zu verschlüsselnde Informationen mit anerkannten Algorithmen verschlüsselt werden, die sowohl Vertraulichkeit als auch Integrität gewährleisten.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Prüfen Sie, dass personenbezogene Daten in Bezug auf die Datenspeicherung klassifiziert werden, so dass alte oder veraltete Daten automatisch, nach einem Zeitplan oder je nach Situation gelöscht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bookmarkEnd w:id="190"/>
    <w:bookmarkStart w:id="197" w:name="referenzen-7"/>
    <w:p>
      <w:pPr>
        <w:pStyle w:val="Heading2"/>
      </w:pPr>
      <w:r>
        <w:t xml:space="preserve">Referenzen</w:t>
      </w:r>
    </w:p>
    <w:p>
      <w:pPr>
        <w:pStyle w:val="FirstParagraph"/>
      </w:pPr>
      <w:r>
        <w:t xml:space="preserve">Weitere Informationen finden Sie unter:</w:t>
      </w:r>
    </w:p>
    <w:p>
      <w:pPr>
        <w:numPr>
          <w:ilvl w:val="0"/>
          <w:numId w:val="1021"/>
        </w:numPr>
        <w:pStyle w:val="Compact"/>
      </w:pPr>
      <w:hyperlink r:id="rId191">
        <w:r>
          <w:rPr>
            <w:rStyle w:val="Hyperlink"/>
          </w:rPr>
          <w:t xml:space="preserve">Nutzen Sie die Website securityheaders.com, um Ihre Site zu testen.</w:t>
        </w:r>
      </w:hyperlink>
    </w:p>
    <w:p>
      <w:pPr>
        <w:numPr>
          <w:ilvl w:val="0"/>
          <w:numId w:val="1021"/>
        </w:numPr>
        <w:pStyle w:val="Compact"/>
      </w:pPr>
      <w:hyperlink r:id="rId192">
        <w:r>
          <w:rPr>
            <w:rStyle w:val="Hyperlink"/>
          </w:rPr>
          <w:t xml:space="preserve">OWASP Secure Headers project</w:t>
        </w:r>
      </w:hyperlink>
    </w:p>
    <w:p>
      <w:pPr>
        <w:numPr>
          <w:ilvl w:val="0"/>
          <w:numId w:val="1021"/>
        </w:numPr>
        <w:pStyle w:val="Compact"/>
      </w:pPr>
      <w:hyperlink r:id="rId193">
        <w:r>
          <w:rPr>
            <w:rStyle w:val="Hyperlink"/>
          </w:rPr>
          <w:t xml:space="preserve">OWASP Privacy Risks Project</w:t>
        </w:r>
      </w:hyperlink>
    </w:p>
    <w:p>
      <w:pPr>
        <w:numPr>
          <w:ilvl w:val="0"/>
          <w:numId w:val="1021"/>
        </w:numPr>
        <w:pStyle w:val="Compact"/>
      </w:pPr>
      <w:hyperlink r:id="rId194">
        <w:r>
          <w:rPr>
            <w:rStyle w:val="Hyperlink"/>
          </w:rPr>
          <w:t xml:space="preserve">OWASP User Privacy Protection Cheat Sheet</w:t>
        </w:r>
      </w:hyperlink>
    </w:p>
    <w:p>
      <w:pPr>
        <w:numPr>
          <w:ilvl w:val="0"/>
          <w:numId w:val="1021"/>
        </w:numPr>
        <w:pStyle w:val="Compact"/>
      </w:pPr>
      <w:hyperlink r:id="rId195">
        <w:r>
          <w:rPr>
            <w:rStyle w:val="Hyperlink"/>
          </w:rPr>
          <w:t xml:space="preserve">Übersicht über die Datenschutz-Grundverordnung der Europäischen Union (DSGVO/ GDPR)</w:t>
        </w:r>
      </w:hyperlink>
    </w:p>
    <w:p>
      <w:pPr>
        <w:numPr>
          <w:ilvl w:val="0"/>
          <w:numId w:val="1021"/>
        </w:numPr>
        <w:pStyle w:val="Compact"/>
      </w:pPr>
      <w:hyperlink r:id="rId196">
        <w:r>
          <w:rPr>
            <w:rStyle w:val="Hyperlink"/>
          </w:rPr>
          <w:t xml:space="preserve">European Union Data Protection Supervisor - Internet Privacy Engineering Network</w:t>
        </w:r>
      </w:hyperlink>
    </w:p>
    <w:bookmarkEnd w:id="197"/>
    <w:bookmarkEnd w:id="198"/>
    <w:bookmarkStart w:id="208" w:name="v9-kommunikation"/>
    <w:p>
      <w:pPr>
        <w:pStyle w:val="Heading1"/>
      </w:pPr>
      <w:r>
        <w:t xml:space="preserve">V9 Kommunikation</w:t>
      </w:r>
    </w:p>
    <w:bookmarkStart w:id="199" w:name="ziel-8"/>
    <w:p>
      <w:pPr>
        <w:pStyle w:val="Heading2"/>
      </w:pPr>
      <w:r>
        <w:t xml:space="preserve">Ziel</w:t>
      </w:r>
    </w:p>
    <w:p>
      <w:pPr>
        <w:pStyle w:val="FirstParagraph"/>
      </w:pPr>
      <w:r>
        <w:t xml:space="preserve">Eine verifizierte Anwendung erfüllt die folgenden High Level Anforderungen:</w:t>
      </w:r>
    </w:p>
    <w:p>
      <w:pPr>
        <w:numPr>
          <w:ilvl w:val="0"/>
          <w:numId w:val="1022"/>
        </w:numPr>
        <w:pStyle w:val="Compact"/>
      </w:pPr>
      <w:r>
        <w:t xml:space="preserve">Unabhängig von der Brisanz der Daten wird bei der Übertragung stets TLS oder eine starke Verschlüsselung verwendet.</w:t>
      </w:r>
    </w:p>
    <w:p>
      <w:pPr>
        <w:numPr>
          <w:ilvl w:val="0"/>
          <w:numId w:val="1022"/>
        </w:numPr>
        <w:pStyle w:val="Compact"/>
      </w:pPr>
      <w:r>
        <w:t xml:space="preserve">Es werden die aktuellsten Empfehlungen werden verwendet, ins Besondere:</w:t>
      </w:r>
    </w:p>
    <w:p>
      <w:pPr>
        <w:numPr>
          <w:ilvl w:val="1"/>
          <w:numId w:val="1023"/>
        </w:numPr>
        <w:pStyle w:val="Compact"/>
      </w:pPr>
      <w:r>
        <w:t xml:space="preserve">Konfigurationen der Algorithmen</w:t>
      </w:r>
    </w:p>
    <w:p>
      <w:pPr>
        <w:numPr>
          <w:ilvl w:val="1"/>
          <w:numId w:val="1023"/>
        </w:numPr>
        <w:pStyle w:val="Compact"/>
      </w:pPr>
      <w:r>
        <w:t xml:space="preserve">bevorzugt zu verwendende Algorithmen.</w:t>
      </w:r>
    </w:p>
    <w:p>
      <w:pPr>
        <w:numPr>
          <w:ilvl w:val="0"/>
          <w:numId w:val="1022"/>
        </w:numPr>
        <w:pStyle w:val="Compact"/>
      </w:pPr>
      <w:r>
        <w:t xml:space="preserve">schwache oder bald veraltende Algorithmen werden am besten gar nicht, höchstens aber mit geringster Priorität genutzt</w:t>
      </w:r>
    </w:p>
    <w:p>
      <w:pPr>
        <w:numPr>
          <w:ilvl w:val="0"/>
          <w:numId w:val="1022"/>
        </w:numPr>
        <w:pStyle w:val="Compact"/>
      </w:pPr>
      <w:r>
        <w:t xml:space="preserve">Veraltete oder unsichere Algorithmen werden deaktiviert.</w:t>
      </w:r>
    </w:p>
    <w:p>
      <w:pPr>
        <w:pStyle w:val="FirstParagraph"/>
      </w:pPr>
      <w:r>
        <w:t xml:space="preserve">Weiterhin sollten Sie stets:</w:t>
      </w:r>
    </w:p>
    <w:p>
      <w:pPr>
        <w:numPr>
          <w:ilvl w:val="0"/>
          <w:numId w:val="1024"/>
        </w:numPr>
        <w:pStyle w:val="Compact"/>
      </w:pPr>
      <w:r>
        <w:t xml:space="preserve">auf dem aktuellsten Stand bleiben, da sich die Empfehlungen zur sicheren TLS-Konfiguration häufig ändern. Dies kann auch auf Grund von katastrophalen Angriffen auf Algorithmen geschehen.</w:t>
      </w:r>
    </w:p>
    <w:p>
      <w:pPr>
        <w:numPr>
          <w:ilvl w:val="0"/>
          <w:numId w:val="1024"/>
        </w:numPr>
        <w:pStyle w:val="Compact"/>
      </w:pPr>
      <w:r>
        <w:t xml:space="preserve">die aktuellsten Versionen der TLS-Testtools zur Prüfung der Konfiguration nutzen.</w:t>
      </w:r>
    </w:p>
    <w:p>
      <w:pPr>
        <w:numPr>
          <w:ilvl w:val="0"/>
          <w:numId w:val="1024"/>
        </w:numPr>
        <w:pStyle w:val="Compact"/>
      </w:pPr>
      <w:r>
        <w:t xml:space="preserve">regelmäßig die Konfiguration testen, um sicherzustellen, dass die Sicherheit der Kommunikation jederzeit gewährleistet ist.</w:t>
      </w:r>
    </w:p>
    <w:bookmarkEnd w:id="199"/>
    <w:bookmarkStart w:id="200" w:name="v91-kommunikationssicherheit-des-clients"/>
    <w:p>
      <w:pPr>
        <w:pStyle w:val="Heading2"/>
      </w:pPr>
      <w:r>
        <w:t xml:space="preserve">V9.1 Kommunikationssicherheit des Clients</w:t>
      </w:r>
    </w:p>
    <w:p>
      <w:pPr>
        <w:pStyle w:val="FirstParagraph"/>
      </w:pPr>
      <w:r>
        <w:t xml:space="preserve">Stellen Sie sicher, dass alle Nahrichten des Clients mit TLS 1.2 oder neuer verschlüsselt werden.</w:t>
      </w:r>
      <w:r>
        <w:t xml:space="preserve"> </w:t>
      </w:r>
      <w:r>
        <w:t xml:space="preserve">Nutzen Sie regelmäßig die aktuellen Testwerkzeuge, um die Clientkonfiguration zu testen.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Prüfen Sie, dass der Client stets TLS-Verbindungen verwendet, das nicht auf unsichere oder unverschlüsselte Konfigurationen zurückfallen.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Prüfen Sie mit aktuellen TLS-Testtools, dass nur starke Algorithmen und Protokolle genutzt werden. Dabei sind die stärksten Algorithmen und neuesten Protokollversionen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Prüfen Sie, dass nur die aktuell empfohlenen Versionen der TLS-Protokolle, also TLS 1.2 und TLS 1.3, genutzt werden. Die neueste Version ist dabei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0"/>
    <w:bookmarkStart w:id="201" w:name="v92-sicherheit-der-serverkommunikation"/>
    <w:p>
      <w:pPr>
        <w:pStyle w:val="Heading2"/>
      </w:pPr>
      <w:r>
        <w:t xml:space="preserve">V9.2 Sicherheit der Serverkommunikation</w:t>
      </w:r>
    </w:p>
    <w:p>
      <w:pPr>
        <w:pStyle w:val="FirstParagraph"/>
      </w:pPr>
      <w:r>
        <w:t xml:space="preserve">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Prüfen Sie, dass alle verschlüsselten Verbindungen zu externen Systemen, die sensible Informationen oder Funktionen beinhalten, authentifiziert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Prüfen Sie, dass eine ordnungsgemäßer Zertifikatssperre wie z. B. das Online Certificate Status Protocol Stapling aktiviert und konfiguriert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Prüfen Sie, dass TLS-Verbindungsfehler in das Backend protokolliert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1"/>
    <w:bookmarkStart w:id="207" w:name="referenzen-8"/>
    <w:p>
      <w:pPr>
        <w:pStyle w:val="Heading2"/>
      </w:pPr>
      <w:r>
        <w:t xml:space="preserve">Referenzen</w:t>
      </w:r>
    </w:p>
    <w:p>
      <w:pPr>
        <w:pStyle w:val="FirstParagraph"/>
      </w:pPr>
      <w:r>
        <w:t xml:space="preserve">Weitere Informationen finden Sie unter:</w:t>
      </w:r>
    </w:p>
    <w:p>
      <w:pPr>
        <w:numPr>
          <w:ilvl w:val="0"/>
          <w:numId w:val="1025"/>
        </w:numPr>
        <w:pStyle w:val="Compact"/>
      </w:pPr>
      <w:hyperlink r:id="rId202">
        <w:r>
          <w:rPr>
            <w:rStyle w:val="Hyperlink"/>
          </w:rPr>
          <w:t xml:space="preserve">OWASP – TLS Cheat Sheet</w:t>
        </w:r>
      </w:hyperlink>
    </w:p>
    <w:p>
      <w:pPr>
        <w:numPr>
          <w:ilvl w:val="0"/>
          <w:numId w:val="1025"/>
        </w:numPr>
        <w:pStyle w:val="Compact"/>
      </w:pPr>
      <w:hyperlink r:id="rId203">
        <w:r>
          <w:rPr>
            <w:rStyle w:val="Hyperlink"/>
          </w:rPr>
          <w:t xml:space="preserve">OWASP - Pinning Guide</w:t>
        </w:r>
      </w:hyperlink>
    </w:p>
    <w:p>
      <w:pPr>
        <w:numPr>
          <w:ilvl w:val="0"/>
          <w:numId w:val="1025"/>
        </w:numPr>
        <w:pStyle w:val="Compact"/>
      </w:pPr>
      <w:r>
        <w:t xml:space="preserve">Hinweise zu „Anerkannten TLS-Modi”:</w:t>
      </w:r>
    </w:p>
    <w:p>
      <w:pPr>
        <w:numPr>
          <w:ilvl w:val="1"/>
          <w:numId w:val="1026"/>
        </w:numPr>
        <w:pStyle w:val="Compact"/>
      </w:pPr>
      <w:r>
        <w:t xml:space="preserve">In der Vergangenheit bezog sich der ASVS auf den US-Standard FIPS 140. Als globaler Standard kann die Anwendung von US-Standards allerdings schwierig, widersprüchlich oder verwirrend sein.</w:t>
      </w:r>
    </w:p>
    <w:p>
      <w:pPr>
        <w:numPr>
          <w:ilvl w:val="1"/>
          <w:numId w:val="1026"/>
        </w:numPr>
        <w:pStyle w:val="Compact"/>
      </w:pPr>
      <w:r>
        <w:t xml:space="preserve">Eine bessere Methode, um die Einhaltung des Abschnittes 9.1 zu erreichen, wäre die Überprüfung von Leitfäden wie</w:t>
      </w:r>
      <w:r>
        <w:t xml:space="preserve"> </w:t>
      </w:r>
      <w:hyperlink r:id="rId204">
        <w:r>
          <w:rPr>
            <w:rStyle w:val="Hyperlink"/>
          </w:rPr>
          <w:t xml:space="preserve">Mozillas serverseitigem TLS</w:t>
        </w:r>
      </w:hyperlink>
      <w:r>
        <w:t xml:space="preserve"> </w:t>
      </w:r>
      <w:r>
        <w:t xml:space="preserve">oder die</w:t>
      </w:r>
      <w:r>
        <w:t xml:space="preserve"> </w:t>
      </w:r>
      <w:hyperlink r:id="rId205">
        <w:r>
          <w:rPr>
            <w:rStyle w:val="Hyperlink"/>
          </w:rPr>
          <w:t xml:space="preserve">Erstellung anerkannt sicherer Konfigurationen</w:t>
        </w:r>
      </w:hyperlink>
      <w:r>
        <w:t xml:space="preserve"> </w:t>
      </w:r>
      <w:r>
        <w:t xml:space="preserve">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pPr>
        <w:numPr>
          <w:ilvl w:val="1"/>
          <w:numId w:val="1026"/>
        </w:numPr>
        <w:pStyle w:val="Compact"/>
      </w:pPr>
      <w:r>
        <w:t xml:space="preserve">Für Deutschland veröffentlicht das BSI die</w:t>
      </w:r>
      <w:r>
        <w:t xml:space="preserve"> </w:t>
      </w:r>
      <w:hyperlink r:id="rId206">
        <w:r>
          <w:rPr>
            <w:rStyle w:val="Hyperlink"/>
          </w:rPr>
          <w:t xml:space="preserve">Technische Richtlinie TR-02102 Kryptographische Verfahren: Empfehlungen und Schlüssellängen</w:t>
        </w:r>
      </w:hyperlink>
      <w:r>
        <w:t xml:space="preserve"> </w:t>
      </w:r>
      <w:r>
        <w:t xml:space="preserve">als Richtlinie für die Verwendung von TLS sowie zur Nutzung sicherer Algorithmen und Schlüssellängen.</w:t>
      </w:r>
    </w:p>
    <w:bookmarkEnd w:id="207"/>
    <w:bookmarkEnd w:id="208"/>
    <w:bookmarkStart w:id="216" w:name="v10-bösartiger-code"/>
    <w:p>
      <w:pPr>
        <w:pStyle w:val="Heading1"/>
      </w:pPr>
      <w:r>
        <w:t xml:space="preserve">V10 Bösartiger Code</w:t>
      </w:r>
    </w:p>
    <w:bookmarkStart w:id="209" w:name="ziel-9"/>
    <w:p>
      <w:pPr>
        <w:pStyle w:val="Heading2"/>
      </w:pPr>
      <w:r>
        <w:t xml:space="preserve">Ziel</w:t>
      </w:r>
    </w:p>
    <w:p>
      <w:pPr>
        <w:pStyle w:val="FirstParagraph"/>
      </w:pPr>
      <w:r>
        <w:t xml:space="preserve">Stellen Sie sicher, dass der Code die folgenden High Level Anforderungen erfüllt:</w:t>
      </w:r>
    </w:p>
    <w:p>
      <w:pPr>
        <w:numPr>
          <w:ilvl w:val="0"/>
          <w:numId w:val="1027"/>
        </w:numPr>
        <w:pStyle w:val="Compact"/>
      </w:pPr>
      <w:r>
        <w:t xml:space="preserve">Böswillige Aktivitäten werden sicher und ordnungsgemäß behandelt, um den Rest der Anwendung nicht zu beeinträchtigen.</w:t>
      </w:r>
    </w:p>
    <w:p>
      <w:pPr>
        <w:numPr>
          <w:ilvl w:val="0"/>
          <w:numId w:val="1027"/>
        </w:numPr>
        <w:pStyle w:val="Compact"/>
      </w:pPr>
      <w:r>
        <w:t xml:space="preserve">Es gibt keine Zeitbomben oder andere zeitbasierte Angriffe.</w:t>
      </w:r>
    </w:p>
    <w:p>
      <w:pPr>
        <w:numPr>
          <w:ilvl w:val="0"/>
          <w:numId w:val="1027"/>
        </w:numPr>
        <w:pStyle w:val="Compact"/>
      </w:pPr>
      <w:r>
        <w:t xml:space="preserve">Es gibt kein „Phone Home“ zu böswilligen oder nicht autorisierten Zielen.</w:t>
      </w:r>
    </w:p>
    <w:p>
      <w:pPr>
        <w:numPr>
          <w:ilvl w:val="0"/>
          <w:numId w:val="1027"/>
        </w:numPr>
        <w:pStyle w:val="Compact"/>
      </w:pPr>
      <w:r>
        <w:t xml:space="preserve">Es gibt keine Hintertüren, Ostereier, Salamitaktik-Angriffe, Rootkits oder nicht autorisierte Codes, die von einem Angreifer kontrolliert werden können.</w:t>
      </w:r>
    </w:p>
    <w:p>
      <w:pPr>
        <w:pStyle w:val="FirstParagraph"/>
      </w:pPr>
      <w:r>
        <w:t xml:space="preserve">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bookmarkEnd w:id="209"/>
    <w:bookmarkStart w:id="210" w:name="v101-kontrollen-der-code-integrität"/>
    <w:p>
      <w:pPr>
        <w:pStyle w:val="Heading2"/>
      </w:pPr>
      <w:r>
        <w:t xml:space="preserve">V10.1 Kontrollen der Code-Integrität</w:t>
      </w:r>
    </w:p>
    <w:p>
      <w:pPr>
        <w:pStyle w:val="FirstParagraph"/>
      </w:pPr>
      <w:r>
        <w:t xml:space="preserve">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w:t>
      </w:r>
    </w:p>
    <w:p>
      <w:pPr>
        <w:pStyle w:val="BodyText"/>
      </w:pPr>
      <w:r>
        <w:t xml:space="preserve">Leitende Entwickler sollten regelmäßig die Eincheckvorgänge für den Code überprüfen, insbesondere diejenigen, die auf Zeit-, Eingabe-, Ausgabe- oder Netzwerkfunktionen zugreifen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Prüfen Sie, dass ein Codeanalyse-Tool verwendet wird, das potenziell bösartigen Code, wie Zeitfunktionen, unsichere Dateioperationen und Netzwerkverbindungen erkennen kann.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0"/>
    <w:bookmarkStart w:id="211" w:name="v102-suche-nach-bösartigem-code"/>
    <w:p>
      <w:pPr>
        <w:pStyle w:val="Heading2"/>
      </w:pPr>
      <w:r>
        <w:t xml:space="preserve">V10.2 Suche nach bösartigem Code</w:t>
      </w:r>
    </w:p>
    <w:p>
      <w:pPr>
        <w:pStyle w:val="FirstParagraph"/>
      </w:pPr>
      <w:r>
        <w:t xml:space="preserve">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w:t>
      </w:r>
    </w:p>
    <w:p>
      <w:pPr>
        <w:pStyle w:val="BodyText"/>
      </w:pPr>
      <w:r>
        <w:t xml:space="preserve">Die Einhaltung dieses Abschnitts kann nicht ohne vollständigen Zugriff auf den Quellcode, einschließlich der Bibliotheken von Drittanbietern, geprüft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Prüfen Sie, dass die Anwendung keine unnötigen oder übermäßigen Genehmigungen für datenschutzrelevante Funktionen oder Sensoren wie Kontakte, Kameras, Mikrofone oder Standorte verlangt.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Prüfen Sie, dass der Quellcode der Anwendung und die Bibliotheken von Drittanbietern keine Zeitbomben enthalten, wenn sie nach datums- und zeitbezogenen Funktionen suchen.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Prüfen Sie, dass der Quellcode der Anwendung und die Bibliotheken von Drittanbietern keinen bösartigen Code wie Salamitaktik-Angriffe, logische Umgehungen oder Logikbomben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Prüfen Sie, dass der Quellcode der Anwendung und die Bibliotheken von Drittanbietern keine Ostereier oder andere unerwünschte Funktionen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1"/>
    <w:bookmarkStart w:id="212" w:name="v103-integrität-der-anwendung"/>
    <w:p>
      <w:pPr>
        <w:pStyle w:val="Heading2"/>
      </w:pPr>
      <w:r>
        <w:t xml:space="preserve">V10.3 Integrität der Anwendung</w:t>
      </w:r>
    </w:p>
    <w:p>
      <w:pPr>
        <w:pStyle w:val="FirstParagraph"/>
      </w:pPr>
      <w:r>
        <w:t xml:space="preserve">Nach Bereitstellung einer Anwendung kann immer noch bösartiger Code eingefügt werden. Anwendungen müssen sich vor gängigen Angriffen wie die Ausführung unsignierten Codes aus nicht vertrauenswürdigen Quellen und die Übernahme von Subdomänen schützen.</w:t>
      </w:r>
    </w:p>
    <w:p>
      <w:pPr>
        <w:pStyle w:val="BodyText"/>
      </w:pPr>
      <w:r>
        <w:t xml:space="preserve">Die Einhaltung der Anforderungen dieses Abschnitts sind operativ und fortlaufend zu prüfen.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2"/>
    <w:bookmarkStart w:id="215" w:name="referenzen-9"/>
    <w:p>
      <w:pPr>
        <w:pStyle w:val="Heading2"/>
      </w:pPr>
      <w:r>
        <w:t xml:space="preserve">Referenzen</w:t>
      </w:r>
    </w:p>
    <w:p>
      <w:pPr>
        <w:pStyle w:val="FirstParagraph"/>
      </w:pPr>
      <w:r>
        <w:t xml:space="preserve">Weitere Informationen finden Sie unter:</w:t>
      </w:r>
    </w:p>
    <w:p>
      <w:pPr>
        <w:numPr>
          <w:ilvl w:val="0"/>
          <w:numId w:val="1028"/>
        </w:numPr>
        <w:pStyle w:val="Compact"/>
      </w:pPr>
      <w:hyperlink r:id="rId213">
        <w:r>
          <w:rPr>
            <w:rStyle w:val="Hyperlink"/>
          </w:rPr>
          <w:t xml:space="preserve">Hostile Subdomain Takeover, Detectify Labs</w:t>
        </w:r>
      </w:hyperlink>
    </w:p>
    <w:p>
      <w:pPr>
        <w:numPr>
          <w:ilvl w:val="0"/>
          <w:numId w:val="1028"/>
        </w:numPr>
        <w:pStyle w:val="Compact"/>
      </w:pPr>
      <w:hyperlink r:id="rId214">
        <w:r>
          <w:rPr>
            <w:rStyle w:val="Hyperlink"/>
          </w:rPr>
          <w:t xml:space="preserve">Hijacking of abandoned subdomains part 2, Detectify Labs</w:t>
        </w:r>
      </w:hyperlink>
    </w:p>
    <w:bookmarkEnd w:id="215"/>
    <w:bookmarkEnd w:id="216"/>
    <w:bookmarkStart w:id="224" w:name="v11-fachliche-funktionalität"/>
    <w:p>
      <w:pPr>
        <w:pStyle w:val="Heading1"/>
      </w:pPr>
      <w:r>
        <w:t xml:space="preserve">V11 Fachliche Funktionalität</w:t>
      </w:r>
    </w:p>
    <w:bookmarkStart w:id="217" w:name="ziel-10"/>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29"/>
        </w:numPr>
        <w:pStyle w:val="Compact"/>
      </w:pPr>
      <w:r>
        <w:t xml:space="preserve">Der Fluss der Geschäftslogik ist sequentiell: Er wird der Reihe nach verarbeitet und kann nicht umgangen werden.</w:t>
      </w:r>
    </w:p>
    <w:p>
      <w:pPr>
        <w:numPr>
          <w:ilvl w:val="0"/>
          <w:numId w:val="1029"/>
        </w:numPr>
        <w:pStyle w:val="Compact"/>
      </w:pPr>
      <w:r>
        <w:t xml:space="preserve">Die Geschäftslogik enthält Grenzen zur Erkennung und Verhinderung automatisierter Angriffe, wie z. B. kontinuierliche kleine Geldtransfers oder das Hinzufügen von einer Million Freunden, einer nach dem anderen, etc.</w:t>
      </w:r>
    </w:p>
    <w:p>
      <w:pPr>
        <w:numPr>
          <w:ilvl w:val="0"/>
          <w:numId w:val="1029"/>
        </w:numPr>
        <w:pStyle w:val="Compact"/>
      </w:pPr>
      <w:r>
        <w:t xml:space="preserve">Hochwertige Modelle der Geschäftslogik haben Missbrauchsfälle und böswillige Akteure in Betracht gezogen und sind gegen Spoofing, Manipulation, Abstreiten, Informationspreisgabe und die Erweiterung von Rechten immun.</w:t>
      </w:r>
    </w:p>
    <w:bookmarkEnd w:id="217"/>
    <w:bookmarkStart w:id="218" w:name="X61a5e14c3f5de9f6a6cce13ae654612f7b7cf86"/>
    <w:p>
      <w:pPr>
        <w:pStyle w:val="Heading2"/>
      </w:pPr>
      <w:r>
        <w:t xml:space="preserve">V11.1 Sicherheit der fachlichen Funktionen</w:t>
      </w:r>
    </w:p>
    <w:p>
      <w:pPr>
        <w:pStyle w:val="FirstParagraph"/>
      </w:pPr>
      <w:r>
        <w:t xml:space="preserve">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dass die Anwendung nur Geschäftslogikflüsse für denselben Benutzer in sequentieller Schrittfolge und ohne das Überspringen von Schritten verarbeitet.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Prüfen Sie, dass die Anwendung nur Abläufe der Geschäftslogik verarbeitet, wenn alle Schritte in realistischer menschlicher Zeit bearbeitet werden, d.h. die Transaktionen werden nicht zu schnell durch automatisierte Angreifer eingereicht.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Prüfen Sie, dass die Anwendung über angemessene Grenzen für bestimmte Geschäftsaktionen oder Transaktionen verfügt, die für jeden Benutzer korrekt durchgesetzt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Prüfen Sie, dass die Anwendung über ausreichende Maßnahmen gegen automatische Nutzung verfügt, um Datenausleitung, übermäßige Anforderungen an die Geschäftslogik, übermäßige Dateiuploads oder DoS-Angriffe zu erkennen und sich dagegen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Prüfen Sie, ob die Anwendung Grenzen der Geschäftslogik oder eine Validierung zum Schutz vor wahrscheinlichen Geschäftsrisiken oder Bedrohungen aufweist, die mit Hilfe von Threat Modeling oder ähnlichen Methoden ermittelt wurden.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Prüfen Sie, dass die Anwendung nicht unter TOCTOU oder anderen Raceconditions für sensible Operationen leidet.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Prüfen Sie, dass die Anwendung über konfigurierbare Web Warnmeldungen verfügt, wenn automatisierte Angriffe oder ungewöhnliche Aktivitäten entdeckt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8"/>
    <w:bookmarkStart w:id="223" w:name="referenzen-10"/>
    <w:p>
      <w:pPr>
        <w:pStyle w:val="Heading2"/>
      </w:pPr>
      <w:r>
        <w:t xml:space="preserve">Referenzen</w:t>
      </w:r>
    </w:p>
    <w:p>
      <w:pPr>
        <w:pStyle w:val="FirstParagraph"/>
      </w:pPr>
      <w:r>
        <w:t xml:space="preserve">Weitere Informationen finden Sie unter:</w:t>
      </w:r>
    </w:p>
    <w:p>
      <w:pPr>
        <w:numPr>
          <w:ilvl w:val="0"/>
          <w:numId w:val="1030"/>
        </w:numPr>
        <w:pStyle w:val="Compact"/>
      </w:pPr>
      <w:hyperlink r:id="rId219">
        <w:r>
          <w:rPr>
            <w:rStyle w:val="Hyperlink"/>
          </w:rPr>
          <w:t xml:space="preserve">OWASP Web Security Testing Guide 4.1: Business Logic Testing</w:t>
        </w:r>
      </w:hyperlink>
    </w:p>
    <w:p>
      <w:pPr>
        <w:numPr>
          <w:ilvl w:val="0"/>
          <w:numId w:val="1030"/>
        </w:numPr>
        <w:pStyle w:val="Compact"/>
      </w:pPr>
      <w:r>
        <w:t xml:space="preserve">Schutz gegen automatische Angriffe kann auf vielfältige Weise erreicht werden, z.B.:</w:t>
      </w:r>
      <w:r>
        <w:t xml:space="preserve"> </w:t>
      </w:r>
      <w:hyperlink r:id="rId220">
        <w:r>
          <w:rPr>
            <w:rStyle w:val="Hyperlink"/>
          </w:rPr>
          <w:t xml:space="preserve">OWASP AppSensor</w:t>
        </w:r>
      </w:hyperlink>
      <w:r>
        <w:t xml:space="preserve"> </w:t>
      </w:r>
      <w:r>
        <w:t xml:space="preserve">and</w:t>
      </w:r>
      <w:r>
        <w:t xml:space="preserve"> </w:t>
      </w:r>
      <w:hyperlink r:id="rId221">
        <w:r>
          <w:rPr>
            <w:rStyle w:val="Hyperlink"/>
          </w:rPr>
          <w:t xml:space="preserve">OWASP Automated Threats to Web Applications</w:t>
        </w:r>
      </w:hyperlink>
    </w:p>
    <w:p>
      <w:pPr>
        <w:numPr>
          <w:ilvl w:val="0"/>
          <w:numId w:val="1030"/>
        </w:numPr>
        <w:pStyle w:val="Compact"/>
      </w:pPr>
      <w:r>
        <w:t xml:space="preserve">Der</w:t>
      </w:r>
      <w:r>
        <w:t xml:space="preserve"> </w:t>
      </w:r>
      <w:hyperlink r:id="rId220">
        <w:r>
          <w:rPr>
            <w:rStyle w:val="Hyperlink"/>
          </w:rPr>
          <w:t xml:space="preserve">OWASP AppSensor</w:t>
        </w:r>
      </w:hyperlink>
      <w:r>
        <w:t xml:space="preserve"> </w:t>
      </w:r>
      <w:r>
        <w:t xml:space="preserve">kann auch bei der Erkennung und der Bewältigung von Angriffen helfen.</w:t>
      </w:r>
    </w:p>
    <w:p>
      <w:pPr>
        <w:numPr>
          <w:ilvl w:val="0"/>
          <w:numId w:val="1030"/>
        </w:numPr>
        <w:pStyle w:val="Compact"/>
      </w:pPr>
      <w:hyperlink r:id="rId222">
        <w:r>
          <w:rPr>
            <w:rStyle w:val="Hyperlink"/>
          </w:rPr>
          <w:t xml:space="preserve">OWASP Cornucopia</w:t>
        </w:r>
      </w:hyperlink>
    </w:p>
    <w:bookmarkEnd w:id="223"/>
    <w:bookmarkEnd w:id="224"/>
    <w:bookmarkStart w:id="236" w:name="v12-dateien-und-andere-ressourcen"/>
    <w:p>
      <w:pPr>
        <w:pStyle w:val="Heading1"/>
      </w:pPr>
      <w:r>
        <w:t xml:space="preserve">V12 Dateien und andere Ressourcen</w:t>
      </w:r>
    </w:p>
    <w:bookmarkStart w:id="225" w:name="ziel-11"/>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31"/>
        </w:numPr>
        <w:pStyle w:val="Compact"/>
      </w:pPr>
      <w:r>
        <w:t xml:space="preserve">nicht vertrauenswürdige Datendateien müssen angepasst und auf sichere Weise behandelt werden.</w:t>
      </w:r>
    </w:p>
    <w:p>
      <w:pPr>
        <w:numPr>
          <w:ilvl w:val="0"/>
          <w:numId w:val="1031"/>
        </w:numPr>
        <w:pStyle w:val="Compact"/>
      </w:pPr>
      <w:r>
        <w:t xml:space="preserve">nicht vertrauenswürdige Datendateien, die aus nicht vertrauenswürdigen Quellen stammen, werden außerhalb des Webroots und mit eingeschränkten Berechtigungen gespeichert.</w:t>
      </w:r>
    </w:p>
    <w:bookmarkEnd w:id="225"/>
    <w:bookmarkStart w:id="226" w:name="v121-dateiupload"/>
    <w:p>
      <w:pPr>
        <w:pStyle w:val="Heading2"/>
      </w:pPr>
      <w:r>
        <w:t xml:space="preserve">V12.1 Dateiupload</w:t>
      </w:r>
    </w:p>
    <w:p>
      <w:pPr>
        <w:pStyle w:val="FirstParagraph"/>
      </w:pPr>
      <w:r>
        <w:t xml:space="preserve">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Prüfen Sie, dass die Anwendung keine großen Dateien akzeptiert, die den Speicher füllen oder einen DoS-Angriff verursachen könnten.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Prüfen Sie, dass die Anwendung gepackte Formate, wie z.B. zip, gz, docx oder odt vor dem Entpacken auf die maximal zulässige Filegröße und die maximale Anzahl Dateien überprüft.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Prüfen Sie, dass die Dateigröße und die maximale Anzahl von Dateien pro Benutzer limitiert wird, um sicherzustellen, dass ein einzelner Benutzer den Speicher nicht mit zu vielen oder übermäßig großen Dateien füllen kann.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6"/>
    <w:bookmarkStart w:id="227" w:name="v122-dateiintegrität"/>
    <w:p>
      <w:pPr>
        <w:pStyle w:val="Heading2"/>
      </w:pPr>
      <w:r>
        <w:t xml:space="preserve">V12.2 Dateiintegrität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Prüfen Sie, dass Dateien aus nicht vertrauenswürdigen Quellen sowohl auf der Grundlage des Dateiinhalts als auch des erwarteten Typs 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7"/>
    <w:bookmarkStart w:id="228" w:name="v123-ausführbare-dateien"/>
    <w:p>
      <w:pPr>
        <w:pStyle w:val="Heading2"/>
      </w:pPr>
      <w:r>
        <w:t xml:space="preserve">V12.3 Ausführbare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Prüfen Sie, dass die vom Benutzer eingereichten Metadaten der Dateinamen nicht direkt vom Filesystem des Betriebssystems oder des Frameworks genutzt werden. Weiterhin ist eine URL-API zu verwenden, um vor Path Traversal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Prüfen Sie, dass die vom Benutzer eingereichten Metadaten der Dateinamen validiert oder ignoriert werden, um die Offenlegung, Erstellung, Aktualisierung oder Entfernung lokaler Dateien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Prüfen Sie, dass nicht vertrauenswürdige Dateimetadaten nicht direkt mit der System-API oder Bibliotheken verwendet werden, um vor OS Command Injection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Prüfen Sie, dass die Anwendung keine Funktionen aus nicht vertrauenswürdigen Quellen, wie z. B. nicht verifizierte Inhaltsverteilungsnetzwerke, JavaScript-Bibliotheken, node npm-Bibliotheken oder serverseitige DLLs, enthält und ausführt.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8"/>
    <w:bookmarkStart w:id="229" w:name="v124-speicherung-von-dateien"/>
    <w:p>
      <w:pPr>
        <w:pStyle w:val="Heading2"/>
      </w:pPr>
      <w:r>
        <w:t xml:space="preserve">V12.4 Speicherung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Prüfen Sie, dass Dateien aus nicht vertrauenswürdigen Quellen mit eingeschränkten Berechtigungen und vorzugsweise mit starker Validierung außerhalb des Webroots 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Prüfen Sie, dass Dateien aus nicht vertrauenswürdigen Quellen von Antivirenscannern gescannt werden, um das Hochladen bekannter bösartiger Inhalte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29"/>
    <w:bookmarkStart w:id="230" w:name="v125-download-von-dateien"/>
    <w:p>
      <w:pPr>
        <w:pStyle w:val="Heading2"/>
      </w:pPr>
      <w:r>
        <w:t xml:space="preserve">V12.5 Download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Prüfen Sie, dass direkte Anfragen an hochgeladene Dateien niemals als HTML/JavaScript-Inhalt ausgeführt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0"/>
    <w:bookmarkStart w:id="231" w:name="v126-ssrf-schutz"/>
    <w:p>
      <w:pPr>
        <w:pStyle w:val="Heading2"/>
      </w:pPr>
      <w:r>
        <w:t xml:space="preserve">V12.6 SSRF-Schutz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Prüfen Sie, dass der Web- oder Anwendungsserver mit einer Whitelist von Ressourcen oder Systemen konfiguriert ist, an die der Server Anfragen senden oder Daten/Dateien laden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1"/>
    <w:bookmarkStart w:id="235" w:name="referenzen-11"/>
    <w:p>
      <w:pPr>
        <w:pStyle w:val="Heading2"/>
      </w:pPr>
      <w:r>
        <w:t xml:space="preserve">Referenzen</w:t>
      </w:r>
    </w:p>
    <w:p>
      <w:pPr>
        <w:pStyle w:val="FirstParagraph"/>
      </w:pPr>
      <w:r>
        <w:t xml:space="preserve">Weitere Informationen finden Sie unter:</w:t>
      </w:r>
    </w:p>
    <w:p>
      <w:pPr>
        <w:numPr>
          <w:ilvl w:val="0"/>
          <w:numId w:val="1032"/>
        </w:numPr>
        <w:pStyle w:val="Compact"/>
      </w:pPr>
      <w:hyperlink r:id="rId232">
        <w:r>
          <w:rPr>
            <w:rStyle w:val="Hyperlink"/>
          </w:rPr>
          <w:t xml:space="preserve">File Extension Handling for Sensitive Information</w:t>
        </w:r>
      </w:hyperlink>
    </w:p>
    <w:p>
      <w:pPr>
        <w:numPr>
          <w:ilvl w:val="0"/>
          <w:numId w:val="1032"/>
        </w:numPr>
        <w:pStyle w:val="Compact"/>
      </w:pPr>
      <w:hyperlink r:id="rId233">
        <w:r>
          <w:rPr>
            <w:rStyle w:val="Hyperlink"/>
          </w:rPr>
          <w:t xml:space="preserve">Reflective file download by Oren Hafif</w:t>
        </w:r>
      </w:hyperlink>
    </w:p>
    <w:p>
      <w:pPr>
        <w:numPr>
          <w:ilvl w:val="0"/>
          <w:numId w:val="1032"/>
        </w:numPr>
        <w:pStyle w:val="Compact"/>
      </w:pPr>
      <w:hyperlink r:id="rId234">
        <w:r>
          <w:rPr>
            <w:rStyle w:val="Hyperlink"/>
          </w:rPr>
          <w:t xml:space="preserve">OWASP Third Party JavaScript Management Cheat Sheet</w:t>
        </w:r>
      </w:hyperlink>
    </w:p>
    <w:bookmarkEnd w:id="235"/>
    <w:bookmarkEnd w:id="236"/>
    <w:bookmarkStart w:id="251" w:name="v13-api-and-web-service"/>
    <w:p>
      <w:pPr>
        <w:pStyle w:val="Heading1"/>
      </w:pPr>
      <w:r>
        <w:t xml:space="preserve">V13 API and Web Service</w:t>
      </w:r>
    </w:p>
    <w:bookmarkStart w:id="237" w:name="ziel-12"/>
    <w:p>
      <w:pPr>
        <w:pStyle w:val="Heading2"/>
      </w:pPr>
      <w:r>
        <w:t xml:space="preserve">Ziel</w:t>
      </w:r>
    </w:p>
    <w:p>
      <w:pPr>
        <w:pStyle w:val="FirstParagraph"/>
      </w:pPr>
      <w:r>
        <w:t xml:space="preserve">Prüfen Sie, dass eine verifizierte Anwendung, die vertrauenswürdige Serviceschicht-APIs verwendet - üblicherweise unter Verwendung von JSON oder XML oder GraphQL - über Folgendes verfügt:</w:t>
      </w:r>
    </w:p>
    <w:p>
      <w:pPr>
        <w:numPr>
          <w:ilvl w:val="0"/>
          <w:numId w:val="1033"/>
        </w:numPr>
        <w:pStyle w:val="Compact"/>
      </w:pPr>
      <w:r>
        <w:t xml:space="preserve">Angemessene Authentifizierung, Session Management und Autorisierung aller Webdienste.</w:t>
      </w:r>
    </w:p>
    <w:p>
      <w:pPr>
        <w:numPr>
          <w:ilvl w:val="0"/>
          <w:numId w:val="1033"/>
        </w:numPr>
        <w:pStyle w:val="Compact"/>
      </w:pPr>
      <w:r>
        <w:t xml:space="preserve">Eingabeprüfung aller Parameter, die von einer niedrigeren auf eine höhere Vertrauensstufe übergehen.</w:t>
      </w:r>
    </w:p>
    <w:p>
      <w:pPr>
        <w:numPr>
          <w:ilvl w:val="0"/>
          <w:numId w:val="1033"/>
        </w:numPr>
        <w:pStyle w:val="Compact"/>
      </w:pPr>
      <w:r>
        <w:t xml:space="preserve">Effektive Sicherheitsmaßnahmen für alle API-Typen, einschließlich Cloud- und Serverlose API</w:t>
      </w:r>
    </w:p>
    <w:p>
      <w:pPr>
        <w:pStyle w:val="FirstParagraph"/>
      </w:pPr>
      <w:r>
        <w:t xml:space="preserve">Bitte lesen Sie dieses Kapitel in Kombination mit allen anderen Kapiteln derselben Stufe. Themen, wie z.B. Authentifizierung oder API-Session Management, werden hier nicht erneut aufgeführt.</w:t>
      </w:r>
    </w:p>
    <w:bookmarkEnd w:id="237"/>
    <w:bookmarkStart w:id="238" w:name="Xf32705433385109db562816084682e449df3216"/>
    <w:p>
      <w:pPr>
        <w:pStyle w:val="Heading2"/>
      </w:pPr>
      <w:r>
        <w:t xml:space="preserve">V13.1 Allgemeine Sicherheit von Web Services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Prüfen Sie, dass alle Komponenten die gleichen Parser und (Zeichen-)Codierungen nutzen, um Angriffe auf Basis unterschiedlichen URI- oder File-Parsings, wie SSRF oder RFI,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[GELÖSCHT, DUPLIKAT VON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Prüfen Sie, dass API-URLs keine sensiblen Informationen wie den API-Schlüssel, Sessiontoken, etc. preisgeben.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Prüfen Sie, dass Berechtigungsentscheidungen sowohl an der URI, umgesetzt durch programmatische oder deklarative Sicherheit am Controller oder Router, als auch auf der Ressourcenebene, umgesetzt durch modellbasierte Berechtigungen, getroffen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Prüfen Sie, dass Anfragen mit unerwarteten oder fehlenden Inhaltstypen mit entsprechenden Headern zurückgewiesen werden (HTTP-Antwortstatus 406 oder 415).</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8"/>
    <w:bookmarkStart w:id="239" w:name="v132-restful-web-services"/>
    <w:p>
      <w:pPr>
        <w:pStyle w:val="Heading2"/>
      </w:pPr>
      <w:r>
        <w:t xml:space="preserve">V13.2 RESTful Web Services</w:t>
      </w:r>
    </w:p>
    <w:p>
      <w:pPr>
        <w:pStyle w:val="FirstParagraph"/>
      </w:pPr>
      <w:r>
        <w:t xml:space="preserve">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pPr>
        <w:numPr>
          <w:ilvl w:val="0"/>
          <w:numId w:val="1034"/>
        </w:numPr>
        <w:pStyle w:val="Compact"/>
      </w:pPr>
      <w:r>
        <w:t xml:space="preserve">Parsing-Validierung des JSON-Objekts, z. B. ob es fehlende oder zusätzliche Elemente gibt.</w:t>
      </w:r>
    </w:p>
    <w:p>
      <w:pPr>
        <w:numPr>
          <w:ilvl w:val="0"/>
          <w:numId w:val="1034"/>
        </w:numPr>
        <w:pStyle w:val="Compact"/>
      </w:pPr>
      <w:r>
        <w:t xml:space="preserve">Validierung der Werte des JSON-Objekts mit Hilfe der üblichen Eingabeprüfungsmethoden, wie z. B. Prüfung auf Datentyp, Datenformat, Länge usw. und</w:t>
      </w:r>
    </w:p>
    <w:p>
      <w:pPr>
        <w:numPr>
          <w:ilvl w:val="0"/>
          <w:numId w:val="1034"/>
        </w:numPr>
        <w:pStyle w:val="Compact"/>
      </w:pPr>
      <w:r>
        <w:t xml:space="preserve">formale JSON-Schemavalidierung.</w:t>
      </w:r>
    </w:p>
    <w:p>
      <w:pPr>
        <w:pStyle w:val="FirstParagraph"/>
      </w:pPr>
      <w:r>
        <w:t xml:space="preserve">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Prüfen Sie, dass aktivierte RESTful-HTTP-Methoden eine gültige Wahl für den Benutzer oder eine Aktion sind, wie z.B. verhindern, dass normale Benutzer DELETE oder PUT auf geschützte API oder Ressourcen anwenden.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Prüfen Sie, dass die JSON-Schemavalidierung vorhanden und verifiziert ist, bevor Sie eine Eingabe akzeptieren.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[GELÖSCHT, DUPLIKAT VON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Prüfen Sie, dass die REST-Dienste explizit prüfen, ob der eingehende Contenttyp der erwartete ist, z.B. application/xml oder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39"/>
    <w:bookmarkStart w:id="240"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Prüfen Sie, dass vor der Verarbeitung von Eingabedaten zuerst eine XSD-Schemavalidierung stattfindet, um ein korrekt geformtes XML-Dokument zu gewährleisten, gefolgt von der Validierung jedes Eingabefeldes.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Prüfen Sie, dass die Nutzdaten der Nachricht mit WS-Security signiert sind, um einen zuverlässigen Transport zwischen Client und Service zu gewährleisten.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Hinweis: Aufgrund von Problemen mit XXE-Angriffen auf DTDs sollte die DTD-Validierung nicht verwendet und die DTD-Frameworkauswertung gemäß der im Abschnitt V14-Konfiguration festgelegten Anforderungen deaktiviert werden.</w:t>
      </w:r>
    </w:p>
    <w:bookmarkEnd w:id="240"/>
    <w:bookmarkStart w:id="241"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Prüfen Sie, dass die Berechtigungen für die Datenschicht, z.B. GraphQL, in der Geschäftslogikschicht anstelle der Datenschicht umgesetzt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1"/>
    <w:bookmarkStart w:id="250" w:name="referenzen-12"/>
    <w:p>
      <w:pPr>
        <w:pStyle w:val="Heading2"/>
      </w:pPr>
      <w:r>
        <w:t xml:space="preserve">Referenzen</w:t>
      </w:r>
    </w:p>
    <w:p>
      <w:pPr>
        <w:pStyle w:val="FirstParagraph"/>
      </w:pPr>
      <w:r>
        <w:t xml:space="preserve">Weitere Informationen finden Sie unter:</w:t>
      </w:r>
    </w:p>
    <w:p>
      <w:pPr>
        <w:numPr>
          <w:ilvl w:val="0"/>
          <w:numId w:val="1035"/>
        </w:numPr>
        <w:pStyle w:val="Compact"/>
      </w:pPr>
      <w:hyperlink r:id="rId242">
        <w:r>
          <w:rPr>
            <w:rStyle w:val="Hyperlink"/>
          </w:rPr>
          <w:t xml:space="preserve">OWASP Serverless Top 10</w:t>
        </w:r>
      </w:hyperlink>
    </w:p>
    <w:p>
      <w:pPr>
        <w:numPr>
          <w:ilvl w:val="0"/>
          <w:numId w:val="1035"/>
        </w:numPr>
        <w:pStyle w:val="Compact"/>
      </w:pPr>
      <w:hyperlink r:id="rId243">
        <w:r>
          <w:rPr>
            <w:rStyle w:val="Hyperlink"/>
          </w:rPr>
          <w:t xml:space="preserve">OWASP Serverless Project</w:t>
        </w:r>
      </w:hyperlink>
    </w:p>
    <w:p>
      <w:pPr>
        <w:numPr>
          <w:ilvl w:val="0"/>
          <w:numId w:val="1035"/>
        </w:numPr>
        <w:pStyle w:val="Compact"/>
      </w:pPr>
      <w:hyperlink r:id="rId244">
        <w:r>
          <w:rPr>
            <w:rStyle w:val="Hyperlink"/>
          </w:rPr>
          <w:t xml:space="preserve">OWASP Testing Guide 4.0: Configuration and Deployment Management Testing</w:t>
        </w:r>
      </w:hyperlink>
    </w:p>
    <w:p>
      <w:pPr>
        <w:numPr>
          <w:ilvl w:val="0"/>
          <w:numId w:val="1035"/>
        </w:numPr>
        <w:pStyle w:val="Compact"/>
      </w:pPr>
      <w:hyperlink r:id="rId136">
        <w:r>
          <w:rPr>
            <w:rStyle w:val="Hyperlink"/>
          </w:rPr>
          <w:t xml:space="preserve">OWASP Cross-Site Request Forgery cheat sheet</w:t>
        </w:r>
      </w:hyperlink>
    </w:p>
    <w:p>
      <w:pPr>
        <w:numPr>
          <w:ilvl w:val="0"/>
          <w:numId w:val="1035"/>
        </w:numPr>
        <w:pStyle w:val="Compact"/>
      </w:pPr>
      <w:hyperlink r:id="rId245">
        <w:r>
          <w:rPr>
            <w:rStyle w:val="Hyperlink"/>
          </w:rPr>
          <w:t xml:space="preserve">OWASP XML External Entity Prevention Cheat Sheet - General Guidance</w:t>
        </w:r>
      </w:hyperlink>
    </w:p>
    <w:p>
      <w:pPr>
        <w:numPr>
          <w:ilvl w:val="0"/>
          <w:numId w:val="1035"/>
        </w:numPr>
        <w:pStyle w:val="Compact"/>
      </w:pPr>
      <w:hyperlink r:id="rId246">
        <w:r>
          <w:rPr>
            <w:rStyle w:val="Hyperlink"/>
          </w:rPr>
          <w:t xml:space="preserve">JSON Web Tokens (and Signing)</w:t>
        </w:r>
      </w:hyperlink>
    </w:p>
    <w:p>
      <w:pPr>
        <w:numPr>
          <w:ilvl w:val="0"/>
          <w:numId w:val="1035"/>
        </w:numPr>
        <w:pStyle w:val="Compact"/>
      </w:pPr>
      <w:hyperlink r:id="rId137">
        <w:r>
          <w:rPr>
            <w:rStyle w:val="Hyperlink"/>
          </w:rPr>
          <w:t xml:space="preserve">REST Security Cheat Sheet</w:t>
        </w:r>
      </w:hyperlink>
    </w:p>
    <w:p>
      <w:pPr>
        <w:numPr>
          <w:ilvl w:val="0"/>
          <w:numId w:val="1035"/>
        </w:numPr>
        <w:pStyle w:val="Compact"/>
      </w:pPr>
      <w:hyperlink r:id="rId247">
        <w:r>
          <w:rPr>
            <w:rStyle w:val="Hyperlink"/>
          </w:rPr>
          <w:t xml:space="preserve">JSON Schema</w:t>
        </w:r>
      </w:hyperlink>
    </w:p>
    <w:p>
      <w:pPr>
        <w:numPr>
          <w:ilvl w:val="0"/>
          <w:numId w:val="1035"/>
        </w:numPr>
        <w:pStyle w:val="Compact"/>
      </w:pPr>
      <w:hyperlink r:id="rId248">
        <w:r>
          <w:rPr>
            <w:rStyle w:val="Hyperlink"/>
          </w:rPr>
          <w:t xml:space="preserve">XML DTD Entity Attacks</w:t>
        </w:r>
      </w:hyperlink>
    </w:p>
    <w:p>
      <w:pPr>
        <w:numPr>
          <w:ilvl w:val="0"/>
          <w:numId w:val="1035"/>
        </w:numPr>
        <w:pStyle w:val="Compact"/>
      </w:pPr>
      <w:hyperlink r:id="rId249">
        <w:r>
          <w:rPr>
            <w:rStyle w:val="Hyperlink"/>
          </w:rPr>
          <w:t xml:space="preserve">Orange Tsai - A new era of SSRF Exploiting URL Parser In Trending Programming Languages</w:t>
        </w:r>
      </w:hyperlink>
    </w:p>
    <w:bookmarkEnd w:id="250"/>
    <w:bookmarkEnd w:id="251"/>
    <w:bookmarkStart w:id="264" w:name="v14-konfiguration"/>
    <w:p>
      <w:pPr>
        <w:pStyle w:val="Heading1"/>
      </w:pPr>
      <w:r>
        <w:t xml:space="preserve">V14 Konfiguration</w:t>
      </w:r>
    </w:p>
    <w:bookmarkStart w:id="252" w:name="ziel-13"/>
    <w:p>
      <w:pPr>
        <w:pStyle w:val="Heading2"/>
      </w:pPr>
      <w:r>
        <w:t xml:space="preserve">Ziel</w:t>
      </w:r>
    </w:p>
    <w:p>
      <w:pPr>
        <w:pStyle w:val="FirstParagraph"/>
      </w:pPr>
      <w:r>
        <w:t xml:space="preserve">Stellen Sie sicher, dass eine geprüfte Anwendung mit den folgenden Merkmalen ausgestattet ist:</w:t>
      </w:r>
    </w:p>
    <w:p>
      <w:pPr>
        <w:numPr>
          <w:ilvl w:val="0"/>
          <w:numId w:val="1036"/>
        </w:numPr>
        <w:pStyle w:val="Compact"/>
      </w:pPr>
      <w:r>
        <w:t xml:space="preserve">Eine sichere und automatisierbare Buildumgebung.</w:t>
      </w:r>
    </w:p>
    <w:p>
      <w:pPr>
        <w:numPr>
          <w:ilvl w:val="0"/>
          <w:numId w:val="1036"/>
        </w:numPr>
        <w:pStyle w:val="Compact"/>
      </w:pPr>
      <w:r>
        <w:t xml:space="preserve">Ein sicheres Management von Drittanbieterbibliotheken, Abhängigkeiten und Konfigurationen, so dass veraltete oder unsichere Komponenten nicht in die Anwendung integriert werden.</w:t>
      </w:r>
    </w:p>
    <w:p>
      <w:pPr>
        <w:pStyle w:val="FirstParagraph"/>
      </w:pPr>
      <w:r>
        <w:t xml:space="preserve">Die Konfiguration der Anwendung sollte „out of the box“ für den jeweils geplanten Einsatzzweck sicher sein.</w:t>
      </w:r>
    </w:p>
    <w:bookmarkEnd w:id="252"/>
    <w:bookmarkStart w:id="253" w:name="v141-build--und-deployprozess"/>
    <w:p>
      <w:pPr>
        <w:pStyle w:val="Heading2"/>
      </w:pPr>
      <w:r>
        <w:t xml:space="preserve">V14.1 Build- und Deployprozess</w:t>
      </w:r>
    </w:p>
    <w:p>
      <w:pPr>
        <w:pStyle w:val="FirstParagraph"/>
      </w:pPr>
      <w:r>
        <w:t xml:space="preserve">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pPr>
        <w:pStyle w:val="BodyText"/>
      </w:pPr>
      <w:r>
        <w:t xml:space="preserve">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w:t>
      </w:r>
    </w:p>
    <w:p>
      <w:pPr>
        <w:pStyle w:val="BodyText"/>
      </w:pPr>
      <w:r>
        <w:t xml:space="preserve">Wenn noch traditionelle Modelle im Einsatz sind, müssen manuelle Schritte zur Härtung und Sicherung dieser Konfiguration erfolgen, damit die kompromittierten Systeme schnell durch hochintegrierte, sichere Systeme ersetzt werden können.</w:t>
      </w:r>
    </w:p>
    <w:p>
      <w:pPr>
        <w:pStyle w:val="BodyText"/>
      </w:pPr>
      <w:r>
        <w:t xml:space="preserve">Um die Anforderungen dieses Abschnitts einzuhalten, ist ein automatisiertes Buildsystem und der Zugriff auf Build- und Deploymentskripte erforderlich.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Prüfen Sie, dass die Build- und Deploymentprozesse auf sichere und wiederholbare Weise durchgeführt werden, z. B. durch CI-/CD-Automatisierung, automatisiertes Konfigurationsmanagement und automatisierte Deploymentskripte.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Prüfen Sie, dass die Serverkonfiguration gemäß den Empfehlungen des verwendeten Anwendungsservers und Frameworks gehärtet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Prüfen Sie, dass autorisierte Administratoren die Integrität aller sicherheitsrelevanten Konfigurationen überprüfen können, um Manipulationen zu erkennen.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3"/>
    <w:bookmarkStart w:id="254" w:name="v142-management-von-abhängigkeiten"/>
    <w:p>
      <w:pPr>
        <w:pStyle w:val="Heading2"/>
      </w:pPr>
      <w:r>
        <w:t xml:space="preserve">V14.2 Management von Abhängigkeiten</w:t>
      </w:r>
    </w:p>
    <w:p>
      <w:pPr>
        <w:pStyle w:val="FirstParagraph"/>
      </w:pPr>
      <w:r>
        <w:t xml:space="preserve">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pPr>
        <w:pStyle w:val="BodyText"/>
      </w:pPr>
      <w:r>
        <w:t xml:space="preserve">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Prüfen Sie, dass alle Komponenten auf dem neuesten Stand sind, am besten mit einem Abhängigkeitsprüfer zur Build- oder Kompilierzeit.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Prüfen Sie, dass alle nicht benötigten Funktionen, Dokumentationen, Beispiele und Konfigurationen entfernt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Prüfen Sie, dass Komponenten Dritter aus bekannten, vertrauenswürdigen und kontinuierlich gepflegten Repositories stammen.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Prüfen Sie, dass eine Softwarestückliste (Bill of Materials, SBOM) aller genutzten Bibliotheken von Drittanbietern geführt wird.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Prüfen Sie, dass die Angriffsfläche durch Sandboxing oder Einkapselung von Bibliotheken von Drittanbietern reduziert wird, damit die Anwendung nur die erforderliche Funktionalität erhält.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4"/>
    <w:bookmarkStart w:id="255" w:name="v143-offenlegung-von-informationen"/>
    <w:p>
      <w:pPr>
        <w:pStyle w:val="Heading2"/>
      </w:pPr>
      <w:r>
        <w:t xml:space="preserve">V14.3 Offenlegung von Informationen</w:t>
      </w:r>
    </w:p>
    <w:p>
      <w:pPr>
        <w:pStyle w:val="FirstParagraph"/>
      </w:pPr>
      <w:r>
        <w:t xml:space="preserve">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[GELÖSCHT, DUPLIKAT VON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Prüfen Sie, dass die Debugmodi von Web- und Anwendungsserver sowie Anwendungsframework in der Produktion deaktiviert sind, um Sicherheitslücken durch Debugfunktionen oder Entwicklerkonsolen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Prüfen Sie, dass die HTTP-Header und HTTP-Antworten keine detaillierten Versionsinformationen von Systemkomponenten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5"/>
    <w:bookmarkStart w:id="256" w:name="v144-http-security-header"/>
    <w:p>
      <w:pPr>
        <w:pStyle w:val="Heading2"/>
      </w:pPr>
      <w:r>
        <w:t xml:space="preserve">V14.4 HTTP Security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Prüfen Sie, dass jede HTTP-Antwort einen Content Type Header enthält. Für die Content types text/*, /+xml oder application/xml sollten ein sicherer Zeichensatz (z. B. UTF-8, ISO 8859-1) angeben sein. Der Inhalt muss zum angegebenen Content Type Header passen.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Prüfen Sie, dass alle API-Antworten die Content-Disposition: attachment; filename="api.json" Header oder einen anderen geeigneten Dateinamen für den Inhaltstyp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Prüfen Sie, dass ein Content Security Policy (CSP) Response Header vorhanden ist, die dazu beiträgt, die Auswirkungen von XSS-Angriffen wie HTML-, DOM-, JSON- und JavaScript-Injektionsschwachstellen abzuschwächen.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Prüfen Sie, dass alle Antworten X-Content-Type-Optionen: nosniff Header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Prüfen Sie, dass ein HTTP Strict-Transport-Security Header in allen Antworten und für alle Unterdomänen enthalten ist, z. B.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Prüfen Sie, dass ein geeigneter Referrer-Policy Header enthalten ist, um das Veröffentlichen sensibler Informationen über den Referer Header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6"/>
    <w:bookmarkStart w:id="257" w:name="v145-prüfung-der-http-request-header"/>
    <w:p>
      <w:pPr>
        <w:pStyle w:val="Heading2"/>
      </w:pPr>
      <w:r>
        <w:t xml:space="preserve">V14.5 Prüfung der HTTP Request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Prüfen Sie, dass der Anwendungsserver nur die von der Anwendung oder der API verwendeten HTTP-Methoden akzeptiert, einschließlich der Pre-Flight-OPTIONS. Alle ungültigen Request sollten ins Log geschrieben werden oder einen Alarm auslösen.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Prüfen Sie, dass der bereitgestellte Origin Header nicht für Authentifizierungs- oder Zugriffskontrollentscheidungen verwendet wird, da der Origin Header von einem Angreifer leicht geändert werden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Prüfen Sie, dass der CORS-Access-Control-Allow-Origin Header eine strikte Whitelist mit vertrauenswürdigen Domains verwendet und den "null"-Ursprung nicht unterstützt.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Prüfen Sie, dass HTTP-Header, die von einem vertrauenswürdigen Proxy oder SSO-Geräten, wie z. B. einem Bearer-Token, hinzugefügt wurden, von der Anwendung authentifiziert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7"/>
    <w:bookmarkStart w:id="263" w:name="referenzen-13"/>
    <w:p>
      <w:pPr>
        <w:pStyle w:val="Heading2"/>
      </w:pPr>
      <w:r>
        <w:t xml:space="preserve">Referenzen</w:t>
      </w:r>
    </w:p>
    <w:p>
      <w:pPr>
        <w:pStyle w:val="FirstParagraph"/>
      </w:pPr>
      <w:r>
        <w:t xml:space="preserve">Weitere Informationen finden Sie unter:</w:t>
      </w:r>
    </w:p>
    <w:p>
      <w:pPr>
        <w:numPr>
          <w:ilvl w:val="0"/>
          <w:numId w:val="1037"/>
        </w:numPr>
        <w:pStyle w:val="Compact"/>
      </w:pPr>
      <w:hyperlink r:id="rId258">
        <w:r>
          <w:rPr>
            <w:rStyle w:val="Hyperlink"/>
          </w:rPr>
          <w:t xml:space="preserve">OWASP Web Security Testing Guide 4.1: Testing for HTTP Verb Tampering</w:t>
        </w:r>
      </w:hyperlink>
    </w:p>
    <w:p>
      <w:pPr>
        <w:numPr>
          <w:ilvl w:val="0"/>
          <w:numId w:val="1037"/>
        </w:numPr>
        <w:pStyle w:val="Compact"/>
      </w:pPr>
      <w:hyperlink r:id="rId259">
        <w:r>
          <w:rPr>
            <w:rStyle w:val="Hyperlink"/>
          </w:rPr>
          <w:t xml:space="preserve">Reflected File Download attacks</w:t>
        </w:r>
      </w:hyperlink>
      <w:r>
        <w:t xml:space="preserve"> </w:t>
      </w:r>
      <w:r>
        <w:t xml:space="preserve">zeigt, wie durch Hinzufügen der Content-Disposition und der "filename" Option in die API-Antwort viele Angriffe, die auf verschiedenen Interpretationen des MIME-Types durch Client und Server beruhen, unterbunden werden können.</w:t>
      </w:r>
    </w:p>
    <w:p>
      <w:pPr>
        <w:numPr>
          <w:ilvl w:val="0"/>
          <w:numId w:val="1037"/>
        </w:numPr>
        <w:pStyle w:val="Compact"/>
      </w:pPr>
      <w:hyperlink r:id="rId260">
        <w:r>
          <w:rPr>
            <w:rStyle w:val="Hyperlink"/>
          </w:rPr>
          <w:t xml:space="preserve">Content Security Policy Cheat Sheet</w:t>
        </w:r>
      </w:hyperlink>
    </w:p>
    <w:p>
      <w:pPr>
        <w:numPr>
          <w:ilvl w:val="0"/>
          <w:numId w:val="1037"/>
        </w:numPr>
        <w:pStyle w:val="Compact"/>
      </w:pPr>
      <w:hyperlink r:id="rId261">
        <w:r>
          <w:rPr>
            <w:rStyle w:val="Hyperlink"/>
          </w:rPr>
          <w:t xml:space="preserve">Exploiting CORS misconfiguration for BitCoins and Bounties</w:t>
        </w:r>
      </w:hyperlink>
    </w:p>
    <w:p>
      <w:pPr>
        <w:numPr>
          <w:ilvl w:val="0"/>
          <w:numId w:val="1037"/>
        </w:numPr>
        <w:pStyle w:val="Compact"/>
      </w:pPr>
      <w:hyperlink r:id="rId244">
        <w:r>
          <w:rPr>
            <w:rStyle w:val="Hyperlink"/>
          </w:rPr>
          <w:t xml:space="preserve">OWASP Web Security Testing Guide 4.1: Configuration and Deployment Management Testing</w:t>
        </w:r>
      </w:hyperlink>
    </w:p>
    <w:p>
      <w:pPr>
        <w:numPr>
          <w:ilvl w:val="0"/>
          <w:numId w:val="1037"/>
        </w:numPr>
        <w:pStyle w:val="Compact"/>
      </w:pPr>
      <w:hyperlink r:id="rId262">
        <w:r>
          <w:rPr>
            <w:rStyle w:val="Hyperlink"/>
          </w:rPr>
          <w:t xml:space="preserve">Sandboxing third party components</w:t>
        </w:r>
      </w:hyperlink>
    </w:p>
    <w:bookmarkEnd w:id="263"/>
    <w:bookmarkEnd w:id="264"/>
    <w:bookmarkStart w:id="266" w:name="anhang-a-glossar"/>
    <w:p>
      <w:pPr>
        <w:pStyle w:val="Heading1"/>
      </w:pPr>
      <w:r>
        <w:t xml:space="preserve">Anhang A: Glossar</w:t>
      </w:r>
    </w:p>
    <w:p>
      <w:pPr>
        <w:numPr>
          <w:ilvl w:val="0"/>
          <w:numId w:val="1038"/>
        </w:numPr>
        <w:pStyle w:val="Compact"/>
      </w:pPr>
      <w:r>
        <w:rPr>
          <w:bCs/>
          <w:b/>
        </w:rPr>
        <w:t xml:space="preserve">2FA: Zwei-Faktor-Authentifizierung</w:t>
      </w:r>
      <w:r>
        <w:t xml:space="preserve"> </w:t>
      </w:r>
      <w:r>
        <w:t xml:space="preserve">- fügt eine zweite Authentifizierungsebene zu einer Kontoanmeldung hinzu, z.B. neben einer PIN („Wissen“) auch eine Chipkarte („Besitz“).</w:t>
      </w:r>
    </w:p>
    <w:p>
      <w:pPr>
        <w:numPr>
          <w:ilvl w:val="0"/>
          <w:numId w:val="1038"/>
        </w:numPr>
        <w:pStyle w:val="Compact"/>
      </w:pPr>
      <w:r>
        <w:rPr>
          <w:bCs/>
          <w:b/>
        </w:rPr>
        <w:t xml:space="preserve">Anwendungssicherheit</w:t>
      </w:r>
      <w:r>
        <w:t xml:space="preserve"> </w:t>
      </w:r>
      <w:r>
        <w:t xml:space="preserve">- Sicherheit auf Anwendungsebene konzentriert sich auf die Analyse von Komponenten, welche die Anwendungsschicht des Open Systems Interconnection Reference Model (OSI-Modell) bilden.</w:t>
      </w:r>
    </w:p>
    <w:p>
      <w:pPr>
        <w:numPr>
          <w:ilvl w:val="0"/>
          <w:numId w:val="1038"/>
        </w:numPr>
        <w:pStyle w:val="Compact"/>
      </w:pPr>
      <w:r>
        <w:rPr>
          <w:bCs/>
          <w:b/>
        </w:rPr>
        <w:t xml:space="preserve">ASLR: Addressspace Layout Randomisation</w:t>
      </w:r>
      <w:r>
        <w:t xml:space="preserve"> </w:t>
      </w:r>
      <w:r>
        <w:t xml:space="preserve">- Eine Technik, welche das Ausnutzen von Fehlern der Speicherverwaltung erschwert.</w:t>
      </w:r>
    </w:p>
    <w:p>
      <w:pPr>
        <w:numPr>
          <w:ilvl w:val="0"/>
          <w:numId w:val="1038"/>
        </w:numPr>
        <w:pStyle w:val="Compact"/>
      </w:pPr>
      <w:r>
        <w:rPr>
          <w:bCs/>
          <w:b/>
        </w:rPr>
        <w:t xml:space="preserve">Authentifizierung</w:t>
      </w:r>
      <w:r>
        <w:t xml:space="preserve"> </w:t>
      </w:r>
      <w:r>
        <w:t xml:space="preserve">- Der Nachweis der behaupteten Identität eines Anwendungsbenutzers.</w:t>
      </w:r>
    </w:p>
    <w:p>
      <w:pPr>
        <w:numPr>
          <w:ilvl w:val="0"/>
          <w:numId w:val="1038"/>
        </w:numPr>
        <w:pStyle w:val="Compact"/>
      </w:pPr>
      <w:r>
        <w:rPr>
          <w:bCs/>
          <w:b/>
        </w:rPr>
        <w:t xml:space="preserve">Authentifikator</w:t>
      </w:r>
      <w:r>
        <w:t xml:space="preserve"> </w:t>
      </w:r>
      <w:r>
        <w:t xml:space="preserve">- Code, der ein Kennwort, ein Token, einen MFA, eine föderierte Behauptung usw. authentifiziert.</w:t>
      </w:r>
    </w:p>
    <w:p>
      <w:pPr>
        <w:numPr>
          <w:ilvl w:val="0"/>
          <w:numId w:val="1038"/>
        </w:numPr>
        <w:pStyle w:val="Compact"/>
      </w:pPr>
      <w:r>
        <w:rPr>
          <w:bCs/>
          <w:b/>
        </w:rPr>
        <w:t xml:space="preserve">Automatisierte Verifizierung</w:t>
      </w:r>
      <w:r>
        <w:t xml:space="preserve"> </w:t>
      </w:r>
      <w:r>
        <w:t xml:space="preserve">- Die Verwendung von automatisierten Tools, die Schwachstellensignaturen verwenden, um Probleme zu finden.</w:t>
      </w:r>
    </w:p>
    <w:p>
      <w:pPr>
        <w:numPr>
          <w:ilvl w:val="0"/>
          <w:numId w:val="1038"/>
        </w:numPr>
        <w:pStyle w:val="Compact"/>
      </w:pPr>
      <w:r>
        <w:rPr>
          <w:bCs/>
          <w:b/>
        </w:rPr>
        <w:t xml:space="preserve">Bericht zur Verifizierung der Anwendungssicherheit</w:t>
      </w:r>
      <w:r>
        <w:t xml:space="preserve"> </w:t>
      </w:r>
      <w:r>
        <w:t xml:space="preserve">- Ein Bericht, der die Gesamtergebnisse und die unterstützende Analyse dokumentiert, die der Prüfer für eine bestimmte Anwendung erstellt hat.</w:t>
      </w:r>
    </w:p>
    <w:p>
      <w:pPr>
        <w:numPr>
          <w:ilvl w:val="0"/>
          <w:numId w:val="1038"/>
        </w:numPr>
        <w:pStyle w:val="Compact"/>
      </w:pPr>
      <w:r>
        <w:rPr>
          <w:bCs/>
          <w:b/>
        </w:rPr>
        <w:t xml:space="preserve">Black Box Test</w:t>
      </w:r>
      <w:r>
        <w:t xml:space="preserve"> </w:t>
      </w:r>
      <w:r>
        <w:t xml:space="preserve">- Es handelt sich um eine Softwaretestmethode, bei der die Funktion einer Anwendung untersucht wird, ohne in ihre internen Strukturen oder Abläufe zu blicken.</w:t>
      </w:r>
    </w:p>
    <w:p>
      <w:pPr>
        <w:numPr>
          <w:ilvl w:val="0"/>
          <w:numId w:val="1038"/>
        </w:numPr>
        <w:pStyle w:val="Compact"/>
      </w:pPr>
      <w:r>
        <w:rPr>
          <w:bCs/>
          <w:b/>
        </w:rPr>
        <w:t xml:space="preserve">Bösartiger Code</w:t>
      </w:r>
      <w:r>
        <w:t xml:space="preserve"> </w:t>
      </w:r>
      <w:r>
        <w:t xml:space="preserve">- Code, der während der Entwicklung einer Anwendung ohne Wissen des Anwendungseigentümers in diese eingeführt wird, und der die beabsichtigte Sicherheitsrichtlinie der Anwendung umgeht. Dies ist nicht dasselbe wie Malware wie z. B. ein Virus oder Wurm!</w:t>
      </w:r>
    </w:p>
    <w:p>
      <w:pPr>
        <w:numPr>
          <w:ilvl w:val="0"/>
          <w:numId w:val="1038"/>
        </w:numPr>
        <w:pStyle w:val="Compact"/>
      </w:pPr>
      <w:r>
        <w:rPr>
          <w:bCs/>
          <w:b/>
        </w:rPr>
        <w:t xml:space="preserve">BSI: Bundesamt für Sicherheit in der Informationstechnik</w:t>
      </w:r>
      <w:r>
        <w:t xml:space="preserve"> </w:t>
      </w:r>
      <w:r>
        <w:t xml:space="preserve">- Regierungsorganisation zur Verbesserung der Informationssicherheit in Deutschland</w:t>
      </w:r>
    </w:p>
    <w:p>
      <w:pPr>
        <w:numPr>
          <w:ilvl w:val="0"/>
          <w:numId w:val="1038"/>
        </w:numPr>
        <w:pStyle w:val="Compact"/>
      </w:pPr>
      <w:r>
        <w:rPr>
          <w:bCs/>
          <w:b/>
        </w:rPr>
        <w:t xml:space="preserve">CI / CD: Continuous Integration / Continuous Deployment</w:t>
      </w:r>
      <w:r>
        <w:t xml:space="preserve"> </w:t>
      </w:r>
      <w:r>
        <w:t xml:space="preserve">- Techniken um von der Softwareentwicklung bis zur Produktionseinführung zu automatisieren</w:t>
      </w:r>
    </w:p>
    <w:p>
      <w:pPr>
        <w:numPr>
          <w:ilvl w:val="0"/>
          <w:numId w:val="1038"/>
        </w:numPr>
        <w:pStyle w:val="Compact"/>
      </w:pPr>
      <w:r>
        <w:rPr>
          <w:bCs/>
          <w:b/>
        </w:rPr>
        <w:t xml:space="preserve">CORS: Cross Origin Resource Sharing</w:t>
      </w:r>
      <w:r>
        <w:t xml:space="preserve"> </w:t>
      </w:r>
      <w:r>
        <w:t xml:space="preserve">- erlaubt Webbrowsern Zugriffe auf andere Dienste außerhalb seiner eigenen Domain.</w:t>
      </w:r>
    </w:p>
    <w:p>
      <w:pPr>
        <w:numPr>
          <w:ilvl w:val="0"/>
          <w:numId w:val="1038"/>
        </w:numPr>
        <w:pStyle w:val="Compact"/>
      </w:pPr>
      <w:r>
        <w:rPr>
          <w:bCs/>
          <w:b/>
        </w:rPr>
        <w:t xml:space="preserve">CSP:</w:t>
      </w:r>
    </w:p>
    <w:p>
      <w:pPr>
        <w:numPr>
          <w:ilvl w:val="1"/>
          <w:numId w:val="1039"/>
        </w:numPr>
        <w:pStyle w:val="Compact"/>
      </w:pPr>
      <w:r>
        <w:rPr>
          <w:bCs/>
          <w:b/>
        </w:rPr>
        <w:t xml:space="preserve">Content Security Policy</w:t>
      </w:r>
      <w:r>
        <w:t xml:space="preserve"> </w:t>
      </w:r>
      <w:r>
        <w:t xml:space="preserve">- Sicherheitskonzept, das Einfügen von Daten in Webseiten verhindert.</w:t>
      </w:r>
    </w:p>
    <w:p>
      <w:pPr>
        <w:numPr>
          <w:ilvl w:val="1"/>
          <w:numId w:val="1039"/>
        </w:numPr>
        <w:pStyle w:val="Compact"/>
      </w:pPr>
      <w:r>
        <w:rPr>
          <w:bCs/>
          <w:b/>
        </w:rPr>
        <w:t xml:space="preserve">Credential Service Provider</w:t>
      </w:r>
      <w:r>
        <w:t xml:space="preserve"> </w:t>
      </w:r>
      <w:r>
        <w:t xml:space="preserve">- Ein Dienst zur Verwaltung von Identitäten.</w:t>
      </w:r>
    </w:p>
    <w:p>
      <w:pPr>
        <w:numPr>
          <w:ilvl w:val="0"/>
          <w:numId w:val="1038"/>
        </w:numPr>
        <w:pStyle w:val="Compact"/>
      </w:pPr>
      <w:r>
        <w:rPr>
          <w:bCs/>
          <w:b/>
        </w:rPr>
        <w:t xml:space="preserve">CWE: Common Weakness Enumeration</w:t>
      </w:r>
      <w:r>
        <w:t xml:space="preserve"> </w:t>
      </w:r>
      <w:r>
        <w:t xml:space="preserve">- ist eine von der Community entwickelte Liste von allgemeinen Sicherheitsschwächen in Software. Sie dient als gemeinsame Sprache, als Messlatte für Softwaresicherheitstools und als Grundlage für die Identifizierung von Schwachstellen, deren Milderung und Prävention.</w:t>
      </w:r>
    </w:p>
    <w:p>
      <w:pPr>
        <w:numPr>
          <w:ilvl w:val="0"/>
          <w:numId w:val="1038"/>
        </w:numPr>
        <w:pStyle w:val="Compact"/>
      </w:pPr>
      <w:r>
        <w:rPr>
          <w:bCs/>
          <w:b/>
        </w:rPr>
        <w:t xml:space="preserve">DAST: Dynamic Application Security Testing</w:t>
      </w:r>
      <w:r>
        <w:t xml:space="preserve"> </w:t>
      </w:r>
      <w:r>
        <w:t xml:space="preserve">- Dynamische Anwendungssicherheitstests sind so konzipiert, dass sie Bedingungen erkennen, die auf eine Sicherheitslücke in einer Anwendung im laufenden Betrieb hindeuten.</w:t>
      </w:r>
    </w:p>
    <w:p>
      <w:pPr>
        <w:numPr>
          <w:ilvl w:val="0"/>
          <w:numId w:val="1038"/>
        </w:numPr>
        <w:pStyle w:val="Compact"/>
      </w:pPr>
      <w:r>
        <w:rPr>
          <w:bCs/>
          <w:b/>
        </w:rPr>
        <w:t xml:space="preserve">Design-Verifikation</w:t>
      </w:r>
      <w:r>
        <w:t xml:space="preserve"> </w:t>
      </w:r>
      <w:r>
        <w:t xml:space="preserve">- Die technische Bewertung der Sicherheitsarchitektur einer Anwendung.</w:t>
      </w:r>
    </w:p>
    <w:p>
      <w:pPr>
        <w:numPr>
          <w:ilvl w:val="0"/>
          <w:numId w:val="1038"/>
        </w:numPr>
        <w:pStyle w:val="Compact"/>
      </w:pPr>
      <w:r>
        <w:rPr>
          <w:bCs/>
          <w:b/>
        </w:rPr>
        <w:t xml:space="preserve">DoS: Denial of Service</w:t>
      </w:r>
      <w:r>
        <w:t xml:space="preserve"> </w:t>
      </w:r>
      <w:r>
        <w:t xml:space="preserve">- Ein Überlastungsangriff mit dem Ziel, die Verfügbarkeit der Anwendung oder deren Komponenten einzuschränken.</w:t>
      </w:r>
    </w:p>
    <w:p>
      <w:pPr>
        <w:numPr>
          <w:ilvl w:val="0"/>
          <w:numId w:val="1038"/>
        </w:numPr>
        <w:pStyle w:val="Compact"/>
      </w:pPr>
      <w:r>
        <w:rPr>
          <w:bCs/>
          <w:b/>
        </w:rPr>
        <w:t xml:space="preserve">Dynamische Verifikation</w:t>
      </w:r>
      <w:r>
        <w:t xml:space="preserve"> </w:t>
      </w:r>
      <w:r>
        <w:t xml:space="preserve">- Die Verwendung von automatisierten Tools, die Schwachstellensignaturen verwenden, um Probleme bei der Ausführung einer Anwendung zu finden.</w:t>
      </w:r>
    </w:p>
    <w:p>
      <w:pPr>
        <w:numPr>
          <w:ilvl w:val="0"/>
          <w:numId w:val="1038"/>
        </w:numPr>
        <w:pStyle w:val="Compact"/>
      </w:pPr>
      <w:r>
        <w:rPr>
          <w:bCs/>
          <w:b/>
        </w:rPr>
        <w:t xml:space="preserve">Eingabeprüfung</w:t>
      </w:r>
      <w:r>
        <w:t xml:space="preserve"> </w:t>
      </w:r>
      <w:r>
        <w:t xml:space="preserve">- Die Kanonisierung und Validierung von nicht vertrauenswürdigen Benutzereingaben.</w:t>
      </w:r>
    </w:p>
    <w:p>
      <w:pPr>
        <w:numPr>
          <w:ilvl w:val="0"/>
          <w:numId w:val="1038"/>
        </w:numPr>
        <w:pStyle w:val="Compact"/>
      </w:pPr>
      <w:r>
        <w:rPr>
          <w:bCs/>
          <w:b/>
        </w:rPr>
        <w:t xml:space="preserve">FIDO: Fast Identity Online</w:t>
      </w:r>
      <w:r>
        <w:t xml:space="preserve"> </w:t>
      </w:r>
      <w:r>
        <w:t xml:space="preserve">- Eine Gruppe von Standards zur Authentifikation, die verschiedene Authentifikationsverfahren, wie z.B. biometrische Verfahren, TPMs, USB-Token etc., definieren.</w:t>
      </w:r>
    </w:p>
    <w:p>
      <w:pPr>
        <w:numPr>
          <w:ilvl w:val="0"/>
          <w:numId w:val="1038"/>
        </w:numPr>
        <w:pStyle w:val="Compact"/>
      </w:pPr>
      <w:r>
        <w:rPr>
          <w:bCs/>
          <w:b/>
        </w:rPr>
        <w:t xml:space="preserve">GUID: Globally Unique Identifier</w:t>
      </w:r>
      <w:r>
        <w:t xml:space="preserve"> </w:t>
      </w:r>
      <w:r>
        <w:t xml:space="preserve">- eine eindeutige Referenznummer, die als Identifikator in der Software verwendet wird.</w:t>
      </w:r>
    </w:p>
    <w:p>
      <w:pPr>
        <w:numPr>
          <w:ilvl w:val="0"/>
          <w:numId w:val="1038"/>
        </w:numPr>
        <w:pStyle w:val="Compact"/>
      </w:pPr>
      <w:r>
        <w:rPr>
          <w:bCs/>
          <w:b/>
        </w:rPr>
        <w:t xml:space="preserve">Hardcodierte Schlüssel</w:t>
      </w:r>
      <w:r>
        <w:t xml:space="preserve"> </w:t>
      </w:r>
      <w:r>
        <w:t xml:space="preserve">- Kryptographische Schlüssel, die auf dem Dateisystem gespeichert werden, sei es in Form von Codes, Kommentaren oder Dateien.</w:t>
      </w:r>
    </w:p>
    <w:p>
      <w:pPr>
        <w:numPr>
          <w:ilvl w:val="0"/>
          <w:numId w:val="1038"/>
        </w:numPr>
        <w:pStyle w:val="Compact"/>
      </w:pPr>
      <w:r>
        <w:rPr>
          <w:bCs/>
          <w:b/>
        </w:rPr>
        <w:t xml:space="preserve">HSM: Hardware Security Module</w:t>
      </w:r>
      <w:r>
        <w:t xml:space="preserve"> </w:t>
      </w:r>
      <w:r>
        <w:t xml:space="preserve">- Zusatzhardware zur Schlüsselspeicherung oder Berechnung kryptografischer Algorithmen.</w:t>
      </w:r>
    </w:p>
    <w:p>
      <w:pPr>
        <w:numPr>
          <w:ilvl w:val="0"/>
          <w:numId w:val="1038"/>
        </w:numPr>
        <w:pStyle w:val="Compact"/>
      </w:pPr>
      <w:r>
        <w:rPr>
          <w:bCs/>
          <w:b/>
        </w:rPr>
        <w:t xml:space="preserve">HTTP: Hyper Text Transfer Protocol</w:t>
      </w:r>
      <w:r>
        <w:t xml:space="preserve"> </w:t>
      </w:r>
      <w:r>
        <w:t xml:space="preserve">- Ein Anwendungsprotokoll für verteilte, kollaborative, hypermediale Informationssysteme. Es ist die Grundlage der Datenkommunikation für das World Wide Web.</w:t>
      </w:r>
    </w:p>
    <w:p>
      <w:pPr>
        <w:numPr>
          <w:ilvl w:val="0"/>
          <w:numId w:val="1038"/>
        </w:numPr>
        <w:pStyle w:val="Compact"/>
      </w:pPr>
      <w:r>
        <w:rPr>
          <w:bCs/>
          <w:b/>
        </w:rPr>
        <w:t xml:space="preserve">Hibernate Query Language</w:t>
      </w:r>
      <w:r>
        <w:t xml:space="preserve"> </w:t>
      </w:r>
      <w:r>
        <w:t xml:space="preserve">- Eine dem SQL ähnliche Abfragesprache, die von der Hibernate ORM Bibliothek genutzt wird.</w:t>
      </w:r>
    </w:p>
    <w:p>
      <w:pPr>
        <w:numPr>
          <w:ilvl w:val="0"/>
          <w:numId w:val="1038"/>
        </w:numPr>
        <w:pStyle w:val="Compact"/>
      </w:pPr>
      <w:r>
        <w:rPr>
          <w:bCs/>
          <w:b/>
        </w:rPr>
        <w:t xml:space="preserve">Komponente</w:t>
      </w:r>
      <w:r>
        <w:t xml:space="preserve"> </w:t>
      </w:r>
      <w:r>
        <w:t xml:space="preserve">- eine in sich geschlossene Code-Einheit mit den zugehörigen Ein- und Ausgabeschnittstellen, die mit anderen Komponenten kommuniziert.</w:t>
      </w:r>
    </w:p>
    <w:p>
      <w:pPr>
        <w:numPr>
          <w:ilvl w:val="0"/>
          <w:numId w:val="1038"/>
        </w:numPr>
        <w:pStyle w:val="Compact"/>
      </w:pPr>
      <w:r>
        <w:rPr>
          <w:bCs/>
          <w:b/>
        </w:rPr>
        <w:t xml:space="preserve">Kryptografisches Modul</w:t>
      </w:r>
      <w:r>
        <w:t xml:space="preserve"> </w:t>
      </w:r>
      <w:r>
        <w:t xml:space="preserve">- Hardware, Software und/oder Firmware, die kryptografische Algorithmen umsetzt und kapselt und/oder kryptografische Schlüssel generiert.</w:t>
      </w:r>
    </w:p>
    <w:p>
      <w:pPr>
        <w:numPr>
          <w:ilvl w:val="0"/>
          <w:numId w:val="1038"/>
        </w:numPr>
        <w:pStyle w:val="Compact"/>
      </w:pPr>
      <w:r>
        <w:rPr>
          <w:bCs/>
          <w:b/>
        </w:rPr>
        <w:t xml:space="preserve">Malware</w:t>
      </w:r>
      <w:r>
        <w:t xml:space="preserve"> </w:t>
      </w:r>
      <w:r>
        <w:t xml:space="preserve">- Ausführbarer Code, der während der Laufzeit ohne Wissen des Anwendungsbenutzers oder ‑administrators in eine Anwendung eingeführt wird.</w:t>
      </w:r>
    </w:p>
    <w:p>
      <w:pPr>
        <w:numPr>
          <w:ilvl w:val="0"/>
          <w:numId w:val="1038"/>
        </w:numPr>
        <w:pStyle w:val="Compact"/>
      </w:pPr>
      <w:r>
        <w:rPr>
          <w:bCs/>
          <w:b/>
        </w:rPr>
        <w:t xml:space="preserve">MFA: Multiple Factor Authenticator</w:t>
      </w:r>
      <w:r>
        <w:t xml:space="preserve"> </w:t>
      </w:r>
      <w:r>
        <w:t xml:space="preserve">- Mehrfaktorauthentifikator, der zwei oder mehr Einzelfaktoren beinhaltet.</w:t>
      </w:r>
    </w:p>
    <w:p>
      <w:pPr>
        <w:numPr>
          <w:ilvl w:val="0"/>
          <w:numId w:val="1038"/>
        </w:numPr>
        <w:pStyle w:val="Compact"/>
      </w:pPr>
      <w:r>
        <w:rPr>
          <w:bCs/>
          <w:b/>
        </w:rPr>
        <w:t xml:space="preserve">ORM: Object Relational Mapping</w:t>
      </w:r>
      <w:r>
        <w:t xml:space="preserve"> </w:t>
      </w:r>
      <w:r>
        <w:t xml:space="preserve">- Eine Zuordnung von Daten in relationalen Datenbanken zu objektorientierten Programmcode.</w:t>
      </w:r>
    </w:p>
    <w:p>
      <w:pPr>
        <w:numPr>
          <w:ilvl w:val="0"/>
          <w:numId w:val="1038"/>
        </w:numPr>
        <w:pStyle w:val="Compact"/>
      </w:pPr>
      <w:r>
        <w:rPr>
          <w:bCs/>
          <w:b/>
        </w:rPr>
        <w:t xml:space="preserve">OS: Operating System</w:t>
      </w:r>
      <w:r>
        <w:t xml:space="preserve"> </w:t>
      </w:r>
      <w:r>
        <w:t xml:space="preserve">- Betriebssystem</w:t>
      </w:r>
    </w:p>
    <w:p>
      <w:pPr>
        <w:numPr>
          <w:ilvl w:val="0"/>
          <w:numId w:val="1038"/>
        </w:numPr>
        <w:pStyle w:val="Compact"/>
      </w:pPr>
      <w:r>
        <w:rPr>
          <w:bCs/>
          <w:b/>
        </w:rPr>
        <w:t xml:space="preserve">OTP: One Time Password</w:t>
      </w:r>
      <w:r>
        <w:t xml:space="preserve"> </w:t>
      </w:r>
      <w:r>
        <w:t xml:space="preserve">- Passwort zur einmaligen Verwendung</w:t>
      </w:r>
    </w:p>
    <w:p>
      <w:pPr>
        <w:numPr>
          <w:ilvl w:val="0"/>
          <w:numId w:val="1038"/>
        </w:numPr>
        <w:pStyle w:val="Compact"/>
      </w:pPr>
      <w:r>
        <w:rPr>
          <w:bCs/>
          <w:b/>
        </w:rPr>
        <w:t xml:space="preserve">OWASP: Open Web Application Security Project</w:t>
      </w:r>
      <w:r>
        <w:t xml:space="preserve"> </w:t>
      </w:r>
      <w:r>
        <w:t xml:space="preserve">-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w:t>
      </w:r>
      <w:r>
        <w:t xml:space="preserve"> </w:t>
      </w:r>
      <w:hyperlink r:id="rId265">
        <w:r>
          <w:rPr>
            <w:rStyle w:val="Hyperlink"/>
          </w:rPr>
          <w:t xml:space="preserve">https://www.owasp.org/</w:t>
        </w:r>
      </w:hyperlink>
    </w:p>
    <w:p>
      <w:pPr>
        <w:numPr>
          <w:ilvl w:val="0"/>
          <w:numId w:val="1038"/>
        </w:numPr>
        <w:pStyle w:val="Compact"/>
      </w:pPr>
      <w:r>
        <w:rPr>
          <w:bCs/>
          <w:b/>
        </w:rPr>
        <w:t xml:space="preserve">Padding Oracle Angriff</w:t>
      </w:r>
      <w:r>
        <w:t xml:space="preserve"> </w:t>
      </w:r>
      <w:r>
        <w:t xml:space="preserve">- Angriff auf Software zur Verschlüsselung, der mit Hilfe der aufgefüllten Blocks (Padding) Schlüssel errät.</w:t>
      </w:r>
    </w:p>
    <w:p>
      <w:pPr>
        <w:numPr>
          <w:ilvl w:val="0"/>
          <w:numId w:val="1038"/>
        </w:numPr>
        <w:pStyle w:val="Compact"/>
      </w:pPr>
      <w:r>
        <w:rPr>
          <w:bCs/>
          <w:b/>
        </w:rPr>
        <w:t xml:space="preserve">PBKDF2: Password Based Key Derivation Function 2</w:t>
      </w:r>
      <w:r>
        <w:t xml:space="preserve"> </w:t>
      </w:r>
      <w:r>
        <w:t xml:space="preserve">- Ein Algorithmus, der aus einem Passwort und einem Zufallswert einen kryptografischen Schlüssel ableitet</w:t>
      </w:r>
    </w:p>
    <w:p>
      <w:pPr>
        <w:numPr>
          <w:ilvl w:val="0"/>
          <w:numId w:val="1038"/>
        </w:numPr>
        <w:pStyle w:val="Compact"/>
      </w:pPr>
      <w:r>
        <w:rPr>
          <w:bCs/>
          <w:b/>
        </w:rPr>
        <w:t xml:space="preserve">Personenbezogene Daten</w:t>
      </w:r>
      <w:r>
        <w:t xml:space="preserve"> </w:t>
      </w:r>
      <w:r>
        <w:t xml:space="preserve">- sind Informationen, die allein oder zusammen mit anderen Informationen verwendet werden können, um eine einzelne Person zu identifizieren.</w:t>
      </w:r>
    </w:p>
    <w:p>
      <w:pPr>
        <w:numPr>
          <w:ilvl w:val="0"/>
          <w:numId w:val="1038"/>
        </w:numPr>
        <w:pStyle w:val="Compact"/>
      </w:pPr>
      <w:r>
        <w:rPr>
          <w:bCs/>
          <w:b/>
        </w:rPr>
        <w:t xml:space="preserve">PIE: Position Idependent Executeable</w:t>
      </w:r>
      <w:r>
        <w:t xml:space="preserve"> </w:t>
      </w:r>
      <w:r>
        <w:t xml:space="preserve">- Positionsunabhängig ausführbarer Code ist der Körper eines Maschinencodes, der, wenn er irgendwo im Primärspeicher abgelegt wird, unabhängig von seiner absoluten Adresse korrekt ausgeführt wird.</w:t>
      </w:r>
    </w:p>
    <w:p>
      <w:pPr>
        <w:numPr>
          <w:ilvl w:val="0"/>
          <w:numId w:val="1038"/>
        </w:numPr>
        <w:pStyle w:val="Compact"/>
      </w:pPr>
      <w:r>
        <w:rPr>
          <w:bCs/>
          <w:b/>
        </w:rPr>
        <w:t xml:space="preserve">PKI: Public Key Infrastructure</w:t>
      </w:r>
      <w:r>
        <w:t xml:space="preserve"> </w:t>
      </w:r>
      <w:r>
        <w:t xml:space="preserve">- verbindet öffentliche Schlüssel mit den jeweiligen Identitäten von Entitäten. Die Bindung wird durch einen Prozess der Registrierung und Ausgabe von Zertifikaten bei und durch eine Zertifizierungsstelle hergestellt.</w:t>
      </w:r>
    </w:p>
    <w:p>
      <w:pPr>
        <w:numPr>
          <w:ilvl w:val="0"/>
          <w:numId w:val="1038"/>
        </w:numPr>
        <w:pStyle w:val="Compact"/>
      </w:pPr>
      <w:r>
        <w:rPr>
          <w:bCs/>
          <w:b/>
        </w:rPr>
        <w:t xml:space="preserve">Positivliste</w:t>
      </w:r>
      <w:r>
        <w:t xml:space="preserve"> </w:t>
      </w:r>
      <w:r>
        <w:t xml:space="preserve">- Eine Liste zulässiger Daten oder Operationen, z.B. eine Liste von Zeichen, die Eingabeprüfung akzeptiert.</w:t>
      </w:r>
    </w:p>
    <w:p>
      <w:pPr>
        <w:numPr>
          <w:ilvl w:val="0"/>
          <w:numId w:val="1038"/>
        </w:numPr>
        <w:pStyle w:val="Compact"/>
      </w:pPr>
      <w:r>
        <w:rPr>
          <w:bCs/>
          <w:b/>
        </w:rPr>
        <w:t xml:space="preserve">PSTN: Public Switched Telephone Network</w:t>
      </w:r>
      <w:r>
        <w:t xml:space="preserve"> </w:t>
      </w:r>
      <w:r>
        <w:t xml:space="preserve">- Das ist das öffentliche Telefonnetz.</w:t>
      </w:r>
    </w:p>
    <w:p>
      <w:pPr>
        <w:numPr>
          <w:ilvl w:val="0"/>
          <w:numId w:val="1038"/>
        </w:numPr>
        <w:pStyle w:val="Compact"/>
      </w:pPr>
      <w:r>
        <w:rPr>
          <w:bCs/>
          <w:b/>
        </w:rPr>
        <w:t xml:space="preserve">RFI: Remote File Inclusion</w:t>
      </w:r>
      <w:r>
        <w:t xml:space="preserve"> </w:t>
      </w:r>
      <w:r>
        <w:t xml:space="preserve">- Angriffstechnik auf scriptbasierende Webanwendungen, bei der weitere, nicht autorisierte, Scripte zur Ausführung gebracht werden</w:t>
      </w:r>
    </w:p>
    <w:p>
      <w:pPr>
        <w:numPr>
          <w:ilvl w:val="0"/>
          <w:numId w:val="1038"/>
        </w:numPr>
        <w:pStyle w:val="Compact"/>
      </w:pPr>
      <w:r>
        <w:rPr>
          <w:bCs/>
          <w:b/>
        </w:rPr>
        <w:t xml:space="preserve">SAST: Static Appliction Security Testing</w:t>
      </w:r>
      <w:r>
        <w:t xml:space="preserve"> </w:t>
      </w:r>
      <w:r>
        <w:t xml:space="preserve">-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pPr>
        <w:numPr>
          <w:ilvl w:val="0"/>
          <w:numId w:val="1038"/>
        </w:numPr>
        <w:pStyle w:val="Compact"/>
      </w:pPr>
      <w:r>
        <w:rPr>
          <w:bCs/>
          <w:b/>
        </w:rPr>
        <w:t xml:space="preserve">SDLC: Software Development Life Cycle</w:t>
      </w:r>
      <w:r>
        <w:t xml:space="preserve"> </w:t>
      </w:r>
      <w:r>
        <w:t xml:space="preserve">- Der Lebenszyklus der Softwareentwicklung ist der Prozess, der die Entwicklung von Software von den ersten Anforderungen bis zur Betriebsphase beschreibt.</w:t>
      </w:r>
    </w:p>
    <w:p>
      <w:pPr>
        <w:numPr>
          <w:ilvl w:val="0"/>
          <w:numId w:val="1038"/>
        </w:numPr>
        <w:pStyle w:val="Compact"/>
      </w:pPr>
      <w:r>
        <w:rPr>
          <w:bCs/>
          <w:b/>
        </w:rPr>
        <w:t xml:space="preserve">SBOM: Software Bill of Materials</w:t>
      </w:r>
      <w:r>
        <w:t xml:space="preserve"> </w:t>
      </w:r>
      <w:r>
        <w:t xml:space="preserve">- Softwarestücklisten deklarieren alle verwendeten Bibliotheken.</w:t>
      </w:r>
    </w:p>
    <w:p>
      <w:pPr>
        <w:numPr>
          <w:ilvl w:val="0"/>
          <w:numId w:val="1038"/>
        </w:numPr>
        <w:pStyle w:val="Compact"/>
      </w:pPr>
      <w:r>
        <w:rPr>
          <w:bCs/>
          <w:b/>
        </w:rPr>
        <w:t xml:space="preserve">SFA: Single Factor Authentication</w:t>
      </w:r>
      <w:r>
        <w:t xml:space="preserve"> </w:t>
      </w:r>
      <w:r>
        <w:t xml:space="preserve">- Einfaktorauthentifikator, beruht auf nur einem Faktor z.B. etwas, das Sie kennen (gespeicherte Geheimnisse, Passwörter, Passphrasen, PINs), etwas, das Sie sind (biometrische Merkmale) oder etwas, das Sie besitzen (OTP-Token, Chipkarte)</w:t>
      </w:r>
    </w:p>
    <w:p>
      <w:pPr>
        <w:numPr>
          <w:ilvl w:val="0"/>
          <w:numId w:val="1038"/>
        </w:numPr>
        <w:pStyle w:val="Compact"/>
      </w:pPr>
      <w:r>
        <w:rPr>
          <w:bCs/>
          <w:b/>
        </w:rPr>
        <w:t xml:space="preserve">Sicherheitsarchitektur</w:t>
      </w:r>
      <w:r>
        <w:t xml:space="preserve"> </w:t>
      </w:r>
      <w:r>
        <w:t xml:space="preserve">- Eine Abstraktion eines Anwendungsdesigns, die identifiziert und beschreibt, wo und wie Sicherheitsmaßnahmen verwendet werden, und auch den Ort und die Empfindlichkeit von Benutzer- und Anwendungsdaten identifiziert und beschreibt.</w:t>
      </w:r>
    </w:p>
    <w:p>
      <w:pPr>
        <w:numPr>
          <w:ilvl w:val="0"/>
          <w:numId w:val="1038"/>
        </w:numPr>
        <w:pStyle w:val="Compact"/>
      </w:pPr>
      <w:r>
        <w:rPr>
          <w:bCs/>
          <w:b/>
        </w:rPr>
        <w:t xml:space="preserve">Sicherheitskonfiguration</w:t>
      </w:r>
      <w:r>
        <w:t xml:space="preserve"> </w:t>
      </w:r>
      <w:r>
        <w:t xml:space="preserve">- Die Laufzeitkonfiguration einer Anwendung, die sich auf die Verwendung von Sicherheitsmaßnahmen auswirkt.</w:t>
      </w:r>
    </w:p>
    <w:p>
      <w:pPr>
        <w:numPr>
          <w:ilvl w:val="0"/>
          <w:numId w:val="1038"/>
        </w:numPr>
        <w:pStyle w:val="Compact"/>
      </w:pPr>
      <w:r>
        <w:rPr>
          <w:bCs/>
          <w:b/>
        </w:rPr>
        <w:t xml:space="preserve">Sicherheitsmaßnahme</w:t>
      </w:r>
      <w:r>
        <w:t xml:space="preserve"> </w:t>
      </w:r>
      <w:r>
        <w:t xml:space="preserve">- Eine Funktion oder Komponente, die eine Sicherheitsprüfung, z. B. eine Zugriffskontrollprüfung, durchführt, oder bei deren Aufruf ein Sicherheitseffekt, z. B. die Erstellung eines Auditdatensatzes, entsteht.</w:t>
      </w:r>
    </w:p>
    <w:p>
      <w:pPr>
        <w:numPr>
          <w:ilvl w:val="0"/>
          <w:numId w:val="1038"/>
        </w:numPr>
        <w:pStyle w:val="Compact"/>
      </w:pPr>
      <w:r>
        <w:rPr>
          <w:bCs/>
          <w:b/>
        </w:rPr>
        <w:t xml:space="preserve">SQL-Injektion</w:t>
      </w:r>
      <w:r>
        <w:t xml:space="preserve"> </w:t>
      </w:r>
      <w:r>
        <w:t xml:space="preserve">- Eine Injektionstechnik, bei der SQL-Anweisungen in den Datenstrom eingefügt werden.</w:t>
      </w:r>
    </w:p>
    <w:p>
      <w:pPr>
        <w:numPr>
          <w:ilvl w:val="0"/>
          <w:numId w:val="1038"/>
        </w:numPr>
        <w:pStyle w:val="Compact"/>
      </w:pPr>
      <w:r>
        <w:rPr>
          <w:bCs/>
          <w:b/>
        </w:rPr>
        <w:t xml:space="preserve">SSO-Authentifizierung</w:t>
      </w:r>
      <w:r>
        <w:t xml:space="preserve"> </w:t>
      </w:r>
      <w:r>
        <w:t xml:space="preserve">-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pPr>
        <w:numPr>
          <w:ilvl w:val="0"/>
          <w:numId w:val="1038"/>
        </w:numPr>
        <w:pStyle w:val="Compact"/>
      </w:pPr>
      <w:r>
        <w:rPr>
          <w:bCs/>
          <w:b/>
        </w:rPr>
        <w:t xml:space="preserve">SSRF: Server-Side Request Forgery</w:t>
      </w:r>
      <w:r>
        <w:t xml:space="preserve"> </w:t>
      </w:r>
      <w:r>
        <w:t xml:space="preserve">- Nutzt den anfälligen Server als Proxy um Informationen aus dessen Umgebung zu erlangen.</w:t>
      </w:r>
    </w:p>
    <w:p>
      <w:pPr>
        <w:numPr>
          <w:ilvl w:val="0"/>
          <w:numId w:val="1038"/>
        </w:numPr>
        <w:pStyle w:val="Compact"/>
      </w:pPr>
      <w:r>
        <w:rPr>
          <w:bCs/>
          <w:b/>
        </w:rPr>
        <w:t xml:space="preserve">Template Injection Angriff</w:t>
      </w:r>
      <w:r>
        <w:t xml:space="preserve"> </w:t>
      </w:r>
      <w:r>
        <w:t xml:space="preserve">- Webserver fügen per Template Engines Daten aus Datenquellen z.B. in Websites ein. Dazu nutzen sie Platzhalter u.a. Steuerelemente. Ungeprüft ausgeführte Nutzereingaben können diese Steuerelemente missbrauchen.</w:t>
      </w:r>
    </w:p>
    <w:p>
      <w:pPr>
        <w:numPr>
          <w:ilvl w:val="0"/>
          <w:numId w:val="1038"/>
        </w:numPr>
        <w:pStyle w:val="Compact"/>
      </w:pPr>
      <w:r>
        <w:rPr>
          <w:bCs/>
          <w:b/>
        </w:rPr>
        <w:t xml:space="preserve">Threat Modeling</w:t>
      </w:r>
      <w:r>
        <w:t xml:space="preserve"> </w:t>
      </w:r>
      <w:r>
        <w:t xml:space="preserve">- Eine Technik, immer raffiniertere Sicherheitsarchitekturen zu entwickeln, um Bedrohungsagenten, Sicherheitszonen, Sicherheitsmaßnahmen und wichtige technische und geschäftliche Ressourcen zu identifizieren.</w:t>
      </w:r>
    </w:p>
    <w:p>
      <w:pPr>
        <w:numPr>
          <w:ilvl w:val="0"/>
          <w:numId w:val="1038"/>
        </w:numPr>
        <w:pStyle w:val="Compact"/>
      </w:pPr>
      <w:r>
        <w:rPr>
          <w:bCs/>
          <w:b/>
        </w:rPr>
        <w:t xml:space="preserve">TLS: Transport Layer Security</w:t>
      </w:r>
      <w:r>
        <w:t xml:space="preserve"> </w:t>
      </w:r>
      <w:r>
        <w:t xml:space="preserve">- Kryptographische Protokolle, die Kommunikationssicherheit für eine Netzwerkverbindung bieten.</w:t>
      </w:r>
    </w:p>
    <w:p>
      <w:pPr>
        <w:numPr>
          <w:ilvl w:val="0"/>
          <w:numId w:val="1038"/>
        </w:numPr>
        <w:pStyle w:val="Compact"/>
      </w:pPr>
      <w:r>
        <w:rPr>
          <w:bCs/>
          <w:b/>
        </w:rPr>
        <w:t xml:space="preserve">TOCTOU</w:t>
      </w:r>
      <w:r>
        <w:t xml:space="preserve">: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pPr>
        <w:numPr>
          <w:ilvl w:val="0"/>
          <w:numId w:val="1038"/>
        </w:numPr>
        <w:pStyle w:val="Compact"/>
      </w:pPr>
      <w:r>
        <w:rPr>
          <w:bCs/>
          <w:b/>
        </w:rPr>
        <w:t xml:space="preserve">TOTP</w:t>
      </w:r>
      <w:r>
        <w:t xml:space="preserve">: Time-based One-Time Password - Verfahren zum Erzeugen von Einmalpasswörten auf Basis der Uhrzeit</w:t>
      </w:r>
    </w:p>
    <w:p>
      <w:pPr>
        <w:numPr>
          <w:ilvl w:val="0"/>
          <w:numId w:val="1038"/>
        </w:numPr>
        <w:pStyle w:val="Compact"/>
      </w:pPr>
      <w:r>
        <w:rPr>
          <w:bCs/>
          <w:b/>
        </w:rPr>
        <w:t xml:space="preserve">TPM</w:t>
      </w:r>
      <w:r>
        <w:t xml:space="preserve">: Trusted Platform Module - Zusatzchip, der ein System um grundlegende Sicherheitsfunktionen erweitert.</w:t>
      </w:r>
    </w:p>
    <w:p>
      <w:pPr>
        <w:numPr>
          <w:ilvl w:val="0"/>
          <w:numId w:val="1038"/>
        </w:numPr>
        <w:pStyle w:val="Compact"/>
      </w:pPr>
      <w:r>
        <w:rPr>
          <w:bCs/>
          <w:b/>
        </w:rPr>
        <w:t xml:space="preserve">U2F</w:t>
      </w:r>
      <w:r>
        <w:t xml:space="preserve">: Universal 2nd Factor - Ein FIDO-Standard, der ein USB- oder NFC-Token als zweiten Authentisierungsfaktor einbindet.</w:t>
      </w:r>
    </w:p>
    <w:p>
      <w:pPr>
        <w:numPr>
          <w:ilvl w:val="0"/>
          <w:numId w:val="1038"/>
        </w:numPr>
        <w:pStyle w:val="Compact"/>
      </w:pPr>
      <w:r>
        <w:rPr>
          <w:bCs/>
          <w:b/>
        </w:rPr>
        <w:t xml:space="preserve">URI/URL/URL-Fragmente</w:t>
      </w:r>
      <w:r>
        <w:t xml:space="preserve"> </w:t>
      </w:r>
      <w:r>
        <w:t xml:space="preserve">- Ein Uniform Resource Identifier ist eine Zeichenkette, die zur Identifizierung eines Namens oder einer Web-Ressource verwendet wird. Ein Uniform Resource Locator wird oft als Verweis auf eine Ressource verwendet.</w:t>
      </w:r>
    </w:p>
    <w:p>
      <w:pPr>
        <w:numPr>
          <w:ilvl w:val="0"/>
          <w:numId w:val="1038"/>
        </w:numPr>
        <w:pStyle w:val="Compact"/>
      </w:pPr>
      <w:r>
        <w:rPr>
          <w:bCs/>
          <w:b/>
        </w:rPr>
        <w:t xml:space="preserve">Verifizierer</w:t>
      </w:r>
    </w:p>
    <w:p>
      <w:pPr>
        <w:numPr>
          <w:ilvl w:val="1"/>
          <w:numId w:val="1040"/>
        </w:numPr>
        <w:pStyle w:val="Compact"/>
      </w:pPr>
      <w:r>
        <w:t xml:space="preserve">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pPr>
        <w:numPr>
          <w:ilvl w:val="1"/>
          <w:numId w:val="1040"/>
        </w:numPr>
        <w:pStyle w:val="Compact"/>
      </w:pPr>
      <w:r>
        <w:t xml:space="preserve">OWASP: Die Person oder das Team, die bzw. das eine Anwendung anhand der OWASP ASVS-Anforderungen überprüft.</w:t>
      </w:r>
    </w:p>
    <w:p>
      <w:pPr>
        <w:numPr>
          <w:ilvl w:val="0"/>
          <w:numId w:val="1038"/>
        </w:numPr>
        <w:pStyle w:val="Compact"/>
      </w:pPr>
      <w:r>
        <w:rPr>
          <w:bCs/>
          <w:b/>
        </w:rPr>
        <w:t xml:space="preserve">Verifizierung der Anwendungssicherheit</w:t>
      </w:r>
      <w:r>
        <w:t xml:space="preserve"> </w:t>
      </w:r>
      <w:r>
        <w:t xml:space="preserve">- Die technische Bewertung einer Anwendung in Bezug auf den OWASP ASVS.</w:t>
      </w:r>
    </w:p>
    <w:p>
      <w:pPr>
        <w:numPr>
          <w:ilvl w:val="0"/>
          <w:numId w:val="1038"/>
        </w:numPr>
        <w:pStyle w:val="Compact"/>
      </w:pPr>
      <w:r>
        <w:rPr>
          <w:bCs/>
          <w:b/>
        </w:rPr>
        <w:t xml:space="preserve">Whitelist</w:t>
      </w:r>
      <w:r>
        <w:t xml:space="preserve"> </w:t>
      </w:r>
      <w:r>
        <w:t xml:space="preserve">- zunehmend ungebräuchlicher Begriff, siehe</w:t>
      </w:r>
      <w:r>
        <w:t xml:space="preserve"> </w:t>
      </w:r>
      <w:r>
        <w:rPr>
          <w:bCs/>
          <w:b/>
        </w:rPr>
        <w:t xml:space="preserve">Positivliste</w:t>
      </w:r>
    </w:p>
    <w:p>
      <w:pPr>
        <w:numPr>
          <w:ilvl w:val="0"/>
          <w:numId w:val="1038"/>
        </w:numPr>
        <w:pStyle w:val="Compact"/>
      </w:pPr>
      <w:r>
        <w:rPr>
          <w:bCs/>
          <w:b/>
        </w:rPr>
        <w:t xml:space="preserve">WYSIWYG: What You See Is What You Get</w:t>
      </w:r>
      <w:r>
        <w:t xml:space="preserve"> </w:t>
      </w:r>
      <w:r>
        <w:t xml:space="preserve">- Editoren u.ä. Software, die das Ergebnis sofort im finalen Design anzeigen.</w:t>
      </w:r>
    </w:p>
    <w:p>
      <w:pPr>
        <w:numPr>
          <w:ilvl w:val="0"/>
          <w:numId w:val="1038"/>
        </w:numPr>
        <w:pStyle w:val="Compact"/>
      </w:pPr>
      <w:r>
        <w:rPr>
          <w:bCs/>
          <w:b/>
        </w:rPr>
        <w:t xml:space="preserve">X.509-Zertifikat</w:t>
      </w:r>
      <w:r>
        <w:t xml:space="preserve"> </w:t>
      </w:r>
      <w:r>
        <w:t xml:space="preserve">- Ein X.509-Zertifikat ist ein digitales Zertifikat, das den allgemein anerkannten internationalen X.509 PKI Standard verwendet, um zu prüfen, dass ein öffentlicher Schlüssel zu der im Zertifikat enthaltenen Benutzer-, Computer- oder Service-Identität gehört.</w:t>
      </w:r>
    </w:p>
    <w:p>
      <w:pPr>
        <w:numPr>
          <w:ilvl w:val="0"/>
          <w:numId w:val="1038"/>
        </w:numPr>
        <w:pStyle w:val="Compact"/>
      </w:pPr>
      <w:r>
        <w:rPr>
          <w:bCs/>
          <w:b/>
        </w:rPr>
        <w:t xml:space="preserve">XSS: Cross Site Scripting</w:t>
      </w:r>
      <w:r>
        <w:t xml:space="preserve"> </w:t>
      </w:r>
      <w:r>
        <w:t xml:space="preserve">- Eine Sicherheitslücke, die typischerweise in Webanwendungen zu finden ist, und die das Einfügen von clientseitigen Skripten in den Inhalt ermöglicht.</w:t>
      </w:r>
    </w:p>
    <w:p>
      <w:pPr>
        <w:numPr>
          <w:ilvl w:val="0"/>
          <w:numId w:val="1038"/>
        </w:numPr>
        <w:pStyle w:val="Compact"/>
      </w:pPr>
      <w:r>
        <w:rPr>
          <w:bCs/>
          <w:b/>
        </w:rPr>
        <w:t xml:space="preserve">XXE: XML External Entity</w:t>
      </w:r>
      <w:r>
        <w:t xml:space="preserve"> </w:t>
      </w:r>
      <w:r>
        <w:t xml:space="preserve">- Ein Angriff auf XML Dokumente mit Hilfe externer Doctype-Definition.</w:t>
      </w:r>
    </w:p>
    <w:bookmarkEnd w:id="266"/>
    <w:bookmarkStart w:id="289" w:name="anhang-b-referenzen"/>
    <w:p>
      <w:pPr>
        <w:pStyle w:val="Heading1"/>
      </w:pPr>
      <w:r>
        <w:t xml:space="preserve">Anhang B: Referenzen</w:t>
      </w:r>
    </w:p>
    <w:p>
      <w:pPr>
        <w:pStyle w:val="FirstParagraph"/>
      </w:pPr>
      <w:r>
        <w:t xml:space="preserve">Die folgenden OWASP-Projekte könnten für die Anwender des ASVS nützlich sein:</w:t>
      </w:r>
    </w:p>
    <w:bookmarkStart w:id="271" w:name="owasp-kernprojekte"/>
    <w:p>
      <w:pPr>
        <w:pStyle w:val="Heading2"/>
      </w:pPr>
      <w:r>
        <w:t xml:space="preserve">OWASP Kernprojekte</w:t>
      </w:r>
    </w:p>
    <w:p>
      <w:pPr>
        <w:numPr>
          <w:ilvl w:val="0"/>
          <w:numId w:val="1041"/>
        </w:numPr>
        <w:pStyle w:val="Compact"/>
      </w:pPr>
      <w:r>
        <w:t xml:space="preserve">OWASP Top 10 Project:</w:t>
      </w:r>
      <w:r>
        <w:t xml:space="preserve"> </w:t>
      </w:r>
      <w:hyperlink r:id="rId267">
        <w:hyperlink r:id="rId267">
          <w:r>
            <w:rPr>
              <w:rStyle w:val="Hyperlink"/>
            </w:rPr>
            <w:t xml:space="preserve">https://owasp.org/www-project-top-ten/</w:t>
          </w:r>
        </w:hyperlink>
      </w:hyperlink>
    </w:p>
    <w:p>
      <w:pPr>
        <w:numPr>
          <w:ilvl w:val="0"/>
          <w:numId w:val="1041"/>
        </w:numPr>
        <w:pStyle w:val="Compact"/>
      </w:pPr>
      <w:r>
        <w:t xml:space="preserve">OWASP Web Security Testing Guide:</w:t>
      </w:r>
      <w:r>
        <w:t xml:space="preserve"> </w:t>
      </w:r>
      <w:hyperlink r:id="rId268">
        <w:hyperlink r:id="rId268">
          <w:r>
            <w:rPr>
              <w:rStyle w:val="Hyperlink"/>
            </w:rPr>
            <w:t xml:space="preserve">https://owasp.org/www-project-web-security-testing-guide/</w:t>
          </w:r>
        </w:hyperlink>
      </w:hyperlink>
    </w:p>
    <w:p>
      <w:pPr>
        <w:numPr>
          <w:ilvl w:val="0"/>
          <w:numId w:val="1041"/>
        </w:numPr>
        <w:pStyle w:val="Compact"/>
      </w:pPr>
      <w:r>
        <w:t xml:space="preserve">OWASP Proactive Controls:</w:t>
      </w:r>
      <w:r>
        <w:t xml:space="preserve"> </w:t>
      </w:r>
      <w:hyperlink r:id="rId269">
        <w:hyperlink r:id="rId269">
          <w:r>
            <w:rPr>
              <w:rStyle w:val="Hyperlink"/>
            </w:rPr>
            <w:t xml:space="preserve">https://owasp.org/www-project-proactive-controls/</w:t>
          </w:r>
        </w:hyperlink>
      </w:hyperlink>
    </w:p>
    <w:p>
      <w:pPr>
        <w:numPr>
          <w:ilvl w:val="0"/>
          <w:numId w:val="1041"/>
        </w:numPr>
        <w:pStyle w:val="Compact"/>
      </w:pPr>
      <w:r>
        <w:t xml:space="preserve">OWASP Security Knowledge Framework:</w:t>
      </w:r>
      <w:r>
        <w:t xml:space="preserve"> </w:t>
      </w:r>
      <w:hyperlink r:id="rId270">
        <w:hyperlink r:id="rId270">
          <w:r>
            <w:rPr>
              <w:rStyle w:val="Hyperlink"/>
            </w:rPr>
            <w:t xml:space="preserve">https://owasp.org/www-project-security-knowledge-framework/</w:t>
          </w:r>
        </w:hyperlink>
      </w:hyperlink>
    </w:p>
    <w:p>
      <w:pPr>
        <w:numPr>
          <w:ilvl w:val="0"/>
          <w:numId w:val="1041"/>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1"/>
    <w:bookmarkStart w:id="274" w:name="owasp-cheat-sheet-series-project"/>
    <w:p>
      <w:pPr>
        <w:pStyle w:val="Heading2"/>
      </w:pPr>
      <w:r>
        <w:t xml:space="preserve">OWASP Cheat Sheet Series project</w:t>
      </w:r>
    </w:p>
    <w:p>
      <w:pPr>
        <w:pStyle w:val="FirstParagraph"/>
      </w:pPr>
      <w:hyperlink r:id="rId272">
        <w:r>
          <w:rPr>
            <w:rStyle w:val="Hyperlink"/>
          </w:rPr>
          <w:t xml:space="preserve">Das Cheat Sheet Projekt</w:t>
        </w:r>
      </w:hyperlink>
      <w:r>
        <w:t xml:space="preserve"> </w:t>
      </w:r>
      <w:r>
        <w:t xml:space="preserve">stellt für viele Bereiche eine Vielzahl von Hilfsmitteln bereit:</w:t>
      </w:r>
    </w:p>
    <w:p>
      <w:pPr>
        <w:pStyle w:val="BodyText"/>
      </w:pPr>
      <w:r>
        <w:t xml:space="preserve">Die Übersicht befindet sich unter:</w:t>
      </w:r>
      <w:r>
        <w:t xml:space="preserve"> </w:t>
      </w:r>
      <w:hyperlink r:id="rId273">
        <w:hyperlink r:id="rId273">
          <w:r>
            <w:rPr>
              <w:rStyle w:val="Hyperlink"/>
            </w:rPr>
            <w:t xml:space="preserve">https://cheatsheetseries.owasp.org/cheatsheets/IndexASVS.html</w:t>
          </w:r>
        </w:hyperlink>
      </w:hyperlink>
    </w:p>
    <w:bookmarkEnd w:id="274"/>
    <w:bookmarkStart w:id="278" w:name="mobile-security-projekte"/>
    <w:p>
      <w:pPr>
        <w:pStyle w:val="Heading2"/>
      </w:pPr>
      <w:r>
        <w:t xml:space="preserve">Mobile Security Projekte</w:t>
      </w:r>
    </w:p>
    <w:p>
      <w:pPr>
        <w:numPr>
          <w:ilvl w:val="0"/>
          <w:numId w:val="1042"/>
        </w:numPr>
        <w:pStyle w:val="Compact"/>
      </w:pPr>
      <w:r>
        <w:t xml:space="preserve">OWASP Mobile Security Project:</w:t>
      </w:r>
      <w:r>
        <w:t xml:space="preserve"> </w:t>
      </w:r>
      <w:hyperlink r:id="rId275">
        <w:hyperlink r:id="rId275">
          <w:r>
            <w:rPr>
              <w:rStyle w:val="Hyperlink"/>
            </w:rPr>
            <w:t xml:space="preserve">https://owasp.org/www-project-mobile-security/</w:t>
          </w:r>
        </w:hyperlink>
      </w:hyperlink>
    </w:p>
    <w:p>
      <w:pPr>
        <w:numPr>
          <w:ilvl w:val="0"/>
          <w:numId w:val="1042"/>
        </w:numPr>
        <w:pStyle w:val="Compact"/>
      </w:pPr>
      <w:r>
        <w:t xml:space="preserve">OWASP Mobile Top 10 Risks:</w:t>
      </w:r>
      <w:r>
        <w:t xml:space="preserve"> </w:t>
      </w:r>
      <w:hyperlink r:id="rId276">
        <w:hyperlink r:id="rId276">
          <w:r>
            <w:rPr>
              <w:rStyle w:val="Hyperlink"/>
            </w:rPr>
            <w:t xml:space="preserve">https://owasp.org/www-project-mobile-top-10/</w:t>
          </w:r>
        </w:hyperlink>
      </w:hyperlink>
    </w:p>
    <w:p>
      <w:pPr>
        <w:numPr>
          <w:ilvl w:val="0"/>
          <w:numId w:val="1042"/>
        </w:numPr>
        <w:pStyle w:val="Compact"/>
      </w:pPr>
      <w:r>
        <w:t xml:space="preserve">OWASP Mobile Security Testing Guide and Mobile Application Security Verification Standard:</w:t>
      </w:r>
      <w:r>
        <w:t xml:space="preserve"> </w:t>
      </w:r>
      <w:hyperlink r:id="rId277">
        <w:hyperlink r:id="rId277">
          <w:r>
            <w:rPr>
              <w:rStyle w:val="Hyperlink"/>
            </w:rPr>
            <w:t xml:space="preserve">https://owasp.org/www-project-mobile-security-testing-guide/</w:t>
          </w:r>
        </w:hyperlink>
      </w:hyperlink>
    </w:p>
    <w:bookmarkEnd w:id="278"/>
    <w:bookmarkStart w:id="280" w:name="owasp-internet-of-things-projekte"/>
    <w:p>
      <w:pPr>
        <w:pStyle w:val="Heading2"/>
      </w:pPr>
      <w:r>
        <w:t xml:space="preserve">OWASP Internet of Things Projekte</w:t>
      </w:r>
    </w:p>
    <w:p>
      <w:pPr>
        <w:numPr>
          <w:ilvl w:val="0"/>
          <w:numId w:val="1043"/>
        </w:numPr>
        <w:pStyle w:val="Compact"/>
      </w:pPr>
      <w:r>
        <w:t xml:space="preserve">OWASP Internet of Things Project:</w:t>
      </w:r>
      <w:r>
        <w:t xml:space="preserve"> </w:t>
      </w:r>
      <w:hyperlink r:id="rId279">
        <w:hyperlink r:id="rId279">
          <w:r>
            <w:rPr>
              <w:rStyle w:val="Hyperlink"/>
            </w:rPr>
            <w:t xml:space="preserve">https://owasp.org/www-project-internet-of-things/</w:t>
          </w:r>
        </w:hyperlink>
      </w:hyperlink>
    </w:p>
    <w:bookmarkEnd w:id="280"/>
    <w:bookmarkStart w:id="281" w:name="owasp-serverless-projekte"/>
    <w:p>
      <w:pPr>
        <w:pStyle w:val="Heading2"/>
      </w:pPr>
      <w:r>
        <w:t xml:space="preserve">OWASP Serverless Projekte</w:t>
      </w:r>
    </w:p>
    <w:p>
      <w:pPr>
        <w:numPr>
          <w:ilvl w:val="0"/>
          <w:numId w:val="1044"/>
        </w:numPr>
        <w:pStyle w:val="Compact"/>
      </w:pPr>
      <w:r>
        <w:t xml:space="preserve">OWASP Serverless Projekte:</w:t>
      </w:r>
      <w:r>
        <w:t xml:space="preserve"> </w:t>
      </w:r>
      <w:hyperlink r:id="rId243">
        <w:hyperlink r:id="rId243">
          <w:r>
            <w:rPr>
              <w:rStyle w:val="Hyperlink"/>
            </w:rPr>
            <w:t xml:space="preserve">https://owasp.org/www-project-serverless-top-10/</w:t>
          </w:r>
        </w:hyperlink>
      </w:hyperlink>
    </w:p>
    <w:bookmarkEnd w:id="281"/>
    <w:bookmarkStart w:id="288" w:name="andere"/>
    <w:p>
      <w:pPr>
        <w:pStyle w:val="Heading2"/>
      </w:pPr>
      <w:r>
        <w:t xml:space="preserve">Andere</w:t>
      </w:r>
    </w:p>
    <w:p>
      <w:pPr>
        <w:pStyle w:val="FirstParagraph"/>
      </w:pPr>
      <w:r>
        <w:t xml:space="preserve">Die folgenden Webseiten außerhalb der OWASP könnten für die Nutzer des ASVS interessant sein:</w:t>
      </w:r>
    </w:p>
    <w:p>
      <w:pPr>
        <w:numPr>
          <w:ilvl w:val="0"/>
          <w:numId w:val="1045"/>
        </w:numPr>
        <w:pStyle w:val="Compact"/>
      </w:pPr>
      <w:r>
        <w:t xml:space="preserve">SecLists Github:</w:t>
      </w:r>
      <w:r>
        <w:t xml:space="preserve"> </w:t>
      </w:r>
      <w:hyperlink r:id="rId282">
        <w:hyperlink r:id="rId282">
          <w:r>
            <w:rPr>
              <w:rStyle w:val="Hyperlink"/>
            </w:rPr>
            <w:t xml:space="preserve">https://github.com/danielmiessler/SecLists</w:t>
          </w:r>
        </w:hyperlink>
      </w:hyperlink>
    </w:p>
    <w:p>
      <w:pPr>
        <w:numPr>
          <w:ilvl w:val="0"/>
          <w:numId w:val="1045"/>
        </w:numPr>
        <w:pStyle w:val="Compact"/>
      </w:pPr>
      <w:r>
        <w:t xml:space="preserve">MITRE Common Weakness Enumeration:</w:t>
      </w:r>
      <w:r>
        <w:t xml:space="preserve"> </w:t>
      </w:r>
      <w:hyperlink r:id="rId283">
        <w:hyperlink r:id="rId283">
          <w:r>
            <w:rPr>
              <w:rStyle w:val="Hyperlink"/>
            </w:rPr>
            <w:t xml:space="preserve">https://cwe.mitre.org/</w:t>
          </w:r>
        </w:hyperlink>
      </w:hyperlink>
    </w:p>
    <w:p>
      <w:pPr>
        <w:numPr>
          <w:ilvl w:val="0"/>
          <w:numId w:val="1045"/>
        </w:numPr>
        <w:pStyle w:val="Compact"/>
      </w:pPr>
      <w:r>
        <w:t xml:space="preserve">PCI Security Standards Council:</w:t>
      </w:r>
      <w:r>
        <w:t xml:space="preserve"> </w:t>
      </w:r>
      <w:hyperlink r:id="rId284">
        <w:hyperlink r:id="rId284">
          <w:r>
            <w:rPr>
              <w:rStyle w:val="Hyperlink"/>
            </w:rPr>
            <w:t xml:space="preserve">https://www.pcisecuritystandards.org</w:t>
          </w:r>
        </w:hyperlink>
      </w:hyperlink>
    </w:p>
    <w:p>
      <w:pPr>
        <w:numPr>
          <w:ilvl w:val="0"/>
          <w:numId w:val="1045"/>
        </w:numPr>
        <w:pStyle w:val="Compact"/>
      </w:pPr>
      <w:r>
        <w:t xml:space="preserve">PCI Data Security Standard (DSS) v3.2.1 Requirements and Security Assessment Procedures:</w:t>
      </w:r>
      <w:r>
        <w:t xml:space="preserve"> </w:t>
      </w:r>
      <w:hyperlink r:id="rId285">
        <w:hyperlink r:id="rId285">
          <w:r>
            <w:rPr>
              <w:rStyle w:val="Hyperlink"/>
            </w:rPr>
            <w:t xml:space="preserve">https://www.pcisecuritystandards.org/documents/PCI_DSS_v3-2-1.pdf</w:t>
          </w:r>
        </w:hyperlink>
      </w:hyperlink>
    </w:p>
    <w:p>
      <w:pPr>
        <w:numPr>
          <w:ilvl w:val="0"/>
          <w:numId w:val="1045"/>
        </w:numPr>
        <w:pStyle w:val="Compact"/>
      </w:pPr>
      <w:r>
        <w:t xml:space="preserve">PCI Software Security Framework - Secure Software Requirements and Assessment Procedures:</w:t>
      </w:r>
      <w:r>
        <w:t xml:space="preserve"> </w:t>
      </w:r>
      <w:hyperlink r:id="rId286">
        <w:hyperlink r:id="rId286">
          <w:r>
            <w:rPr>
              <w:rStyle w:val="Hyperlink"/>
            </w:rPr>
            <w:t xml:space="preserve">https://www.pcisecuritystandards.org/documents/PCI-Secure-Software-Standard-v1_0.pdf</w:t>
          </w:r>
        </w:hyperlink>
      </w:hyperlink>
    </w:p>
    <w:p>
      <w:pPr>
        <w:numPr>
          <w:ilvl w:val="0"/>
          <w:numId w:val="1045"/>
        </w:numPr>
        <w:pStyle w:val="Compact"/>
      </w:pPr>
      <w:r>
        <w:t xml:space="preserve">PCI Secure Software Lifecycle (Secure SLC) Requirements and Assessment Procedures:</w:t>
      </w:r>
      <w:r>
        <w:t xml:space="preserve"> </w:t>
      </w:r>
      <w:hyperlink r:id="rId287">
        <w:hyperlink r:id="rId287">
          <w:r>
            <w:rPr>
              <w:rStyle w:val="Hyperlink"/>
            </w:rPr>
            <w:t xml:space="preserve">https://www.pcisecuritystandards.org/documents/PCI-Secure-SLC-Standard-v1_0.pdf</w:t>
          </w:r>
        </w:hyperlink>
      </w:hyperlink>
    </w:p>
    <w:bookmarkEnd w:id="288"/>
    <w:bookmarkEnd w:id="289"/>
    <w:bookmarkStart w:id="296" w:name="Xd79518286de720138ca5ce08513eeee3fa3003e"/>
    <w:p>
      <w:pPr>
        <w:pStyle w:val="Heading1"/>
      </w:pPr>
      <w:r>
        <w:t xml:space="preserve">Appendix C: Internet of Things Verification Requirements</w:t>
      </w:r>
    </w:p>
    <w:p>
      <w:pPr>
        <w:pStyle w:val="FirstParagraph"/>
      </w:pPr>
      <w:r>
        <w:t xml:space="preserve">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bookmarkStart w:id="290" w:name="ziel-14"/>
    <w:p>
      <w:pPr>
        <w:pStyle w:val="Heading2"/>
      </w:pPr>
      <w:r>
        <w:t xml:space="preserve">Ziel</w:t>
      </w:r>
    </w:p>
    <w:p>
      <w:pPr>
        <w:pStyle w:val="FirstParagraph"/>
      </w:pPr>
      <w:r>
        <w:t xml:space="preserve">Eingebettete/IoT-Geräte sollten:</w:t>
      </w:r>
    </w:p>
    <w:p>
      <w:pPr>
        <w:numPr>
          <w:ilvl w:val="0"/>
          <w:numId w:val="1046"/>
        </w:numPr>
        <w:pStyle w:val="Compact"/>
      </w:pPr>
      <w:r>
        <w:t xml:space="preserve">das selbe Maß an Sicherheitsmaßnahmen innerhalb des Geräts haben, wie es im Server zu finden ist. Sicherheitsmaßnahmen sollen in einer vertrauenswürdigen Umgebung durchgesetzt werden.</w:t>
      </w:r>
    </w:p>
    <w:p>
      <w:pPr>
        <w:numPr>
          <w:ilvl w:val="0"/>
          <w:numId w:val="1046"/>
        </w:numPr>
        <w:pStyle w:val="Compact"/>
      </w:pPr>
      <w:r>
        <w:t xml:space="preserve">Sensible Daten, die auf dem Gerät gespeichert sind, sollten auf sichere Weise unter Verwendung von hardwaregestütztem Speicher gespeichert werden.</w:t>
      </w:r>
    </w:p>
    <w:p>
      <w:pPr>
        <w:numPr>
          <w:ilvl w:val="0"/>
          <w:numId w:val="1046"/>
        </w:numPr>
        <w:pStyle w:val="Compact"/>
      </w:pPr>
      <w:r>
        <w:t xml:space="preserve">Alle vom Gerät übertragenen sensiblen Daten sollten auf der Transportschicht gesichert werden.</w:t>
      </w:r>
    </w:p>
    <w:bookmarkEnd w:id="290"/>
    <w:bookmarkStart w:id="291" w:name="anforderungen-an-die-prüfung"/>
    <w:p>
      <w:pPr>
        <w:pStyle w:val="Heading2"/>
      </w:pPr>
      <w:r>
        <w:t xml:space="preserve">Anforderungen an die Prüfung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Prüfen Sie, dass die Debugging-Schnittstellen der Anwendungsschicht wie USB, UART und andere serielle Varianten deaktiviert oder durch ein komplexes Kennwort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Prüfen Sie, dass kryptographische Schlüssel und Zertifikate für jedes einzelne Gerät eindeutig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Prüfen Sie, dass Speicherschutzmaßnahmen wie ASLR und DEP durch das Betriebssystem aktiviert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Prüfen Sie, dass On-Chip-Debugging-Schnittstellen wie JTAG oder SWD deaktiviert sind, oder dass der verfügbare Schutzmechanismus aktiviert und entsprechend konfiguriert ist.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Prüfen Sie, dass Trusted Execution implementiert und aktiviert ist, falls auf dem SoC oder der CPU des Geräts verfügbar.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Prüfen Sie, dass sensible Daten, private Schlüssel und Zertifikate sicher in einem Secure Element, TPM, TEE (Trusted Execution Environment) gespeichert oder durch starke Kryptographie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Prüfen Sie, dass die Firmwareanwendungen Daten während der Übertragung auf der Transportschicht schützen.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Prüfen Sie, dass die Firmwareanwendungen die digitale Signatur der Serververbindungen validieren.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Prüfen Sie, dass drahtlose Kommunikationen gegenseitig authentifiziert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Prüfen Sie, dass die drahtlose Kommunikation über einen verschlüsselten Kanal gesendet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Prüfen Sie, dass alle verbotenen C-Funktionen durch die entsprechenden sicheren gleichwertigen Funktionen ersetzt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Prüfen Sie, dass jede Firmware ein automatisches Stücklistenmanagement führt, in der die Komponenten von Drittanbietern, die Versionierung und die veröffentlichten Schwachstellen katalogisiert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Prüfen Sie, alle Codes, einschließlich der Binärdateien, Bibliotheken und Frameworks von Drittanbietern auf hartkodierte Anmeldedaten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Prüfen Sie, dass die Anwendungs- und Firmware-Komponenten nicht für OS Command Injection anfällig sind, indem sie Shell Command Wrapper oder Skripte aufrufen, oder dass Sicherheitsmaßnahmen OS Command Injection verhindern.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Prüfen Sie, dass die Firmware-Anwendungen die digitale Signatur an einen oder mehrere vertrauenswürdige Server pinnt.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Prüfen Sie das Vorhandensein von Merkmalen zur Verhinderung oder Erkennung von Manipulationen am Gerät.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Prüfen Sie, dass alle verfügbaren Technologien zum Schutz des geistigen Eigentums, die vom Chiphersteller zur Verfügung gestellt werden, aktiviert sind.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Prüfen Sie, dass Sicherheitsmaßnahmen vorhanden sind, um ein Reverse Engineering der Firmware (z.B. Entfernen von ausführlichen Debugginginformationen) zu verhindern.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Prüfen Sie, dass das Gerät die Signatur des Bootimages vor dem Laden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Prüfen Sie, dass der Firmware-Aktualisierungsprozess nicht anfällig für TOCTOU Race Conditions ist.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Prüfen Sie, dass das Gerät Code Signing verwendet und Firmware-Upgrade-Dateien vor der Installation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Prüfen Sie, dass das Gerät nicht auf alte Versionen (Anti-Rollback) von gültiger Firmware zurückgestuft werden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Prüfen Sie die Verwendung eines kryptographisch sicheren Zufallszahlengenerators auf einem eingebetteten Gerät, z.B. unter Verwendung von Hardware.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Prüfen Sie, ob die Firmware automatische Firmware-Updates nach einem vordefinierten Zeitplan durchführen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Prüfen Sie, dass das Gerät Firmware und sensible Daten löscht, wenn eine Manipulation oder der Empfang einer ungültigen Nachricht festgestellt wird.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Prüfen Sie, dass nur Mikrocontroller verwendet werden, die das Deaktivieren von Debugging-Schnittstellen (z.B. JTAG, SWD) unterstützen.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Prüfen Sie, dass nur Mikrocontroller verwendet werden, die einen wesentlichen Schutz vor De-Capping- und Seitenkanal-Angriffen bieten.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Prüfen Sie, dass Leiterbahnen zur Übertragung sensibler Daten nicht auf den äußeren Schichten der Leiterplatte ausgesetzt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Prüfen Sie, dass die Kommunikation zwischen den Chips, z. B. die Kommunikation von Haupt- und Tochterplatine, verschlüsselt ist.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Prüfen Sie, dass das Gerät Code Signing verwendet und den Code vor der Ausführung validiert.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Prüfen Sie, dass sensible Informationen, die im Speicher gehalten werden, mit Nullen überschrieben werden, sobald sie nicht mehr benötigt werden.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Prüfen Sie, dass die Firmware-Anwendungen Kernel-Container als Isolierung zwischen den Anwendungen verwenden.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Prüfen Sie, dass sichere Compilerflags wie -fPIE, -fstack-protector-all, -Wl,- z,noexecstack, -Wl,-z,noexecheap für Firmware-Builds konfiguriert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Prüfen Sie, dass die Mikrocontroller mit Codeschutz konfiguriert sind (falls zutreffend).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1"/>
    <w:bookmarkStart w:id="295" w:name="referenzen-14"/>
    <w:p>
      <w:pPr>
        <w:pStyle w:val="Heading2"/>
      </w:pPr>
      <w:r>
        <w:t xml:space="preserve">Referenzen</w:t>
      </w:r>
    </w:p>
    <w:p>
      <w:pPr>
        <w:pStyle w:val="FirstParagraph"/>
      </w:pPr>
      <w:r>
        <w:t xml:space="preserve">Weitere Informationen finden Sie unter:</w:t>
      </w:r>
    </w:p>
    <w:p>
      <w:pPr>
        <w:numPr>
          <w:ilvl w:val="0"/>
          <w:numId w:val="1047"/>
        </w:numPr>
        <w:pStyle w:val="Compact"/>
      </w:pPr>
      <w:hyperlink r:id="rId292">
        <w:r>
          <w:rPr>
            <w:rStyle w:val="Hyperlink"/>
          </w:rPr>
          <w:t xml:space="preserve">OWASP Internet of Things Top 10</w:t>
        </w:r>
      </w:hyperlink>
    </w:p>
    <w:p>
      <w:pPr>
        <w:numPr>
          <w:ilvl w:val="0"/>
          <w:numId w:val="1047"/>
        </w:numPr>
        <w:pStyle w:val="Compact"/>
      </w:pPr>
      <w:hyperlink r:id="rId293">
        <w:r>
          <w:rPr>
            <w:rStyle w:val="Hyperlink"/>
          </w:rPr>
          <w:t xml:space="preserve">OWASP Embedded Application Security Project</w:t>
        </w:r>
      </w:hyperlink>
    </w:p>
    <w:p>
      <w:pPr>
        <w:numPr>
          <w:ilvl w:val="0"/>
          <w:numId w:val="1047"/>
        </w:numPr>
        <w:pStyle w:val="Compact"/>
      </w:pPr>
      <w:hyperlink r:id="rId279">
        <w:r>
          <w:rPr>
            <w:rStyle w:val="Hyperlink"/>
          </w:rPr>
          <w:t xml:space="preserve">OWASP Internet of Things Project</w:t>
        </w:r>
      </w:hyperlink>
    </w:p>
    <w:p>
      <w:pPr>
        <w:numPr>
          <w:ilvl w:val="0"/>
          <w:numId w:val="1047"/>
        </w:numPr>
        <w:pStyle w:val="Compact"/>
      </w:pPr>
      <w:hyperlink r:id="rId294">
        <w:r>
          <w:rPr>
            <w:rStyle w:val="Hyperlink"/>
          </w:rPr>
          <w:t xml:space="preserve">Trudy TCP Proxy Tool</w:t>
        </w:r>
      </w:hyperlink>
    </w:p>
    <w:bookmarkEnd w:id="295"/>
    <w:bookmarkEnd w:id="296"/>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vs" /><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2023-06-23T17:45:07Z</dcterms:created>
  <dcterms:modified xsi:type="dcterms:W3CDTF">2023-06-23T17:45:07Z</dcterms:modified>
</cp:coreProperties>
</file>

<file path=docProps/custom.xml><?xml version="1.0" encoding="utf-8"?>
<Properties xmlns="http://schemas.openxmlformats.org/officeDocument/2006/custom-properties" xmlns:vt="http://schemas.openxmlformats.org/officeDocument/2006/docPropsVTypes"/>
</file>