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Octobre 2021</w:t>
      </w:r>
    </w:p>
    <w:bookmarkEnd w:id="23"/>
    <w:bookmarkEnd w:id="24"/>
    <w:bookmarkStart w:id="34" w:name="frontispice"/>
    <w:p>
      <w:pPr>
        <w:pStyle w:val="Heading1"/>
      </w:pPr>
      <w:r>
        <w:t xml:space="preserve">Frontispice</w:t>
      </w:r>
    </w:p>
    <w:bookmarkStart w:id="25" w:name="à-propos-de-la-norme"/>
    <w:p>
      <w:pPr>
        <w:pStyle w:val="Heading2"/>
      </w:pPr>
      <w:r>
        <w:t xml:space="preserve">À propos de la norme</w:t>
      </w:r>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bookmarkEnd w:id="25"/>
    <w:bookmarkStart w:id="30" w:name="copyright-et-licence"/>
    <w:p>
      <w:pPr>
        <w:pStyle w:val="Heading2"/>
      </w:pPr>
      <w:r>
        <w:t xml:space="preserve">Copyright et licence</w:t>
      </w:r>
    </w:p>
    <w:p>
      <w:pPr>
        <w:pStyle w:val="FirstParagraph"/>
      </w:pPr>
      <w:r>
        <w:t xml:space="preserve">Version 4.0.3, Octobre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9">
        <w:r>
          <w:rPr>
            <w:rStyle w:val="Hyperlink"/>
          </w:rPr>
          <w:t xml:space="preserve">licence Creative Commons Attribution ShareAlike 3.0</w:t>
        </w:r>
      </w:hyperlink>
      <w:r>
        <w:t xml:space="preserve">. Pour toute réutilisation ou distribution, vous devez indiquer clairement aux autres les termes de la licence de ce travail.</w:t>
      </w:r>
    </w:p>
    <w:bookmarkEnd w:id="30"/>
    <w:bookmarkStart w:id="31" w:name="chefs-de-projet"/>
    <w:p>
      <w:pPr>
        <w:pStyle w:val="Heading2"/>
      </w:pPr>
      <w:r>
        <w:t xml:space="preserve">Chefs de projet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ux-contributeurs"/>
    <w:p>
      <w:pPr>
        <w:pStyle w:val="Heading2"/>
      </w:pPr>
      <w:r>
        <w:t xml:space="preserve">Principaux contributeurs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contributeurs-et-relecteurs"/>
    <w:p>
      <w:pPr>
        <w:pStyle w:val="Heading2"/>
      </w:pPr>
      <w:r>
        <w:t xml:space="preserve">Contributeurs et relecteurs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bookmarkEnd w:id="33"/>
    <w:bookmarkEnd w:id="34"/>
    <w:bookmarkStart w:id="36" w:name="préface"/>
    <w:p>
      <w:pPr>
        <w:pStyle w:val="Heading1"/>
      </w:pPr>
      <w:r>
        <w:t xml:space="preserve">Préface</w:t>
      </w:r>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bookmarkStart w:id="35" w:name="quoi-de-neuf-dans-la-version-40"/>
    <w:p>
      <w:pPr>
        <w:pStyle w:val="Heading2"/>
      </w:pPr>
      <w:r>
        <w:t xml:space="preserve">Quoi de neuf dans la version 4.0</w:t>
      </w:r>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bookmarkEnd w:id="35"/>
    <w:bookmarkEnd w:id="36"/>
    <w:bookmarkStart w:id="47" w:name="utiliser-lasvs"/>
    <w:p>
      <w:pPr>
        <w:pStyle w:val="Heading1"/>
      </w:pPr>
      <w:r>
        <w:t xml:space="preserve">Utiliser l'ASVS</w:t>
      </w:r>
    </w:p>
    <w:p>
      <w:pPr>
        <w:pStyle w:val="FirstParagraph"/>
      </w:pPr>
      <w:r>
        <w:t xml:space="preserve">L'ASVS a deux objectifs principaux :</w:t>
      </w:r>
    </w:p>
    <w:p>
      <w:pPr>
        <w:numPr>
          <w:ilvl w:val="0"/>
          <w:numId w:val="1001"/>
        </w:numPr>
        <w:pStyle w:val="Compact"/>
      </w:pPr>
      <w:r>
        <w:t xml:space="preserve">aider les organisations à développer et à maintenir des applications sécurisées.</w:t>
      </w:r>
    </w:p>
    <w:p>
      <w:pPr>
        <w:numPr>
          <w:ilvl w:val="0"/>
          <w:numId w:val="1001"/>
        </w:numPr>
        <w:pStyle w:val="Compact"/>
      </w:pPr>
      <w:r>
        <w:t xml:space="preserve">permettre aux fournisseurs de services de sécurité, aux vendeurs d'outils de sécurité et aux consommateurs d'aligner leurs exigences et leurs offres.</w:t>
      </w:r>
    </w:p>
    <w:bookmarkStart w:id="40" w:name="X3f7f709de7565219e08ba11ec3ecff28ffa0fd9"/>
    <w:p>
      <w:pPr>
        <w:pStyle w:val="Heading2"/>
      </w:pPr>
      <w:r>
        <w:t xml:space="preserve">Niveaux de vérification de la sécurité des applications</w:t>
      </w:r>
    </w:p>
    <w:p>
      <w:pPr>
        <w:pStyle w:val="FirstParagraph"/>
      </w:pPr>
      <w:r>
        <w:t xml:space="preserve">La norme de vérification de la sécurité des applications définit trois niveaux de vérification de la sécurité, chacun d'eux étant plus approfondi.</w:t>
      </w:r>
    </w:p>
    <w:p>
      <w:pPr>
        <w:numPr>
          <w:ilvl w:val="0"/>
          <w:numId w:val="1002"/>
        </w:numPr>
        <w:pStyle w:val="Compact"/>
      </w:pPr>
      <w:r>
        <w:t xml:space="preserve">Le niveau 1 de l'ASVS est destiné aux niveaux d'assurance faibles, et peut être testé via des tests d'intrusions classiques.</w:t>
      </w:r>
    </w:p>
    <w:p>
      <w:pPr>
        <w:numPr>
          <w:ilvl w:val="0"/>
          <w:numId w:val="1002"/>
        </w:numPr>
        <w:pStyle w:val="Compact"/>
      </w:pPr>
      <w:r>
        <w:t xml:space="preserve">Le niveau 2 de l'ASVS est destiné aux applications qui contiennent des données sensibles, ce qui nécessite une protection et constitue le niveau recommandé pour la plupart des applications</w:t>
      </w:r>
    </w:p>
    <w:p>
      <w:pPr>
        <w:numPr>
          <w:ilvl w:val="0"/>
          <w:numId w:val="1002"/>
        </w:numPr>
        <w:pStyle w:val="Compact"/>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bookmarkEnd w:id="40"/>
    <w:bookmarkStart w:id="44" w:name="comment-utiliser-ce-document"/>
    <w:p>
      <w:pPr>
        <w:pStyle w:val="Heading2"/>
      </w:pPr>
      <w:r>
        <w:t xml:space="preserve">Comment utiliser ce document</w:t>
      </w:r>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bookmarkStart w:id="41" w:name="X60b7b22430d7af0e4fee3abd0892a7fce1756e8"/>
    <w:p>
      <w:pPr>
        <w:pStyle w:val="Heading3"/>
      </w:pPr>
      <w:r>
        <w:t xml:space="preserve">Niveau 1 - Premières étapes, automatisé, ou vue de l'ensemble du portefeuille</w:t>
      </w:r>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bookmarkEnd w:id="41"/>
    <w:bookmarkStart w:id="42" w:name="niveau-2---la-plupart-des-demandes"/>
    <w:p>
      <w:pPr>
        <w:pStyle w:val="Heading3"/>
      </w:pPr>
      <w:r>
        <w:t xml:space="preserve">Niveau 2 - La plupart des demandes</w:t>
      </w:r>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bookmarkEnd w:id="42"/>
    <w:bookmarkStart w:id="43" w:name="Xd0ed23ca6a9905e20cbf57c39ab3f2dc9745b3c"/>
    <w:p>
      <w:pPr>
        <w:pStyle w:val="Heading3"/>
      </w:pPr>
      <w:r>
        <w:t xml:space="preserve">Niveau 3 - Haute valeur, haute assurance ou haute sécurité</w:t>
      </w:r>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bookmarkEnd w:id="43"/>
    <w:bookmarkEnd w:id="44"/>
    <w:bookmarkStart w:id="45" w:name="application-de-lasvs-en-pratique"/>
    <w:p>
      <w:pPr>
        <w:pStyle w:val="Heading2"/>
      </w:pPr>
      <w:r>
        <w:t xml:space="preserve">Application de l'ASVS en pratique</w:t>
      </w:r>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bookmarkEnd w:id="45"/>
    <w:bookmarkStart w:id="46" w:name="comment-se-référencer-aux-exigences-asvs"/>
    <w:p>
      <w:pPr>
        <w:pStyle w:val="Heading2"/>
      </w:pPr>
      <w:r>
        <w:t xml:space="preserve">Comment se référencer aux exigences ASVS</w:t>
      </w:r>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bookmarkEnd w:id="46"/>
    <w:bookmarkEnd w:id="47"/>
    <w:bookmarkStart w:id="60" w:name="évaluation-et-certification"/>
    <w:p>
      <w:pPr>
        <w:pStyle w:val="Heading1"/>
      </w:pPr>
      <w:r>
        <w:t xml:space="preserve">Évaluation et certification</w:t>
      </w:r>
    </w:p>
    <w:bookmarkStart w:id="48"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48"/>
    <w:bookmarkStart w:id="52" w:name="Xca754832d26098b62afe4e0826d799ba330a7e5"/>
    <w:p>
      <w:pPr>
        <w:pStyle w:val="Heading2"/>
      </w:pPr>
      <w:r>
        <w:t xml:space="preserve">Directives pour les organismes de certification</w:t>
      </w:r>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bookmarkStart w:id="51" w:name="méthode-de-test"/>
    <w:p>
      <w:pPr>
        <w:pStyle w:val="Heading3"/>
      </w:pPr>
      <w:r>
        <w:t xml:space="preserve">Méthode de test</w:t>
      </w:r>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bookmarkStart w:id="49" w:name="Xc0c039978f98181a59ed52bc5e9019b37c7a936"/>
    <w:p>
      <w:pPr>
        <w:pStyle w:val="Heading4"/>
      </w:pPr>
      <w:r>
        <w:t xml:space="preserve">Le rôle des outils de test de sécurité automatisés</w:t>
      </w:r>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bookmarkEnd w:id="49"/>
    <w:bookmarkStart w:id="50" w:name="le-rôle-des-tests-de-pénétration"/>
    <w:p>
      <w:pPr>
        <w:pStyle w:val="Heading4"/>
      </w:pPr>
      <w:r>
        <w:t xml:space="preserve">Le rôle des tests de pénétration</w:t>
      </w:r>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bookmarkEnd w:id="50"/>
    <w:bookmarkEnd w:id="51"/>
    <w:bookmarkEnd w:id="52"/>
    <w:bookmarkStart w:id="59" w:name="autres-utilisations-de-lasvs"/>
    <w:p>
      <w:pPr>
        <w:pStyle w:val="Heading2"/>
      </w:pPr>
      <w:r>
        <w:t xml:space="preserve">Autres utilisations de l'ASVS</w:t>
      </w:r>
    </w:p>
    <w:p>
      <w:pPr>
        <w:pStyle w:val="FirstParagraph"/>
      </w:pPr>
      <w:r>
        <w:t xml:space="preserve">En plus de servir à l'évaluation de la sécurité d'une application, nous avons identifié plusieurs autres potentielles utilisations de l'ASVS.</w:t>
      </w:r>
    </w:p>
    <w:bookmarkStart w:id="53" w:name="X7ef642250b945d2b39e1e75bbeb7c98c62c06b3"/>
    <w:p>
      <w:pPr>
        <w:pStyle w:val="Heading3"/>
      </w:pPr>
      <w:r>
        <w:t xml:space="preserve">En tant que conseils détaillés sur l'architecture de sécurité</w:t>
      </w:r>
    </w:p>
    <w:p>
      <w:pPr>
        <w:pStyle w:val="FirstParagraph"/>
      </w:pPr>
      <w:r>
        <w:t xml:space="preserve">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bookmarkEnd w:id="53"/>
    <w:bookmarkStart w:id="54" w:name="Xe59d9d348d4b527042d6a947dcdf1229effbb39"/>
    <w:p>
      <w:pPr>
        <w:pStyle w:val="Heading3"/>
      </w:pPr>
      <w:r>
        <w:t xml:space="preserve">En remplacement des listes de contrôle de codage sécurisé prêtes à l'emploi</w:t>
      </w:r>
    </w:p>
    <w:p>
      <w:pPr>
        <w:pStyle w:val="FirstParagraph"/>
      </w:pPr>
      <w:r>
        <w:t xml:space="preserve">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bookmarkEnd w:id="54"/>
    <w:bookmarkStart w:id="55"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bookmarkEnd w:id="55"/>
    <w:bookmarkStart w:id="56" w:name="X701c5a15d5659533575d32d886574d2aea1e107"/>
    <w:p>
      <w:pPr>
        <w:pStyle w:val="Heading3"/>
      </w:pPr>
      <w:r>
        <w:t xml:space="preserve">Pour la formation au développement sécurisé</w:t>
      </w:r>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bookmarkEnd w:id="56"/>
    <w:bookmarkStart w:id="57" w:name="X4c9491b01236dc562266e7486c58a2800423e51"/>
    <w:p>
      <w:pPr>
        <w:pStyle w:val="Heading3"/>
      </w:pPr>
      <w:r>
        <w:t xml:space="preserve">En tant que pilote pour la sécurité des applications agiles</w:t>
      </w:r>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bookmarkEnd w:id="57"/>
    <w:bookmarkStart w:id="58" w:name="Xef76bbc8f2539c86c94705aaf7329d4107b341c"/>
    <w:p>
      <w:pPr>
        <w:pStyle w:val="Heading3"/>
      </w:pPr>
      <w:r>
        <w:t xml:space="preserve">Comme cadre pour guider l'acquisition de logiciels sécurisés</w:t>
      </w:r>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bookmarkEnd w:id="58"/>
    <w:bookmarkEnd w:id="59"/>
    <w:bookmarkEnd w:id="60"/>
    <w:bookmarkStart w:id="84" w:name="Xcfaea1f58263eeabb65ab8dd0e91c7b6f23de06"/>
    <w:p>
      <w:pPr>
        <w:pStyle w:val="Heading1"/>
      </w:pPr>
      <w:r>
        <w:t xml:space="preserve">V1 Architecture, conception et exigences en matière de modélisation des menaces</w:t>
      </w:r>
    </w:p>
    <w:bookmarkStart w:id="61" w:name="objectif-de-contrôle"/>
    <w:p>
      <w:pPr>
        <w:pStyle w:val="Heading2"/>
      </w:pPr>
      <w:r>
        <w:t xml:space="preserve">Objectif de contrôle</w:t>
      </w:r>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bookmarkEnd w:id="61"/>
    <w:bookmarkStart w:id="63" w:name="X84f1666f49eeaee327c1a547ef1514f81f7d8b4"/>
    <w:p>
      <w:pPr>
        <w:pStyle w:val="Heading2"/>
      </w:pPr>
      <w:r>
        <w:t xml:space="preserve">V1.1 Exigences relatives au cycle de vie du développement de logiciels sécurisés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Vérifier l'utilisation d'un cycle de développement de logiciel sécurisé qui prend en compte la sécurité à tous les stades du développement.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Vérifier la documentation et la justification de toutes les frontières de confiance de la demande, de ses composantes et des flux de données importants.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Vérifier la définition et l'analyse de sécurité de l'architecture de haut niveau de l'application et de tous les services à distance connectés.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Vérifier que tous les développeurs et testeurs disposent d'une liste de contrôle de codage sécurisé, d'exigences de sécurité, de lignes directrices ou de politiques.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X77f1a8c15117409809c04db28660ea7ef2f2b0c"/>
    <w:p>
      <w:pPr>
        <w:pStyle w:val="Heading2"/>
      </w:pPr>
      <w:r>
        <w:t xml:space="preserve">V1.2 Exigences architecturales d'authentification</w:t>
      </w:r>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Vérifiez que les communications entre les composants de l'application, y compris les API, le middleware et les couches de données, sont authentifiées. Les composants doivent avoir les privilèges les moins nécessaires possibles.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Vérifiez que toutes les voies d'authentification et les API de gestion des identités implémentent une force de contrôle de sécurité d'authentification cohérente, de sorte qu'il n'y ait pas d'alternative plus faible en fonction du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Xfc6a0ab3245aecddc4e8da0a01f327a96625713"/>
    <w:p>
      <w:pPr>
        <w:pStyle w:val="Heading2"/>
      </w:pPr>
      <w:r>
        <w:t xml:space="preserve">V1.3 Exigences architecturales pour la gestion des sessions</w:t>
      </w:r>
    </w:p>
    <w:p>
      <w:pPr>
        <w:pStyle w:val="FirstParagraph"/>
      </w:pPr>
      <w:r>
        <w:t xml:space="preserve">Il s'agit d'un point de repère pour les futures exigences architecturales.</w:t>
      </w:r>
    </w:p>
    <w:bookmarkEnd w:id="65"/>
    <w:bookmarkStart w:id="66" w:name="X1129645bfddf92d8fb308131e9fc059e393b4ea"/>
    <w:p>
      <w:pPr>
        <w:pStyle w:val="Heading2"/>
      </w:pPr>
      <w:r>
        <w:t xml:space="preserve">V1.4 Exigences architecturales en matière de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[SUPPRIMÉ, NON FAISABLE]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7393cfff3aa621430f26b2d419c3800979d347e"/>
    <w:p>
      <w:pPr>
        <w:pStyle w:val="Heading2"/>
      </w:pPr>
      <w:r>
        <w:t xml:space="preserve">V1.5 Exigences architecturales d'entrée et de sortie</w:t>
      </w:r>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Vérifiez que la validation des entrées est appliquée sur une couche de service de confiance.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Vérifiez que l'encodage de sortie se fait à proximité ou par l'interprète auquel il est destiné.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97fc218c1e816233f730bd66620c92fb4c9662b"/>
    <w:p>
      <w:pPr>
        <w:pStyle w:val="Heading2"/>
      </w:pPr>
      <w:r>
        <w:t xml:space="preserve">V1.6 Exigences en matière d'architecture cryptographique</w:t>
      </w:r>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Vérifier qu'il existe une politique explicite de gestion des clés cryptographiques et que le cycle de vie d'une clé cryptographique suit une norme de gestion des clés telle que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Vérifier que les consommateurs de services cryptographiques protègent les clés et autres secrets en utilisant des coffres-forts de clés ou des alternatives basées sur l'API.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Vérifiez que toutes les clés et tous les mots de passe sont remplaçables et font partie d'un processus bien défini de rechiffrement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Vérifiez que l'architecture traite les secrets côté client, tels que les clés symétriques, les mots de passe ou les jetons d'API, comme non sécurisés et ne les utilise jamais pour protéger ou accéder à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370896546d260a8c44b7017f463aea51c58cde6"/>
    <w:p>
      <w:pPr>
        <w:pStyle w:val="Heading2"/>
      </w:pPr>
      <w:r>
        <w:t xml:space="preserve">V1.7 Erreurs, enregistrement et vérification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Vérifier qu'un format de journalisation communs soit utilisés dans le système.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Vérifiez que les journaux sont transmis de manière sécurisée à un système de préférence distant pour analyse, détection, alerte et escalade.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7c1ab7c5da81003c5865cbb69a609c33abcfb23"/>
    <w:p>
      <w:pPr>
        <w:pStyle w:val="Heading2"/>
      </w:pPr>
      <w:r>
        <w:t xml:space="preserve">V1.8 Exigences architecturales en matière de protection des données et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Vérifier que toutes les données sensibles sont identifiées et classées en niveaux de protection.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04e442b4f453421cdfc7ded8ced5d48b07263ea"/>
    <w:p>
      <w:pPr>
        <w:pStyle w:val="Heading2"/>
      </w:pPr>
      <w:r>
        <w:t xml:space="preserve">V1.9 Exigences en matière d'architecture des communications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557aead33649b99b3cb7d6710afa4b53d86831b"/>
    <w:p>
      <w:pPr>
        <w:pStyle w:val="Heading2"/>
      </w:pPr>
      <w:r>
        <w:t xml:space="preserve">V1.10 Exigences en matière d'architecture des logiciels malveillants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d1fc0c6b110d231af6d85a88a2267d6ced67d68"/>
    <w:p>
      <w:pPr>
        <w:pStyle w:val="Heading2"/>
      </w:pPr>
      <w:r>
        <w:t xml:space="preserve">V1.11 Exigences en matière d'architecture de la logique d'entreprise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la définition et la documentation de tous les composants de l'application en ce qui concerne la logique métier ou de sécurité qu'ils fournissent.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Vérifiez que tous les flux de logique métier de grande valeur, y compris l'authentification, la gestion de session et le contrôle d'accès, ne partagent pas un état non synchronisé.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1769545cbc2f88c0ea995db19653d37a8026543"/>
    <w:p>
      <w:pPr>
        <w:pStyle w:val="Heading2"/>
      </w:pPr>
      <w:r>
        <w:t xml:space="preserve">V1.12 Téléchargement de fichiers sécurisés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[SUPPRIMÉ, DOUBLON AVEC L'EXIGENCE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exigences-architecturales-de-lapi"/>
    <w:p>
      <w:pPr>
        <w:pStyle w:val="Heading2"/>
      </w:pPr>
      <w:r>
        <w:t xml:space="preserve">V1.13 Exigences architecturales de l'API</w:t>
      </w:r>
    </w:p>
    <w:p>
      <w:pPr>
        <w:pStyle w:val="FirstParagraph"/>
      </w:pPr>
      <w:r>
        <w:t xml:space="preserve">Il s'agit d'un espace réservé pour les futures exigences architecturales.</w:t>
      </w:r>
    </w:p>
    <w:bookmarkEnd w:id="75"/>
    <w:bookmarkStart w:id="76" w:name="Xc50f954a3af89fd8a92deb3ba3aae043904d8b2"/>
    <w:p>
      <w:pPr>
        <w:pStyle w:val="Heading2"/>
      </w:pPr>
      <w:r>
        <w:t xml:space="preserve">V1.14 Configuration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Vérifier que les signatures binaires, les connexions de confiance et les nœuds vérifiés sont utilisés pour déployer des binaires sur des dispositifs distants.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Vérifier que le pipeline de construction signale les composants obsolètes ou peu sûrs et prend les mesures appropriées.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Vérifier que l'application n'utilise pas de technologies côté client non prises en charge, non sécurisées ou obsolètes telles que les plug-ins NSAPI, Flash, Shockwave, ActiveX, Silverlight, NACL ou des applets Java côté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éférences"/>
    <w:p>
      <w:pPr>
        <w:pStyle w:val="Heading2"/>
      </w:pPr>
      <w:r>
        <w:t xml:space="preserve">Références</w:t>
      </w:r>
    </w:p>
    <w:p>
      <w:pPr>
        <w:pStyle w:val="FirstParagraph"/>
      </w:pPr>
      <w:r>
        <w:t xml:space="preserve">Pour plus d'informations, voir aussi :</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cation"/>
    <w:p>
      <w:pPr>
        <w:pStyle w:val="Heading1"/>
      </w:pPr>
      <w:r>
        <w:t xml:space="preserve">V2 Authentification</w:t>
      </w:r>
    </w:p>
    <w:bookmarkStart w:id="86" w:name="objectif-de-contrôle-1"/>
    <w:p>
      <w:pPr>
        <w:pStyle w:val="Heading2"/>
      </w:pPr>
      <w:r>
        <w:t xml:space="preserve">Objectif de contrôle</w:t>
      </w:r>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5">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bookmarkEnd w:id="86"/>
    <w:bookmarkStart w:id="90" w:name="Xafe93cac82027555c2a8140efd68a426e45ab9d"/>
    <w:p>
      <w:pPr>
        <w:pStyle w:val="Heading2"/>
      </w:pPr>
      <w:r>
        <w:t xml:space="preserve">NIST 800-63 - Norme d'authentification moderne et fondée sur des preuves</w:t>
      </w:r>
    </w:p>
    <w:p>
      <w:pPr>
        <w:pStyle w:val="FirstParagraph"/>
      </w:pPr>
      <w:hyperlink r:id="rId87">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bookmarkStart w:id="89" w:name="sélection-dun-niveau-nist-aal-approprié"/>
    <w:p>
      <w:pPr>
        <w:pStyle w:val="Heading3"/>
      </w:pPr>
      <w:r>
        <w:t xml:space="preserve">Sélection d'un niveau NIST AAL approprié</w:t>
      </w:r>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Cs/>
          <w:i/>
        </w:rPr>
        <w:t xml:space="preserve">Selecting AAL</w:t>
      </w:r>
      <w:r>
        <w:t xml:space="preserve"> </w:t>
      </w:r>
      <w:r>
        <w:t xml:space="preserve">du</w:t>
      </w:r>
      <w:r>
        <w:t xml:space="preserve"> </w:t>
      </w:r>
      <w:hyperlink r:id="rId88">
        <w:r>
          <w:rPr>
            <w:rStyle w:val="Hyperlink"/>
          </w:rPr>
          <w:t xml:space="preserve">NIST 800-63b Section 6.2</w:t>
        </w:r>
      </w:hyperlink>
      <w:r>
        <w:t xml:space="preserve">.</w:t>
      </w:r>
    </w:p>
    <w:bookmarkEnd w:id="89"/>
    <w:bookmarkEnd w:id="90"/>
    <w:bookmarkStart w:id="91" w:name="légende"/>
    <w:p>
      <w:pPr>
        <w:pStyle w:val="Heading2"/>
      </w:pPr>
      <w:r>
        <w:t xml:space="preserve">Légende</w:t>
      </w:r>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Marque</w:t>
            </w:r>
          </w:p>
        </w:tc>
        <w:tc>
          <w:tcPr/>
          <w:p>
            <w:pPr>
              <w:pStyle w:val="Compact"/>
              <w:jc w:val="center"/>
            </w:pPr>
            <w:r>
              <w:t xml:space="preserve">Description</w:t>
            </w:r>
          </w:p>
        </w:tc>
      </w:tr>
      <w:tr>
        <w:tc>
          <w:tcPr/>
          <w:p>
            <w:pPr>
              <w:pStyle w:val="Compact"/>
            </w:pPr>
          </w:p>
        </w:tc>
        <w:tc>
          <w:tcPr/>
          <w:p>
            <w:pPr>
              <w:pStyle w:val="Compact"/>
              <w:jc w:val="center"/>
            </w:pPr>
            <w:r>
              <w:t xml:space="preserve">Non requis</w:t>
            </w:r>
          </w:p>
        </w:tc>
      </w:tr>
      <w:tr>
        <w:tc>
          <w:tcPr/>
          <w:p>
            <w:pPr>
              <w:pStyle w:val="Compact"/>
              <w:jc w:val="center"/>
            </w:pPr>
            <w:r>
              <w:t xml:space="preserve">o</w:t>
            </w:r>
          </w:p>
        </w:tc>
        <w:tc>
          <w:tcPr/>
          <w:p>
            <w:pPr>
              <w:pStyle w:val="Compact"/>
              <w:jc w:val="center"/>
            </w:pPr>
            <w:r>
              <w:t xml:space="preserve">Recommandé, mais pas obligatoire</w:t>
            </w:r>
          </w:p>
        </w:tc>
      </w:tr>
      <w:tr>
        <w:tc>
          <w:tcPr/>
          <w:p>
            <w:pPr>
              <w:pStyle w:val="Compact"/>
              <w:jc w:val="center"/>
            </w:pPr>
            <w:r>
              <w:t xml:space="preserve">✓</w:t>
            </w:r>
          </w:p>
        </w:tc>
        <w:tc>
          <w:tcPr/>
          <w:p>
            <w:pPr>
              <w:pStyle w:val="Compact"/>
              <w:jc w:val="center"/>
            </w:pPr>
            <w:r>
              <w:t xml:space="preserve">Obligatoire</w:t>
            </w:r>
          </w:p>
        </w:tc>
      </w:tr>
    </w:tbl>
    <w:bookmarkEnd w:id="91"/>
    <w:bookmarkStart w:id="92" w:name="X32c37c962cb3f69834f4d1bfa5f680c1b42689a"/>
    <w:p>
      <w:pPr>
        <w:pStyle w:val="Heading2"/>
      </w:pPr>
      <w:r>
        <w:t xml:space="preserve">V2.1 Exigences en matière de sécurité des mots de passe</w:t>
      </w:r>
    </w:p>
    <w:p>
      <w:pPr>
        <w:pStyle w:val="FirstParagraph"/>
      </w:pPr>
      <w:r>
        <w:t xml:space="preserve">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Vérifiez que les mots de passe définis par l'utilisateur comportent au moins 12 caractères (après avoir combiné plusieurs espaces).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Vérifiez que les mots de passe de 64 caractères ou plus sont autorisés, mais pas au delà de 128 caractères.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Vérifiez que le mot de passe n'est pas tronqué. Toutefois, des espaces multiples consécutifs peuvent être remplacés par un seul espace.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Vérifiez que tout caractère Unicode imprimable, y compris les caractères neutres comme les espaces et les Emojis, sont autorisés dans les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Vérifier que les utilisateurs peuvent changer leur mot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Vérifiez qu'un compteur de force de mot de passe est fourni pour aider les utilisateurs à définir un mot de passe plus fort.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Vérifiez qu'il n'y a pas d'exigences en matière de rotation périodique du mots de passe ou d'historique des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Vérifiez que la fonction "coller", les aides de mot de passe du navigateur et les gestionnaires de mots de passe externes sont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bookmarkEnd w:id="92"/>
    <w:bookmarkStart w:id="93" w:name="Xe4841a853a6615845d5450697dd9f32bd8d19ef"/>
    <w:p>
      <w:pPr>
        <w:pStyle w:val="Heading2"/>
      </w:pPr>
      <w:r>
        <w:t xml:space="preserve">V2.2 Exigences générales relatives aux authentificateurs</w:t>
      </w:r>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5">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Vérifier la résistance au attaque de rejeu par l'utilisation obligatoire de dispositifs OTP, d'authentificateurs cryptographiques ou de codes de consultation.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Vérifier l'intention d'authentification en exigeant l'entrée d'un jeton OTP ou une action initiée par l'utilisateur telle qu'une pression sur un bouton d'une clé matérielle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X9ea65e896ece55dde1a2f768c053500dab81a38"/>
    <w:p>
      <w:pPr>
        <w:pStyle w:val="Heading2"/>
      </w:pPr>
      <w:r>
        <w:t xml:space="preserve">V2.3 Exigences relatives au cycle de vie des authentificateurs</w:t>
      </w:r>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Vérifiez que l'inscription et l'utilisation de dispositifs d'authentification fournis par l'abonné sont prises en charge, comme les jetons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Vérifier que les instructions de renouvellement sont envoyées suffisamment tôt pour renouveler les authentificateurs à durée déterminée.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Xf63a11ca533422e14d05cb1ed2519778f086d4e"/>
    <w:p>
      <w:pPr>
        <w:pStyle w:val="Heading2"/>
      </w:pPr>
      <w:r>
        <w:t xml:space="preserve">V2.4 Exigences en matière de stockage des identifiants</w:t>
      </w:r>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5">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Vérifiez que si bcrypt est utilisé, le facteur de travail DOIT être aussi important que les performances du serveur de vérification le permettent, généralement au moins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bookmarkEnd w:id="96"/>
    <w:bookmarkStart w:id="97" w:name="Xcb3f8e19a18402c8516b669d0922956843b94a4"/>
    <w:p>
      <w:pPr>
        <w:pStyle w:val="Heading2"/>
      </w:pPr>
      <w:r>
        <w:t xml:space="preserve">V2.5 Exigences en matière de récupération des identifiants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Vérifiez qu'un secret d'activation initiale ou de récupération généré par le système n'est pas envoyé en clair à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Vérifier que les indices de mot de passe ou l'authentification basée sur la connaissance (dites "questions secrètes") ne sont pas présents.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Vérifiez que la récupération du mot de passe ne révèle en aucune façon le mot de passe actuel.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Vérifiez que les comptes partagés ou par défaut ne sont pas présents (par exemple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Vérifier que si un facteur d'authentification est modifié ou remplacé, l'utilisateur est informé de cet événement.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Vérifier qu'en cas de perte des facteurs d'authentification OTP ou multi-facteurs, la preuve d'identité est effectuée au même niveau que lors de l'inscription.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13fe1464e5e1efc8d23e55c903e3d6aa77c2276"/>
    <w:p>
      <w:pPr>
        <w:pStyle w:val="Heading2"/>
      </w:pPr>
      <w:r>
        <w:t xml:space="preserve">V2.6 Exigences relatives aux vérificateurs des secrets</w:t>
      </w:r>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Vérifiez que les secrets de la table d'authentification ne peuvent être utilisés qu'une seule fois.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Vérifiez que les secrets de la table d'authentification résistent aux attaques hors ligne, comme les valeurs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Xb0ce37ee219cdd10b72bd9d995ff54e7f6b807c"/>
    <w:p>
      <w:pPr>
        <w:pStyle w:val="Heading2"/>
      </w:pPr>
      <w:r>
        <w:t xml:space="preserve">V2.7 Exigences relatives aux vérificateurs hors bande</w:t>
      </w:r>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Vérifiez que le vérificateur hors bande expire les demandes d'authentification, les codes ou les jetons hors bande après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Vérifiez que les demandes d'authentification, codes ou jetons hors bande du vérificateur ne sont utilisables qu'une seule fois, et uniquement pour la demande d'authentification originale.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Vérifier que l'authentificateur et le vérificateur hors bande communiquent sur un canal indépendant sécurisé.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Vérifiez que le vérificateur hors bande ne conserve qu'une version hachée du code d'authentification.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079ff36297ba0db90e331b2258d8d389fadf194"/>
    <w:p>
      <w:pPr>
        <w:pStyle w:val="Heading2"/>
      </w:pPr>
      <w:r>
        <w:t xml:space="preserve">V2.8 Exigences relatives aux vérificateurs uniques à facteur unique ou à facteurs multiples</w:t>
      </w:r>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Vérifier que les OTP basées sur le temps ont une durée de vie définie avant d'expirer.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Vérifier que des algorithmes cryptographiques approuvés sont utilisés dans la génération, dans la préparation et dans la vérification des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Vérifiez que l'OTP basé sur le temps ne peut être utilisé qu'une seule fois pendant la période de validité.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a06db275c233fd527b15b9d74616aa7008fa129"/>
    <w:p>
      <w:pPr>
        <w:pStyle w:val="Heading2"/>
      </w:pPr>
      <w:r>
        <w:t xml:space="preserve">V2.9 Exigences relatives aux vérificateurs de logiciels et d'appareils cryptographiques</w:t>
      </w:r>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Vérifiez que le nonce de défi est d'une longueur d'au moins 64 bits, et statistiquement unique ou non pendant la durée de vie du dispositif cryptographique.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Vérifier que des algorithmes cryptographiques approuvés sont utilisés dans la génération, la préparation et la vérification.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X9ac1185dafc9e68dcee168410cfaf32ced543e2"/>
    <w:p>
      <w:pPr>
        <w:pStyle w:val="Heading2"/>
      </w:pPr>
      <w:r>
        <w:t xml:space="preserve">V2.10 Exigences d'authentification des services</w:t>
      </w:r>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Vérifiez que les secrets d'intégration ne reposent pas sur des mots de passe immuables, tels que les clés API ou les comptes privilégiés partagés.</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Vérifiez que si des mots de passe sont requis pour l'authentification des services, le compte de service utilisé n'est pas un identifiant par défaut. (par exemple, root/root ou admin/admin sont utilisés par défaut dans certains services lors de l'installation).</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Vérifiez que les mots de passe sont stockés avec une protection suffisante pour empêcher les attaques de récupération hors ligne, y compris l'accès au système local.</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9daf5ecd1f056a655ced098ae82e52022c006e5"/>
    <w:p>
      <w:pPr>
        <w:pStyle w:val="Heading2"/>
      </w:pPr>
      <w:r>
        <w:t xml:space="preserve">Exigences supplémentaires des agences américaines</w:t>
      </w:r>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bookmarkEnd w:id="103"/>
    <w:bookmarkStart w:id="104" w:name="glossaire-des-termes"/>
    <w:p>
      <w:pPr>
        <w:pStyle w:val="Heading2"/>
      </w:pPr>
      <w:r>
        <w:t xml:space="preserve">Glossaire des termes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Signification</w:t>
            </w:r>
          </w:p>
        </w:tc>
      </w:tr>
      <w:tr>
        <w:tc>
          <w:tcPr/>
          <w:p>
            <w:pPr>
              <w:pStyle w:val="Compact"/>
              <w:jc w:val="left"/>
            </w:pPr>
            <w:r>
              <w:t xml:space="preserve">CSP</w:t>
            </w:r>
          </w:p>
        </w:tc>
        <w:tc>
          <w:tcPr/>
          <w:p>
            <w:pPr>
              <w:pStyle w:val="Compact"/>
              <w:jc w:val="left"/>
            </w:pPr>
            <w:r>
              <w:t xml:space="preserve">Credential Service Provider également appelé fournisseur d'identité</w:t>
            </w:r>
          </w:p>
        </w:tc>
      </w:tr>
      <w:tr>
        <w:tc>
          <w:tcPr/>
          <w:p>
            <w:pPr>
              <w:pStyle w:val="Compact"/>
              <w:jc w:val="left"/>
            </w:pPr>
            <w:r>
              <w:t xml:space="preserve">Authenticator</w:t>
            </w:r>
          </w:p>
        </w:tc>
        <w:tc>
          <w:tcPr/>
          <w:p>
            <w:pPr>
              <w:pStyle w:val="Compact"/>
              <w:jc w:val="left"/>
            </w:pPr>
            <w:r>
              <w:t xml:space="preserve">Code qui authentifie un mot de passe, un jeton, un MFA, une affirmation fédérée, etc.</w:t>
            </w:r>
          </w:p>
        </w:tc>
      </w:tr>
      <w:tr>
        <w:tc>
          <w:tcPr/>
          <w:p>
            <w:pPr>
              <w:pStyle w:val="Compact"/>
              <w:jc w:val="left"/>
            </w:pPr>
            <w:r>
              <w:t xml:space="preserve">Vérificateur</w:t>
            </w:r>
          </w:p>
        </w:tc>
        <w:tc>
          <w:tcPr/>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tcPr/>
          <w:p>
            <w:pPr>
              <w:pStyle w:val="Compact"/>
              <w:jc w:val="left"/>
            </w:pPr>
            <w:r>
              <w:t xml:space="preserve">OTP</w:t>
            </w:r>
          </w:p>
        </w:tc>
        <w:tc>
          <w:tcPr/>
          <w:p>
            <w:pPr>
              <w:pStyle w:val="Compact"/>
              <w:jc w:val="left"/>
            </w:pPr>
            <w:r>
              <w:t xml:space="preserve">Mot de passe unique</w:t>
            </w:r>
          </w:p>
        </w:tc>
      </w:tr>
      <w:tr>
        <w:tc>
          <w:tcPr/>
          <w:p>
            <w:pPr>
              <w:pStyle w:val="Compact"/>
              <w:jc w:val="left"/>
            </w:pPr>
            <w:r>
              <w:t xml:space="preserve">SFA</w:t>
            </w:r>
          </w:p>
        </w:tc>
        <w:tc>
          <w:tcPr/>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tcPr/>
          <w:p>
            <w:pPr>
              <w:pStyle w:val="Compact"/>
              <w:jc w:val="left"/>
            </w:pPr>
            <w:r>
              <w:t xml:space="preserve">MFA</w:t>
            </w:r>
          </w:p>
        </w:tc>
        <w:tc>
          <w:tcPr/>
          <w:p>
            <w:pPr>
              <w:pStyle w:val="Compact"/>
              <w:jc w:val="left"/>
            </w:pPr>
            <w:r>
              <w:t xml:space="preserve">Authentification multi-facteurs, qui comprend deux ou plusieurs facteurs uniques</w:t>
            </w:r>
          </w:p>
        </w:tc>
      </w:tr>
    </w:tbl>
    <w:bookmarkEnd w:id="104"/>
    <w:bookmarkStart w:id="114" w:name="références-1"/>
    <w:p>
      <w:pPr>
        <w:pStyle w:val="Heading2"/>
      </w:pPr>
      <w:r>
        <w:t xml:space="preserve">Références</w:t>
      </w:r>
    </w:p>
    <w:p>
      <w:pPr>
        <w:pStyle w:val="FirstParagraph"/>
      </w:pPr>
      <w:r>
        <w:t xml:space="preserve">Pour plus d'informations, voir aussi :</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Xc38a2f45d84d0ab384b72657c6f070be3c0c7be"/>
    <w:p>
      <w:pPr>
        <w:pStyle w:val="Heading1"/>
      </w:pPr>
      <w:r>
        <w:t xml:space="preserve">V3 Exigences de vérification de la gestion des sessions</w:t>
      </w:r>
    </w:p>
    <w:bookmarkStart w:id="116" w:name="objectif-de-contrôle-2"/>
    <w:p>
      <w:pPr>
        <w:pStyle w:val="Heading2"/>
      </w:pPr>
      <w:r>
        <w:t xml:space="preserve">Objectif de contrôle</w:t>
      </w:r>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numPr>
          <w:ilvl w:val="0"/>
          <w:numId w:val="1006"/>
        </w:numPr>
        <w:pStyle w:val="Compact"/>
      </w:pPr>
      <w:r>
        <w:t xml:space="preserve">Les sessions sont uniques à chaque individu et ne peuvent être devinées ou partagées.</w:t>
      </w:r>
    </w:p>
    <w:p>
      <w:pPr>
        <w:numPr>
          <w:ilvl w:val="0"/>
          <w:numId w:val="1006"/>
        </w:numPr>
        <w:pStyle w:val="Compact"/>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7">
        <w:r>
          <w:rPr>
            <w:rStyle w:val="Hyperlink"/>
          </w:rPr>
          <w:t xml:space="preserve">NIST 800-63b</w:t>
        </w:r>
      </w:hyperlink>
      <w:r>
        <w:t xml:space="preserve">.</w:t>
      </w:r>
    </w:p>
    <w:bookmarkEnd w:id="116"/>
    <w:bookmarkStart w:id="117" w:name="exigences-de-vérification-de-sécurité"/>
    <w:p>
      <w:pPr>
        <w:pStyle w:val="Heading2"/>
      </w:pPr>
      <w:r>
        <w:t xml:space="preserve">Exigences de vérification de sécurité</w:t>
      </w:r>
    </w:p>
    <w:bookmarkEnd w:id="117"/>
    <w:bookmarkStart w:id="118" w:name="X0311016599bd8423a17851d074811553619f52d"/>
    <w:p>
      <w:pPr>
        <w:pStyle w:val="Heading2"/>
      </w:pPr>
      <w:r>
        <w:t xml:space="preserve">V3.1 Exigences fondamentales en matière de gestion des sessions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Vérifiez que l'application ne révèle jamais les jetons de session dans les paramètres d'URL ou les messages d'erreur.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Xcbf3d492c22ce0dea806d8d0fb2221132746fb6"/>
    <w:p>
      <w:pPr>
        <w:pStyle w:val="Heading2"/>
      </w:pPr>
      <w:r>
        <w:t xml:space="preserve">V3.2 Exigences contraignantes de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Vérifiez que l'application génère un nouveau jeton de session sur l'authentification de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Vérifiez que les jetons de session possèdent au moins 64 bits d'entropie.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Vérifiez que les jetons de session sont générés à l'aide d'algorithmes cryptographiques approuvés.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bookmarkEnd w:id="119"/>
    <w:bookmarkStart w:id="120" w:name="X6453063d2e8afc0816bde24d8403819f27dd3ed"/>
    <w:p>
      <w:pPr>
        <w:pStyle w:val="Heading2"/>
      </w:pPr>
      <w:r>
        <w:t xml:space="preserve">V3.3 Exigences en matière de déconnexion et de temporisation des sessions</w:t>
      </w:r>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Vérifiez que la déconnexion et l'expiration invalident le jeton de session, de sorte que le bouton de retour ou une partie de confiance en aval ne reprenne pas une session authentifiée, y compris entre les parties de confiance.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62">
              <w:r>
                <w:rPr>
                  <w:rStyle w:val="Hyperlink"/>
                </w:rPr>
                <w:t xml:space="preserve">C6</w:t>
              </w:r>
            </w:hyperlink>
            <w:r>
              <w:t xml:space="preserve">)</w:t>
            </w:r>
          </w:p>
        </w:tc>
        <w:tc>
          <w:tcPr/>
          <w:p>
            <w:pPr>
              <w:pStyle w:val="Compact"/>
              <w:jc w:val="center"/>
            </w:pPr>
            <w:r>
              <w:t xml:space="preserve">30 jours</w:t>
            </w:r>
          </w:p>
        </w:tc>
        <w:tc>
          <w:tcPr/>
          <w:p>
            <w:pPr>
              <w:pStyle w:val="Compact"/>
              <w:jc w:val="center"/>
            </w:pPr>
            <w:r>
              <w:t xml:space="preserve">12 heures ou 30 minutes d'inactivité, 2FA facultatif</w:t>
            </w:r>
          </w:p>
        </w:tc>
        <w:tc>
          <w:tcPr/>
          <w:p>
            <w:pPr>
              <w:pStyle w:val="Compact"/>
              <w:jc w:val="center"/>
            </w:pPr>
            <w:r>
              <w:t xml:space="preserve">12 heures ou 15 minutes d'inactivité, avec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7b711284a303d79af4c79a2fe6eb911f292576b"/>
    <w:p>
      <w:pPr>
        <w:pStyle w:val="Heading2"/>
      </w:pPr>
      <w:r>
        <w:t xml:space="preserve">V3.4 Gestion de session basée sur les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Vérifiez que les jetons de session basés sur des cookies ont l'attribut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Vérifiez que les jetons de session basés sur des cookies ont l'attribut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Vérifiez que les jetons de session basés sur des cookies utilisent l'attribut 'SameSite' pour limiter l'exposition aux attaques de contrefaçon par requête intersite.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Vérifiez que les jetons de session basés sur les cookies utilisent le préfixe "__Host-" (voir références) pour assurer la confidentialité des cookies de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ion-de-session-à-jetons"/>
    <w:p>
      <w:pPr>
        <w:pStyle w:val="Heading2"/>
      </w:pPr>
      <w:r>
        <w:t xml:space="preserve">V3.5 Gestion de session à jetons</w:t>
      </w:r>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Vérifiez que l'application permet aux utilisateurs de révoquer les jetons OAuth qui forment des relations d'approbation avec les applications liées.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Vérifiez que l'application utilise des jetons de session plutôt que des secrets et des clés d'API statiques, sauf dans le cas d'anciennes implémentations (legacy).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Vérifiez que les jetons de session sans état utilisent les signatures numériques, le chiffrement et d'autres contre-mesures pour se protéger contre les attaques par altération, mise sous enveloppe, rediffusion, chiffrement nul et substitution de clé.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7f3bfa15a4ac328f81fcbe6d4cb3f2e0b36ebe4"/>
    <w:p>
      <w:pPr>
        <w:pStyle w:val="Heading2"/>
      </w:pPr>
      <w:r>
        <w:t xml:space="preserve">V3.6 Re-authentification d'une fédération ou d'une assertion</w:t>
      </w:r>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a18306f80e18204045fff37dc64fdbab0ad06c"/>
    <w:p>
      <w:pPr>
        <w:pStyle w:val="Heading2"/>
      </w:pPr>
      <w:r>
        <w:t xml:space="preserve">V3.7 Défenses contre l'exploitation de la gestion des sessions</w:t>
      </w:r>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bookmarkStart w:id="124" w:name="description-de-lattaque-semi-ouverte"/>
    <w:p>
      <w:pPr>
        <w:pStyle w:val="Heading3"/>
      </w:pPr>
      <w:r>
        <w:t xml:space="preserve">Description de l'attaque semi-ouverte</w:t>
      </w:r>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éférences-2"/>
    <w:p>
      <w:pPr>
        <w:pStyle w:val="Heading2"/>
      </w:pPr>
      <w:r>
        <w:t xml:space="preserve">Références</w:t>
      </w:r>
    </w:p>
    <w:p>
      <w:pPr>
        <w:pStyle w:val="FirstParagraph"/>
      </w:pPr>
      <w:r>
        <w:t xml:space="preserve">Pour plus d'informations, voir aussi :</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Xf261d4792db36b9d0ca7429818a7d7b539c155c"/>
    <w:p>
      <w:pPr>
        <w:pStyle w:val="Heading1"/>
      </w:pPr>
      <w:r>
        <w:t xml:space="preserve">V4 Exigences de vérification du contrôle d'accès</w:t>
      </w:r>
    </w:p>
    <w:bookmarkStart w:id="131" w:name="objectif-de-contrôle-3"/>
    <w:p>
      <w:pPr>
        <w:pStyle w:val="Heading2"/>
      </w:pPr>
      <w:r>
        <w:t xml:space="preserve">Objectif de contrôle</w:t>
      </w:r>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numPr>
          <w:ilvl w:val="0"/>
          <w:numId w:val="1008"/>
        </w:numPr>
        <w:pStyle w:val="Compact"/>
      </w:pPr>
      <w:r>
        <w:t xml:space="preserve">Les personnes qui accèdent aux ressources possèdent une autorisation valide pour le faire.</w:t>
      </w:r>
    </w:p>
    <w:p>
      <w:pPr>
        <w:numPr>
          <w:ilvl w:val="0"/>
          <w:numId w:val="1008"/>
        </w:numPr>
        <w:pStyle w:val="Compact"/>
      </w:pPr>
      <w:r>
        <w:t xml:space="preserve">Les utilisateurs sont associés à un ensemble bien défini de rôles et de privilèges.</w:t>
      </w:r>
    </w:p>
    <w:p>
      <w:pPr>
        <w:numPr>
          <w:ilvl w:val="0"/>
          <w:numId w:val="1008"/>
        </w:numPr>
        <w:pStyle w:val="Compact"/>
      </w:pPr>
      <w:r>
        <w:t xml:space="preserve">Les métadonnées relatives aux rôles et aux autorisations sont protégées contre toute rediffusion ou altération.</w:t>
      </w:r>
    </w:p>
    <w:bookmarkEnd w:id="131"/>
    <w:bookmarkStart w:id="132" w:name="exigences-de-vérification-de-la-sécurité"/>
    <w:p>
      <w:pPr>
        <w:pStyle w:val="Heading2"/>
      </w:pPr>
      <w:r>
        <w:t xml:space="preserve">Exigences de vérification de la sécurité</w:t>
      </w:r>
    </w:p>
    <w:bookmarkEnd w:id="132"/>
    <w:bookmarkStart w:id="133" w:name="X7f35c47ecae0f391e3a14898f030b85c7f97679"/>
    <w:p>
      <w:pPr>
        <w:pStyle w:val="Heading2"/>
      </w:pPr>
      <w:r>
        <w:t xml:space="preserve">V4.1 Conception générale du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Vérifier que les contrôles d'accès échouent de manière sûre, y compris lorsqu'une exception se produit.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73f2327c82a791a52168b1c17c170e344739505"/>
    <w:p>
      <w:pPr>
        <w:pStyle w:val="Heading2"/>
      </w:pPr>
      <w:r>
        <w:t xml:space="preserve">V4.2 Contrôle d'accès au niveau des opérations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8f3378a749d62806cddd8dcfe1c33ed9b7ed9a7"/>
    <w:p>
      <w:pPr>
        <w:pStyle w:val="Heading2"/>
      </w:pPr>
      <w:r>
        <w:t xml:space="preserve">V4.3 Autres considérations relatives au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Vérifier que les interfaces administratives utilisent une authentification multifactorielle appropriée pour empêcher toute utilisation non autorisée.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éférences-3"/>
    <w:p>
      <w:pPr>
        <w:pStyle w:val="Heading2"/>
      </w:pPr>
      <w:r>
        <w:t xml:space="preserve">Références</w:t>
      </w:r>
    </w:p>
    <w:p>
      <w:pPr>
        <w:pStyle w:val="FirstParagraph"/>
      </w:pPr>
      <w:r>
        <w:t xml:space="preserve">Pour plus d'informations, voir aussi :</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dbe2d87c64e4d8581d11494b35bdefce88e29de"/>
    <w:p>
      <w:pPr>
        <w:pStyle w:val="Heading1"/>
      </w:pPr>
      <w:r>
        <w:t xml:space="preserve">V5 Exigences de validation, d'assainissement et de vérification de l'encodage</w:t>
      </w:r>
    </w:p>
    <w:bookmarkStart w:id="142" w:name="objectif-de-contrôle-4"/>
    <w:p>
      <w:pPr>
        <w:pStyle w:val="Heading2"/>
      </w:pPr>
      <w:r>
        <w:t xml:space="preserve">Objectif de contrôle</w:t>
      </w:r>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numPr>
          <w:ilvl w:val="0"/>
          <w:numId w:val="1010"/>
        </w:numPr>
        <w:pStyle w:val="Compact"/>
      </w:pPr>
      <w:r>
        <w:t xml:space="preserve">La validation des entrées et l'architecture de codage des sorties ont un pipeline convenu pour prévenir les attaques par injection.</w:t>
      </w:r>
    </w:p>
    <w:p>
      <w:pPr>
        <w:numPr>
          <w:ilvl w:val="0"/>
          <w:numId w:val="1010"/>
        </w:numPr>
        <w:pStyle w:val="Compact"/>
      </w:pPr>
      <w:r>
        <w:t xml:space="preserve">Les données d'entrée sont fortement typées, validées, vérifiées en plage ou en longueur ou, au pire, aseptisées ou filtrées.</w:t>
      </w:r>
    </w:p>
    <w:p>
      <w:pPr>
        <w:numPr>
          <w:ilvl w:val="0"/>
          <w:numId w:val="1010"/>
        </w:numPr>
        <w:pStyle w:val="Compact"/>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bookmarkEnd w:id="142"/>
    <w:bookmarkStart w:id="143" w:name="v51-exigences-de-validation-des-entrées"/>
    <w:p>
      <w:pPr>
        <w:pStyle w:val="Heading2"/>
      </w:pPr>
      <w:r>
        <w:t xml:space="preserve">V5.1 Exigences de validation des entrées</w:t>
      </w:r>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Vérifiez que les redirections et les transferts d'URL n'autorisent que les destinations prévu, ou affichez un avertissement lors d'une redirection vers un contenu potentiellement non 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8dbaf62487ead5a36f685371aff53eb830703d9"/>
    <w:p>
      <w:pPr>
        <w:pStyle w:val="Heading2"/>
      </w:pPr>
      <w:r>
        <w:t xml:space="preserve">V5.2 Exigences en matière d'assainissement et de « bac à sable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Vérifiez que les données non structurées sont assainit afin d'appliquer les mesures de sécurité telles que les caractères et la longueur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Vérifiez que l'application assainit les entrées de l'utilisateur avant de passer aux systèmes de messagerie pour protéger contre l'injection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Vérifiez que l'application protège contre les attaques par injection de modèles en veillant à ce que toute entrée de l'utilisateur incluse soit aseptisée ou mise en bac à sable.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46aa272b3554b6d0b1da4f0b7db91f33d0b34b1"/>
    <w:p>
      <w:pPr>
        <w:pStyle w:val="Heading2"/>
      </w:pPr>
      <w:r>
        <w:t xml:space="preserve">V5.3 Exigences en matière d'encodage de sortie et de prévention des injections</w:t>
      </w:r>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Vérifiez que l'encodage des sorties en fonction du contexte, de préférence automatisé - ou au pire, manuel - protège contre le XSS réfléchi, stocké et basé sur le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Vérifiez que l'application se protège contre les attaques par injection de JSON, les attaques par évaluation de JSON et les évaluations d'expressions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Vérifiez que l'application protège contre les attaques par inclusion de fichier local (LFI) ou par inclusion de fichier distant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Vérifiez que l'application protège contre les attaques par injection XPath ou par injection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bookmarkEnd w:id="145"/>
    <w:bookmarkStart w:id="146" w:name="X45e1d7828737bbb634d7b52bbee1643e8e94d67"/>
    <w:p>
      <w:pPr>
        <w:pStyle w:val="Heading2"/>
      </w:pPr>
      <w:r>
        <w:t xml:space="preserve">V5.4 Exigences en matière de mémoire, de chaînes de caractères et de code non géré</w:t>
      </w:r>
    </w:p>
    <w:p>
      <w:pPr>
        <w:pStyle w:val="FirstParagraph"/>
      </w:pPr>
      <w:r>
        <w:t xml:space="preserve">Les exigences suivantes ne s'appliquent que lorsque l'application utilise un langage système ou un code non géré.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Vérifiez que les chaînes de format ne prennent pas d'entrée potentiellement hostile, et sont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Vérifiez que les techniques de validation des signes, des plages et des entrées sont utilisées pour éviter les débordements d'entiers.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X8721fa8793e5716e68ded659609a61e08d78c1c"/>
    <w:p>
      <w:pPr>
        <w:pStyle w:val="Heading2"/>
      </w:pPr>
      <w:r>
        <w:t xml:space="preserve">V5.5 Exigences de prévention de la désérialisation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Vérifiez que les objets sérialisés utilisent des contrôles d'intégrité ou sont chiffrés pour empêcher la création d'objets hostiles ou la falsification de données.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Vérifiez que la désérialisation des données non fiables est évitée ou protégée à la fois dans le code personnalisé et les bibliothèques tierces (comme les analyseurs JSON, XML et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Vérifiez que lors de l'analyse de JSON dans les navigateurs ou les backends basés sur JavaScript, JSON.parse est utilisé pour analyser le document JSON. N'utilisez pas eval() pour analyser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éférences-4"/>
    <w:p>
      <w:pPr>
        <w:pStyle w:val="Heading2"/>
      </w:pPr>
      <w:r>
        <w:t xml:space="preserve">Références</w:t>
      </w:r>
    </w:p>
    <w:p>
      <w:pPr>
        <w:pStyle w:val="FirstParagraph"/>
      </w:pPr>
      <w:r>
        <w:t xml:space="preserve">Pour plus d'informations, voir aussi :</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Pour plus d'informations sur l'évasion automatique, veuillez consulter</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80" w:name="Xcfd242e62ced7bc650dc06f8ed785cb07ae2db8"/>
    <w:p>
      <w:pPr>
        <w:pStyle w:val="Heading1"/>
      </w:pPr>
      <w:r>
        <w:t xml:space="preserve">V6 Exigences de vérification de la cryptographie stockée</w:t>
      </w:r>
    </w:p>
    <w:bookmarkStart w:id="170" w:name="objectif-de-contrôle-5"/>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14"/>
        </w:numPr>
        <w:pStyle w:val="Compact"/>
      </w:pPr>
      <w:r>
        <w:t xml:space="preserve">Tous les modules cryptographiques échouent de manière sécurisée et que les erreurs sont traitées correctement.</w:t>
      </w:r>
    </w:p>
    <w:p>
      <w:pPr>
        <w:numPr>
          <w:ilvl w:val="0"/>
          <w:numId w:val="1014"/>
        </w:numPr>
        <w:pStyle w:val="Compact"/>
      </w:pPr>
      <w:r>
        <w:t xml:space="preserve">Un générateur de nombres aléatoires approprié est utilisé.</w:t>
      </w:r>
    </w:p>
    <w:p>
      <w:pPr>
        <w:numPr>
          <w:ilvl w:val="0"/>
          <w:numId w:val="1014"/>
        </w:numPr>
        <w:pStyle w:val="Compact"/>
      </w:pPr>
      <w:r>
        <w:t xml:space="preserve">L'accès aux clés est géré de manière sécurisée.</w:t>
      </w:r>
    </w:p>
    <w:bookmarkEnd w:id="170"/>
    <w:bookmarkStart w:id="171" w:name="v61-classification-des-données"/>
    <w:p>
      <w:pPr>
        <w:pStyle w:val="Heading2"/>
      </w:pPr>
      <w:r>
        <w:t xml:space="preserve">V6.1 Classification des données</w:t>
      </w:r>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Vérifier que les données de santé réglementées sont stockées de manière chiffrée pendant le repos, comme les dossiers médicaux, les détails des dispositifs médicaux ou les dossiers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3" w:name="v62-algorithmes"/>
    <w:p>
      <w:pPr>
        <w:pStyle w:val="Heading2"/>
      </w:pPr>
      <w:r>
        <w:t xml:space="preserve">V6.2 Algorithmes</w:t>
      </w:r>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Vérifiez que tous les modules cryptographiques échouent en toute sécurité, et que les erreurs sont traitées de manière à ne pas permettre les attaques de type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Vérifiez que le vecteur d'initialisation du chiffrement, la configuration du chiffrement et les modes de blocage sont configurés de manière sécurisée en utilisant les derniers conseils.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Vérifiez que les nonces, vecteurs d'initialisation et autres numéros à usage unique ne doivent pas être utilisés plus d'une fois avec une clé de chiffrement donnée. La méthode de génération doit être appropriée à l'algorithme utilisé.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Vérifier que les données chiffrées sont authentifiées par des signatures, des modes de chiffrement authentifiés ou le</w:t>
            </w:r>
            <w:r>
              <w:t xml:space="preserve"> </w:t>
            </w:r>
            <w:hyperlink r:id="rId172">
              <w:r>
                <w:rPr>
                  <w:rStyle w:val="Hyperlink"/>
                </w:rPr>
                <w:t xml:space="preserve">HMAC</w:t>
              </w:r>
            </w:hyperlink>
            <w:r>
              <w:t xml:space="preserve"> </w:t>
            </w:r>
            <w:r>
              <w:t xml:space="preserve">pour s'assurer que le texte chiffré n'est pas altéré par une partie non autorisée.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3"/>
    <w:bookmarkStart w:id="174" w:name="v63-valeurs-aléatoires"/>
    <w:p>
      <w:pPr>
        <w:pStyle w:val="Heading2"/>
      </w:pPr>
      <w:r>
        <w:t xml:space="preserve">V6.3 Valeurs aléatoires</w:t>
      </w:r>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4"/>
    <w:bookmarkStart w:id="175" w:name="v64-gestion-du-secret"/>
    <w:p>
      <w:pPr>
        <w:pStyle w:val="Heading2"/>
      </w:pPr>
      <w:r>
        <w:t xml:space="preserve">V6.4 Gestion du secret</w:t>
      </w:r>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Vérifiez qu'une solution de gestion des secrets, telle qu'un coffre fort de clés, est utilisé pour créer, stocker, contrôler l'accès aux secrets et les détruire en toute sécurité.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Vérifiez que le matériel clé ne soit pas exposé à l'application mais utilise plutôt un module de sécurité isolé comme un coffre-fort pour les opérations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5"/>
    <w:bookmarkStart w:id="179" w:name="références-5"/>
    <w:p>
      <w:pPr>
        <w:pStyle w:val="Heading2"/>
      </w:pPr>
      <w:r>
        <w:t xml:space="preserve">Références</w:t>
      </w:r>
    </w:p>
    <w:p>
      <w:pPr>
        <w:pStyle w:val="FirstParagraph"/>
      </w:pPr>
      <w:r>
        <w:t xml:space="preserve">Pour plus d'informations, voir aussi :</w:t>
      </w:r>
    </w:p>
    <w:p>
      <w:pPr>
        <w:numPr>
          <w:ilvl w:val="0"/>
          <w:numId w:val="1015"/>
        </w:numPr>
        <w:pStyle w:val="Compact"/>
      </w:pPr>
      <w:hyperlink r:id="rId176">
        <w:r>
          <w:rPr>
            <w:rStyle w:val="Hyperlink"/>
          </w:rPr>
          <w:t xml:space="preserve">OWASP Testing Guide 4.0: Testing for weak Cryptography</w:t>
        </w:r>
      </w:hyperlink>
    </w:p>
    <w:p>
      <w:pPr>
        <w:numPr>
          <w:ilvl w:val="0"/>
          <w:numId w:val="1015"/>
        </w:numPr>
        <w:pStyle w:val="Compact"/>
      </w:pPr>
      <w:hyperlink r:id="rId177">
        <w:r>
          <w:rPr>
            <w:rStyle w:val="Hyperlink"/>
          </w:rPr>
          <w:t xml:space="preserve">OWASP Cheat Sheet: Cryptographic Storage</w:t>
        </w:r>
      </w:hyperlink>
    </w:p>
    <w:p>
      <w:pPr>
        <w:numPr>
          <w:ilvl w:val="0"/>
          <w:numId w:val="1015"/>
        </w:numPr>
        <w:pStyle w:val="Compact"/>
      </w:pPr>
      <w:hyperlink r:id="rId178">
        <w:r>
          <w:rPr>
            <w:rStyle w:val="Hyperlink"/>
          </w:rPr>
          <w:t xml:space="preserve">FIPS 140-2</w:t>
        </w:r>
      </w:hyperlink>
    </w:p>
    <w:bookmarkEnd w:id="179"/>
    <w:bookmarkEnd w:id="180"/>
    <w:bookmarkStart w:id="189" w:name="Xa816b196c0566e4e517716998cd30f5955c4a2e"/>
    <w:p>
      <w:pPr>
        <w:pStyle w:val="Heading1"/>
      </w:pPr>
      <w:r>
        <w:t xml:space="preserve">V7 Traitement des erreurs et exigences de vérification de l'enregistrement</w:t>
      </w:r>
    </w:p>
    <w:bookmarkStart w:id="181" w:name="objectif-de-contrôle-6"/>
    <w:p>
      <w:pPr>
        <w:pStyle w:val="Heading2"/>
      </w:pPr>
      <w:r>
        <w:t xml:space="preserve">Objectif de contrôle</w:t>
      </w:r>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numPr>
          <w:ilvl w:val="0"/>
          <w:numId w:val="1016"/>
        </w:numPr>
        <w:pStyle w:val="Compact"/>
      </w:pPr>
      <w:r>
        <w:t xml:space="preserve">Ne pas collecter ou enregistrer des informations sensibles, sauf si cela est spécifiquement requis.</w:t>
      </w:r>
    </w:p>
    <w:p>
      <w:pPr>
        <w:numPr>
          <w:ilvl w:val="0"/>
          <w:numId w:val="1016"/>
        </w:numPr>
        <w:pStyle w:val="Compact"/>
      </w:pPr>
      <w:r>
        <w:t xml:space="preserve">Veiller à ce que toutes les informations enregistrées soient traitées de manière sûre et protégées conformément à leur classification.</w:t>
      </w:r>
    </w:p>
    <w:p>
      <w:pPr>
        <w:numPr>
          <w:ilvl w:val="0"/>
          <w:numId w:val="1016"/>
        </w:numPr>
        <w:pStyle w:val="Compact"/>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bookmarkEnd w:id="181"/>
    <w:bookmarkStart w:id="182" w:name="Xc46865f1f4b15c7ab621a021741d9c398aeb605"/>
    <w:p>
      <w:pPr>
        <w:pStyle w:val="Heading2"/>
      </w:pPr>
      <w:r>
        <w:t xml:space="preserve">V7.1 Exigences relatives au contenu des journaux</w:t>
      </w:r>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numPr>
          <w:ilvl w:val="0"/>
          <w:numId w:val="1017"/>
        </w:numPr>
        <w:pStyle w:val="Compact"/>
      </w:pPr>
      <w:r>
        <w:t xml:space="preserve">Les développeurs de s'assurer de la conformité totale avec cette section, comme si tous les éléments étaient marqués comme L1</w:t>
      </w:r>
    </w:p>
    <w:p>
      <w:pPr>
        <w:numPr>
          <w:ilvl w:val="0"/>
          <w:numId w:val="1017"/>
        </w:numPr>
        <w:pStyle w:val="Compact"/>
      </w:pPr>
      <w:r>
        <w:t xml:space="preserve">Tests de pénétration de valider la conformité totale de tous les éléments de la V7.1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Vérifiez que le journal n'enregistre pas les références ou les détails de paiement. Les jetons de session ne doivent être stockés dans les journaux que sous une forme hachée et irréversible.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Vérifiez que chaque événement consigné dans le journal contient les informations nécessaires pour permettre une enquête détaillée sur la chronologie de l'événement.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2"/>
    <w:bookmarkStart w:id="183" w:name="v72-exigences-de-traitement-des-journaux"/>
    <w:p>
      <w:pPr>
        <w:pStyle w:val="Heading2"/>
      </w:pPr>
      <w:r>
        <w:t xml:space="preserve">V7.2 Exigences de traitement des journaux</w:t>
      </w:r>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numPr>
          <w:ilvl w:val="0"/>
          <w:numId w:val="1018"/>
        </w:numPr>
        <w:pStyle w:val="Compact"/>
      </w:pPr>
      <w:r>
        <w:t xml:space="preserve">Les développeurs de s'assurer de la conformité totale avec cette section, comme si tous les éléments étaient marqués comme L1</w:t>
      </w:r>
    </w:p>
    <w:p>
      <w:pPr>
        <w:numPr>
          <w:ilvl w:val="0"/>
          <w:numId w:val="1018"/>
        </w:numPr>
        <w:pStyle w:val="Compact"/>
      </w:pPr>
      <w:r>
        <w:t xml:space="preserve">Tests de pénétration de valider la conformité totale de tous les éléments de la V7.2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3"/>
    <w:bookmarkStart w:id="184" w:name="X9207642aac23a15e59e4b1d972ed6e357c1e4a3"/>
    <w:p>
      <w:pPr>
        <w:pStyle w:val="Heading2"/>
      </w:pPr>
      <w:r>
        <w:t xml:space="preserve">V7.3 Exigences en matière de protection des journaux</w:t>
      </w:r>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Vérifiez que l'application encode correctement les données fournies par l'utilisateur pour éviter l'injection de logs.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[SUPPRIMÉ, DOUBLON AVEC L'EXIGENCE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Vérifiez que les journaux de sécurité sont protégés contre tout accès et toute modification non autorisés.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bookmarkEnd w:id="184"/>
    <w:bookmarkStart w:id="185" w:name="v74-traitement-des-erreurs"/>
    <w:p>
      <w:pPr>
        <w:pStyle w:val="Heading2"/>
      </w:pPr>
      <w:r>
        <w:t xml:space="preserve">V7.4 Traitement des erreurs</w:t>
      </w:r>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Vérifiez que le traitement des exceptions est utilisé dans toute le code source pour tenir compte des conditions d'erreur prévues et imprévues.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Vérifiez qu'un gestionnaire d'erreurs de "dernier recours" est défini, qui prendra en compte toutes les exceptions non traitées.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bookmarkEnd w:id="185"/>
    <w:bookmarkStart w:id="188" w:name="références-6"/>
    <w:p>
      <w:pPr>
        <w:pStyle w:val="Heading2"/>
      </w:pPr>
      <w:r>
        <w:t xml:space="preserve">Références</w:t>
      </w:r>
    </w:p>
    <w:p>
      <w:pPr>
        <w:pStyle w:val="FirstParagraph"/>
      </w:pPr>
      <w:r>
        <w:t xml:space="preserve">Pour plus d'informations, voir aussi :</w:t>
      </w:r>
    </w:p>
    <w:p>
      <w:pPr>
        <w:numPr>
          <w:ilvl w:val="0"/>
          <w:numId w:val="1019"/>
        </w:numPr>
        <w:pStyle w:val="Compact"/>
      </w:pPr>
      <w:hyperlink r:id="rId186">
        <w:r>
          <w:rPr>
            <w:rStyle w:val="Hyperlink"/>
          </w:rPr>
          <w:t xml:space="preserve">OWASP Testing Guide 4.0 content: Testing for Error Handling</w:t>
        </w:r>
      </w:hyperlink>
    </w:p>
    <w:p>
      <w:pPr>
        <w:numPr>
          <w:ilvl w:val="0"/>
          <w:numId w:val="1019"/>
        </w:numPr>
        <w:pStyle w:val="Compact"/>
      </w:pPr>
      <w:hyperlink r:id="rId187">
        <w:r>
          <w:rPr>
            <w:rStyle w:val="Hyperlink"/>
          </w:rPr>
          <w:t xml:space="preserve">OWASP Authentication Cheat Sheet section about error messages</w:t>
        </w:r>
      </w:hyperlink>
    </w:p>
    <w:bookmarkEnd w:id="188"/>
    <w:bookmarkEnd w:id="189"/>
    <w:bookmarkStart w:id="201" w:name="Xe2e32684be9ecd5963c4cf5fe174a8691f67e30"/>
    <w:p>
      <w:pPr>
        <w:pStyle w:val="Heading1"/>
      </w:pPr>
      <w:r>
        <w:t xml:space="preserve">V8 Exigences de vérification de la protection des données</w:t>
      </w:r>
    </w:p>
    <w:bookmarkStart w:id="190" w:name="objectif-de-contrôle-7"/>
    <w:p>
      <w:pPr>
        <w:pStyle w:val="Heading2"/>
      </w:pPr>
      <w:r>
        <w:t xml:space="preserve">Objectif de contrôle</w:t>
      </w:r>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numPr>
          <w:ilvl w:val="0"/>
          <w:numId w:val="1020"/>
        </w:numPr>
        <w:pStyle w:val="Compact"/>
      </w:pPr>
      <w:r>
        <w:t xml:space="preserve">Confidentialité : Les données doivent être protégées contre toute observation ou divulgation non autorisée, tant pendant leur transit que lors de leur stockage.</w:t>
      </w:r>
    </w:p>
    <w:p>
      <w:pPr>
        <w:numPr>
          <w:ilvl w:val="0"/>
          <w:numId w:val="1020"/>
        </w:numPr>
        <w:pStyle w:val="Compact"/>
      </w:pPr>
      <w:r>
        <w:t xml:space="preserve">Intégrité : Les données doivent être protégées contre toute création, modification ou suppression malveillante par des attaquants non autorisés.</w:t>
      </w:r>
    </w:p>
    <w:p>
      <w:pPr>
        <w:numPr>
          <w:ilvl w:val="0"/>
          <w:numId w:val="1020"/>
        </w:numPr>
        <w:pStyle w:val="Compact"/>
      </w:pPr>
      <w:r>
        <w:t xml:space="preserve">Disponibilité : Les données doivent être accessibles aux utilisateurs autorisés, selon les besoins.</w:t>
      </w:r>
    </w:p>
    <w:bookmarkEnd w:id="190"/>
    <w:bookmarkStart w:id="191" w:name="v81-protection-générale-des-données"/>
    <w:p>
      <w:pPr>
        <w:pStyle w:val="Heading2"/>
      </w:pPr>
      <w:r>
        <w:t xml:space="preserve">V8.1 Protection générale des données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Vérifiez que l'application protège les données sensibles contre la mise en cache dans des composants du serveur tels que les équilibreurs de charge et les caches d'applications.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Vérifier que l'application minimise le nombre de paramètres dans une requête, tels que les champs cachés, les variables Ajax, les cookies et les valeurs d'en-tête.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Vérifiez que des sauvegardes régulières des données importantes sont effectuées et que des tests de restauration des données sont effectués.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Vérifiez que les sauvegardes sont stockées en toute sécurité pour éviter que les données ne soient volées ou corrompues.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1"/>
    <w:bookmarkStart w:id="192" w:name="v82-protection-des-données-côté-client"/>
    <w:p>
      <w:pPr>
        <w:pStyle w:val="Heading2"/>
      </w:pPr>
      <w:r>
        <w:t xml:space="preserve">V8.2 Protection des données côté client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Vérifiez que l'application définit suffisamment d'en-têtes anticaching pour que les données sensibles ne soient pas mises en cache dans les navigateurs modernes.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Vérifiez que les données stockées dans le stockage du navigateur (telles que localStorage, sessionStorage, IndexedDB ou cookies)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Vérifiez que les données authentifiées sont effacées du stockage du client, tel que le DOM du navigateur, après la fin du client ou de la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2"/>
    <w:bookmarkStart w:id="193" w:name="v83-données-privées-sensibles"/>
    <w:p>
      <w:pPr>
        <w:pStyle w:val="Heading2"/>
      </w:pPr>
      <w:r>
        <w:t xml:space="preserve">V8.3 Données privées sensibles</w:t>
      </w:r>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Vérifier que les utilisateurs disposent d'une méthode pour supprimer ou exporter leurs données sur demande.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Vérifier que les informations sensibles ou privées qui doivent être chiffrées, le sont à l'aide d'algorithmes approuvés qui assurent à la fois la confidentialité et l'intégrité.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bookmarkEnd w:id="193"/>
    <w:bookmarkStart w:id="200" w:name="références-7"/>
    <w:p>
      <w:pPr>
        <w:pStyle w:val="Heading2"/>
      </w:pPr>
      <w:r>
        <w:t xml:space="preserve">Références</w:t>
      </w:r>
    </w:p>
    <w:p>
      <w:pPr>
        <w:pStyle w:val="FirstParagraph"/>
      </w:pPr>
      <w:r>
        <w:t xml:space="preserve">Pour plus d'informations, voir aussi :</w:t>
      </w:r>
    </w:p>
    <w:p>
      <w:pPr>
        <w:numPr>
          <w:ilvl w:val="0"/>
          <w:numId w:val="1021"/>
        </w:numPr>
        <w:pStyle w:val="Compact"/>
      </w:pPr>
      <w:hyperlink r:id="rId194">
        <w:r>
          <w:rPr>
            <w:rStyle w:val="Hyperlink"/>
          </w:rPr>
          <w:t xml:space="preserve">Consider using Security Headers website to check security and anti-caching headers</w:t>
        </w:r>
      </w:hyperlink>
    </w:p>
    <w:p>
      <w:pPr>
        <w:numPr>
          <w:ilvl w:val="0"/>
          <w:numId w:val="1021"/>
        </w:numPr>
        <w:pStyle w:val="Compact"/>
      </w:pPr>
      <w:hyperlink r:id="rId195">
        <w:r>
          <w:rPr>
            <w:rStyle w:val="Hyperlink"/>
          </w:rPr>
          <w:t xml:space="preserve">OWASP Secure Headers project</w:t>
        </w:r>
      </w:hyperlink>
    </w:p>
    <w:p>
      <w:pPr>
        <w:numPr>
          <w:ilvl w:val="0"/>
          <w:numId w:val="1021"/>
        </w:numPr>
        <w:pStyle w:val="Compact"/>
      </w:pPr>
      <w:hyperlink r:id="rId196">
        <w:r>
          <w:rPr>
            <w:rStyle w:val="Hyperlink"/>
          </w:rPr>
          <w:t xml:space="preserve">OWASP Privacy Risks Project</w:t>
        </w:r>
      </w:hyperlink>
    </w:p>
    <w:p>
      <w:pPr>
        <w:numPr>
          <w:ilvl w:val="0"/>
          <w:numId w:val="1021"/>
        </w:numPr>
        <w:pStyle w:val="Compact"/>
      </w:pPr>
      <w:hyperlink r:id="rId197">
        <w:r>
          <w:rPr>
            <w:rStyle w:val="Hyperlink"/>
          </w:rPr>
          <w:t xml:space="preserve">OWASP User Privacy Protection Cheat Sheet</w:t>
        </w:r>
      </w:hyperlink>
    </w:p>
    <w:p>
      <w:pPr>
        <w:numPr>
          <w:ilvl w:val="0"/>
          <w:numId w:val="1021"/>
        </w:numPr>
        <w:pStyle w:val="Compact"/>
      </w:pPr>
      <w:hyperlink r:id="rId198">
        <w:r>
          <w:rPr>
            <w:rStyle w:val="Hyperlink"/>
          </w:rPr>
          <w:t xml:space="preserve">European Union General Data Protection Regulation (GDPR) overview</w:t>
        </w:r>
      </w:hyperlink>
    </w:p>
    <w:p>
      <w:pPr>
        <w:numPr>
          <w:ilvl w:val="0"/>
          <w:numId w:val="1021"/>
        </w:numPr>
        <w:pStyle w:val="Compact"/>
      </w:pPr>
      <w:hyperlink r:id="rId199">
        <w:r>
          <w:rPr>
            <w:rStyle w:val="Hyperlink"/>
          </w:rPr>
          <w:t xml:space="preserve">European Union Data Protection Supervisor - Internet Privacy Engineering Network</w:t>
        </w:r>
      </w:hyperlink>
    </w:p>
    <w:bookmarkEnd w:id="200"/>
    <w:bookmarkEnd w:id="201"/>
    <w:bookmarkStart w:id="210" w:name="Xd10172ff7c9c236ecb823baf0eee59bdb25ca63"/>
    <w:p>
      <w:pPr>
        <w:pStyle w:val="Heading1"/>
      </w:pPr>
      <w:r>
        <w:t xml:space="preserve">V9 Exigences de vérification des communications</w:t>
      </w:r>
    </w:p>
    <w:bookmarkStart w:id="202" w:name="objectif-de-contrôle-8"/>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2"/>
        </w:numPr>
        <w:pStyle w:val="Compact"/>
      </w:pPr>
      <w:r>
        <w:t xml:space="preserve">Le TLS ou le cryptage fort est toujours utilisé, quelle que soit la sensibilité des données transmises</w:t>
      </w:r>
    </w:p>
    <w:p>
      <w:pPr>
        <w:numPr>
          <w:ilvl w:val="0"/>
          <w:numId w:val="1022"/>
        </w:numPr>
        <w:pStyle w:val="Compact"/>
      </w:pPr>
      <w:r>
        <w:t xml:space="preserve">Suivez les conseils les plus récents, incluant:</w:t>
      </w:r>
    </w:p>
    <w:p>
      <w:pPr>
        <w:numPr>
          <w:ilvl w:val="1"/>
          <w:numId w:val="1023"/>
        </w:numPr>
        <w:pStyle w:val="Compact"/>
      </w:pPr>
      <w:r>
        <w:t xml:space="preserve">les conseils de configuration</w:t>
      </w:r>
    </w:p>
    <w:p>
      <w:pPr>
        <w:numPr>
          <w:ilvl w:val="1"/>
          <w:numId w:val="1023"/>
        </w:numPr>
        <w:pStyle w:val="Compact"/>
      </w:pPr>
      <w:r>
        <w:t xml:space="preserve">les algorithmes et les cryptogrammes préférés</w:t>
      </w:r>
    </w:p>
    <w:p>
      <w:pPr>
        <w:numPr>
          <w:ilvl w:val="0"/>
          <w:numId w:val="1022"/>
        </w:numPr>
        <w:pStyle w:val="Compact"/>
      </w:pPr>
      <w:r>
        <w:t xml:space="preserve">Les algorithmes et les chiffres faibles ou bientôt obsolètes sont commandés en dernier recours</w:t>
      </w:r>
    </w:p>
    <w:p>
      <w:pPr>
        <w:numPr>
          <w:ilvl w:val="0"/>
          <w:numId w:val="1022"/>
        </w:numPr>
        <w:pStyle w:val="Compact"/>
      </w:pPr>
      <w:r>
        <w:t xml:space="preserve">Les algorithmes et les chiffres non sécurisés, dépréciés ou connus, sont désactivés.</w:t>
      </w:r>
    </w:p>
    <w:p>
      <w:pPr>
        <w:pStyle w:val="FirstParagraph"/>
      </w:pPr>
      <w:r>
        <w:t xml:space="preserve">Dans ces exigences :</w:t>
      </w:r>
    </w:p>
    <w:p>
      <w:pPr>
        <w:numPr>
          <w:ilvl w:val="0"/>
          <w:numId w:val="1024"/>
        </w:numPr>
        <w:pStyle w:val="Compact"/>
      </w:pPr>
      <w:r>
        <w:t xml:space="preserve">Les principaux conseils de l'industrie sur la configuration sécurisée de TLS changent fréquemment, souvent en raison de ruptures catastrophiques dans les algorithmes et les cryptogrammes existants.</w:t>
      </w:r>
    </w:p>
    <w:p>
      <w:pPr>
        <w:numPr>
          <w:ilvl w:val="0"/>
          <w:numId w:val="1024"/>
        </w:numPr>
        <w:pStyle w:val="Compact"/>
      </w:pPr>
      <w:r>
        <w:t xml:space="preserve">Utilisez toujours les versions les plus récentes des outils de révision de la configuration TLS (tels que SSLyze ou d'autres scanners TLS) pour configurer l'ordre et la sélection d'algorithme préférés.</w:t>
      </w:r>
    </w:p>
    <w:p>
      <w:pPr>
        <w:numPr>
          <w:ilvl w:val="0"/>
          <w:numId w:val="1024"/>
        </w:numPr>
        <w:pStyle w:val="Compact"/>
      </w:pPr>
      <w:r>
        <w:t xml:space="preserve">La configuration doit être vérifiée périodiquement pour s'assurer que la configuration des communications sécurisées est toujours présente et efficace.</w:t>
      </w:r>
    </w:p>
    <w:bookmarkEnd w:id="202"/>
    <w:bookmarkStart w:id="203" w:name="X859304fc9051927eb72b23ea0b6c7a95b36b1c2"/>
    <w:p>
      <w:pPr>
        <w:pStyle w:val="Heading2"/>
      </w:pPr>
      <w:r>
        <w:t xml:space="preserve">V9.1 Exigences de sécurité des communications des clients</w:t>
      </w:r>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Vérifiez que le TLS sécurisé est utilisé pour toutes les connexions des clients et ne revient pas à des protocoles non sécurisés ou non chiffrés.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Vérifiez que seules les dernières versions recommandées du protocole TLS sont activées, telles que TLS 1.2 et TLS 1.3. La dernière version du protocole TLS doit être l'option préférée.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3"/>
    <w:bookmarkStart w:id="204" w:name="Xcdfa626b3f8a119c4c44caf474261164f2ac109"/>
    <w:p>
      <w:pPr>
        <w:pStyle w:val="Heading2"/>
      </w:pPr>
      <w:r>
        <w:t xml:space="preserve">V9.2 Exigences de sécurité des communications du serveur</w:t>
      </w:r>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Vérifiez que toutes les connexions chiffrées à des systèmes externes qui impliquent des informations ou des fonctions sensibles sont authentifiées.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Vérifiez que la révocation de certification appropriée, telle que le protocol OCSP (Online Certificate Status Protocol), est activée et configurée.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Vérifiez que les échecs de connexion TLS en arrière-plan sont enregistrés.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4"/>
    <w:bookmarkStart w:id="209" w:name="références-8"/>
    <w:p>
      <w:pPr>
        <w:pStyle w:val="Heading2"/>
      </w:pPr>
      <w:r>
        <w:t xml:space="preserve">Références</w:t>
      </w:r>
    </w:p>
    <w:p>
      <w:pPr>
        <w:pStyle w:val="FirstParagraph"/>
      </w:pPr>
      <w:r>
        <w:t xml:space="preserve">Pour plus d'informations, voir aussi :</w:t>
      </w:r>
    </w:p>
    <w:p>
      <w:pPr>
        <w:numPr>
          <w:ilvl w:val="0"/>
          <w:numId w:val="1025"/>
        </w:numPr>
        <w:pStyle w:val="Compact"/>
      </w:pPr>
      <w:hyperlink r:id="rId205">
        <w:r>
          <w:rPr>
            <w:rStyle w:val="Hyperlink"/>
          </w:rPr>
          <w:t xml:space="preserve">OWASP – TLS Cheat Sheet</w:t>
        </w:r>
      </w:hyperlink>
    </w:p>
    <w:p>
      <w:pPr>
        <w:numPr>
          <w:ilvl w:val="0"/>
          <w:numId w:val="1025"/>
        </w:numPr>
        <w:pStyle w:val="Compact"/>
      </w:pPr>
      <w:hyperlink r:id="rId206">
        <w:r>
          <w:rPr>
            <w:rStyle w:val="Hyperlink"/>
          </w:rPr>
          <w:t xml:space="preserve">OWASP - Pinning Guide</w:t>
        </w:r>
      </w:hyperlink>
    </w:p>
    <w:p>
      <w:pPr>
        <w:numPr>
          <w:ilvl w:val="0"/>
          <w:numId w:val="1025"/>
        </w:numPr>
        <w:pStyle w:val="Compact"/>
      </w:pPr>
      <w:r>
        <w:t xml:space="preserve">Remarques sur les « modes approuvés de TLS ».</w:t>
      </w:r>
    </w:p>
    <w:p>
      <w:pPr>
        <w:numPr>
          <w:ilvl w:val="1"/>
          <w:numId w:val="1026"/>
        </w:numPr>
        <w:pStyle w:val="Compact"/>
      </w:pPr>
      <w:r>
        <w:t xml:space="preserve">Dans le passé, l'ASVS faisait référence à la norme américaine FIPS 140-2, mais en tant que norme mondiale, l'application des normes américaines peut être difficile, contradictoire ou déroutante à appliquer.</w:t>
      </w:r>
    </w:p>
    <w:p>
      <w:pPr>
        <w:numPr>
          <w:ilvl w:val="1"/>
          <w:numId w:val="1026"/>
        </w:numPr>
        <w:pStyle w:val="Compact"/>
      </w:pPr>
      <w:r>
        <w:t xml:space="preserve">Une meilleure méthode pour atteindre la conformité avec 9.1.3 consisterait à examiner des guides tels que</w:t>
      </w:r>
      <w:r>
        <w:t xml:space="preserve"> </w:t>
      </w:r>
      <w:hyperlink r:id="rId207">
        <w:r>
          <w:rPr>
            <w:rStyle w:val="Hyperlink"/>
          </w:rPr>
          <w:t xml:space="preserve">Mozilla's Server Side TLS</w:t>
        </w:r>
      </w:hyperlink>
      <w:r>
        <w:t xml:space="preserve"> </w:t>
      </w:r>
      <w:r>
        <w:t xml:space="preserve">ou</w:t>
      </w:r>
      <w:r>
        <w:t xml:space="preserve"> </w:t>
      </w:r>
      <w:hyperlink r:id="rId208">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w:t>
      </w:r>
    </w:p>
    <w:bookmarkEnd w:id="209"/>
    <w:bookmarkEnd w:id="210"/>
    <w:bookmarkStart w:id="218" w:name="X529795f33001de4eba3856fe5f3d710fab7c232"/>
    <w:p>
      <w:pPr>
        <w:pStyle w:val="Heading1"/>
      </w:pPr>
      <w:r>
        <w:t xml:space="preserve">V10 Exigences de vérification des codes malveillants</w:t>
      </w:r>
    </w:p>
    <w:bookmarkStart w:id="211" w:name="objectif-de-contrôle-9"/>
    <w:p>
      <w:pPr>
        <w:pStyle w:val="Heading2"/>
      </w:pPr>
      <w:r>
        <w:t xml:space="preserve">Objectif de contrôle</w:t>
      </w:r>
    </w:p>
    <w:p>
      <w:pPr>
        <w:pStyle w:val="FirstParagraph"/>
      </w:pPr>
      <w:r>
        <w:t xml:space="preserve">Assurez-vous que le code satisfait aux exigences de haut niveau suivantes :</w:t>
      </w:r>
    </w:p>
    <w:p>
      <w:pPr>
        <w:numPr>
          <w:ilvl w:val="0"/>
          <w:numId w:val="1027"/>
        </w:numPr>
        <w:pStyle w:val="Compact"/>
      </w:pPr>
      <w:r>
        <w:t xml:space="preserve">L'activité malveillante est traitée de manière sûre et appropriée pour ne pas affecter le reste de l'application.</w:t>
      </w:r>
    </w:p>
    <w:p>
      <w:pPr>
        <w:numPr>
          <w:ilvl w:val="0"/>
          <w:numId w:val="1027"/>
        </w:numPr>
        <w:pStyle w:val="Compact"/>
      </w:pPr>
      <w:r>
        <w:t xml:space="preserve">Il n'y a pas de bombes à retardement ou d'autres attaques basées sur le temps.</w:t>
      </w:r>
    </w:p>
    <w:p>
      <w:pPr>
        <w:numPr>
          <w:ilvl w:val="0"/>
          <w:numId w:val="1027"/>
        </w:numPr>
        <w:pStyle w:val="Compact"/>
      </w:pPr>
      <w:r>
        <w:t xml:space="preserve">Ne pas "téléphoner à la maison" vers des destinations malveillantes ou non autorisées.</w:t>
      </w:r>
    </w:p>
    <w:p>
      <w:pPr>
        <w:numPr>
          <w:ilvl w:val="0"/>
          <w:numId w:val="1027"/>
        </w:numPr>
        <w:pStyle w:val="Compact"/>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bookmarkEnd w:id="211"/>
    <w:bookmarkStart w:id="212" w:name="v101-contrôles-de-lintégrité-du-code"/>
    <w:p>
      <w:pPr>
        <w:pStyle w:val="Heading2"/>
      </w:pPr>
      <w:r>
        <w:t xml:space="preserve">V10.1 Contrôles de l'intégrité du code</w:t>
      </w:r>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2"/>
    <w:bookmarkStart w:id="213" w:name="v102-recherche-de-code-malveillant"/>
    <w:p>
      <w:pPr>
        <w:pStyle w:val="Heading2"/>
      </w:pPr>
      <w:r>
        <w:t xml:space="preserve">V10.2 Recherche de code malveillant</w:t>
      </w:r>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Vérifiez que le code source de l'application et les bibliothèques tierces ne contiennent pas de bombes à retardement en recherchant les fonctions liées à la date et à l'heure.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Vérifiez que le code source de l'application et les bibliothèques tierces ne contiennent pas d'œufs de Pâques ou toute autre fonctionnalité potentiellement indésirable.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3"/>
    <w:bookmarkStart w:id="214" w:name="X0b2f280f1fcd7d2c88663f8d1d2e056ee0e16a9"/>
    <w:p>
      <w:pPr>
        <w:pStyle w:val="Heading2"/>
      </w:pPr>
      <w:r>
        <w:t xml:space="preserve">V10.3 Contrôles d'intégrité des applications déployées</w:t>
      </w:r>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Cs/>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4"/>
    <w:bookmarkStart w:id="217" w:name="références-9"/>
    <w:p>
      <w:pPr>
        <w:pStyle w:val="Heading2"/>
      </w:pPr>
      <w:r>
        <w:t xml:space="preserve">Références</w:t>
      </w:r>
    </w:p>
    <w:p>
      <w:pPr>
        <w:numPr>
          <w:ilvl w:val="0"/>
          <w:numId w:val="1028"/>
        </w:numPr>
        <w:pStyle w:val="Compact"/>
      </w:pPr>
      <w:hyperlink r:id="rId215">
        <w:r>
          <w:rPr>
            <w:rStyle w:val="Hyperlink"/>
          </w:rPr>
          <w:t xml:space="preserve">Hostile Subdomain Takeover, Detectify Labs</w:t>
        </w:r>
      </w:hyperlink>
    </w:p>
    <w:p>
      <w:pPr>
        <w:numPr>
          <w:ilvl w:val="0"/>
          <w:numId w:val="1028"/>
        </w:numPr>
        <w:pStyle w:val="Compact"/>
      </w:pPr>
      <w:hyperlink r:id="rId216">
        <w:r>
          <w:rPr>
            <w:rStyle w:val="Hyperlink"/>
          </w:rPr>
          <w:t xml:space="preserve">Hijacking of abandoned subdomains part 2, Detectify Labs</w:t>
        </w:r>
      </w:hyperlink>
    </w:p>
    <w:bookmarkEnd w:id="217"/>
    <w:bookmarkEnd w:id="218"/>
    <w:bookmarkStart w:id="226" w:name="Xe4cc171e12e05cbcb863ce93164dfea97736793"/>
    <w:p>
      <w:pPr>
        <w:pStyle w:val="Heading1"/>
      </w:pPr>
      <w:r>
        <w:t xml:space="preserve">V11 Exigences de vérification de la logique d'entreprise</w:t>
      </w:r>
    </w:p>
    <w:bookmarkStart w:id="219" w:name="objectif-de-contrôle-10"/>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9"/>
        </w:numPr>
        <w:pStyle w:val="Compact"/>
      </w:pPr>
      <w:r>
        <w:t xml:space="preserve">Le flux logique de l'entreprise est séquentiel, traité dans l'ordre, et ne peut être contourné.</w:t>
      </w:r>
    </w:p>
    <w:p>
      <w:pPr>
        <w:numPr>
          <w:ilvl w:val="0"/>
          <w:numId w:val="1029"/>
        </w:numPr>
        <w:pStyle w:val="Compact"/>
      </w:pPr>
      <w:r>
        <w:t xml:space="preserve">La logique métier comprend des limites pour détecter et prévenir les attaques automatisées, comme les petits transferts de fonds continus, ou l'ajout d'un million d'amis un à la fois, etc.</w:t>
      </w:r>
    </w:p>
    <w:p>
      <w:pPr>
        <w:numPr>
          <w:ilvl w:val="0"/>
          <w:numId w:val="1029"/>
        </w:numPr>
        <w:pStyle w:val="Compact"/>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bookmarkEnd w:id="219"/>
    <w:bookmarkStart w:id="220" w:name="X4b727330529de6aef952e431c121d6e35e33f64"/>
    <w:p>
      <w:pPr>
        <w:pStyle w:val="Heading2"/>
      </w:pPr>
      <w:r>
        <w:t xml:space="preserve">V11.1 Exigences de sécurité de la logique d'entreprise</w:t>
      </w:r>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que l'application traitera seulement les flux de logique métier pour un utilisateur dans l'ordre séquentiel des étapes et sans sauter d'étapes.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Vérifiez que l'application ne traitera que des flux de logique métier dont toutes les étapes sont traitées dans un temps humain réaliste, c'est-à-dire que les transactions ne sont pas soumises trop rapidement.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Vérifiez que l'application comporte des limites appropriées pour des actions ou des transactions commerciales spécifiques qui sont correctement exécutées par 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Vérifiez que la demande ne souffre pas de problèmes de "temps de contrôle au moment de l'utilisation" (TOCTOU) ou d'autres situation de compétition (race condition) pour les opérations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Vérifiez que l'application dispose d'alertes configurables lorsque des attaques automatisées ou une activité inhabituelle sont détectées.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0"/>
    <w:bookmarkStart w:id="225" w:name="références-10"/>
    <w:p>
      <w:pPr>
        <w:pStyle w:val="Heading2"/>
      </w:pPr>
      <w:r>
        <w:t xml:space="preserve">Références</w:t>
      </w:r>
    </w:p>
    <w:p>
      <w:pPr>
        <w:pStyle w:val="FirstParagraph"/>
      </w:pPr>
      <w:r>
        <w:t xml:space="preserve">Pour plus d'informations, voir aussi :</w:t>
      </w:r>
    </w:p>
    <w:p>
      <w:pPr>
        <w:numPr>
          <w:ilvl w:val="0"/>
          <w:numId w:val="1030"/>
        </w:numPr>
        <w:pStyle w:val="Compact"/>
      </w:pPr>
      <w:hyperlink r:id="rId221">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2">
        <w:r>
          <w:rPr>
            <w:rStyle w:val="Hyperlink"/>
          </w:rPr>
          <w:t xml:space="preserve">OWASP AppSensor</w:t>
        </w:r>
      </w:hyperlink>
      <w:r>
        <w:t xml:space="preserve"> </w:t>
      </w:r>
      <w:r>
        <w:t xml:space="preserve">and</w:t>
      </w:r>
      <w:r>
        <w:t xml:space="preserve"> </w:t>
      </w:r>
      <w:hyperlink r:id="rId223">
        <w:r>
          <w:rPr>
            <w:rStyle w:val="Hyperlink"/>
          </w:rPr>
          <w:t xml:space="preserve">OWASP Automated Threats to Web Applications</w:t>
        </w:r>
      </w:hyperlink>
    </w:p>
    <w:p>
      <w:pPr>
        <w:numPr>
          <w:ilvl w:val="0"/>
          <w:numId w:val="1030"/>
        </w:numPr>
        <w:pStyle w:val="Compact"/>
      </w:pPr>
      <w:hyperlink r:id="rId222">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4">
        <w:r>
          <w:rPr>
            <w:rStyle w:val="Hyperlink"/>
          </w:rPr>
          <w:t xml:space="preserve">OWASP Cornucopia</w:t>
        </w:r>
      </w:hyperlink>
    </w:p>
    <w:bookmarkEnd w:id="225"/>
    <w:bookmarkEnd w:id="226"/>
    <w:bookmarkStart w:id="238" w:name="X60be119f9f51cdea7a2a44fb682e58bf2e5a116"/>
    <w:p>
      <w:pPr>
        <w:pStyle w:val="Heading1"/>
      </w:pPr>
      <w:r>
        <w:t xml:space="preserve">V12 Exigences de vérification des dossiers et des ressources</w:t>
      </w:r>
    </w:p>
    <w:bookmarkStart w:id="227" w:name="objectif-de-contrôle-11"/>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31"/>
        </w:numPr>
        <w:pStyle w:val="Compact"/>
      </w:pPr>
      <w:r>
        <w:t xml:space="preserve">Les données des fichiers non fiables doivent être traitées en conséquence et de manière sécurisée.</w:t>
      </w:r>
    </w:p>
    <w:p>
      <w:pPr>
        <w:numPr>
          <w:ilvl w:val="0"/>
          <w:numId w:val="1031"/>
        </w:numPr>
        <w:pStyle w:val="Compact"/>
      </w:pPr>
      <w:r>
        <w:t xml:space="preserve">Les données de fichiers non fiables obtenues à partir de sources non fiables sont stockées en dehors de la racine web et avec des permissions limitées.</w:t>
      </w:r>
    </w:p>
    <w:bookmarkEnd w:id="227"/>
    <w:bookmarkStart w:id="228" w:name="X7932e912ca079408caa3bfbf8d2cff49bc37f63"/>
    <w:p>
      <w:pPr>
        <w:pStyle w:val="Heading2"/>
      </w:pPr>
      <w:r>
        <w:t xml:space="preserve">V12.1 Exigences pour le téléchargement de fichiers</w:t>
      </w:r>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Vérifiez que l'application n'accepte pas de fichiers volumineux qui pourraient remplir l'espace de stockage ou provoquer un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Vérifiez que l'application contrôle les fichiers compressés (par exemple, zip, gz, docx, odt) par rapport à la taille maximale autorisée non compressée et au nombre maximal de fichiers avant de décompresser le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8"/>
    <w:bookmarkStart w:id="229" w:name="X68f6d83a3a47b17290ac0a61422b6f5493a1811"/>
    <w:p>
      <w:pPr>
        <w:pStyle w:val="Heading2"/>
      </w:pPr>
      <w:r>
        <w:t xml:space="preserve">V12.2 Exigences en matière d'intégrité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Vérifiez que les fichiers obtenus de sources non fiables sont validés comme étant du type attendu en fonction du contenu du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9"/>
    <w:bookmarkStart w:id="230" w:name="X1b39eaf9a80fd93c506c4575fc3523d3ef6ea0e"/>
    <w:p>
      <w:pPr>
        <w:pStyle w:val="Heading2"/>
      </w:pPr>
      <w:r>
        <w:t xml:space="preserve">V12.3 Exigences relatives à l'exécution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0"/>
    <w:bookmarkStart w:id="231" w:name="X4fd7c0b214d9e3a528e5a438df905aba66e5a59"/>
    <w:p>
      <w:pPr>
        <w:pStyle w:val="Heading2"/>
      </w:pPr>
      <w:r>
        <w:t xml:space="preserve">V12.4 Exigences en matière de stockage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Vérifiez que les fichiers obtenus à partir de sources non fiables sont stockés en dehors de la racine Web, avec des autorisations limitées.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Vérifiez que les fichiers obtenus de sources non fiables sont analysés par des scanners antivirus pour empêcher le téléchargement de contenus malveillants connus.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1"/>
    <w:bookmarkStart w:id="232" w:name="X3e49d14c89db74566221df0f8e70a225915c402"/>
    <w:p>
      <w:pPr>
        <w:pStyle w:val="Heading2"/>
      </w:pPr>
      <w:r>
        <w:t xml:space="preserve">V12.5 Exigences de téléchargement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Vérifiez que les demandes directes aux fichiers téléchargés ne seront jamais exécutées en tant que contenu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2"/>
    <w:bookmarkStart w:id="233" w:name="v126-exigences-de-protection-des-ssrf"/>
    <w:p>
      <w:pPr>
        <w:pStyle w:val="Heading2"/>
      </w:pPr>
      <w:r>
        <w:t xml:space="preserve">V12.6 Exigences de protection des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3"/>
    <w:bookmarkStart w:id="237" w:name="références-11"/>
    <w:p>
      <w:pPr>
        <w:pStyle w:val="Heading2"/>
      </w:pPr>
      <w:r>
        <w:t xml:space="preserve">Références</w:t>
      </w:r>
    </w:p>
    <w:p>
      <w:pPr>
        <w:pStyle w:val="FirstParagraph"/>
      </w:pPr>
      <w:r>
        <w:t xml:space="preserve">Pour plus d'informations, voir aussi :</w:t>
      </w:r>
    </w:p>
    <w:p>
      <w:pPr>
        <w:numPr>
          <w:ilvl w:val="0"/>
          <w:numId w:val="1032"/>
        </w:numPr>
        <w:pStyle w:val="Compact"/>
      </w:pPr>
      <w:hyperlink r:id="rId234">
        <w:r>
          <w:rPr>
            <w:rStyle w:val="Hyperlink"/>
          </w:rPr>
          <w:t xml:space="preserve">File Extension Handling for Sensitive Information</w:t>
        </w:r>
      </w:hyperlink>
    </w:p>
    <w:p>
      <w:pPr>
        <w:numPr>
          <w:ilvl w:val="0"/>
          <w:numId w:val="1032"/>
        </w:numPr>
        <w:pStyle w:val="Compact"/>
      </w:pPr>
      <w:hyperlink r:id="rId235">
        <w:r>
          <w:rPr>
            <w:rStyle w:val="Hyperlink"/>
          </w:rPr>
          <w:t xml:space="preserve">Reflective file download by Oren Hafif</w:t>
        </w:r>
      </w:hyperlink>
    </w:p>
    <w:p>
      <w:pPr>
        <w:numPr>
          <w:ilvl w:val="0"/>
          <w:numId w:val="1032"/>
        </w:numPr>
        <w:pStyle w:val="Compact"/>
      </w:pPr>
      <w:hyperlink r:id="rId236">
        <w:r>
          <w:rPr>
            <w:rStyle w:val="Hyperlink"/>
          </w:rPr>
          <w:t xml:space="preserve">OWASP Third Party JavaScript Management Cheat Sheet</w:t>
        </w:r>
      </w:hyperlink>
    </w:p>
    <w:bookmarkEnd w:id="237"/>
    <w:bookmarkEnd w:id="238"/>
    <w:bookmarkStart w:id="254" w:name="X61507f0ea682d83d5807a7988ae5718e2d31156"/>
    <w:p>
      <w:pPr>
        <w:pStyle w:val="Heading1"/>
      </w:pPr>
      <w:r>
        <w:t xml:space="preserve">V13 Exigences de vérification des API et des services Web</w:t>
      </w:r>
    </w:p>
    <w:bookmarkStart w:id="239" w:name="objectif-de-contrôle-12"/>
    <w:p>
      <w:pPr>
        <w:pStyle w:val="Heading2"/>
      </w:pPr>
      <w:r>
        <w:t xml:space="preserve">Objectif de contrôle</w:t>
      </w:r>
    </w:p>
    <w:p>
      <w:pPr>
        <w:pStyle w:val="FirstParagraph"/>
      </w:pPr>
      <w:r>
        <w:t xml:space="preserve">Veiller à ce qu'une application vérifiée qui utilise des API de service de confiance (utilisant généralement JSON ou XML ou GraphQL) tel :</w:t>
      </w:r>
    </w:p>
    <w:p>
      <w:pPr>
        <w:numPr>
          <w:ilvl w:val="0"/>
          <w:numId w:val="1033"/>
        </w:numPr>
        <w:pStyle w:val="Compact"/>
      </w:pPr>
      <w:r>
        <w:t xml:space="preserve">Une authentification, une gestion de session et une autorisation adéquates de tous les services web.</w:t>
      </w:r>
    </w:p>
    <w:p>
      <w:pPr>
        <w:numPr>
          <w:ilvl w:val="0"/>
          <w:numId w:val="1033"/>
        </w:numPr>
        <w:pStyle w:val="Compact"/>
      </w:pPr>
      <w:r>
        <w:t xml:space="preserve">Une validation d'entrée de tous les paramètres qui passent d'un niveau de confiance inférieur à un niveau supérieur.</w:t>
      </w:r>
    </w:p>
    <w:p>
      <w:pPr>
        <w:numPr>
          <w:ilvl w:val="0"/>
          <w:numId w:val="1033"/>
        </w:numPr>
        <w:pStyle w:val="Compact"/>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bookmarkEnd w:id="239"/>
    <w:bookmarkStart w:id="240" w:name="X233f0e9f9259f5688b074635db6945f3cbd64bd"/>
    <w:p>
      <w:pPr>
        <w:pStyle w:val="Heading2"/>
      </w:pPr>
      <w:r>
        <w:t xml:space="preserve">V13.1 Exigences génériques de vérification de la sécurité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Vérifier que les URL des API n'exposent pas d'informations sensibles, telles que la clé API, les jetons de session,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0"/>
    <w:bookmarkStart w:id="241" w:name="X2459703a1c1c544d74ba7de9c79d39c7243f98c"/>
    <w:p>
      <w:pPr>
        <w:pStyle w:val="Heading2"/>
      </w:pPr>
      <w:r>
        <w:t xml:space="preserve">V13.2 Exigences de vérification pour les services web de type RESTful</w:t>
      </w:r>
    </w:p>
    <w:p>
      <w:pPr>
        <w:pStyle w:val="FirstParagraph"/>
      </w:pPr>
      <w:r>
        <w:t xml:space="preserve">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pPr>
        <w:numPr>
          <w:ilvl w:val="0"/>
          <w:numId w:val="1034"/>
        </w:numPr>
        <w:pStyle w:val="Compact"/>
      </w:pPr>
      <w:r>
        <w:t xml:space="preserve">Validation de l'objet JSON, par exemple s'il y a des éléments manquants ou en trop.</w:t>
      </w:r>
    </w:p>
    <w:p>
      <w:pPr>
        <w:numPr>
          <w:ilvl w:val="0"/>
          <w:numId w:val="1034"/>
        </w:numPr>
        <w:pStyle w:val="Compact"/>
      </w:pPr>
      <w:r>
        <w:t xml:space="preserve">Validation des valeurs de l'objet JSON en utilisant des méthodes de validation d'entrée standard, telles que le type de données, le format de données, la longueur, etc.</w:t>
      </w:r>
    </w:p>
    <w:p>
      <w:pPr>
        <w:numPr>
          <w:ilvl w:val="0"/>
          <w:numId w:val="1034"/>
        </w:numPr>
        <w:pStyle w:val="Compact"/>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Vérifier que la validation du schéma JSON est en place et vérifiée avant d'accepter la saisie.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[SUPPRIMÉ, DOUBLON AVEC L'EXIGENCE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Vérifiez que les services REST vérifient explicitement que le type de contenu entrant est bien celui attendu, par exemple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1"/>
    <w:bookmarkStart w:id="242" w:name="X39ea02ccb8cebe2ad3476fdf03fec31bd34a581"/>
    <w:p>
      <w:pPr>
        <w:pStyle w:val="Heading2"/>
      </w:pPr>
      <w:r>
        <w:t xml:space="preserve">V13.3 Exigences de vérification du service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Vérifier que la validation du schéma XSD a lieu pour garantir un document XML correctement formé, suivie de la validation de chaque champ de saisie avant tout traitement de ces données.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Vérifier que la charge utile du message est signée en utilisant WS-Security pour assurer un transport fiable entre le client et le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bookmarkEnd w:id="242"/>
    <w:bookmarkStart w:id="243" w:name="X542d1b76eeb5ccf5ffd8f8aba4ede935174c917"/>
    <w:p>
      <w:pPr>
        <w:pStyle w:val="Heading2"/>
      </w:pPr>
      <w:r>
        <w:t xml:space="preserve">V13.4 GraphQL et autres exigences de sécurité de la couche de données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Vérifiez que la logique d'autorisation de GraphQL ou d'une autre couche de données doit être mise en œuvre au niveau de la couche de logique d'entreprise au lieu de la couche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3"/>
    <w:bookmarkStart w:id="253" w:name="références-12"/>
    <w:p>
      <w:pPr>
        <w:pStyle w:val="Heading2"/>
      </w:pPr>
      <w:r>
        <w:t xml:space="preserve">Références</w:t>
      </w:r>
    </w:p>
    <w:p>
      <w:pPr>
        <w:pStyle w:val="FirstParagraph"/>
      </w:pPr>
      <w:r>
        <w:t xml:space="preserve">Pour plus d'informations, voir aussi :</w:t>
      </w:r>
    </w:p>
    <w:p>
      <w:pPr>
        <w:numPr>
          <w:ilvl w:val="0"/>
          <w:numId w:val="1035"/>
        </w:numPr>
        <w:pStyle w:val="Compact"/>
      </w:pPr>
      <w:hyperlink r:id="rId244">
        <w:r>
          <w:rPr>
            <w:rStyle w:val="Hyperlink"/>
          </w:rPr>
          <w:t xml:space="preserve">OWASP Serverless Top 10</w:t>
        </w:r>
      </w:hyperlink>
    </w:p>
    <w:p>
      <w:pPr>
        <w:numPr>
          <w:ilvl w:val="0"/>
          <w:numId w:val="1035"/>
        </w:numPr>
        <w:pStyle w:val="Compact"/>
      </w:pPr>
      <w:hyperlink r:id="rId245">
        <w:r>
          <w:rPr>
            <w:rStyle w:val="Hyperlink"/>
          </w:rPr>
          <w:t xml:space="preserve">OWASP Serverless Project</w:t>
        </w:r>
      </w:hyperlink>
    </w:p>
    <w:p>
      <w:pPr>
        <w:numPr>
          <w:ilvl w:val="0"/>
          <w:numId w:val="1035"/>
        </w:numPr>
        <w:pStyle w:val="Compact"/>
      </w:pPr>
      <w:hyperlink r:id="rId246">
        <w:r>
          <w:rPr>
            <w:rStyle w:val="Hyperlink"/>
          </w:rPr>
          <w:t xml:space="preserve">OWASP Testing Guide 4.0: Configuration and Deployment Management Testing</w:t>
        </w:r>
      </w:hyperlink>
    </w:p>
    <w:p>
      <w:pPr>
        <w:numPr>
          <w:ilvl w:val="0"/>
          <w:numId w:val="1035"/>
        </w:numPr>
        <w:pStyle w:val="Compact"/>
      </w:pPr>
      <w:hyperlink r:id="rId247">
        <w:r>
          <w:rPr>
            <w:rStyle w:val="Hyperlink"/>
          </w:rPr>
          <w:t xml:space="preserve">OWASP Cross-Site Request Forgery cheat sheet</w:t>
        </w:r>
      </w:hyperlink>
    </w:p>
    <w:p>
      <w:pPr>
        <w:numPr>
          <w:ilvl w:val="0"/>
          <w:numId w:val="1035"/>
        </w:numPr>
        <w:pStyle w:val="Compact"/>
      </w:pPr>
      <w:hyperlink r:id="rId248">
        <w:r>
          <w:rPr>
            <w:rStyle w:val="Hyperlink"/>
          </w:rPr>
          <w:t xml:space="preserve">OWASP XML External Entity Prevention Cheat Sheet - General Guidance</w:t>
        </w:r>
      </w:hyperlink>
    </w:p>
    <w:p>
      <w:pPr>
        <w:numPr>
          <w:ilvl w:val="0"/>
          <w:numId w:val="1035"/>
        </w:numPr>
        <w:pStyle w:val="Compact"/>
      </w:pPr>
      <w:hyperlink r:id="rId249">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50">
        <w:r>
          <w:rPr>
            <w:rStyle w:val="Hyperlink"/>
          </w:rPr>
          <w:t xml:space="preserve">JSON Schema</w:t>
        </w:r>
      </w:hyperlink>
    </w:p>
    <w:p>
      <w:pPr>
        <w:numPr>
          <w:ilvl w:val="0"/>
          <w:numId w:val="1035"/>
        </w:numPr>
        <w:pStyle w:val="Compact"/>
      </w:pPr>
      <w:hyperlink r:id="rId251">
        <w:r>
          <w:rPr>
            <w:rStyle w:val="Hyperlink"/>
          </w:rPr>
          <w:t xml:space="preserve">XML DTD Entity Attacks</w:t>
        </w:r>
      </w:hyperlink>
    </w:p>
    <w:p>
      <w:pPr>
        <w:numPr>
          <w:ilvl w:val="0"/>
          <w:numId w:val="1035"/>
        </w:numPr>
        <w:pStyle w:val="Compact"/>
      </w:pPr>
      <w:hyperlink r:id="rId252">
        <w:r>
          <w:rPr>
            <w:rStyle w:val="Hyperlink"/>
          </w:rPr>
          <w:t xml:space="preserve">Orange Tsai - A new era of SSRF Exploiting URL Parser In Trending Programming Languages</w:t>
        </w:r>
      </w:hyperlink>
    </w:p>
    <w:bookmarkEnd w:id="253"/>
    <w:bookmarkEnd w:id="254"/>
    <w:bookmarkStart w:id="267" w:name="Xcd231268322e69da67ce7d7ffa255550d376454"/>
    <w:p>
      <w:pPr>
        <w:pStyle w:val="Heading1"/>
      </w:pPr>
      <w:r>
        <w:t xml:space="preserve">V14 Exigences de vérification de la configuration</w:t>
      </w:r>
    </w:p>
    <w:bookmarkStart w:id="255" w:name="objectif-de-contrôle-13"/>
    <w:p>
      <w:pPr>
        <w:pStyle w:val="Heading2"/>
      </w:pPr>
      <w:r>
        <w:t xml:space="preserve">Objectif de contrôle</w:t>
      </w:r>
    </w:p>
    <w:p>
      <w:pPr>
        <w:pStyle w:val="FirstParagraph"/>
      </w:pPr>
      <w:r>
        <w:t xml:space="preserve">Assurez-vous qu'une application vérifiée satisfait :</w:t>
      </w:r>
    </w:p>
    <w:p>
      <w:pPr>
        <w:numPr>
          <w:ilvl w:val="0"/>
          <w:numId w:val="1036"/>
        </w:numPr>
        <w:pStyle w:val="Compact"/>
      </w:pPr>
      <w:r>
        <w:t xml:space="preserve">Un environnement de construction sécurisé, reproductible et automatisable.</w:t>
      </w:r>
    </w:p>
    <w:p>
      <w:pPr>
        <w:numPr>
          <w:ilvl w:val="0"/>
          <w:numId w:val="1036"/>
        </w:numPr>
        <w:pStyle w:val="Compact"/>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bookmarkEnd w:id="255"/>
    <w:bookmarkStart w:id="256" w:name="v141-exigences-sur-les-constructions"/>
    <w:p>
      <w:pPr>
        <w:pStyle w:val="Heading2"/>
      </w:pPr>
      <w:r>
        <w:t xml:space="preserve">V14.1 Exigences sur les constructions</w:t>
      </w:r>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Vérifiez que la configuration du serveur est durcie conformément aux recommandations du serveur d'application et des frameworks utilisés.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Vérifier que les administrateurs autorisés peuvent vérifier l'intégrité de toutes les configurations pertinentes pour la sécurité afin de détecter les altérations.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6"/>
    <w:bookmarkStart w:id="257" w:name="v142-exigences-sur-les-dépendances"/>
    <w:p>
      <w:pPr>
        <w:pStyle w:val="Heading2"/>
      </w:pPr>
      <w:r>
        <w:t xml:space="preserve">V14.2 Exigences sur les dépendances</w:t>
      </w:r>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Vérifiez que tous les composants sont à jour, de préférence en utilisant un vérificateur de dépendances pendant le temps de construction ou de compilation.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Vérifiez que toutes les fonctionnalités, la documentation, les applications d'exemple et les configurations inutiles sont supprimées.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Vérifier que les composants tiers proviennent de dépôts prédéfinis, fiables et continuellement entretenus.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Vérifier qu'un catalogue d'inventaire de toutes les bibliothèques tierces en service est tenu à jour.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Vérifiez que la surface d'attaque est réduite en mettant en bac à sable ou en encapsulant des bibliothèques tierces pour n'exposer que le comportement requis dans l'application.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7"/>
    <w:bookmarkStart w:id="258" w:name="X48fa9f08a4c0f298744f1670091e71dce9c93e8"/>
    <w:p>
      <w:pPr>
        <w:pStyle w:val="Heading2"/>
      </w:pPr>
      <w:r>
        <w:t xml:space="preserve">V14.3 Exigences de divulgation involontaire de renseignements sur la sécurité</w:t>
      </w:r>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[SUPPRIMÉ, DOUBLON AVEC L'EXIGENCE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Vérifiez que les en-têtes HTTP ou toute partie de la réponse HTTP n'exposent pas d'informations détaillées sur la version des composants du système.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8"/>
    <w:bookmarkStart w:id="259" w:name="X40f0e65401010d7cc04d10850f84d99e4667e9a"/>
    <w:p>
      <w:pPr>
        <w:pStyle w:val="Heading2"/>
      </w:pPr>
      <w:r>
        <w:t xml:space="preserve">V14.4 Exigences relatives aux en-têtes de sécurité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Vérifiez que chaque réponse HTTP contient un en-tête Content-Type. Les types de contenu text/*,</w:t>
            </w:r>
            <w:r>
              <w:t xml:space="preserve"> </w:t>
            </w:r>
            <w:r>
              <w:rPr>
                <w:iCs/>
                <w:i/>
              </w:rPr>
              <w:t xml:space="preserve">/</w:t>
            </w:r>
            <w:r>
              <w:t xml:space="preserve">+xml et application/xml doivent également spécifier un jeu de caractères sûr (par exemple, UTF-8, ISO-8859-1).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Vérifiez que toutes les réponses de l'API contiennent Content-Disposition : attachment ; filename="api.json" (ou tout autre nom de fichier approprié pour le type de contenu).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Vérifier qu'une politique de sécurité du contenu (CSP) est en place pour aider à atténuer l'impact des attaques XSS comme les vulnérabilités d'injection HTML, DOM, JSON et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Vérifiez que toutes les réponses contiennent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Vérifiez que l'en-tête Strict-Transport-Security est inclus dans toutes les réponses et pour tous les sous-domaines, comme Strict-Transport-Security : max-age=15724800 ;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Vérifiez qu'un en-tête "Referrer-Policy" approprié est inclus, tel que "no-referrer" ou "same-origin".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9"/>
    <w:bookmarkStart w:id="260" w:name="X1796b8df1c8b6b1db8f0e43972241ca75310d32"/>
    <w:p>
      <w:pPr>
        <w:pStyle w:val="Heading2"/>
      </w:pPr>
      <w:r>
        <w:t xml:space="preserve">V14.5 Exigences sur la validation des en-têtes de requête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Vérifiez que l'en-tête Origin fourni n'est pas utilisé pour les décisions d'authentification ou de contrôle d'accès, car l'en-tête Origin peut facilement être modifié par un attaquant.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Vérifiez que les en-têtes HTTP ajoutés par un proxy de confiance ou des dispositifs SSO, tels qu'un jeton au porteur, sont authentifiés par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0"/>
    <w:bookmarkStart w:id="266" w:name="références-13"/>
    <w:p>
      <w:pPr>
        <w:pStyle w:val="Heading2"/>
      </w:pPr>
      <w:r>
        <w:t xml:space="preserve">Références</w:t>
      </w:r>
    </w:p>
    <w:p>
      <w:pPr>
        <w:pStyle w:val="FirstParagraph"/>
      </w:pPr>
      <w:r>
        <w:t xml:space="preserve">Pour plus d'informations, voir aussi :</w:t>
      </w:r>
    </w:p>
    <w:p>
      <w:pPr>
        <w:numPr>
          <w:ilvl w:val="0"/>
          <w:numId w:val="1037"/>
        </w:numPr>
        <w:pStyle w:val="Compact"/>
      </w:pPr>
      <w:hyperlink r:id="rId261">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2">
        <w:r>
          <w:rPr>
            <w:rStyle w:val="Hyperlink"/>
          </w:rPr>
          <w:t xml:space="preserve">Reflected File Download attacks.</w:t>
        </w:r>
      </w:hyperlink>
    </w:p>
    <w:p>
      <w:pPr>
        <w:numPr>
          <w:ilvl w:val="0"/>
          <w:numId w:val="1037"/>
        </w:numPr>
        <w:pStyle w:val="Compact"/>
      </w:pPr>
      <w:hyperlink r:id="rId263">
        <w:r>
          <w:rPr>
            <w:rStyle w:val="Hyperlink"/>
          </w:rPr>
          <w:t xml:space="preserve">Content Security Policy Cheat Sheet</w:t>
        </w:r>
      </w:hyperlink>
    </w:p>
    <w:p>
      <w:pPr>
        <w:numPr>
          <w:ilvl w:val="0"/>
          <w:numId w:val="1037"/>
        </w:numPr>
        <w:pStyle w:val="Compact"/>
      </w:pPr>
      <w:hyperlink r:id="rId264">
        <w:r>
          <w:rPr>
            <w:rStyle w:val="Hyperlink"/>
          </w:rPr>
          <w:t xml:space="preserve">Exploiting CORS misconfiguration for BitCoins and Bounties</w:t>
        </w:r>
      </w:hyperlink>
    </w:p>
    <w:p>
      <w:pPr>
        <w:numPr>
          <w:ilvl w:val="0"/>
          <w:numId w:val="1037"/>
        </w:numPr>
        <w:pStyle w:val="Compact"/>
      </w:pPr>
      <w:hyperlink r:id="rId246">
        <w:r>
          <w:rPr>
            <w:rStyle w:val="Hyperlink"/>
          </w:rPr>
          <w:t xml:space="preserve">OWASP Web Security Testing Guide 4.1: Configuration and Deployment Management Testing</w:t>
        </w:r>
      </w:hyperlink>
    </w:p>
    <w:p>
      <w:pPr>
        <w:numPr>
          <w:ilvl w:val="0"/>
          <w:numId w:val="1037"/>
        </w:numPr>
        <w:pStyle w:val="Compact"/>
      </w:pPr>
      <w:hyperlink r:id="rId265">
        <w:r>
          <w:rPr>
            <w:rStyle w:val="Hyperlink"/>
          </w:rPr>
          <w:t xml:space="preserve">Sandboxing third party components</w:t>
        </w:r>
      </w:hyperlink>
    </w:p>
    <w:bookmarkEnd w:id="266"/>
    <w:bookmarkEnd w:id="267"/>
    <w:bookmarkStart w:id="269" w:name="annexe-a--glossaire"/>
    <w:p>
      <w:pPr>
        <w:pStyle w:val="Heading1"/>
      </w:pPr>
      <w:r>
        <w:t xml:space="preserve">Annexe A : Glossaire</w:t>
      </w:r>
    </w:p>
    <w:p>
      <w:pPr>
        <w:numPr>
          <w:ilvl w:val="0"/>
          <w:numId w:val="1038"/>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38"/>
        </w:numPr>
        <w:pStyle w:val="Compact"/>
      </w:pPr>
      <w:r>
        <w:rPr>
          <w:bCs/>
          <w:b/>
        </w:rPr>
        <w:t xml:space="preserve">Authentification</w:t>
      </w:r>
      <w:r>
        <w:t xml:space="preserve"> </w:t>
      </w:r>
      <w:r>
        <w:t xml:space="preserve">- La vérification de l'identité déclarée d'un utilisateur d'application.</w:t>
      </w:r>
    </w:p>
    <w:p>
      <w:pPr>
        <w:numPr>
          <w:ilvl w:val="0"/>
          <w:numId w:val="1038"/>
        </w:numPr>
        <w:pStyle w:val="Compact"/>
      </w:pPr>
      <w:r>
        <w:rPr>
          <w:bCs/>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numPr>
          <w:ilvl w:val="0"/>
          <w:numId w:val="1038"/>
        </w:numPr>
        <w:pStyle w:val="Compact"/>
      </w:pPr>
      <w:r>
        <w:rPr>
          <w:bCs/>
          <w:b/>
        </w:rPr>
        <w:t xml:space="preserve">Clé codée en dur</w:t>
      </w:r>
      <w:r>
        <w:t xml:space="preserve"> </w:t>
      </w:r>
      <w:r>
        <w:t xml:space="preserve">- Clé cryptographique qui est stockée sur le système de fichiers, que ce soit dans le code, les commentaires ou les fichiers.</w:t>
      </w:r>
    </w:p>
    <w:p>
      <w:pPr>
        <w:numPr>
          <w:ilvl w:val="0"/>
          <w:numId w:val="1038"/>
        </w:numPr>
        <w:pStyle w:val="Compact"/>
      </w:pPr>
      <w:r>
        <w:rPr>
          <w:bCs/>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numPr>
          <w:ilvl w:val="0"/>
          <w:numId w:val="1038"/>
        </w:numPr>
        <w:pStyle w:val="Compact"/>
      </w:pPr>
      <w:r>
        <w:rPr>
          <w:bCs/>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numPr>
          <w:ilvl w:val="0"/>
          <w:numId w:val="1038"/>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38"/>
        </w:numPr>
        <w:pStyle w:val="Compact"/>
      </w:pPr>
      <w:r>
        <w:rPr>
          <w:bCs/>
          <w:b/>
        </w:rPr>
        <w:t xml:space="preserve">Configuration de la sécurité</w:t>
      </w:r>
      <w:r>
        <w:t xml:space="preserve"> </w:t>
      </w:r>
      <w:r>
        <w:t xml:space="preserve">- La configuration d'exécution d'une application qui affecte la manière dont la sécurité est assurée.</w:t>
      </w:r>
    </w:p>
    <w:p>
      <w:pPr>
        <w:numPr>
          <w:ilvl w:val="0"/>
          <w:numId w:val="1038"/>
        </w:numPr>
        <w:pStyle w:val="Compact"/>
      </w:pPr>
      <w:r>
        <w:rPr>
          <w:bCs/>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numPr>
          <w:ilvl w:val="0"/>
          <w:numId w:val="1038"/>
        </w:numPr>
        <w:pStyle w:val="Compact"/>
      </w:pPr>
      <w:r>
        <w:rPr>
          <w:bCs/>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numPr>
          <w:ilvl w:val="0"/>
          <w:numId w:val="1038"/>
        </w:numPr>
        <w:pStyle w:val="Compact"/>
      </w:pPr>
      <w:r>
        <w:rPr>
          <w:bCs/>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numPr>
          <w:ilvl w:val="0"/>
          <w:numId w:val="1038"/>
        </w:numPr>
        <w:pStyle w:val="Compact"/>
      </w:pPr>
      <w:r>
        <w:rPr>
          <w:bCs/>
          <w:b/>
        </w:rPr>
        <w:t xml:space="preserve">Globally Unique Identifier</w:t>
      </w:r>
      <w:r>
        <w:t xml:space="preserve"> </w:t>
      </w:r>
      <w:r>
        <w:t xml:space="preserve">(GUID) - Numéro de référence unique utilisé comme identifiant dans un logiciel.</w:t>
      </w:r>
    </w:p>
    <w:p>
      <w:pPr>
        <w:numPr>
          <w:ilvl w:val="0"/>
          <w:numId w:val="1038"/>
        </w:numPr>
        <w:pStyle w:val="Compact"/>
      </w:pPr>
      <w:r>
        <w:rPr>
          <w:bCs/>
          <w:b/>
        </w:rPr>
        <w:t xml:space="preserve">Hardware Security Module</w:t>
      </w:r>
      <w:r>
        <w:t xml:space="preserve"> </w:t>
      </w:r>
      <w:r>
        <w:t xml:space="preserve">(HSM) - Composant matériel capable de stocker des clés cryptographiques et d'autres secrets de manière protégée.</w:t>
      </w:r>
    </w:p>
    <w:p>
      <w:pPr>
        <w:numPr>
          <w:ilvl w:val="0"/>
          <w:numId w:val="1038"/>
        </w:numPr>
        <w:pStyle w:val="Compact"/>
      </w:pPr>
      <w:r>
        <w:rPr>
          <w:bCs/>
          <w:b/>
        </w:rPr>
        <w:t xml:space="preserve">Hibernate Query Language</w:t>
      </w:r>
      <w:r>
        <w:t xml:space="preserve"> </w:t>
      </w:r>
      <w:r>
        <w:t xml:space="preserve">(HQL) - Un langage de requête qui ressemble en apparence au SQL utilisé par la bibliothèque Hibernate ORM.</w:t>
      </w:r>
    </w:p>
    <w:p>
      <w:pPr>
        <w:numPr>
          <w:ilvl w:val="0"/>
          <w:numId w:val="1038"/>
        </w:numPr>
        <w:pStyle w:val="Compact"/>
      </w:pPr>
      <w:r>
        <w:rPr>
          <w:bCs/>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numPr>
          <w:ilvl w:val="0"/>
          <w:numId w:val="1038"/>
        </w:numPr>
        <w:pStyle w:val="Compact"/>
      </w:pPr>
      <w:r>
        <w:rPr>
          <w:bCs/>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numPr>
          <w:ilvl w:val="0"/>
          <w:numId w:val="1038"/>
        </w:numPr>
        <w:pStyle w:val="Compact"/>
      </w:pPr>
      <w:r>
        <w:rPr>
          <w:bCs/>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numPr>
          <w:ilvl w:val="0"/>
          <w:numId w:val="1038"/>
        </w:numPr>
        <w:pStyle w:val="Compact"/>
      </w:pPr>
      <w:r>
        <w:rPr>
          <w:bCs/>
          <w:b/>
        </w:rPr>
        <w:t xml:space="preserve">Liste d'autorisation</w:t>
      </w:r>
      <w:r>
        <w:t xml:space="preserve"> </w:t>
      </w:r>
      <w:r>
        <w:t xml:space="preserve">- Une liste de données ou d'opérations autorisées, par exemple une liste de caractères qui sont autorisés à effectuer une validation d'entrée.</w:t>
      </w:r>
    </w:p>
    <w:p>
      <w:pPr>
        <w:numPr>
          <w:ilvl w:val="0"/>
          <w:numId w:val="1038"/>
        </w:numPr>
        <w:pStyle w:val="Compact"/>
      </w:pPr>
      <w:r>
        <w:rPr>
          <w:bCs/>
          <w:b/>
        </w:rPr>
        <w:t xml:space="preserve">Malware</w:t>
      </w:r>
      <w:r>
        <w:t xml:space="preserve"> </w:t>
      </w:r>
      <w:r>
        <w:t xml:space="preserve">- Code exécutable qui est introduit dans une application pendant son exécution à l'insu de l'utilisateur ou de l'administrateur de l'application.</w:t>
      </w:r>
    </w:p>
    <w:p>
      <w:pPr>
        <w:numPr>
          <w:ilvl w:val="0"/>
          <w:numId w:val="1038"/>
        </w:numPr>
        <w:pStyle w:val="Compact"/>
      </w:pPr>
      <w:r>
        <w:rPr>
          <w:bCs/>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numPr>
          <w:ilvl w:val="0"/>
          <w:numId w:val="1038"/>
        </w:numPr>
        <w:pStyle w:val="Compact"/>
      </w:pPr>
      <w:r>
        <w:rPr>
          <w:bCs/>
          <w:b/>
        </w:rPr>
        <w:t xml:space="preserve">Module cryptographique</w:t>
      </w:r>
      <w:r>
        <w:t xml:space="preserve"> </w:t>
      </w:r>
      <w:r>
        <w:t xml:space="preserve">- Matériel, logiciel et/ou microprogramme qui met en œuvre des algorithmes cryptographiques et/ou génère des clés cryptographiques.</w:t>
      </w:r>
    </w:p>
    <w:p>
      <w:pPr>
        <w:numPr>
          <w:ilvl w:val="0"/>
          <w:numId w:val="1038"/>
        </w:numPr>
        <w:pStyle w:val="Compact"/>
      </w:pPr>
      <w:r>
        <w:rPr>
          <w:bCs/>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numPr>
          <w:ilvl w:val="0"/>
          <w:numId w:val="1038"/>
        </w:numPr>
        <w:pStyle w:val="Compact"/>
      </w:pPr>
      <w:r>
        <w:rPr>
          <w:bCs/>
          <w:b/>
        </w:rPr>
        <w:t xml:space="preserve">One-time Password</w:t>
      </w:r>
      <w:r>
        <w:t xml:space="preserve"> </w:t>
      </w:r>
      <w:r>
        <w:t xml:space="preserve">(OTP) - Un mot de passe qui est généré de manière unique pour être utilisé à une seule occasion.</w:t>
      </w:r>
    </w:p>
    <w:p>
      <w:pPr>
        <w:numPr>
          <w:ilvl w:val="0"/>
          <w:numId w:val="1038"/>
        </w:numPr>
        <w:pStyle w:val="Compact"/>
      </w:pPr>
      <w:r>
        <w:rPr>
          <w:bCs/>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8">
        <w:hyperlink r:id="rId268">
          <w:r>
            <w:rPr>
              <w:rStyle w:val="Hyperlink"/>
            </w:rPr>
            <w:t xml:space="preserve">https://www.owasp.org/</w:t>
          </w:r>
        </w:hyperlink>
      </w:hyperlink>
    </w:p>
    <w:p>
      <w:pPr>
        <w:numPr>
          <w:ilvl w:val="0"/>
          <w:numId w:val="1038"/>
        </w:numPr>
        <w:pStyle w:val="Compact"/>
      </w:pPr>
      <w:r>
        <w:rPr>
          <w:bCs/>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numPr>
          <w:ilvl w:val="0"/>
          <w:numId w:val="1038"/>
        </w:numPr>
        <w:pStyle w:val="Compact"/>
      </w:pPr>
      <w:r>
        <w:rPr>
          <w:bCs/>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numPr>
          <w:ilvl w:val="0"/>
          <w:numId w:val="1038"/>
        </w:numPr>
        <w:pStyle w:val="Compact"/>
      </w:pPr>
      <w:r>
        <w:rPr>
          <w:bCs/>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numPr>
          <w:ilvl w:val="0"/>
          <w:numId w:val="1038"/>
        </w:numPr>
        <w:pStyle w:val="Compact"/>
      </w:pPr>
      <w:r>
        <w:rPr>
          <w:bCs/>
          <w:b/>
        </w:rPr>
        <w:t xml:space="preserve">Public Switched Telephone Network</w:t>
      </w:r>
      <w:r>
        <w:t xml:space="preserve"> </w:t>
      </w:r>
      <w:r>
        <w:t xml:space="preserve">(PSTN) - Le réseau téléphonique traditionnel comprenant à la fois les téléphones fixes et les téléphones mobiles.</w:t>
      </w:r>
    </w:p>
    <w:p>
      <w:pPr>
        <w:numPr>
          <w:ilvl w:val="0"/>
          <w:numId w:val="1038"/>
        </w:numPr>
        <w:pStyle w:val="Compact"/>
      </w:pPr>
      <w:r>
        <w:rPr>
          <w:bCs/>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numPr>
          <w:ilvl w:val="0"/>
          <w:numId w:val="1038"/>
        </w:numPr>
        <w:pStyle w:val="Compact"/>
      </w:pPr>
      <w:r>
        <w:rPr>
          <w:bCs/>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numPr>
          <w:ilvl w:val="0"/>
          <w:numId w:val="1038"/>
        </w:numPr>
        <w:pStyle w:val="Compact"/>
      </w:pPr>
      <w:r>
        <w:rPr>
          <w:bCs/>
          <w:b/>
        </w:rPr>
        <w:t xml:space="preserve">Scripting intersite</w:t>
      </w:r>
      <w:r>
        <w:t xml:space="preserve"> </w:t>
      </w:r>
      <w:r>
        <w:t xml:space="preserve">(XSS) - Faille de sécurité que l'on trouve généralement dans les applications web et qui permet l'injection de scripts côté client dans le contenu.</w:t>
      </w:r>
    </w:p>
    <w:p>
      <w:pPr>
        <w:numPr>
          <w:ilvl w:val="0"/>
          <w:numId w:val="1038"/>
        </w:numPr>
        <w:pStyle w:val="Compact"/>
      </w:pPr>
      <w:r>
        <w:rPr>
          <w:bCs/>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numPr>
          <w:ilvl w:val="0"/>
          <w:numId w:val="1038"/>
        </w:numPr>
        <w:pStyle w:val="Compact"/>
      </w:pPr>
      <w:r>
        <w:rPr>
          <w:bCs/>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numPr>
          <w:ilvl w:val="0"/>
          <w:numId w:val="1038"/>
        </w:numPr>
        <w:pStyle w:val="Compact"/>
      </w:pPr>
      <w:r>
        <w:rPr>
          <w:bCs/>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numPr>
          <w:ilvl w:val="0"/>
          <w:numId w:val="1038"/>
        </w:numPr>
        <w:pStyle w:val="Compact"/>
      </w:pPr>
      <w:r>
        <w:rPr>
          <w:bCs/>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numPr>
          <w:ilvl w:val="0"/>
          <w:numId w:val="1038"/>
        </w:numPr>
        <w:pStyle w:val="Compact"/>
      </w:pPr>
      <w:r>
        <w:rPr>
          <w:bCs/>
          <w:b/>
        </w:rPr>
        <w:t xml:space="preserve">Software development lifecycle</w:t>
      </w:r>
      <w:r>
        <w:t xml:space="preserve"> </w:t>
      </w:r>
      <w:r>
        <w:t xml:space="preserve">(SDLC) - Cycle de vie du développement logiciel.</w:t>
      </w:r>
    </w:p>
    <w:p>
      <w:pPr>
        <w:numPr>
          <w:ilvl w:val="0"/>
          <w:numId w:val="1038"/>
        </w:numPr>
        <w:pStyle w:val="Compact"/>
      </w:pPr>
      <w:r>
        <w:rPr>
          <w:bCs/>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numPr>
          <w:ilvl w:val="0"/>
          <w:numId w:val="1038"/>
        </w:numPr>
        <w:pStyle w:val="Compact"/>
      </w:pPr>
      <w:r>
        <w:rPr>
          <w:bCs/>
          <w:b/>
        </w:rPr>
        <w:t xml:space="preserve">SVG</w:t>
      </w:r>
      <w:r>
        <w:t xml:space="preserve"> </w:t>
      </w:r>
      <w:r>
        <w:t xml:space="preserve">- Graphiques vectoriels évolutifs</w:t>
      </w:r>
    </w:p>
    <w:p>
      <w:pPr>
        <w:numPr>
          <w:ilvl w:val="0"/>
          <w:numId w:val="1038"/>
        </w:numPr>
        <w:pStyle w:val="Compact"/>
      </w:pPr>
      <w:r>
        <w:rPr>
          <w:bCs/>
          <w:b/>
        </w:rPr>
        <w:t xml:space="preserve">Test de la boîte noire</w:t>
      </w:r>
      <w:r>
        <w:t xml:space="preserve"> </w:t>
      </w:r>
      <w:r>
        <w:t xml:space="preserve">- Méthode de test de logiciels qui consiste à examiner la fonctionnalité d'une application sans examiner ses structures ou son fonctionnement internes.</w:t>
      </w:r>
    </w:p>
    <w:p>
      <w:pPr>
        <w:numPr>
          <w:ilvl w:val="0"/>
          <w:numId w:val="1038"/>
        </w:numPr>
        <w:pStyle w:val="Compact"/>
      </w:pPr>
      <w:r>
        <w:rPr>
          <w:bCs/>
          <w:b/>
        </w:rPr>
        <w:t xml:space="preserve">Time-based OTP</w:t>
      </w:r>
      <w:r>
        <w:t xml:space="preserve"> </w:t>
      </w:r>
      <w:r>
        <w:t xml:space="preserve">- Une méthode de génération d'un OTP où l'heure actuelle fait partie de l'algorithme pour générer le mot de passe.</w:t>
      </w:r>
    </w:p>
    <w:p>
      <w:pPr>
        <w:numPr>
          <w:ilvl w:val="0"/>
          <w:numId w:val="1038"/>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38"/>
        </w:numPr>
        <w:pStyle w:val="Compact"/>
      </w:pPr>
      <w:r>
        <w:rPr>
          <w:bCs/>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numPr>
          <w:ilvl w:val="0"/>
          <w:numId w:val="1038"/>
        </w:numPr>
        <w:pStyle w:val="Compact"/>
      </w:pPr>
      <w:r>
        <w:rPr>
          <w:bCs/>
          <w:b/>
        </w:rPr>
        <w:t xml:space="preserve">Two-factor authentication</w:t>
      </w:r>
      <w:r>
        <w:t xml:space="preserve"> </w:t>
      </w:r>
      <w:r>
        <w:t xml:space="preserve">(2FA) - L'authentification à deux facteurs(2FA) ajoute un deuxième niveau d'authentification à la connexion d'un compte.</w:t>
      </w:r>
    </w:p>
    <w:p>
      <w:pPr>
        <w:numPr>
          <w:ilvl w:val="0"/>
          <w:numId w:val="1038"/>
        </w:numPr>
        <w:pStyle w:val="Compact"/>
      </w:pPr>
      <w:r>
        <w:rPr>
          <w:bCs/>
          <w:b/>
        </w:rPr>
        <w:t xml:space="preserve">Universal 2nd Factor</w:t>
      </w:r>
      <w:r>
        <w:t xml:space="preserve"> </w:t>
      </w:r>
      <w:r>
        <w:t xml:space="preserve">(U2F) - Une des normes créées par FIDO spécifiquement pour permettre l'utilisation d'une clé de sécurité USB ou NFC comme 2e facteur d'authentification</w:t>
      </w:r>
    </w:p>
    <w:p>
      <w:pPr>
        <w:numPr>
          <w:ilvl w:val="0"/>
          <w:numId w:val="1038"/>
        </w:numPr>
        <w:pStyle w:val="Compact"/>
      </w:pPr>
      <w:r>
        <w:rPr>
          <w:bCs/>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numPr>
          <w:ilvl w:val="0"/>
          <w:numId w:val="1038"/>
        </w:numPr>
        <w:pStyle w:val="Compact"/>
      </w:pPr>
      <w:r>
        <w:rPr>
          <w:bCs/>
          <w:b/>
        </w:rPr>
        <w:t xml:space="preserve">Validation des entrées</w:t>
      </w:r>
      <w:r>
        <w:t xml:space="preserve"> </w:t>
      </w:r>
      <w:r>
        <w:t xml:space="preserve">- La canonisation et la validation des entrées des utilisateurs non fiables.</w:t>
      </w:r>
    </w:p>
    <w:p>
      <w:pPr>
        <w:numPr>
          <w:ilvl w:val="0"/>
          <w:numId w:val="1038"/>
        </w:numPr>
        <w:pStyle w:val="Compact"/>
      </w:pPr>
      <w:r>
        <w:rPr>
          <w:bCs/>
          <w:b/>
        </w:rPr>
        <w:t xml:space="preserve">Vérificateur</w:t>
      </w:r>
      <w:r>
        <w:t xml:space="preserve"> </w:t>
      </w:r>
      <w:r>
        <w:t xml:space="preserve">- La personne ou l'équipe qui examine une demande par rapport aux exigences de l'OWASP ASVS.</w:t>
      </w:r>
    </w:p>
    <w:p>
      <w:pPr>
        <w:numPr>
          <w:ilvl w:val="0"/>
          <w:numId w:val="1038"/>
        </w:numPr>
        <w:pStyle w:val="Compact"/>
      </w:pPr>
      <w:r>
        <w:rPr>
          <w:bCs/>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numPr>
          <w:ilvl w:val="0"/>
          <w:numId w:val="1038"/>
        </w:numPr>
        <w:pStyle w:val="Compact"/>
      </w:pPr>
      <w:r>
        <w:rPr>
          <w:bCs/>
          <w:b/>
        </w:rPr>
        <w:t xml:space="preserve">Vérification de la conception</w:t>
      </w:r>
      <w:r>
        <w:t xml:space="preserve"> </w:t>
      </w:r>
      <w:r>
        <w:t xml:space="preserve">- Évaluation technique de l'architecture de sécurité d'une application.</w:t>
      </w:r>
    </w:p>
    <w:p>
      <w:pPr>
        <w:numPr>
          <w:ilvl w:val="0"/>
          <w:numId w:val="1038"/>
        </w:numPr>
        <w:pStyle w:val="Compact"/>
      </w:pPr>
      <w:r>
        <w:rPr>
          <w:bCs/>
          <w:b/>
        </w:rPr>
        <w:t xml:space="preserve">Vérification de la sécurité des applications</w:t>
      </w:r>
      <w:r>
        <w:t xml:space="preserve"> </w:t>
      </w:r>
      <w:r>
        <w:t xml:space="preserve">- L'évaluation technique d'une application par rapport à l'ASVS de l'OWASP.</w:t>
      </w:r>
    </w:p>
    <w:p>
      <w:pPr>
        <w:numPr>
          <w:ilvl w:val="0"/>
          <w:numId w:val="1038"/>
        </w:numPr>
        <w:pStyle w:val="Compact"/>
      </w:pPr>
      <w:r>
        <w:rPr>
          <w:bCs/>
          <w:b/>
        </w:rPr>
        <w:t xml:space="preserve">Vérification dynamique</w:t>
      </w:r>
      <w:r>
        <w:t xml:space="preserve"> </w:t>
      </w:r>
      <w:r>
        <w:t xml:space="preserve">- L'utilisation d'outils automatisés qui utilisent les signatures de vulnérabilité pour trouver des problèmes pendant l'exécution d'une application.</w:t>
      </w:r>
    </w:p>
    <w:p>
      <w:pPr>
        <w:numPr>
          <w:ilvl w:val="0"/>
          <w:numId w:val="1038"/>
        </w:numPr>
        <w:pStyle w:val="Compact"/>
      </w:pPr>
      <w:r>
        <w:rPr>
          <w:bCs/>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numPr>
          <w:ilvl w:val="0"/>
          <w:numId w:val="1038"/>
        </w:numPr>
        <w:pStyle w:val="Compact"/>
      </w:pPr>
      <w:r>
        <w:rPr>
          <w:bCs/>
          <w:b/>
        </w:rPr>
        <w:t xml:space="preserve">XML eXternal Entity</w:t>
      </w:r>
      <w:r>
        <w:t xml:space="preserve"> </w:t>
      </w:r>
      <w:r>
        <w:t xml:space="preserve">(XXE) - Un type d'entité XML qui peut accéder au contenu local ou distant via un identifiant système déclaré. Cela peut entraîner diverses attaques par injection.</w:t>
      </w:r>
    </w:p>
    <w:bookmarkEnd w:id="269"/>
    <w:bookmarkStart w:id="292" w:name="annexe-b--références"/>
    <w:p>
      <w:pPr>
        <w:pStyle w:val="Heading1"/>
      </w:pPr>
      <w:r>
        <w:t xml:space="preserve">Annexe B : Références</w:t>
      </w:r>
    </w:p>
    <w:p>
      <w:pPr>
        <w:pStyle w:val="FirstParagraph"/>
      </w:pPr>
      <w:r>
        <w:t xml:space="preserve">Les projets suivants de l'OWASP sont les plus susceptibles d'être utiles aux utilisateurs/adopteurs de cette norme :</w:t>
      </w:r>
    </w:p>
    <w:bookmarkStart w:id="274" w:name="projets-de-base-de-lowasp"/>
    <w:p>
      <w:pPr>
        <w:pStyle w:val="Heading2"/>
      </w:pPr>
      <w:r>
        <w:t xml:space="preserve">Projets de base de l'OWASP</w:t>
      </w:r>
    </w:p>
    <w:p>
      <w:pPr>
        <w:numPr>
          <w:ilvl w:val="0"/>
          <w:numId w:val="1039"/>
        </w:numPr>
        <w:pStyle w:val="Compact"/>
      </w:pPr>
      <w:r>
        <w:t xml:space="preserve">OWASP Top 10 Project:</w:t>
      </w:r>
      <w:r>
        <w:t xml:space="preserve"> </w:t>
      </w:r>
      <w:hyperlink r:id="rId270">
        <w:hyperlink r:id="rId270">
          <w:r>
            <w:rPr>
              <w:rStyle w:val="Hyperlink"/>
            </w:rPr>
            <w:t xml:space="preserve">https://owasp.org/www-project-top-ten/</w:t>
          </w:r>
        </w:hyperlink>
      </w:hyperlink>
    </w:p>
    <w:p>
      <w:pPr>
        <w:numPr>
          <w:ilvl w:val="0"/>
          <w:numId w:val="1039"/>
        </w:numPr>
        <w:pStyle w:val="Compact"/>
      </w:pPr>
      <w:r>
        <w:t xml:space="preserve">OWASP Testing Guide:</w:t>
      </w:r>
      <w:r>
        <w:t xml:space="preserve"> </w:t>
      </w:r>
      <w:hyperlink r:id="rId271">
        <w:hyperlink r:id="rId271">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2">
        <w:hyperlink r:id="rId272">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3">
        <w:hyperlink r:id="rId273">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4"/>
    <w:bookmarkStart w:id="277" w:name="projet-owasp-cheat-sheet-series"/>
    <w:p>
      <w:pPr>
        <w:pStyle w:val="Heading2"/>
      </w:pPr>
      <w:r>
        <w:t xml:space="preserve">Projet OWASP Cheat Sheet Series</w:t>
      </w:r>
    </w:p>
    <w:p>
      <w:pPr>
        <w:pStyle w:val="FirstParagraph"/>
      </w:pPr>
      <w:hyperlink r:id="rId275">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6">
        <w:hyperlink r:id="rId276">
          <w:r>
            <w:rPr>
              <w:rStyle w:val="Hyperlink"/>
            </w:rPr>
            <w:t xml:space="preserve">https://github.com/OWASP/CheatSheetSeries/blob/master/IndexASVS.md</w:t>
          </w:r>
        </w:hyperlink>
      </w:hyperlink>
    </w:p>
    <w:bookmarkEnd w:id="277"/>
    <w:bookmarkStart w:id="281" w:name="projets-liés-à-la-sécurité-mobile"/>
    <w:p>
      <w:pPr>
        <w:pStyle w:val="Heading2"/>
      </w:pPr>
      <w:r>
        <w:t xml:space="preserve">Projets liés à la sécurité mobile</w:t>
      </w:r>
    </w:p>
    <w:p>
      <w:pPr>
        <w:numPr>
          <w:ilvl w:val="0"/>
          <w:numId w:val="1040"/>
        </w:numPr>
        <w:pStyle w:val="Compact"/>
      </w:pPr>
      <w:r>
        <w:t xml:space="preserve">OWASP Mobile Security Project:</w:t>
      </w:r>
      <w:r>
        <w:t xml:space="preserve"> </w:t>
      </w:r>
      <w:hyperlink r:id="rId278">
        <w:hyperlink r:id="rId278">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9">
        <w:hyperlink r:id="rId279">
          <w:r>
            <w:rPr>
              <w:rStyle w:val="Hyperlink"/>
            </w:rPr>
            <w:t xml:space="preserve">https://owasp.org/www-project-mobile-top-10/</w:t>
          </w:r>
        </w:hyperlink>
      </w:hyperlink>
    </w:p>
    <w:p>
      <w:pPr>
        <w:numPr>
          <w:ilvl w:val="0"/>
          <w:numId w:val="1040"/>
        </w:numPr>
        <w:pStyle w:val="Compact"/>
      </w:pPr>
      <w:r>
        <w:t xml:space="preserve">OWASP Mobile Security Testing Guide:</w:t>
      </w:r>
      <w:r>
        <w:t xml:space="preserve"> </w:t>
      </w:r>
      <w:hyperlink r:id="rId280">
        <w:hyperlink r:id="rId280">
          <w:r>
            <w:rPr>
              <w:rStyle w:val="Hyperlink"/>
            </w:rPr>
            <w:t xml:space="preserve">https://owasp.org/www-project-mobile-security-testing-guide/</w:t>
          </w:r>
        </w:hyperlink>
      </w:hyperlink>
    </w:p>
    <w:bookmarkEnd w:id="281"/>
    <w:bookmarkStart w:id="283" w:name="X5c1f169fe5808f980329e1704e70ea7696a201d"/>
    <w:p>
      <w:pPr>
        <w:pStyle w:val="Heading2"/>
      </w:pPr>
      <w:r>
        <w:t xml:space="preserve">Projets liés à l'Internet des objets de l'OWASP</w:t>
      </w:r>
    </w:p>
    <w:p>
      <w:pPr>
        <w:numPr>
          <w:ilvl w:val="0"/>
          <w:numId w:val="1041"/>
        </w:numPr>
        <w:pStyle w:val="Compact"/>
      </w:pPr>
      <w:r>
        <w:t xml:space="preserve">Projet OWASP "Internet of Things" :</w:t>
      </w:r>
      <w:r>
        <w:t xml:space="preserve"> </w:t>
      </w:r>
      <w:hyperlink r:id="rId282">
        <w:hyperlink r:id="rId282">
          <w:r>
            <w:rPr>
              <w:rStyle w:val="Hyperlink"/>
            </w:rPr>
            <w:t xml:space="preserve">https://www.owasp.org/index.php/OWASP_Internet_of_Things_Project</w:t>
          </w:r>
        </w:hyperlink>
      </w:hyperlink>
    </w:p>
    <w:bookmarkEnd w:id="283"/>
    <w:bookmarkStart w:id="284" w:name="projets-owasp-sans-serveur"/>
    <w:p>
      <w:pPr>
        <w:pStyle w:val="Heading2"/>
      </w:pPr>
      <w:r>
        <w:t xml:space="preserve">Projets OWASP sans serveur</w:t>
      </w:r>
    </w:p>
    <w:p>
      <w:pPr>
        <w:numPr>
          <w:ilvl w:val="0"/>
          <w:numId w:val="1042"/>
        </w:numPr>
        <w:pStyle w:val="Compact"/>
      </w:pPr>
      <w:r>
        <w:t xml:space="preserve">OWASP Serverless Project:</w:t>
      </w:r>
      <w:r>
        <w:t xml:space="preserve"> </w:t>
      </w:r>
      <w:hyperlink r:id="rId245">
        <w:hyperlink r:id="rId245">
          <w:r>
            <w:rPr>
              <w:rStyle w:val="Hyperlink"/>
            </w:rPr>
            <w:t xml:space="preserve">https://owasp.org/www-project-serverless-top-10/</w:t>
          </w:r>
        </w:hyperlink>
      </w:hyperlink>
    </w:p>
    <w:bookmarkEnd w:id="284"/>
    <w:bookmarkStart w:id="291" w:name="autres"/>
    <w:p>
      <w:pPr>
        <w:pStyle w:val="Heading2"/>
      </w:pPr>
      <w:r>
        <w:t xml:space="preserve">Autres</w:t>
      </w:r>
    </w:p>
    <w:p>
      <w:pPr>
        <w:pStyle w:val="FirstParagraph"/>
      </w:pPr>
      <w:r>
        <w:t xml:space="preserve">De même, les sites web suivants sont les plus susceptibles d'être utiles aux utilisateurs/adopteurs de cette norme</w:t>
      </w:r>
    </w:p>
    <w:p>
      <w:pPr>
        <w:numPr>
          <w:ilvl w:val="0"/>
          <w:numId w:val="1043"/>
        </w:numPr>
        <w:pStyle w:val="Compact"/>
      </w:pPr>
      <w:r>
        <w:t xml:space="preserve">SecListes Github :</w:t>
      </w:r>
      <w:r>
        <w:t xml:space="preserve"> </w:t>
      </w:r>
      <w:hyperlink r:id="rId285">
        <w:hyperlink r:id="rId285">
          <w:r>
            <w:rPr>
              <w:rStyle w:val="Hyperlink"/>
            </w:rPr>
            <w:t xml:space="preserve">https://github.com/danielmiessler/SecLists</w:t>
          </w:r>
        </w:hyperlink>
      </w:hyperlink>
    </w:p>
    <w:p>
      <w:pPr>
        <w:numPr>
          <w:ilvl w:val="0"/>
          <w:numId w:val="1043"/>
        </w:numPr>
        <w:pStyle w:val="Compact"/>
      </w:pPr>
      <w:r>
        <w:t xml:space="preserve">MITRE Dénombrement des faiblesses communes :</w:t>
      </w:r>
      <w:r>
        <w:t xml:space="preserve"> </w:t>
      </w:r>
      <w:hyperlink r:id="rId286">
        <w:hyperlink r:id="rId286">
          <w:r>
            <w:rPr>
              <w:rStyle w:val="Hyperlink"/>
            </w:rPr>
            <w:t xml:space="preserve">https://cwe.mitre.org/</w:t>
          </w:r>
        </w:hyperlink>
      </w:hyperlink>
    </w:p>
    <w:p>
      <w:pPr>
        <w:numPr>
          <w:ilvl w:val="0"/>
          <w:numId w:val="1043"/>
        </w:numPr>
        <w:pStyle w:val="Compact"/>
      </w:pPr>
      <w:r>
        <w:t xml:space="preserve">Conseil des normes de sécurité PCI :</w:t>
      </w:r>
      <w:r>
        <w:t xml:space="preserve"> </w:t>
      </w:r>
      <w:hyperlink r:id="rId287">
        <w:hyperlink r:id="rId287">
          <w:r>
            <w:rPr>
              <w:rStyle w:val="Hyperlink"/>
            </w:rPr>
            <w:t xml:space="preserve">https://www.pcisecuritystandards.org</w:t>
          </w:r>
        </w:hyperlink>
      </w:hyperlink>
    </w:p>
    <w:p>
      <w:pPr>
        <w:numPr>
          <w:ilvl w:val="0"/>
          <w:numId w:val="1043"/>
        </w:numPr>
        <w:pStyle w:val="Compact"/>
      </w:pPr>
      <w:r>
        <w:t xml:space="preserve">Norme de sécurité des données PCI (DSS) v3.2.1 Exigences et procédures d'évaluation de la sécurité :</w:t>
      </w:r>
      <w:r>
        <w:t xml:space="preserve"> </w:t>
      </w:r>
      <w:hyperlink r:id="rId288">
        <w:hyperlink r:id="rId288">
          <w:r>
            <w:rPr>
              <w:rStyle w:val="Hyperlink"/>
            </w:rPr>
            <w:t xml:space="preserve">https://www.pcisecuritystandards.org/documents/PCI_DSS_v3-2-1.pdf</w:t>
          </w:r>
        </w:hyperlink>
      </w:hyperlink>
    </w:p>
    <w:p>
      <w:pPr>
        <w:numPr>
          <w:ilvl w:val="0"/>
          <w:numId w:val="1043"/>
        </w:numPr>
        <w:pStyle w:val="Compact"/>
      </w:pPr>
      <w:r>
        <w:t xml:space="preserve">PCI Software Security Framework - Exigences et procédures d'évaluation des logiciels sécurisés :</w:t>
      </w:r>
      <w:r>
        <w:t xml:space="preserve"> </w:t>
      </w:r>
      <w:hyperlink r:id="rId289">
        <w:hyperlink r:id="rId289">
          <w:r>
            <w:rPr>
              <w:rStyle w:val="Hyperlink"/>
            </w:rPr>
            <w:t xml:space="preserve">https://www.pcisecuritystandards.org/documents/PCI-Secure-Software-Standard-v1_0.pdf</w:t>
          </w:r>
        </w:hyperlink>
      </w:hyperlink>
    </w:p>
    <w:p>
      <w:pPr>
        <w:numPr>
          <w:ilvl w:val="0"/>
          <w:numId w:val="1043"/>
        </w:numPr>
        <w:pStyle w:val="Compact"/>
      </w:pPr>
      <w:r>
        <w:t xml:space="preserve">Exigences et procédures d'évaluation du PCI Secure Software Lifecycle (Secure SLC) :</w:t>
      </w:r>
      <w:r>
        <w:t xml:space="preserve"> </w:t>
      </w:r>
      <w:hyperlink r:id="rId290">
        <w:hyperlink r:id="rId290">
          <w:r>
            <w:rPr>
              <w:rStyle w:val="Hyperlink"/>
            </w:rPr>
            <w:t xml:space="preserve">https://www.pcisecuritystandards.org/documents/PCI-Secure-SLC-Standard-v1_0.pdf</w:t>
          </w:r>
        </w:hyperlink>
      </w:hyperlink>
    </w:p>
    <w:bookmarkEnd w:id="291"/>
    <w:bookmarkEnd w:id="292"/>
    <w:bookmarkStart w:id="300" w:name="Xb94e7e1ba9b1acaf652889d769da7b7e5a3c3d1"/>
    <w:p>
      <w:pPr>
        <w:pStyle w:val="Heading1"/>
      </w:pPr>
      <w:r>
        <w:t xml:space="preserve">Annexe C : Exigences de vérification de l'Internet des objets</w:t>
      </w:r>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93">
        <w:r>
          <w:rPr>
            <w:rStyle w:val="Hyperlink"/>
          </w:rPr>
          <w:t xml:space="preserve">OWASP IoT project</w:t>
        </w:r>
      </w:hyperlink>
    </w:p>
    <w:bookmarkStart w:id="294" w:name="objectif-de-contrôle-14"/>
    <w:p>
      <w:pPr>
        <w:pStyle w:val="Heading2"/>
      </w:pPr>
      <w:r>
        <w:t xml:space="preserve">Objectif de contrôle</w:t>
      </w:r>
    </w:p>
    <w:p>
      <w:pPr>
        <w:pStyle w:val="FirstParagraph"/>
      </w:pPr>
      <w:r>
        <w:t xml:space="preserve">Les dispositifs embarqués/implantés devraient :</w:t>
      </w:r>
    </w:p>
    <w:p>
      <w:pPr>
        <w:numPr>
          <w:ilvl w:val="0"/>
          <w:numId w:val="1044"/>
        </w:numPr>
        <w:pStyle w:val="Compact"/>
      </w:pPr>
      <w:r>
        <w:t xml:space="preserve">Avoir le même niveau de contrôle de sécurité dans le dispositif que dans le serveur, en appliquant les contrôles de sécurité dans un environnement de confiance.</w:t>
      </w:r>
    </w:p>
    <w:p>
      <w:pPr>
        <w:numPr>
          <w:ilvl w:val="0"/>
          <w:numId w:val="1044"/>
        </w:numPr>
        <w:pStyle w:val="Compact"/>
      </w:pPr>
      <w:r>
        <w:t xml:space="preserve">Les données sensibles stockées sur l'appareil doivent l'être de manière sécurisée en utilisant un stockage sauvegardé par du matériel tel que des éléments sécurisés.</w:t>
      </w:r>
    </w:p>
    <w:p>
      <w:pPr>
        <w:numPr>
          <w:ilvl w:val="0"/>
          <w:numId w:val="1044"/>
        </w:numPr>
        <w:pStyle w:val="Compact"/>
      </w:pPr>
      <w:r>
        <w:t xml:space="preserve">Toutes les données sensibles transmises par le dispositif doivent utiliser la couche de transport de sécurité.</w:t>
      </w:r>
    </w:p>
    <w:bookmarkEnd w:id="294"/>
    <w:bookmarkStart w:id="295" w:name="Xc1f051f592fd722bb24cc37f560a9437c3ab8cf"/>
    <w:p>
      <w:pPr>
        <w:pStyle w:val="Heading2"/>
      </w:pPr>
      <w:r>
        <w:t xml:space="preserve">Exigences de vérification de la sécurité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Depuis</w:t>
            </w:r>
          </w:p>
        </w:tc>
      </w:tr>
      <w:tr>
        <w:tc>
          <w:tcPr/>
          <w:p>
            <w:pPr>
              <w:pStyle w:val="Compact"/>
              <w:jc w:val="center"/>
            </w:pPr>
            <w:r>
              <w:rPr>
                <w:bCs/>
                <w:b/>
              </w:rPr>
              <w:t xml:space="preserve">C.1</w:t>
            </w:r>
          </w:p>
        </w:tc>
        <w:tc>
          <w:tcPr/>
          <w:p>
            <w:pPr>
              <w:pStyle w:val="Compact"/>
              <w:jc w:val="left"/>
            </w:pPr>
            <w:r>
              <w:t xml:space="preserve">Vérifiez que les interfaces de débogage de la couche application telles que les interfaces USB, UART et autres variantes série sont désactivées ou protégées par un mot de passe complexe.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Vérifier que les clés et certificats cryptographiques sont uniques à chaque 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Vérifiez que les contrôles de protection de la mémoire tels que ASLR et DEP sont activés par le système d'exploitation embarqué/OT, le cas échéant.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Vérifiez que les interfaces de débogage sur puce telles que JTAG ou SWD sont désactivées ou que le mécanisme de protection disponible est activé et configuré de manière appropriée.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Vérifiez que l'exécution de confiance est mise en œuvre et activée, si elle est disponible sur le SoC ou le CPU de l'appareil.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Vérifiez que les applications du microprogramme protègent les données en transit en utilisant la sécurité de la couche transport.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Vérifiez que les applications du microprogramme valident la signature numérique des connexions au serveur.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Vérifiez que les communications sans fil sont mutuellement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Vérifiez que les communications sans fil sont envoyées sur un canal crypté.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Vérifier que toute utilisation de fonctions C interdites est remplacée par les fonctions équivalentes sûres appropriées.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Vérifiez que chaque microprogramme tient à jour une nomenclature des logiciels cataloguant les composants tiers, le versionnage et les vulnérabilités publiées.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Vérifier que tous les codes, y compris les binaires de tiers, les bibliothèques, les cadres sont examinés pour les références codées en dur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Vérifiez que les applications du microprogramme fixent la signature numérique à un ou plusieurs serveurs de confiance.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Vérifier la présence de dispositifs de résistance et/ou de détection de l'altération.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Vérifiez que toutes les technologies de protection de la propriété intellectuelle disponibles fournies par le fabricant de la puce sont activées.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Vérifiez que des contrôles de sécurité sont en place pour empêcher l'ingénierie inverse des microprogrammes (par exemple, suppression des symboles de débogage verbeux).</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Vérifiez que le périphérique valide la signature de l'image de démarrage avant le chargement.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Vérifiez que le processus de mise à jour du microprogramme n'est pas vulnérable aux attaques par heure de contrôle ou par heure d'utilisation.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Vérifiez que l'appareil utilise la signature de code et valide les fichiers de mise à jour du micrologiciel avant l'installation.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Vérifiez que l'appareil ne peut pas être rétrogradé vers d'anciennes versions (anti-rollback) de firmware valide.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Vérifiez que le microprogramme peut effectuer des mises à jour automatiques selon un calendrier prédéfini.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Vérifiez que l'appareil efface le micrologiciel et les données sensibles dès la détection d'une altération ou la réception d'un message non valide.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Vérifiez que seuls les microcontrôleurs qui prennent en charge la désactivation des interfaces de débogage (par exemple JTAG, SWD)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Vérifiez que seuls les microcontrôleurs qui offrent une protection substantielle contre le décapuchonnage et les attaques des canaux latéraux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Vérifier que les traces sensibles ne sont pas exposées aux couches extérieures du circuit imprimé.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Vérifiez que la communication entre les puces est cryptée (par exemple, communication de carte principale à carte fille).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Vérifiez que l'appareil utilise la signature de code et valide le code avant l'exécution.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Vérifiez que les informations sensibles conservées en mémoire sont écrasées par des zéros dès qu'elles ne sont plus nécessaires.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Vérifiez que les applications de microprogrammes utilisent des conteneurs de noyau pour l'isolation entre les applications.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Vérifiez que les drapeaux de compilateurs sécurisés tels que -fPIE, -fstack-protector-all, -Wl,-z,noexecstack, -Wl,-z,noexecheap sont configurés pour les constructions de microprogrammes.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Vérifiez que les microcontrôleurs sont configurés avec une protection par code (le cas échéant).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5"/>
    <w:bookmarkStart w:id="299" w:name="références-14"/>
    <w:p>
      <w:pPr>
        <w:pStyle w:val="Heading2"/>
      </w:pPr>
      <w:r>
        <w:t xml:space="preserve">Références</w:t>
      </w:r>
    </w:p>
    <w:p>
      <w:pPr>
        <w:pStyle w:val="FirstParagraph"/>
      </w:pPr>
      <w:r>
        <w:t xml:space="preserve">Pour plus d'informations, voir aussi :</w:t>
      </w:r>
    </w:p>
    <w:p>
      <w:pPr>
        <w:numPr>
          <w:ilvl w:val="0"/>
          <w:numId w:val="1045"/>
        </w:numPr>
        <w:pStyle w:val="Compact"/>
      </w:pPr>
      <w:hyperlink r:id="rId296">
        <w:r>
          <w:rPr>
            <w:rStyle w:val="Hyperlink"/>
          </w:rPr>
          <w:t xml:space="preserve">OWASP Internet of Things Top 10</w:t>
        </w:r>
      </w:hyperlink>
    </w:p>
    <w:p>
      <w:pPr>
        <w:numPr>
          <w:ilvl w:val="0"/>
          <w:numId w:val="1045"/>
        </w:numPr>
        <w:pStyle w:val="Compact"/>
      </w:pPr>
      <w:hyperlink r:id="rId297">
        <w:r>
          <w:rPr>
            <w:rStyle w:val="Hyperlink"/>
          </w:rPr>
          <w:t xml:space="preserve">OWASP Embedded Application Security Project</w:t>
        </w:r>
      </w:hyperlink>
    </w:p>
    <w:p>
      <w:pPr>
        <w:numPr>
          <w:ilvl w:val="0"/>
          <w:numId w:val="1045"/>
        </w:numPr>
        <w:pStyle w:val="Compact"/>
      </w:pPr>
      <w:hyperlink r:id="rId293">
        <w:r>
          <w:rPr>
            <w:rStyle w:val="Hyperlink"/>
          </w:rPr>
          <w:t xml:space="preserve">OWASP Internet of Things Project</w:t>
        </w:r>
      </w:hyperlink>
    </w:p>
    <w:p>
      <w:pPr>
        <w:numPr>
          <w:ilvl w:val="0"/>
          <w:numId w:val="1045"/>
        </w:numPr>
        <w:pStyle w:val="Compact"/>
      </w:pPr>
      <w:hyperlink r:id="rId298">
        <w:r>
          <w:rPr>
            <w:rStyle w:val="Hyperlink"/>
          </w:rPr>
          <w:t xml:space="preserve">Trudy TCP Proxy Tool</w:t>
        </w:r>
      </w:hyperlink>
    </w:p>
    <w:bookmarkEnd w:id="299"/>
    <w:bookmarkEnd w:id="300"/>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2023-06-23T23:05:13Z</dcterms:created>
  <dcterms:modified xsi:type="dcterms:W3CDTF">2023-06-23T23:05:13Z</dcterms:modified>
</cp:coreProperties>
</file>

<file path=docProps/custom.xml><?xml version="1.0" encoding="utf-8"?>
<Properties xmlns="http://schemas.openxmlformats.org/officeDocument/2006/custom-properties" xmlns:vt="http://schemas.openxmlformats.org/officeDocument/2006/docPropsVTypes"/>
</file>