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cc6fd35ce99ea16629324845eb63dac248084b0"/>
    <w:p>
      <w:pPr>
        <w:pStyle w:val="Heading1"/>
      </w:pPr>
      <w:r>
        <w:t xml:space="preserve">Стандарт верификации требований к безопасности приложений 4.0.3</w:t>
      </w:r>
    </w:p>
    <w:bookmarkStart w:id="23" w:name="финальная-версия"/>
    <w:p>
      <w:pPr>
        <w:pStyle w:val="Heading2"/>
      </w:pPr>
      <w:r>
        <w:t xml:space="preserve">Финальная версия</w:t>
      </w:r>
    </w:p>
    <w:p>
      <w:pPr>
        <w:pStyle w:val="FirstParagraph"/>
      </w:pPr>
      <w:r>
        <w:t xml:space="preserve">Октябрь 2021</w:t>
      </w:r>
    </w:p>
    <w:bookmarkEnd w:id="23"/>
    <w:bookmarkEnd w:id="24"/>
    <w:bookmarkStart w:id="34" w:name="фронтиспис"/>
    <w:p>
      <w:pPr>
        <w:pStyle w:val="Heading1"/>
      </w:pPr>
      <w:r>
        <w:t xml:space="preserve">Фронтиспис</w:t>
      </w:r>
    </w:p>
    <w:bookmarkStart w:id="25"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5"/>
    <w:bookmarkStart w:id="30" w:name="авторские-права-и-лицензия"/>
    <w:p>
      <w:pPr>
        <w:pStyle w:val="Heading2"/>
      </w:pPr>
      <w:r>
        <w:t xml:space="preserve">Авторские права и лицензия</w:t>
      </w:r>
    </w:p>
    <w:p>
      <w:pPr>
        <w:pStyle w:val="FirstParagraph"/>
      </w:pPr>
      <w:r>
        <w:t xml:space="preserve">Версия 4.0.3, октябрь 2021</w:t>
      </w:r>
    </w:p>
    <w:p>
      <w:pPr>
        <w:pStyle w:val="BodyText"/>
      </w:pPr>
      <w:r>
        <w:drawing>
          <wp:inline>
            <wp:extent cx="1109472" cy="402336"/>
            <wp:effectExtent b="0" l="0" r="0" t="0"/>
            <wp:docPr descr="лицензия"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Этот документ выпущен под</w:t>
      </w:r>
      <w:r>
        <w:t xml:space="preserve"> </w:t>
      </w:r>
      <w:hyperlink r:id="rId29">
        <w:r>
          <w:rPr>
            <w:rStyle w:val="Hyperlink"/>
          </w:rPr>
          <w:t xml:space="preserve">лицензией Creative Commons Attribution ShareAlike 3.0</w:t>
        </w:r>
      </w:hyperlink>
      <w:r>
        <w:t xml:space="preserve">. При воспроизведении или распространении этого документа необходимо разъяснить условия лицензии на него.</w:t>
      </w:r>
    </w:p>
    <w:bookmarkEnd w:id="30"/>
    <w:bookmarkStart w:id="31" w:name="руководители-проекта"/>
    <w:p>
      <w:pPr>
        <w:pStyle w:val="Heading2"/>
      </w:pPr>
      <w:r>
        <w:t xml:space="preserve">Руководители проекта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основные-участники"/>
    <w:p>
      <w:pPr>
        <w:pStyle w:val="Heading2"/>
      </w:pPr>
      <w:r>
        <w:t xml:space="preserve">Основные участники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другие-участники-и-рецензенты"/>
    <w:p>
      <w:pPr>
        <w:pStyle w:val="Heading2"/>
      </w:pPr>
      <w:r>
        <w:t xml:space="preserve">Другие участники и рецензенты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33"/>
    <w:bookmarkEnd w:id="34"/>
    <w:bookmarkStart w:id="36"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pPr>
        <w:pStyle w:val="BodyText"/>
      </w:pPr>
      <w:r>
        <w:t xml:space="preserve">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pPr>
        <w:pStyle w:val="BodyText"/>
      </w:pPr>
      <w:r>
        <w:t xml:space="preserve">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pPr>
        <w:pStyle w:val="BodyText"/>
      </w:pPr>
      <w:r>
        <w:t xml:space="preserve">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bookmarkStart w:id="35" w:name="что-нового-в-версии-40"/>
    <w:p>
      <w:pPr>
        <w:pStyle w:val="Heading2"/>
      </w:pPr>
      <w:r>
        <w:t xml:space="preserve">Что нового в версии 4.0</w:t>
      </w:r>
    </w:p>
    <w:p>
      <w:pPr>
        <w:pStyle w:val="FirstParagraph"/>
      </w:pPr>
      <w:r>
        <w:t xml:space="preserve">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pPr>
        <w:pStyle w:val="BodyText"/>
      </w:pPr>
      <w:r>
        <w:t xml:space="preserve">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pPr>
        <w:pStyle w:val="BodyText"/>
      </w:pPr>
      <w:r>
        <w:t xml:space="preserve">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pPr>
        <w:pStyle w:val="BodyText"/>
      </w:pPr>
      <w:r>
        <w:t xml:space="preserve">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pPr>
        <w:pStyle w:val="BodyText"/>
      </w:pPr>
      <w:r>
        <w:t xml:space="preserve">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pPr>
        <w:pStyle w:val="BodyText"/>
      </w:pPr>
      <w:r>
        <w:t xml:space="preserve">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pPr>
        <w:pStyle w:val="BodyText"/>
      </w:pPr>
      <w:r>
        <w:t xml:space="preserve">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pPr>
        <w:pStyle w:val="BodyText"/>
      </w:pPr>
      <w:r>
        <w:t xml:space="preserve">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pPr>
        <w:pStyle w:val="BodyText"/>
      </w:pPr>
      <w:r>
        <w:t xml:space="preserve">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pPr>
        <w:pStyle w:val="BodyText"/>
      </w:pPr>
      <w:r>
        <w:t xml:space="preserve">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bookmarkEnd w:id="35"/>
    <w:bookmarkEnd w:id="36"/>
    <w:bookmarkStart w:id="47" w:name="использование-asvs"/>
    <w:p>
      <w:pPr>
        <w:pStyle w:val="Heading1"/>
      </w:pPr>
      <w:r>
        <w:t xml:space="preserve">Использование ASVS</w:t>
      </w:r>
    </w:p>
    <w:p>
      <w:pPr>
        <w:pStyle w:val="FirstParagraph"/>
      </w:pPr>
      <w:r>
        <w:t xml:space="preserve">У ASVS две основные задачи:</w:t>
      </w:r>
    </w:p>
    <w:p>
      <w:pPr>
        <w:numPr>
          <w:ilvl w:val="0"/>
          <w:numId w:val="1001"/>
        </w:numPr>
        <w:pStyle w:val="Compact"/>
      </w:pPr>
      <w:r>
        <w:t xml:space="preserve">помочь организациям разрабатывать и поддерживать безопасные приложения.</w:t>
      </w:r>
    </w:p>
    <w:p>
      <w:pPr>
        <w:numPr>
          <w:ilvl w:val="0"/>
          <w:numId w:val="1001"/>
        </w:numPr>
        <w:pStyle w:val="Compact"/>
      </w:pPr>
      <w:r>
        <w:t xml:space="preserve">согласовать между собой требования потребителей и предложения разработчиков инструментов и поставщиков услуг кибербезопасности.</w:t>
      </w:r>
    </w:p>
    <w:bookmarkStart w:id="40"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pPr>
        <w:numPr>
          <w:ilvl w:val="0"/>
          <w:numId w:val="1002"/>
        </w:numPr>
        <w:pStyle w:val="Compact"/>
      </w:pPr>
      <w:r>
        <w:t xml:space="preserve">Первый уровень ASVS соответствует низкому уровню безопасности и полностью поддается тестированию на проникновение.</w:t>
      </w:r>
    </w:p>
    <w:p>
      <w:pPr>
        <w:numPr>
          <w:ilvl w:val="0"/>
          <w:numId w:val="1002"/>
        </w:numPr>
        <w:pStyle w:val="Compact"/>
      </w:pPr>
      <w:r>
        <w:t xml:space="preserve">Второй уровень ASVS предназначен для приложений, содержащих конфиденциальную информацию, и являются рекомендуемым для большинства приложений.</w:t>
      </w:r>
    </w:p>
    <w:p>
      <w:pPr>
        <w:numPr>
          <w:ilvl w:val="0"/>
          <w:numId w:val="1002"/>
        </w:numPr>
        <w:pStyle w:val="Compact"/>
      </w:pPr>
      <w:r>
        <w:t xml:space="preserve">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pPr>
        <w:pStyle w:val="FirstParagraph"/>
      </w:pPr>
      <w:r>
        <w:t xml:space="preserve">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pPr>
        <w:pStyle w:val="BodyText"/>
      </w:pPr>
      <w:r>
        <w:drawing>
          <wp:inline>
            <wp:extent cx="5727700" cy="1494777"/>
            <wp:effectExtent b="0" l="0" r="0" t="0"/>
            <wp:docPr descr="Уровни ASVS" title="Уровни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Рис. 1 — Уровни OWASP ASVS версии 4.0</w:t>
      </w:r>
    </w:p>
    <w:p>
      <w:pPr>
        <w:pStyle w:val="BodyText"/>
      </w:pPr>
      <w:r>
        <w:t xml:space="preserve">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pPr>
        <w:pStyle w:val="BodyText"/>
      </w:pPr>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pPr>
        <w:pStyle w:val="BodyText"/>
      </w:pPr>
      <w:r>
        <w:t xml:space="preserve">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pPr>
        <w:pStyle w:val="BodyText"/>
      </w:pPr>
      <w:r>
        <w:t xml:space="preserve">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bookmarkEnd w:id="40"/>
    <w:bookmarkStart w:id="44" w:name="как-применять-этот-стандарт"/>
    <w:p>
      <w:pPr>
        <w:pStyle w:val="Heading2"/>
      </w:pPr>
      <w:r>
        <w:t xml:space="preserve">Как применять этот стандарт</w:t>
      </w:r>
    </w:p>
    <w:p>
      <w:pPr>
        <w:pStyle w:val="FirstParagraph"/>
      </w:pPr>
      <w:r>
        <w:t xml:space="preserve">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bookmarkStart w:id="41" w:name="X35c69bbc3c8d4f175620efa728bcd8d27fd0808"/>
    <w:p>
      <w:pPr>
        <w:pStyle w:val="Heading3"/>
      </w:pPr>
      <w:r>
        <w:t xml:space="preserve">Уровень 1 — Первые шаги, автоматизированный или поверхностный</w:t>
      </w:r>
    </w:p>
    <w:p>
      <w:pPr>
        <w:pStyle w:val="FirstParagraph"/>
      </w:pPr>
      <w:r>
        <w:t xml:space="preserve">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pPr>
        <w:pStyle w:val="BodyText"/>
      </w:pPr>
      <w:r>
        <w:t xml:space="preserve">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pPr>
        <w:pStyle w:val="BodyText"/>
      </w:pPr>
      <w:r>
        <w:t xml:space="preserve">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bookmarkEnd w:id="41"/>
    <w:bookmarkStart w:id="42" w:name="уровень-2--большинство-приложений"/>
    <w:p>
      <w:pPr>
        <w:pStyle w:val="Heading3"/>
      </w:pPr>
      <w:r>
        <w:t xml:space="preserve">Уровень 2 — Большинство приложений</w:t>
      </w:r>
    </w:p>
    <w:p>
      <w:pPr>
        <w:pStyle w:val="FirstParagraph"/>
      </w:pPr>
      <w:r>
        <w:t xml:space="preserve">Приложение достигает второго уровня ASVS, если оно адекватно защищает от большинства рисков, связанных с современным программным обеспечением.</w:t>
      </w:r>
    </w:p>
    <w:p>
      <w:pPr>
        <w:pStyle w:val="BodyText"/>
      </w:pPr>
      <w:r>
        <w:t xml:space="preserve">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pPr>
        <w:pStyle w:val="BodyText"/>
      </w:pPr>
      <w:r>
        <w:t xml:space="preserve">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bookmarkEnd w:id="42"/>
    <w:bookmarkStart w:id="43" w:name="X0961466fbbed1f236e2bac2051b5f47d50cfda7"/>
    <w:p>
      <w:pPr>
        <w:pStyle w:val="Heading3"/>
      </w:pPr>
      <w:r>
        <w:t xml:space="preserve">Уровень 3 - Высокая стоимость, надежность или безопасность</w:t>
      </w:r>
    </w:p>
    <w:p>
      <w:pPr>
        <w:pStyle w:val="FirstParagraph"/>
      </w:pPr>
      <w:r>
        <w:t xml:space="preserve">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pPr>
        <w:pStyle w:val="BodyText"/>
      </w:pPr>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pPr>
        <w:pStyle w:val="BodyText"/>
      </w:pPr>
      <w:r>
        <w:t xml:space="preserve">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bookmarkEnd w:id="43"/>
    <w:bookmarkEnd w:id="44"/>
    <w:bookmarkStart w:id="45"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45"/>
    <w:bookmarkStart w:id="46" w:name="как-ссылаться-на-требования-asvs"/>
    <w:p>
      <w:pPr>
        <w:pStyle w:val="Heading2"/>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&lt;глава&gt;.&lt;раздел&gt;.&lt;требование&gt;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&lt;глава&gt;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&lt;раздел&gt;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1.11.#</w:t>
      </w:r>
      <w:r>
        <w:t xml:space="preserve"> </w:t>
      </w:r>
      <w:r>
        <w:t xml:space="preserve">находятся в разделе</w:t>
      </w:r>
      <w:r>
        <w:t xml:space="preserve"> </w:t>
      </w:r>
      <w:r>
        <w:rPr>
          <w:rStyle w:val="VerbatimChar"/>
        </w:rPr>
        <w:t xml:space="preserve">Бизнес-логика</w:t>
      </w:r>
      <w:r>
        <w:t xml:space="preserve"> </w:t>
      </w:r>
      <w:r>
        <w:t xml:space="preserve">главы</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&lt;требование&gt;</w:t>
      </w:r>
      <w:r>
        <w:t xml:space="preserve"> </w:t>
      </w:r>
      <w:r>
        <w:t xml:space="preserve">указывает на конкретное требование в главе и разделе, например:</w:t>
      </w:r>
      <w:r>
        <w:t xml:space="preserve"> </w:t>
      </w:r>
      <w:r>
        <w:rPr>
          <w:rStyle w:val="VerbatimChar"/>
        </w:rPr>
        <w:t xml:space="preserve">1.11.3</w:t>
      </w:r>
      <w:r>
        <w:t xml:space="preserve">, которым в версии 4.0.3 этого стандарта является:</w:t>
      </w:r>
    </w:p>
    <w:p>
      <w:pPr>
        <w:pStyle w:val="BlockTex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v&lt;версия&gt;-&lt;глава&gt;.&lt;раздел&gt;.&lt;требование&gt;</w:t>
      </w:r>
      <w:r>
        <w:t xml:space="preserve">, где: 'версия' это метка версии ASVS. Например:</w:t>
      </w:r>
      <w:r>
        <w:t xml:space="preserve"> </w:t>
      </w:r>
      <w:r>
        <w:rPr>
          <w:rStyle w:val="VerbatimChar"/>
        </w:rPr>
        <w:t xml:space="preserve">v4.0.3-1.11.3</w:t>
      </w:r>
      <w:r>
        <w:t xml:space="preserve"> </w:t>
      </w:r>
      <w:r>
        <w:t xml:space="preserve">будет означать 3-е требование в разделе 'Бизнес-логика' главы 'Архитектура' в версии 4.0.3. (Резюмируя,</w:t>
      </w:r>
      <w:r>
        <w:t xml:space="preserve"> </w:t>
      </w:r>
      <w:r>
        <w:rPr>
          <w:rStyle w:val="VerbatimChar"/>
        </w:rPr>
        <w:t xml:space="preserve">v&lt;версия&gt;-&lt;идентификатор_требования&gt;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v&lt;версия&gt;</w:t>
      </w:r>
      <w:r>
        <w:t xml:space="preserve">,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46"/>
    <w:bookmarkEnd w:id="47"/>
    <w:bookmarkStart w:id="60" w:name="оценка-и-сертификация"/>
    <w:p>
      <w:pPr>
        <w:pStyle w:val="Heading1"/>
      </w:pPr>
      <w:r>
        <w:t xml:space="preserve">Оценка и сертификация</w:t>
      </w:r>
    </w:p>
    <w:bookmarkStart w:id="48"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pPr>
        <w:pStyle w:val="BodyText"/>
      </w:pPr>
      <w:r>
        <w:t xml:space="preserve">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pPr>
        <w:pStyle w:val="BodyText"/>
      </w:pPr>
      <w:r>
        <w:t xml:space="preserve">Это не должно препятствовать предлагать такие услуги по обеспечению гарантий, если они не претендуют на официальную сертификацию OWASP.</w:t>
      </w:r>
    </w:p>
    <w:bookmarkEnd w:id="48"/>
    <w:bookmarkStart w:id="52" w:name="X7ada943f81c79e809f538ea3c1fb9903546ed98"/>
    <w:p>
      <w:pPr>
        <w:pStyle w:val="Heading2"/>
      </w:pPr>
      <w:r>
        <w:t xml:space="preserve">Руководство для сертифицирующих организаций</w:t>
      </w:r>
    </w:p>
    <w:p>
      <w:pPr>
        <w:pStyle w:val="FirstParagraph"/>
      </w:pPr>
      <w:r>
        <w:t xml:space="preserve">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pPr>
        <w:pStyle w:val="BodyText"/>
      </w:pPr>
      <w:r>
        <w:t xml:space="preserve">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pPr>
        <w:pStyle w:val="BodyText"/>
      </w:pPr>
      <w:r>
        <w:t xml:space="preserve">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pPr>
        <w:pStyle w:val="BodyText"/>
      </w:pPr>
      <w:r>
        <w:t xml:space="preserve">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bookmarkStart w:id="51" w:name="методы-тестирования"/>
    <w:p>
      <w:pPr>
        <w:pStyle w:val="Heading3"/>
      </w:pPr>
      <w:r>
        <w:t xml:space="preserve">Методы тестирования</w:t>
      </w:r>
    </w:p>
    <w:p>
      <w:pPr>
        <w:pStyle w:val="FirstParagraph"/>
      </w:pPr>
      <w:r>
        <w:t xml:space="preserve">Сертифицирующие организации свободны в выборе подходящего метода (методов) тестирования, но должны явно указать их в отчете.</w:t>
      </w:r>
    </w:p>
    <w:p>
      <w:pPr>
        <w:pStyle w:val="BodyText"/>
      </w:pPr>
      <w:r>
        <w:t xml:space="preserve">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bookmarkStart w:id="49"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Рекомендуется использовать автоматизированные инструменты тестирования на проникновение, чтобы обеспечить как можно больший охват.</w:t>
      </w:r>
    </w:p>
    <w:p>
      <w:pPr>
        <w:pStyle w:val="BodyText"/>
      </w:pPr>
      <w:r>
        <w:t xml:space="preserve">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pPr>
        <w:pStyle w:val="BodyText"/>
      </w:pPr>
      <w:r>
        <w:t xml:space="preserve">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bookmarkEnd w:id="49"/>
    <w:bookmarkStart w:id="50" w:name="роль-тестирования-на-проникновение"/>
    <w:p>
      <w:pPr>
        <w:pStyle w:val="Heading4"/>
      </w:pPr>
      <w:r>
        <w:t xml:space="preserve">Роль тестирования на проникновение</w:t>
      </w:r>
    </w:p>
    <w:p>
      <w:pPr>
        <w:pStyle w:val="FirstParagraph"/>
      </w:pPr>
      <w:r>
        <w:t xml:space="preserve">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bookmarkEnd w:id="50"/>
    <w:bookmarkEnd w:id="51"/>
    <w:bookmarkEnd w:id="52"/>
    <w:bookmarkStart w:id="59" w:name="другие-варианты-использования-asvs"/>
    <w:p>
      <w:pPr>
        <w:pStyle w:val="Heading2"/>
      </w:pPr>
      <w:r>
        <w:t xml:space="preserve">Другие варианты использования ASVS</w:t>
      </w:r>
    </w:p>
    <w:p>
      <w:pPr>
        <w:pStyle w:val="FirstParagraph"/>
      </w:pPr>
      <w:r>
        <w:t xml:space="preserve">Помимо использования для оценки безопасности приложения, мы предлагаем ряд других потенциальных применений для ASVS.</w:t>
      </w:r>
    </w:p>
    <w:bookmarkStart w:id="53"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bookmarkEnd w:id="53"/>
    <w:bookmarkStart w:id="54" w:name="X29f999bbabf159f4b917cdffb1bf746df1b160b"/>
    <w:p>
      <w:pPr>
        <w:pStyle w:val="Heading3"/>
      </w:pPr>
      <w:r>
        <w:t xml:space="preserve">Как чек-лист по безопасному программированию</w:t>
      </w:r>
    </w:p>
    <w:p>
      <w:pPr>
        <w:pStyle w:val="FirstParagraph"/>
      </w:pPr>
      <w:r>
        <w:t xml:space="preserve">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bookmarkEnd w:id="54"/>
    <w:bookmarkStart w:id="55"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5"/>
    <w:bookmarkStart w:id="56"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bookmarkEnd w:id="56"/>
    <w:bookmarkStart w:id="57" w:name="X0078daa3f979622e67e046fedca8a9bf4582cae"/>
    <w:p>
      <w:pPr>
        <w:pStyle w:val="Heading3"/>
      </w:pPr>
      <w:r>
        <w:t xml:space="preserve">Как движущая сила к Agile-процессу безопасности приложений</w:t>
      </w:r>
    </w:p>
    <w:p>
      <w:pPr>
        <w:pStyle w:val="FirstParagraph"/>
      </w:pPr>
      <w:r>
        <w:t xml:space="preserve">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bookmarkEnd w:id="58"/>
    <w:bookmarkEnd w:id="59"/>
    <w:bookmarkEnd w:id="60"/>
    <w:bookmarkStart w:id="84" w:name="X7555569d470828ddccec81c2ab1bac308ee6221"/>
    <w:p>
      <w:pPr>
        <w:pStyle w:val="Heading1"/>
      </w:pPr>
      <w:r>
        <w:t xml:space="preserve">V1 Архитектура, проектирование и моделирование угроз</w:t>
      </w:r>
    </w:p>
    <w:bookmarkStart w:id="61" w:name="задачи-контроля"/>
    <w:p>
      <w:pPr>
        <w:pStyle w:val="Heading2"/>
      </w:pPr>
      <w:r>
        <w:t xml:space="preserve">Задачи контроля</w:t>
      </w:r>
    </w:p>
    <w:p>
      <w:pPr>
        <w:pStyle w:val="FirstParagraph"/>
      </w:pPr>
      <w:r>
        <w:t xml:space="preserve">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pPr>
        <w:pStyle w:val="BodyText"/>
      </w:pPr>
      <w:r>
        <w:t xml:space="preserve">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pPr>
        <w:pStyle w:val="BodyText"/>
      </w:pPr>
      <w:r>
        <w:t xml:space="preserve">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pPr>
        <w:pStyle w:val="BodyText"/>
      </w:pPr>
      <w:r>
        <w:t xml:space="preserve">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bookmarkEnd w:id="61"/>
    <w:bookmarkStart w:id="63" w:name="X890851091d0da3d74e5a5776458d6e357628a3e"/>
    <w:p>
      <w:pPr>
        <w:pStyle w:val="Heading2"/>
      </w:pPr>
      <w:r>
        <w:t xml:space="preserve">V1.1 Жизненный цикл разработки безопасного ПО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Проверьте описание концептуальной архитектуры приложения, связанных с ним внешних систем и анализ их безопасности.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аутентификация"/>
    <w:p>
      <w:pPr>
        <w:pStyle w:val="Heading2"/>
      </w:pPr>
      <w:r>
        <w:t xml:space="preserve">V1.2 Аутентификация</w:t>
      </w:r>
    </w:p>
    <w:p>
      <w:pPr>
        <w:pStyle w:val="FirstParagraph"/>
      </w:pPr>
      <w:r>
        <w:t xml:space="preserve">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управление-сессиями"/>
    <w:p>
      <w:pPr>
        <w:pStyle w:val="Heading2"/>
      </w:pPr>
      <w:r>
        <w:t xml:space="preserve">V1.3 Управление сессиями</w:t>
      </w:r>
    </w:p>
    <w:p>
      <w:pPr>
        <w:pStyle w:val="FirstParagraph"/>
      </w:pPr>
      <w:r>
        <w:t xml:space="preserve">Место вставки для будущих архитектурных требований.</w:t>
      </w:r>
    </w:p>
    <w:bookmarkEnd w:id="65"/>
    <w:bookmarkStart w:id="66" w:name="v14-контроль-доступа"/>
    <w:p>
      <w:pPr>
        <w:pStyle w:val="Heading2"/>
      </w:pPr>
      <w:r>
        <w:t xml:space="preserve">V1.4 Контроль доступа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[УДАЛЕНО, НЕВОЗМОЖНО ПРОВЕРИТЬ]</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входные-и-выходные-данные"/>
    <w:p>
      <w:pPr>
        <w:pStyle w:val="Heading2"/>
      </w:pPr>
      <w:r>
        <w:t xml:space="preserve">V1.5 Входные и выходные данные</w:t>
      </w:r>
    </w:p>
    <w:p>
      <w:pPr>
        <w:pStyle w:val="FirstParagraph"/>
      </w:pPr>
      <w:r>
        <w:t xml:space="preserve">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pPr>
        <w:pStyle w:val="BodyText"/>
      </w:pPr>
      <w:r>
        <w:t xml:space="preserve">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Убедитесь, что форматно-логический контроль входных данных выполняется на уровне доверенного сервиса.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криптографическая-защита"/>
    <w:p>
      <w:pPr>
        <w:pStyle w:val="Heading2"/>
      </w:pPr>
      <w:r>
        <w:t xml:space="preserve">V1.6 Криптографическая защита</w:t>
      </w:r>
    </w:p>
    <w:p>
      <w:pPr>
        <w:pStyle w:val="FirstParagraph"/>
      </w:pPr>
      <w:r>
        <w:t xml:space="preserve">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pPr>
        <w:pStyle w:val="BodyText"/>
      </w:pPr>
      <w:r>
        <w:t xml:space="preserve">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2317925a12e01cf83db7be784f229bb61a3d7f1"/>
    <w:p>
      <w:pPr>
        <w:pStyle w:val="Heading2"/>
      </w:pPr>
      <w:r>
        <w:t xml:space="preserve">V1.7 Обработка ошибок, ведение журнала и аудит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Убедитесь, что в системе используются единый подход и формат ведения журнала событий.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9fb23ede5d3fa51962a1e02c3ea225441ce9b86"/>
    <w:p>
      <w:pPr>
        <w:pStyle w:val="Heading2"/>
      </w:pPr>
      <w:r>
        <w:t xml:space="preserve">V1.8 Защита информации и конфиденциальность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Убедитесь, что все чувствительные данные идентифицированы и классифицированы по уровням защиты.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передача-данных"/>
    <w:p>
      <w:pPr>
        <w:pStyle w:val="Heading2"/>
      </w:pPr>
      <w:r>
        <w:t xml:space="preserve">V1.9 Передача данных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вредоносный-код"/>
    <w:p>
      <w:pPr>
        <w:pStyle w:val="Heading2"/>
      </w:pPr>
      <w:r>
        <w:t xml:space="preserve">V1.10 Вредоносный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бизнес-логика"/>
    <w:p>
      <w:pPr>
        <w:pStyle w:val="Heading2"/>
      </w:pPr>
      <w:r>
        <w:t xml:space="preserve">V1.11 Бизнес-логика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безопасная-загрузка-файлов"/>
    <w:p>
      <w:pPr>
        <w:pStyle w:val="Heading2"/>
      </w:pPr>
      <w:r>
        <w:t xml:space="preserve">V1.12 Безопасная загрузка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[УДАЛЕНО, ДУБЛИРУЕТ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архитектура-api"/>
    <w:p>
      <w:pPr>
        <w:pStyle w:val="Heading2"/>
      </w:pPr>
      <w:r>
        <w:t xml:space="preserve">V1.13 Архитектура API</w:t>
      </w:r>
    </w:p>
    <w:p>
      <w:pPr>
        <w:pStyle w:val="FirstParagraph"/>
      </w:pPr>
      <w:r>
        <w:t xml:space="preserve">Место вставки для будущих архитектурных требований.</w:t>
      </w:r>
    </w:p>
    <w:bookmarkEnd w:id="75"/>
    <w:bookmarkStart w:id="76" w:name="v114-безопасные-конфигурации"/>
    <w:p>
      <w:pPr>
        <w:pStyle w:val="Heading2"/>
      </w:pPr>
      <w:r>
        <w:t xml:space="preserve">V1.14 Безопасные конфигурации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9" w:name="v2-аутентификация"/>
    <w:p>
      <w:pPr>
        <w:pStyle w:val="Heading1"/>
      </w:pPr>
      <w:r>
        <w:t xml:space="preserve">V2 Аутентификация</w:t>
      </w:r>
    </w:p>
    <w:bookmarkStart w:id="86" w:name="задачи-контроля-1"/>
    <w:p>
      <w:pPr>
        <w:pStyle w:val="Heading2"/>
      </w:pPr>
      <w:r>
        <w:t xml:space="preserve">Задачи контроля</w:t>
      </w:r>
    </w:p>
    <w:p>
      <w:pPr>
        <w:pStyle w:val="FirstParagraph"/>
      </w:pPr>
      <w:r>
        <w:t xml:space="preserve">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pPr>
        <w:pStyle w:val="BodyText"/>
      </w:pPr>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w:t>
      </w:r>
      <w:r>
        <w:t xml:space="preserve"> </w:t>
      </w:r>
      <w:hyperlink r:id="rId85">
        <w:r>
          <w:rPr>
            <w:rStyle w:val="Hyperlink"/>
          </w:rPr>
          <w:t xml:space="preserve">«ограниченные» типы аутентификаторов</w:t>
        </w:r>
      </w:hyperlink>
      <w:r>
        <w:t xml:space="preserve">,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pPr>
        <w:pStyle w:val="BodyText"/>
      </w:pPr>
      <w:r>
        <w:t xml:space="preserve">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bookmarkEnd w:id="86"/>
    <w:bookmarkStart w:id="90" w:name="X44bb9e66643a0a2e4052450bd3404d689fbb056"/>
    <w:p>
      <w:pPr>
        <w:pStyle w:val="Heading2"/>
      </w:pPr>
      <w:r>
        <w:t xml:space="preserve">NIST 800-63 — современный стандарт аутентификации, основанный на доказательствах</w:t>
      </w:r>
    </w:p>
    <w:p>
      <w:pPr>
        <w:pStyle w:val="FirstParagraph"/>
      </w:pPr>
      <w:hyperlink r:id="rId87">
        <w:r>
          <w:rPr>
            <w:rStyle w:val="Hyperlink"/>
          </w:rPr>
          <w:t xml:space="preserve">NIST 800-63b</w:t>
        </w:r>
      </w:hyperlink>
      <w:r>
        <w:t xml:space="preserve"> </w:t>
      </w:r>
      <w:r>
        <w:t xml:space="preserve">—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pPr>
        <w:pStyle w:val="BodyText"/>
      </w:pPr>
      <w:r>
        <w:t xml:space="preserve">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pPr>
        <w:pStyle w:val="BodyText"/>
      </w:pPr>
      <w:r>
        <w:t xml:space="preserve">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bookmarkStart w:id="89" w:name="Xa9cdcf8b9537566df63d839eabbf9aaa2ae4b41"/>
    <w:p>
      <w:pPr>
        <w:pStyle w:val="Heading3"/>
      </w:pPr>
      <w:r>
        <w:t xml:space="preserve">Выбор подходящего уровня доверия (AAL) в NIST</w:t>
      </w:r>
    </w:p>
    <w:p>
      <w:pPr>
        <w:pStyle w:val="FirstParagraph"/>
      </w:pPr>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w:t>
      </w:r>
      <w:r>
        <w:t xml:space="preserve"> </w:t>
      </w:r>
      <w:r>
        <w:rPr>
          <w:iCs/>
          <w:i/>
        </w:rPr>
        <w:t xml:space="preserve">Выбор AAL</w:t>
      </w:r>
      <w:r>
        <w:t xml:space="preserve"> </w:t>
      </w:r>
      <w:r>
        <w:t xml:space="preserve">в</w:t>
      </w:r>
      <w:r>
        <w:t xml:space="preserve"> </w:t>
      </w:r>
      <w:hyperlink r:id="rId88">
        <w:r>
          <w:rPr>
            <w:rStyle w:val="Hyperlink"/>
          </w:rPr>
          <w:t xml:space="preserve">NIST 800-63b раздел 6.2</w:t>
        </w:r>
      </w:hyperlink>
      <w:r>
        <w:t xml:space="preserve">.</w:t>
      </w:r>
    </w:p>
    <w:bookmarkEnd w:id="89"/>
    <w:bookmarkEnd w:id="90"/>
    <w:bookmarkStart w:id="91" w:name="условные-обозначения"/>
    <w:p>
      <w:pPr>
        <w:pStyle w:val="Heading2"/>
      </w:pPr>
      <w:r>
        <w:t xml:space="preserve">Условные обозначения</w:t>
      </w:r>
    </w:p>
    <w:p>
      <w:pPr>
        <w:pStyle w:val="FirstParagraph"/>
      </w:pPr>
      <w:r>
        <w:t xml:space="preserve">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Знак</w:t>
            </w:r>
          </w:p>
        </w:tc>
        <w:tc>
          <w:tcPr/>
          <w:p>
            <w:pPr>
              <w:pStyle w:val="Compact"/>
              <w:jc w:val="left"/>
            </w:pPr>
            <w:r>
              <w:t xml:space="preserve">Описание</w:t>
            </w:r>
          </w:p>
        </w:tc>
      </w:tr>
      <w:tr>
        <w:tc>
          <w:tcPr/>
          <w:p>
            <w:pPr>
              <w:pStyle w:val="Compact"/>
            </w:pPr>
          </w:p>
        </w:tc>
        <w:tc>
          <w:tcPr/>
          <w:p>
            <w:pPr>
              <w:pStyle w:val="Compact"/>
              <w:jc w:val="left"/>
            </w:pPr>
            <w:r>
              <w:t xml:space="preserve">Не требуется</w:t>
            </w:r>
          </w:p>
        </w:tc>
      </w:tr>
      <w:tr>
        <w:tc>
          <w:tcPr/>
          <w:p>
            <w:pPr>
              <w:pStyle w:val="Compact"/>
              <w:jc w:val="center"/>
            </w:pPr>
            <w:r>
              <w:t xml:space="preserve">o</w:t>
            </w:r>
          </w:p>
        </w:tc>
        <w:tc>
          <w:tcPr/>
          <w:p>
            <w:pPr>
              <w:pStyle w:val="Compact"/>
              <w:jc w:val="left"/>
            </w:pPr>
            <w:r>
              <w:t xml:space="preserve">Рекомендуется</w:t>
            </w:r>
          </w:p>
        </w:tc>
      </w:tr>
      <w:tr>
        <w:tc>
          <w:tcPr/>
          <w:p>
            <w:pPr>
              <w:pStyle w:val="Compact"/>
              <w:jc w:val="center"/>
            </w:pPr>
            <w:r>
              <w:t xml:space="preserve">✓</w:t>
            </w:r>
          </w:p>
        </w:tc>
        <w:tc>
          <w:tcPr/>
          <w:p>
            <w:pPr>
              <w:pStyle w:val="Compact"/>
              <w:jc w:val="left"/>
            </w:pPr>
            <w:r>
              <w:t xml:space="preserve">Обязательно</w:t>
            </w:r>
          </w:p>
        </w:tc>
      </w:tr>
    </w:tbl>
    <w:bookmarkEnd w:id="91"/>
    <w:bookmarkStart w:id="92" w:name="v21-парольная-защита"/>
    <w:p>
      <w:pPr>
        <w:pStyle w:val="Heading2"/>
      </w:pPr>
      <w:r>
        <w:t xml:space="preserve">V2.1 Парольная защита</w:t>
      </w:r>
    </w:p>
    <w:p>
      <w:pPr>
        <w:pStyle w:val="FirstParagraph"/>
      </w:pPr>
      <w:r>
        <w:t xml:space="preserve">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pPr>
        <w:pStyle w:val="BodyText"/>
      </w:pPr>
      <w:r>
        <w:t xml:space="preserve">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pPr>
        <w:pStyle w:val="BodyText"/>
      </w:pPr>
      <w:r>
        <w:t xml:space="preserve">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2.1.1</w:t>
            </w:r>
          </w:p>
        </w:tc>
        <w:tc>
          <w:tcPr/>
          <w:p>
            <w:pPr>
              <w:pStyle w:val="Compact"/>
              <w:jc w:val="left"/>
            </w:pPr>
            <w:r>
              <w:t xml:space="preserve">Убедитесь, что устанавливаемые пользователем пароли имеют длину не менее 12 символов (после объединения пробелов, если они идут подряд).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Убедитесь, что разрешены пароли длиной не менее 64 символов и что пароли длиной более 128 символов запрещены.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Убедитесь, что отсутствует усечение пароля по длине. Идущие подряд несколько пробелов могут быть заменены одним.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Убедитесь, что в паролях разрешены любые печатные символы Unicode, включая нейтральные к языку символы, такие как пробелы и эмодзи.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Убедитесь, что пользователи могут менять свой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Убедитесь, что при изменении пароля требуется ввести текущий и новый пароль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Убедитесь в наличии индикатора надежности пароля, который поможет пользователям установить более стойкий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Убедитесь, что нет требований к периодической замене учетных данных или истории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bookmarkEnd w:id="92"/>
    <w:bookmarkStart w:id="93" w:name="v22-базовые-требования"/>
    <w:p>
      <w:pPr>
        <w:pStyle w:val="Heading2"/>
      </w:pPr>
      <w:r>
        <w:t xml:space="preserve">V2.2 Базовые требования</w:t>
      </w:r>
    </w:p>
    <w:p>
      <w:pPr>
        <w:pStyle w:val="FirstParagraph"/>
      </w:pPr>
      <w:r>
        <w:t xml:space="preserve">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pPr>
        <w:pStyle w:val="BodyText"/>
      </w:pPr>
      <w:r>
        <w:t xml:space="preserve">NIST рассматривает email и SMS как</w:t>
      </w:r>
      <w:r>
        <w:t xml:space="preserve"> </w:t>
      </w:r>
      <w:hyperlink r:id="rId85">
        <w:r>
          <w:rPr>
            <w:rStyle w:val="Hyperlink"/>
          </w:rPr>
          <w:t xml:space="preserve">«ограниченные» типы аутентификаторов</w:t>
        </w:r>
      </w:hyperlink>
      <w:r>
        <w:t xml:space="preserve">,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2.2.1</w:t>
            </w:r>
          </w:p>
        </w:tc>
        <w:tc>
          <w:tcPr/>
          <w:p>
            <w:pPr>
              <w:pStyle w:val="Compact"/>
              <w:jc w:val="left"/>
            </w:pPr>
            <w:r>
              <w:t xml:space="preserve">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жизненный-цикл-аутентификатора"/>
    <w:p>
      <w:pPr>
        <w:pStyle w:val="Heading2"/>
      </w:pPr>
      <w:r>
        <w:t xml:space="preserve">V2.3 Жизненный цикл аутентификатора</w:t>
      </w:r>
    </w:p>
    <w:p>
      <w:pPr>
        <w:pStyle w:val="FirstParagraph"/>
      </w:pPr>
      <w:r>
        <w:t xml:space="preserve">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pPr>
        <w:pStyle w:val="BodyText"/>
      </w:pPr>
      <w:r>
        <w:t xml:space="preserve">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2.3.1</w:t>
            </w:r>
          </w:p>
        </w:tc>
        <w:tc>
          <w:tcPr/>
          <w:p>
            <w:pPr>
              <w:pStyle w:val="Compact"/>
              <w:jc w:val="left"/>
            </w:pPr>
            <w:r>
              <w:t xml:space="preserve">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Убедитесь, что для обновления аутентификаторов с ограниченным сроком действия инструкции по их замене направляются заблаговременно.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8" w:name="v24-хранение-учётных-данных"/>
    <w:p>
      <w:pPr>
        <w:pStyle w:val="Heading2"/>
      </w:pPr>
      <w:r>
        <w:t xml:space="preserve">V2.4 Хранение учётных данных</w:t>
      </w:r>
    </w:p>
    <w:p>
      <w:pPr>
        <w:pStyle w:val="FirstParagraph"/>
      </w:pPr>
      <w:r>
        <w:t xml:space="preserve">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pPr>
        <w:pStyle w:val="BodyText"/>
      </w:pPr>
      <w:r>
        <w:t xml:space="preserve">Список утвержденных односторонних функций формирования ключей подробно описан в разделе</w:t>
      </w:r>
      <w:r>
        <w:t xml:space="preserve"> </w:t>
      </w:r>
      <w:hyperlink r:id="rId95">
        <w:r>
          <w:rPr>
            <w:rStyle w:val="Hyperlink"/>
          </w:rPr>
          <w:t xml:space="preserve">5.1.1.2 NIST 800-63 B</w:t>
        </w:r>
      </w:hyperlink>
      <w:r>
        <w:t xml:space="preserve">, и в</w:t>
      </w:r>
      <w:r>
        <w:t xml:space="preserve"> </w:t>
      </w:r>
      <w:hyperlink r:id="rId96">
        <w:r>
          <w:rPr>
            <w:rStyle w:val="Hyperlink"/>
          </w:rPr>
          <w:t xml:space="preserve">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w:t>
      </w:r>
      <w:r>
        <w:t xml:space="preserve"> </w:t>
      </w:r>
      <w:hyperlink r:id="rId97">
        <w:r>
          <w:rPr>
            <w:rStyle w:val="Hyperlink"/>
          </w:rPr>
          <w:t xml:space="preserve">национальных стандартов</w:t>
        </w:r>
      </w:hyperlink>
      <w:r>
        <w:t xml:space="preserve">.</w:t>
      </w:r>
    </w:p>
    <w:p>
      <w:pPr>
        <w:pStyle w:val="BodyText"/>
      </w:pPr>
      <w:r>
        <w:t xml:space="preserve">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2.4.1</w:t>
            </w:r>
          </w:p>
        </w:tc>
        <w:tc>
          <w:tcPr/>
          <w:p>
            <w:pPr>
              <w:pStyle w:val="Compact"/>
              <w:jc w:val="left"/>
            </w:pPr>
            <w:r>
              <w:t xml:space="preserve">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Убедитесь, что working factor при использовании bcrypt велик настолько, насколько это позволяет производительность сервера верификации, но не менее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Вместо или в дополнение к приведенным в этом документе стандартам США могут использоваться</w:t>
      </w:r>
      <w:r>
        <w:t xml:space="preserve"> </w:t>
      </w:r>
      <w:hyperlink r:id="rId97">
        <w:r>
          <w:rPr>
            <w:rStyle w:val="Hyperlink"/>
          </w:rPr>
          <w:t xml:space="preserve">национальные стандарты</w:t>
        </w:r>
      </w:hyperlink>
      <w:r>
        <w:t xml:space="preserve">.</w:t>
      </w:r>
    </w:p>
    <w:bookmarkEnd w:id="98"/>
    <w:bookmarkStart w:id="99" w:name="v25-восстановление-учётных-данных"/>
    <w:p>
      <w:pPr>
        <w:pStyle w:val="Heading2"/>
      </w:pPr>
      <w:r>
        <w:t xml:space="preserve">V2.5 Восстановление учётных данных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2.5.1</w:t>
            </w:r>
          </w:p>
        </w:tc>
        <w:tc>
          <w:tcPr/>
          <w:p>
            <w:pPr>
              <w:pStyle w:val="Compact"/>
              <w:jc w:val="left"/>
            </w:pPr>
            <w:r>
              <w:t xml:space="preserve">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Убедитесь, что не используются подсказки для проверки пароля или аутентификация на основе знаний (так называемые «секретные вопросы»).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Убедитесь, что при восстановлении забытого пароля никоим образом не раскрывается текущий пароль.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Убедитесь, что отсутствуют неперсонифицированные учетные записи или учетные записи по умолчанию (например, root, admin, sa, guest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Убедитесь, что при изменении фактора аутентификации пользователь был уведомлен об этом событии.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9"/>
    <w:bookmarkStart w:id="100" w:name="v26-проверочные-коды"/>
    <w:p>
      <w:pPr>
        <w:pStyle w:val="Heading2"/>
      </w:pPr>
      <w:r>
        <w:t xml:space="preserve">V2.6 Проверочные коды</w:t>
      </w:r>
    </w:p>
    <w:p>
      <w:pPr>
        <w:pStyle w:val="FirstParagraph"/>
      </w:pPr>
      <w:r>
        <w:t xml:space="preserve">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2.6.1</w:t>
            </w:r>
          </w:p>
        </w:tc>
        <w:tc>
          <w:tcPr/>
          <w:p>
            <w:pPr>
              <w:pStyle w:val="Compact"/>
              <w:jc w:val="left"/>
            </w:pPr>
            <w:r>
              <w:t xml:space="preserve">Убедитесь, что проверочный код из кодовой таблицы можно использовать только один раз.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Убедитесь, что проверочные коды устойчивы к атакам offline. Например, что в них не используются предсказуемые значения.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100"/>
    <w:bookmarkStart w:id="103" w:name="v27-второй-фактор-аутентификации"/>
    <w:p>
      <w:pPr>
        <w:pStyle w:val="Heading2"/>
      </w:pPr>
      <w:r>
        <w:t xml:space="preserve">V2.7 Второй фактор аутентификации</w:t>
      </w:r>
    </w:p>
    <w:p>
      <w:pPr>
        <w:pStyle w:val="FirstParagraph"/>
      </w:pPr>
      <w:r>
        <w:t xml:space="preserve">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pPr>
        <w:pStyle w:val="BodyText"/>
      </w:pPr>
      <w:r>
        <w:t xml:space="preserve">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pPr>
        <w:pStyle w:val="BodyText"/>
      </w:pPr>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w:t>
      </w:r>
      <w:r>
        <w:t xml:space="preserve"> </w:t>
      </w:r>
      <w:hyperlink r:id="rId101">
        <w:r>
          <w:rPr>
            <w:rStyle w:val="Hyperlink"/>
          </w:rPr>
          <w:t xml:space="preserve">§ 5.1.3.1</w:t>
        </w:r>
      </w:hyperlink>
      <w:r>
        <w:t xml:space="preserve">.</w:t>
      </w:r>
    </w:p>
    <w:p>
      <w:pPr>
        <w:pStyle w:val="BodyText"/>
      </w:pPr>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w:t>
      </w:r>
      <w:r>
        <w:t xml:space="preserve"> </w:t>
      </w:r>
      <w:hyperlink r:id="rId102">
        <w:r>
          <w:rPr>
            <w:rStyle w:val="Hyperlink"/>
          </w:rPr>
          <w:t xml:space="preserve">§ 5.1.3.3</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2.7.1</w:t>
            </w:r>
          </w:p>
        </w:tc>
        <w:tc>
          <w:tcPr/>
          <w:p>
            <w:pPr>
              <w:pStyle w:val="Compact"/>
              <w:jc w:val="left"/>
            </w:pPr>
            <w:r>
              <w:t xml:space="preserve">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Убедитесь, что проверяющая и проверяемая стороны взаимодействуют по отдельному защищенному каналу.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Убедитесь, что проверяющая сторона сохраняет только хешированную версию кода аутентификации.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103"/>
    <w:bookmarkStart w:id="104" w:name="v28-otp"/>
    <w:p>
      <w:pPr>
        <w:pStyle w:val="Heading2"/>
      </w:pPr>
      <w:r>
        <w:t xml:space="preserve">V2.8 OTP</w:t>
      </w:r>
    </w:p>
    <w:p>
      <w:pPr>
        <w:pStyle w:val="FirstParagraph"/>
      </w:pPr>
      <w:r>
        <w:t xml:space="preserve">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2.8.1</w:t>
            </w:r>
          </w:p>
        </w:tc>
        <w:tc>
          <w:tcPr/>
          <w:p>
            <w:pPr>
              <w:pStyle w:val="Compact"/>
              <w:jc w:val="left"/>
            </w:pPr>
            <w:r>
              <w:t xml:space="preserve">Убедитесь, что основанные на времени одноразовые пароли (OTP) имеют конечный срок действия.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Убедитесь, что при создании, заполнении и проверке одноразовых паролей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Убедитесь, что одноразовый пароль на основе времени можно использовать только один раз в течение срока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4"/>
    <w:bookmarkStart w:id="105" w:name="v29-криптографический-верификатор"/>
    <w:p>
      <w:pPr>
        <w:pStyle w:val="Heading2"/>
      </w:pPr>
      <w:r>
        <w:t xml:space="preserve">V2.9 Криптографический верификатор</w:t>
      </w:r>
    </w:p>
    <w:p>
      <w:pPr>
        <w:pStyle w:val="FirstParagraph"/>
      </w:pPr>
      <w:r>
        <w:t xml:space="preserve">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pPr>
        <w:pStyle w:val="BodyText"/>
      </w:pPr>
      <w:r>
        <w:t xml:space="preserve">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2.9.1</w:t>
            </w:r>
          </w:p>
        </w:tc>
        <w:tc>
          <w:tcPr/>
          <w:p>
            <w:pPr>
              <w:pStyle w:val="Compact"/>
              <w:jc w:val="left"/>
            </w:pPr>
            <w:r>
              <w:t xml:space="preserve">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Убедитесь, что при создании и проверке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5"/>
    <w:bookmarkStart w:id="106" w:name="v210-технические-учётные-записи"/>
    <w:p>
      <w:pPr>
        <w:pStyle w:val="Heading2"/>
      </w:pPr>
      <w:r>
        <w:t xml:space="preserve">V2.10 Технические учётные записи</w:t>
      </w:r>
    </w:p>
    <w:p>
      <w:pPr>
        <w:pStyle w:val="FirstParagraph"/>
      </w:pPr>
      <w:r>
        <w:t xml:space="preserve">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2.10.1</w:t>
            </w:r>
          </w:p>
        </w:tc>
        <w:tc>
          <w:tcPr/>
          <w:p>
            <w:pPr>
              <w:pStyle w:val="Compact"/>
              <w:jc w:val="left"/>
            </w:pPr>
            <w:r>
              <w:t xml:space="preserve">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Убедитесь, что пароли хранятся с достаточной защитой для предотвращения атак восстановления offline, включая доступ к локальной системе.</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6"/>
    <w:bookmarkStart w:id="107" w:name="Xa918d815a3b1b178367147e0867521bfa390a61"/>
    <w:p>
      <w:pPr>
        <w:pStyle w:val="Heading2"/>
      </w:pPr>
      <w:r>
        <w:t xml:space="preserve">Дополнительные требования для госучреждений США</w:t>
      </w:r>
    </w:p>
    <w:p>
      <w:pPr>
        <w:pStyle w:val="FirstParagraph"/>
      </w:pPr>
      <w:r>
        <w:t xml:space="preserve">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pPr>
        <w:pStyle w:val="BodyText"/>
      </w:pPr>
      <w:r>
        <w:t xml:space="preserve">Мы настоятельно рекомендуем госучреждениям США изучить и внедрить у себя NIST 800-63 во всей его полноте.</w:t>
      </w:r>
    </w:p>
    <w:bookmarkEnd w:id="107"/>
    <w:bookmarkStart w:id="108" w:name="определения-и-сокращения"/>
    <w:p>
      <w:pPr>
        <w:pStyle w:val="Heading2"/>
      </w:pPr>
      <w:r>
        <w:t xml:space="preserve">Определения и сокращения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Термин</w:t>
            </w:r>
          </w:p>
        </w:tc>
        <w:tc>
          <w:tcPr/>
          <w:p>
            <w:pPr>
              <w:pStyle w:val="Compact"/>
              <w:jc w:val="left"/>
            </w:pPr>
            <w:r>
              <w:t xml:space="preserve">Определение</w:t>
            </w:r>
          </w:p>
        </w:tc>
      </w:tr>
      <w:tr>
        <w:tc>
          <w:tcPr/>
          <w:p>
            <w:pPr>
              <w:pStyle w:val="Compact"/>
              <w:jc w:val="left"/>
            </w:pPr>
            <w:r>
              <w:t xml:space="preserve">CSP</w:t>
            </w:r>
          </w:p>
        </w:tc>
        <w:tc>
          <w:tcPr/>
          <w:p>
            <w:pPr>
              <w:pStyle w:val="Compact"/>
              <w:jc w:val="left"/>
            </w:pPr>
            <w:r>
              <w:t xml:space="preserve">Поставщик услуг учетных данных (Credential Service Provider) также называемый поставщиком цифровых удостоверений (Identity Provider)</w:t>
            </w:r>
          </w:p>
        </w:tc>
      </w:tr>
      <w:tr>
        <w:tc>
          <w:tcPr/>
          <w:p>
            <w:pPr>
              <w:pStyle w:val="Compact"/>
              <w:jc w:val="left"/>
            </w:pPr>
            <w:r>
              <w:t xml:space="preserve">Аутентификатор</w:t>
            </w:r>
          </w:p>
        </w:tc>
        <w:tc>
          <w:tcPr/>
          <w:p>
            <w:pPr>
              <w:pStyle w:val="Compact"/>
              <w:jc w:val="left"/>
            </w:pPr>
            <w:r>
              <w:t xml:space="preserve">Код, который подтверждает подлинность пароля, токена, МФА, федеративного утверждения и т.д.</w:t>
            </w:r>
          </w:p>
        </w:tc>
      </w:tr>
      <w:tr>
        <w:tc>
          <w:tcPr/>
          <w:p>
            <w:pPr>
              <w:pStyle w:val="Compact"/>
              <w:jc w:val="left"/>
            </w:pPr>
            <w:r>
              <w:t xml:space="preserve">Верификатор</w:t>
            </w:r>
          </w:p>
        </w:tc>
        <w:tc>
          <w:tcPr/>
          <w:p>
            <w:pPr>
              <w:pStyle w:val="Compact"/>
              <w:jc w:val="left"/>
            </w:pPr>
            <w:r>
              <w:t xml:space="preserve">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tc>
          <w:tcPr/>
          <w:p>
            <w:pPr>
              <w:pStyle w:val="Compact"/>
              <w:jc w:val="left"/>
            </w:pPr>
            <w:r>
              <w:t xml:space="preserve">OTP</w:t>
            </w:r>
          </w:p>
        </w:tc>
        <w:tc>
          <w:tcPr/>
          <w:p>
            <w:pPr>
              <w:pStyle w:val="Compact"/>
              <w:jc w:val="left"/>
            </w:pPr>
            <w:r>
              <w:t xml:space="preserve">Одноразовый пароль (One-time password)</w:t>
            </w:r>
          </w:p>
        </w:tc>
      </w:tr>
      <w:tr>
        <w:tc>
          <w:tcPr/>
          <w:p>
            <w:pPr>
              <w:pStyle w:val="Compact"/>
              <w:jc w:val="left"/>
            </w:pPr>
            <w:r>
              <w:t xml:space="preserve">SFA</w:t>
            </w:r>
          </w:p>
        </w:tc>
        <w:tc>
          <w:tcPr/>
          <w:p>
            <w:pPr>
              <w:pStyle w:val="Compact"/>
              <w:jc w:val="left"/>
            </w:pPr>
            <w:r>
              <w:t xml:space="preserve">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tc>
          <w:tcPr/>
          <w:p>
            <w:pPr>
              <w:pStyle w:val="Compact"/>
              <w:jc w:val="left"/>
            </w:pPr>
            <w:r>
              <w:t xml:space="preserve">МФА</w:t>
            </w:r>
          </w:p>
        </w:tc>
        <w:tc>
          <w:tcPr/>
          <w:p>
            <w:pPr>
              <w:pStyle w:val="Compact"/>
              <w:jc w:val="left"/>
            </w:pPr>
            <w:r>
              <w:t xml:space="preserve">Многофакторная аутентификация (Multi-factor authentication, MFA), включающая два или более одиночных фактора.</w:t>
            </w:r>
          </w:p>
        </w:tc>
      </w:tr>
    </w:tbl>
    <w:bookmarkEnd w:id="108"/>
    <w:bookmarkStart w:id="118"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05"/>
        </w:numPr>
        <w:pStyle w:val="Compact"/>
      </w:pPr>
      <w:hyperlink r:id="rId109">
        <w:r>
          <w:rPr>
            <w:rStyle w:val="Hyperlink"/>
          </w:rPr>
          <w:t xml:space="preserve">NIST 800-63 - Digital Identity Guidelines</w:t>
        </w:r>
      </w:hyperlink>
    </w:p>
    <w:p>
      <w:pPr>
        <w:numPr>
          <w:ilvl w:val="0"/>
          <w:numId w:val="1005"/>
        </w:numPr>
        <w:pStyle w:val="Compact"/>
      </w:pPr>
      <w:hyperlink r:id="rId110">
        <w:r>
          <w:rPr>
            <w:rStyle w:val="Hyperlink"/>
          </w:rPr>
          <w:t xml:space="preserve">NIST 800-63 A - Enrollment and Identity Proofing</w:t>
        </w:r>
      </w:hyperlink>
    </w:p>
    <w:p>
      <w:pPr>
        <w:numPr>
          <w:ilvl w:val="0"/>
          <w:numId w:val="1005"/>
        </w:numPr>
        <w:pStyle w:val="Compact"/>
      </w:pPr>
      <w:hyperlink r:id="rId111">
        <w:r>
          <w:rPr>
            <w:rStyle w:val="Hyperlink"/>
          </w:rPr>
          <w:t xml:space="preserve">NIST 800-63 B - Authentication and Lifecycle Management</w:t>
        </w:r>
      </w:hyperlink>
    </w:p>
    <w:p>
      <w:pPr>
        <w:numPr>
          <w:ilvl w:val="0"/>
          <w:numId w:val="1005"/>
        </w:numPr>
        <w:pStyle w:val="Compact"/>
      </w:pPr>
      <w:hyperlink r:id="rId112">
        <w:r>
          <w:rPr>
            <w:rStyle w:val="Hyperlink"/>
          </w:rPr>
          <w:t xml:space="preserve">NIST 800-63 C - Federation and Assertions</w:t>
        </w:r>
      </w:hyperlink>
    </w:p>
    <w:p>
      <w:pPr>
        <w:numPr>
          <w:ilvl w:val="0"/>
          <w:numId w:val="1005"/>
        </w:numPr>
        <w:pStyle w:val="Compact"/>
      </w:pPr>
      <w:hyperlink r:id="rId113">
        <w:r>
          <w:rPr>
            <w:rStyle w:val="Hyperlink"/>
          </w:rPr>
          <w:t xml:space="preserve">NIST 800-63 FAQ</w:t>
        </w:r>
      </w:hyperlink>
    </w:p>
    <w:p>
      <w:pPr>
        <w:numPr>
          <w:ilvl w:val="0"/>
          <w:numId w:val="1005"/>
        </w:numPr>
        <w:pStyle w:val="Compact"/>
      </w:pPr>
      <w:hyperlink r:id="rId114">
        <w:r>
          <w:rPr>
            <w:rStyle w:val="Hyperlink"/>
          </w:rPr>
          <w:t xml:space="preserve">OWASP Testing Guide 4.0: Testing for Authentication</w:t>
        </w:r>
      </w:hyperlink>
    </w:p>
    <w:p>
      <w:pPr>
        <w:numPr>
          <w:ilvl w:val="0"/>
          <w:numId w:val="1005"/>
        </w:numPr>
        <w:pStyle w:val="Compact"/>
      </w:pPr>
      <w:hyperlink r:id="rId115">
        <w:r>
          <w:rPr>
            <w:rStyle w:val="Hyperlink"/>
          </w:rPr>
          <w:t xml:space="preserve">OWASP Cheat Sheet - Password storage</w:t>
        </w:r>
      </w:hyperlink>
    </w:p>
    <w:p>
      <w:pPr>
        <w:numPr>
          <w:ilvl w:val="0"/>
          <w:numId w:val="1005"/>
        </w:numPr>
        <w:pStyle w:val="Compact"/>
      </w:pPr>
      <w:hyperlink r:id="rId116">
        <w:r>
          <w:rPr>
            <w:rStyle w:val="Hyperlink"/>
          </w:rPr>
          <w:t xml:space="preserve">OWASP Cheat Sheet - Forgot password</w:t>
        </w:r>
      </w:hyperlink>
    </w:p>
    <w:p>
      <w:pPr>
        <w:numPr>
          <w:ilvl w:val="0"/>
          <w:numId w:val="1005"/>
        </w:numPr>
        <w:pStyle w:val="Compact"/>
      </w:pPr>
      <w:hyperlink r:id="rId117">
        <w:r>
          <w:rPr>
            <w:rStyle w:val="Hyperlink"/>
          </w:rPr>
          <w:t xml:space="preserve">OWASP Cheat Sheet - Choosing and using security questions</w:t>
        </w:r>
      </w:hyperlink>
    </w:p>
    <w:bookmarkEnd w:id="118"/>
    <w:bookmarkEnd w:id="119"/>
    <w:bookmarkStart w:id="134" w:name="v3-управление-сессиями"/>
    <w:p>
      <w:pPr>
        <w:pStyle w:val="Heading1"/>
      </w:pPr>
      <w:r>
        <w:t xml:space="preserve">V3 Управление сессиями</w:t>
      </w:r>
    </w:p>
    <w:bookmarkStart w:id="120" w:name="задачи-контроля-2"/>
    <w:p>
      <w:pPr>
        <w:pStyle w:val="Heading2"/>
      </w:pPr>
      <w:r>
        <w:t xml:space="preserve">Задачи контроля</w:t>
      </w:r>
    </w:p>
    <w:p>
      <w:pPr>
        <w:pStyle w:val="FirstParagraph"/>
      </w:pPr>
      <w:r>
        <w:t xml:space="preserve">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pPr>
        <w:pStyle w:val="BodyText"/>
      </w:pPr>
      <w:r>
        <w:t xml:space="preserve">Убедитесь, что проверяемое приложение удовлетворяет следующим концептуальным требованиям к управлению сессиями:</w:t>
      </w:r>
    </w:p>
    <w:p>
      <w:pPr>
        <w:numPr>
          <w:ilvl w:val="0"/>
          <w:numId w:val="100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0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Как отмечалось ранее, эти требования были адаптированы для соответствия подмножеству мер в</w:t>
      </w:r>
      <w:r>
        <w:t xml:space="preserve"> </w:t>
      </w:r>
      <w:hyperlink r:id="rId87">
        <w:r>
          <w:rPr>
            <w:rStyle w:val="Hyperlink"/>
          </w:rPr>
          <w:t xml:space="preserve">NIST 800-63b</w:t>
        </w:r>
      </w:hyperlink>
      <w:r>
        <w:t xml:space="preserve">,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bookmarkEnd w:id="120"/>
    <w:bookmarkStart w:id="121" w:name="верификация-требований-к-безопасности"/>
    <w:p>
      <w:pPr>
        <w:pStyle w:val="Heading2"/>
      </w:pPr>
      <w:r>
        <w:t xml:space="preserve">Верификация требований к безопасности</w:t>
      </w:r>
    </w:p>
    <w:bookmarkEnd w:id="121"/>
    <w:bookmarkStart w:id="122" w:name="v31-базовые-требования"/>
    <w:p>
      <w:pPr>
        <w:pStyle w:val="Heading2"/>
      </w:pPr>
      <w:r>
        <w:t xml:space="preserve">V3.1 Базовые требования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3.1.1</w:t>
            </w:r>
          </w:p>
        </w:tc>
        <w:tc>
          <w:tcPr/>
          <w:p>
            <w:pPr>
              <w:pStyle w:val="Compact"/>
              <w:jc w:val="left"/>
            </w:pPr>
            <w:r>
              <w:t xml:space="preserve">Убедитесь, что приложение не указывает сессионные токены в параметрах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22"/>
    <w:bookmarkStart w:id="123" w:name="v32-создание-сессии"/>
    <w:p>
      <w:pPr>
        <w:pStyle w:val="Heading2"/>
      </w:pPr>
      <w:r>
        <w:t xml:space="preserve">V3.2 Создание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3.2.1</w:t>
            </w:r>
          </w:p>
        </w:tc>
        <w:tc>
          <w:tcPr/>
          <w:p>
            <w:pPr>
              <w:pStyle w:val="Compact"/>
              <w:jc w:val="left"/>
            </w:pPr>
            <w:r>
              <w:t xml:space="preserve">Убедитесь, что при аутентификации пользователя приложение каждый раз создает новый сессионный токен.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Убедитесь, что сессионные токены обладают энтропией как минимум в 64-бит.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Убедитесь, что сессионные токены генерируются с использованием утвержденных криптографических алгоритмов.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или другой безопасный канал передачи является обязательным для управления сессиями. Об этом говорится в главе «Передача данных».</w:t>
      </w:r>
    </w:p>
    <w:bookmarkEnd w:id="123"/>
    <w:bookmarkStart w:id="124" w:name="v33-завершение-сессии"/>
    <w:p>
      <w:pPr>
        <w:pStyle w:val="Heading2"/>
      </w:pPr>
      <w:r>
        <w:t xml:space="preserve">V3.3 Завершение сессии</w:t>
      </w:r>
    </w:p>
    <w:p>
      <w:pPr>
        <w:pStyle w:val="FirstParagraph"/>
      </w:pPr>
      <w:r>
        <w:t xml:space="preserve">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pPr>
        <w:pStyle w:val="BodyText"/>
      </w:pPr>
      <w:r>
        <w:t xml:space="preserve">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3.3.1</w:t>
            </w:r>
          </w:p>
        </w:tc>
        <w:tc>
          <w:tcPr/>
          <w:p>
            <w:pPr>
              <w:pStyle w:val="Compact"/>
              <w:jc w:val="left"/>
            </w:pPr>
            <w:r>
              <w:t xml:space="preserve">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2">
              <w:r>
                <w:rPr>
                  <w:rStyle w:val="Hyperlink"/>
                </w:rPr>
                <w:t xml:space="preserve">C6</w:t>
              </w:r>
            </w:hyperlink>
            <w:r>
              <w:t xml:space="preserve">)</w:t>
            </w:r>
          </w:p>
        </w:tc>
        <w:tc>
          <w:tcPr/>
          <w:p>
            <w:pPr>
              <w:pStyle w:val="Compact"/>
              <w:jc w:val="center"/>
            </w:pPr>
            <w:r>
              <w:t xml:space="preserve">30 дней</w:t>
            </w:r>
          </w:p>
        </w:tc>
        <w:tc>
          <w:tcPr/>
          <w:p>
            <w:pPr>
              <w:pStyle w:val="Compact"/>
              <w:jc w:val="center"/>
            </w:pPr>
            <w:r>
              <w:t xml:space="preserve">12 часов или 30 минут бездействия, МФА как опция</w:t>
            </w:r>
          </w:p>
        </w:tc>
        <w:tc>
          <w:tcPr/>
          <w:p>
            <w:pPr>
              <w:pStyle w:val="Compact"/>
              <w:jc w:val="center"/>
            </w:pPr>
            <w:r>
              <w:t xml:space="preserve">12 часов или 15 минут бездействия, МФА обязательна</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4"/>
    <w:bookmarkStart w:id="125" w:name="v34-cookie"/>
    <w:p>
      <w:pPr>
        <w:pStyle w:val="Heading2"/>
      </w:pPr>
      <w:r>
        <w:t xml:space="preserve">V3.4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3.4.1</w:t>
            </w:r>
          </w:p>
        </w:tc>
        <w:tc>
          <w:tcPr/>
          <w:p>
            <w:pPr>
              <w:pStyle w:val="Compact"/>
              <w:jc w:val="left"/>
            </w:pPr>
            <w:r>
              <w:t xml:space="preserve">Убедитесь, что для сессионных токенов на основе файлов cookie установлен атрибут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Убедитесь, что для сессионных токенов на основе cookie установлен атрибут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5"/>
    <w:bookmarkStart w:id="126" w:name="v35-токены"/>
    <w:p>
      <w:pPr>
        <w:pStyle w:val="Heading2"/>
      </w:pPr>
      <w:r>
        <w:t xml:space="preserve">V3.5 Токены</w:t>
      </w:r>
    </w:p>
    <w:p>
      <w:pPr>
        <w:pStyle w:val="FirstParagraph"/>
      </w:pPr>
      <w:r>
        <w:t xml:space="preserve">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3.5.1</w:t>
            </w:r>
          </w:p>
        </w:tc>
        <w:tc>
          <w:tcPr/>
          <w:p>
            <w:pPr>
              <w:pStyle w:val="Compact"/>
              <w:jc w:val="left"/>
            </w:pPr>
            <w:r>
              <w:t xml:space="preserve">Убедитесь, что приложение позволяет пользователям отзывать Oauth-токены, которые формируют отношения доверия со связанными приложениями.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Убедитесь, что приложение использует сессионные токены, а не статические секреты и API-ключи, за исключением устаревших реализаций.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6"/>
    <w:bookmarkStart w:id="127" w:name="X673967c9e2f38e17556d595a45dfeb4e8ee4b9c"/>
    <w:p>
      <w:pPr>
        <w:pStyle w:val="Heading2"/>
      </w:pPr>
      <w:r>
        <w:t xml:space="preserve">V3.6 Федеративная повторная аутентификация</w:t>
      </w:r>
    </w:p>
    <w:p>
      <w:pPr>
        <w:pStyle w:val="FirstParagraph"/>
      </w:pPr>
      <w:r>
        <w:t xml:space="preserve">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3.6.1</w:t>
            </w:r>
          </w:p>
        </w:tc>
        <w:tc>
          <w:tcPr/>
          <w:p>
            <w:pPr>
              <w:pStyle w:val="Compact"/>
              <w:jc w:val="left"/>
            </w:pPr>
            <w:r>
              <w:t xml:space="preserve">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7"/>
    <w:bookmarkStart w:id="129" w:name="v37-меры-защиты-от-уязвимостей-сессии"/>
    <w:p>
      <w:pPr>
        <w:pStyle w:val="Heading2"/>
      </w:pPr>
      <w:r>
        <w:t xml:space="preserve">V3.7 Меры защиты от уязвимостей сессии</w:t>
      </w:r>
    </w:p>
    <w:p>
      <w:pPr>
        <w:pStyle w:val="FirstParagraph"/>
      </w:pPr>
      <w:r>
        <w:t xml:space="preserve">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bookmarkStart w:id="128" w:name="описание-полуоткрытой-атаки"/>
    <w:p>
      <w:pPr>
        <w:pStyle w:val="Heading3"/>
      </w:pPr>
      <w:r>
        <w:t xml:space="preserve">Описание «полуоткрытой» атаки</w:t>
      </w:r>
    </w:p>
    <w:p>
      <w:pPr>
        <w:pStyle w:val="FirstParagraph"/>
      </w:pPr>
      <w:r>
        <w:t xml:space="preserve">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pPr>
        <w:pStyle w:val="BodyText"/>
      </w:pPr>
      <w:r>
        <w:t xml:space="preserve">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3.7.1</w:t>
            </w:r>
          </w:p>
        </w:tc>
        <w:tc>
          <w:tcPr/>
          <w:p>
            <w:pPr>
              <w:pStyle w:val="Compact"/>
              <w:jc w:val="left"/>
            </w:pPr>
            <w:r>
              <w:t xml:space="preserve">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8"/>
    <w:bookmarkEnd w:id="129"/>
    <w:bookmarkStart w:id="133"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07"/>
        </w:numPr>
        <w:pStyle w:val="Compact"/>
      </w:pPr>
      <w:hyperlink r:id="rId130">
        <w:r>
          <w:rPr>
            <w:rStyle w:val="Hyperlink"/>
          </w:rPr>
          <w:t xml:space="preserve">OWASP Testing Guide 4.0: Session Management Testing</w:t>
        </w:r>
      </w:hyperlink>
    </w:p>
    <w:p>
      <w:pPr>
        <w:numPr>
          <w:ilvl w:val="0"/>
          <w:numId w:val="1007"/>
        </w:numPr>
        <w:pStyle w:val="Compact"/>
      </w:pPr>
      <w:hyperlink r:id="rId131">
        <w:r>
          <w:rPr>
            <w:rStyle w:val="Hyperlink"/>
          </w:rPr>
          <w:t xml:space="preserve">OWASP Session Management Cheat Sheet</w:t>
        </w:r>
      </w:hyperlink>
    </w:p>
    <w:p>
      <w:pPr>
        <w:numPr>
          <w:ilvl w:val="0"/>
          <w:numId w:val="1007"/>
        </w:numPr>
        <w:pStyle w:val="Compact"/>
      </w:pPr>
      <w:hyperlink r:id="rId132">
        <w:r>
          <w:rPr>
            <w:rStyle w:val="Hyperlink"/>
          </w:rPr>
          <w:t xml:space="preserve">Set-Cookie __Host- prefix details</w:t>
        </w:r>
      </w:hyperlink>
    </w:p>
    <w:bookmarkEnd w:id="133"/>
    <w:bookmarkEnd w:id="134"/>
    <w:bookmarkStart w:id="145" w:name="v4-контроль-доступа"/>
    <w:p>
      <w:pPr>
        <w:pStyle w:val="Heading1"/>
      </w:pPr>
      <w:r>
        <w:t xml:space="preserve">V4 Контроль доступа</w:t>
      </w:r>
    </w:p>
    <w:bookmarkStart w:id="135" w:name="задачи-контроля-3"/>
    <w:p>
      <w:pPr>
        <w:pStyle w:val="Heading2"/>
      </w:pPr>
      <w:r>
        <w:t xml:space="preserve">Задачи контроля</w:t>
      </w:r>
    </w:p>
    <w:p>
      <w:pPr>
        <w:pStyle w:val="FirstParagraph"/>
      </w:pPr>
      <w:r>
        <w:t xml:space="preserve">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pPr>
        <w:numPr>
          <w:ilvl w:val="0"/>
          <w:numId w:val="1008"/>
        </w:numPr>
        <w:pStyle w:val="Compact"/>
      </w:pPr>
      <w:r>
        <w:t xml:space="preserve">Те, кто получает доступ к ресурсам, имеют действующие учётные записи.</w:t>
      </w:r>
    </w:p>
    <w:p>
      <w:pPr>
        <w:numPr>
          <w:ilvl w:val="0"/>
          <w:numId w:val="1008"/>
        </w:numPr>
        <w:pStyle w:val="Compact"/>
      </w:pPr>
      <w:r>
        <w:t xml:space="preserve">Пользователи имеют четко определенный набор ролей и привилегий.</w:t>
      </w:r>
    </w:p>
    <w:p>
      <w:pPr>
        <w:numPr>
          <w:ilvl w:val="0"/>
          <w:numId w:val="1008"/>
        </w:numPr>
        <w:pStyle w:val="Compact"/>
      </w:pPr>
      <w:r>
        <w:t xml:space="preserve">Метаданные ролей и разрешений защищены от воспроизведения или подделки.</w:t>
      </w:r>
    </w:p>
    <w:bookmarkEnd w:id="135"/>
    <w:bookmarkStart w:id="136" w:name="верификация-требований-к-безопасности-1"/>
    <w:p>
      <w:pPr>
        <w:pStyle w:val="Heading2"/>
      </w:pPr>
      <w:r>
        <w:t xml:space="preserve">Верификация требований к безопасности</w:t>
      </w:r>
    </w:p>
    <w:bookmarkEnd w:id="136"/>
    <w:bookmarkStart w:id="137" w:name="v41-базовые-принципы"/>
    <w:p>
      <w:pPr>
        <w:pStyle w:val="Heading2"/>
      </w:pPr>
      <w:r>
        <w:t xml:space="preserve">V4.1 Базовые принципы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Убедитесь, что механизмы управления доступом даже при сбоях ведут себя безопасным образом, в том числе при возникновении исключений.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7"/>
    <w:bookmarkStart w:id="138" w:name="v42-этап-эксплуатации"/>
    <w:p>
      <w:pPr>
        <w:pStyle w:val="Heading2"/>
      </w:pPr>
      <w:r>
        <w:t xml:space="preserve">V4.2 Этап эксплуатации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8"/>
    <w:bookmarkStart w:id="139" w:name="v43-прочие-соображения"/>
    <w:p>
      <w:pPr>
        <w:pStyle w:val="Heading2"/>
      </w:pPr>
      <w:r>
        <w:t xml:space="preserve">V4.3 Прочие соображения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9"/>
    <w:bookmarkStart w:id="144"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09"/>
        </w:numPr>
        <w:pStyle w:val="Compact"/>
      </w:pPr>
      <w:hyperlink r:id="rId140">
        <w:r>
          <w:rPr>
            <w:rStyle w:val="Hyperlink"/>
          </w:rPr>
          <w:t xml:space="preserve">OWASP Testing Guide 4.0: Authorization</w:t>
        </w:r>
      </w:hyperlink>
    </w:p>
    <w:p>
      <w:pPr>
        <w:numPr>
          <w:ilvl w:val="0"/>
          <w:numId w:val="1009"/>
        </w:numPr>
        <w:pStyle w:val="Compact"/>
      </w:pPr>
      <w:hyperlink r:id="rId141">
        <w:r>
          <w:rPr>
            <w:rStyle w:val="Hyperlink"/>
          </w:rPr>
          <w:t xml:space="preserve">OWASP Cheat Sheet: Access Control</w:t>
        </w:r>
      </w:hyperlink>
    </w:p>
    <w:p>
      <w:pPr>
        <w:numPr>
          <w:ilvl w:val="0"/>
          <w:numId w:val="1009"/>
        </w:numPr>
        <w:pStyle w:val="Compact"/>
      </w:pPr>
      <w:hyperlink r:id="rId142">
        <w:r>
          <w:rPr>
            <w:rStyle w:val="Hyperlink"/>
          </w:rPr>
          <w:t xml:space="preserve">OWASP CSRF Cheat Sheet</w:t>
        </w:r>
      </w:hyperlink>
    </w:p>
    <w:p>
      <w:pPr>
        <w:numPr>
          <w:ilvl w:val="0"/>
          <w:numId w:val="1009"/>
        </w:numPr>
        <w:pStyle w:val="Compact"/>
      </w:pPr>
      <w:hyperlink r:id="rId143">
        <w:r>
          <w:rPr>
            <w:rStyle w:val="Hyperlink"/>
          </w:rPr>
          <w:t xml:space="preserve">OWASP REST Cheat Sheet</w:t>
        </w:r>
      </w:hyperlink>
    </w:p>
    <w:bookmarkEnd w:id="144"/>
    <w:bookmarkEnd w:id="145"/>
    <w:bookmarkStart w:id="173" w:name="X8c0e3c8890af9b7924f3770084dbc13e4a2b59b"/>
    <w:p>
      <w:pPr>
        <w:pStyle w:val="Heading1"/>
      </w:pPr>
      <w:r>
        <w:t xml:space="preserve">V5 Форматно-логический контроль, нейтрализация и кодировка</w:t>
      </w:r>
    </w:p>
    <w:bookmarkStart w:id="146" w:name="задачи-контроля-4"/>
    <w:p>
      <w:pPr>
        <w:pStyle w:val="Heading2"/>
      </w:pPr>
      <w:r>
        <w:t xml:space="preserve">Задачи контроля</w:t>
      </w:r>
    </w:p>
    <w:p>
      <w:pPr>
        <w:pStyle w:val="FirstParagraph"/>
      </w:pPr>
      <w:r>
        <w:t xml:space="preserve">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pPr>
        <w:pStyle w:val="BodyText"/>
      </w:pPr>
      <w:r>
        <w:t xml:space="preserve">Убедитесь, что исследуемое приложение удовлетворяет следующим концептуальным требованиям:</w:t>
      </w:r>
    </w:p>
    <w:p>
      <w:pPr>
        <w:numPr>
          <w:ilvl w:val="0"/>
          <w:numId w:val="1010"/>
        </w:numPr>
        <w:pStyle w:val="Compact"/>
      </w:pPr>
      <w:r>
        <w:t xml:space="preserve">Архитектура контроля входных и кодирования выходных данных имеет согласованный конвейер для предотвращения атак с использованием инъекций.</w:t>
      </w:r>
    </w:p>
    <w:p>
      <w:pPr>
        <w:numPr>
          <w:ilvl w:val="0"/>
          <w:numId w:val="1010"/>
        </w:numPr>
        <w:pStyle w:val="Compact"/>
      </w:pPr>
      <w:r>
        <w:t xml:space="preserve">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pPr>
        <w:numPr>
          <w:ilvl w:val="0"/>
          <w:numId w:val="1010"/>
        </w:numPr>
        <w:pStyle w:val="Compact"/>
      </w:pPr>
      <w:r>
        <w:t xml:space="preserve">Выходные данные кодируются или экранируются в соответствии с контекстом данных как можно ближе к интерпретатору.</w:t>
      </w:r>
    </w:p>
    <w:p>
      <w:pPr>
        <w:pStyle w:val="FirstParagraph"/>
      </w:pPr>
      <w:r>
        <w:t xml:space="preserve">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bookmarkEnd w:id="146"/>
    <w:bookmarkStart w:id="147" w:name="v51-контроль-входных-данных"/>
    <w:p>
      <w:pPr>
        <w:pStyle w:val="Heading2"/>
      </w:pPr>
      <w:r>
        <w:t xml:space="preserve">V5.1 Контроль входных данных</w:t>
      </w:r>
    </w:p>
    <w:p>
      <w:pPr>
        <w:pStyle w:val="FirstParagraph"/>
      </w:pPr>
      <w:r>
        <w:t xml:space="preserve">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7"/>
    <w:bookmarkStart w:id="148" w:name="v52-нейтрализация-и-изоляция"/>
    <w:p>
      <w:pPr>
        <w:pStyle w:val="Heading2"/>
      </w:pPr>
      <w:r>
        <w:t xml:space="preserve">V5.2 Нейтрализация и изоляция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Убедитесь, что неструктурированные данные нейтрализуются с применением таких мер, как разрешенные символы и длина строки.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Убедитесь, что приложение нейтрализует пользовательский ввод перед передачей в почтовые системы для защиты от SMTP- или IMAP-инъекций.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8"/>
    <w:bookmarkStart w:id="149" w:name="X3acc0e9ea396055edd4b1ff8c44d344e671634d"/>
    <w:p>
      <w:pPr>
        <w:pStyle w:val="Heading2"/>
      </w:pPr>
      <w:r>
        <w:t xml:space="preserve">V5.3 Кодирование выходных данных и предотвращение инъекций</w:t>
      </w:r>
    </w:p>
    <w:p>
      <w:pPr>
        <w:pStyle w:val="FirstParagraph"/>
      </w:pPr>
      <w:r>
        <w:t xml:space="preserve">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ねこ или О'Хара).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Убедитесь, что приложение защищено от JSON-инъекции, атак JSON eval и интерпретации кода на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Убедитесь, что приложение защищено от LDAP-инъекций или что были реализованы меры безопасности для предотвращения LDAP-инъекций.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Убедитесь, что приложение защищено от атак с локальным включением файлов (LFI) или удаленным включением файлов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Убедитесь, что приложение защищено от атак с использованием XPath- или XML-инъекций.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pPr>
        <w:pStyle w:val="BodyText"/>
      </w:pPr>
      <w:r>
        <w:t xml:space="preserve">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bookmarkEnd w:id="149"/>
    <w:bookmarkStart w:id="150" w:name="v54-память-строки-и-неуправляемый-код"/>
    <w:p>
      <w:pPr>
        <w:pStyle w:val="Heading2"/>
      </w:pPr>
      <w:r>
        <w:t xml:space="preserve">V5.4 Память, строки и неуправляемый код</w:t>
      </w:r>
    </w:p>
    <w:p>
      <w:pPr>
        <w:pStyle w:val="FirstParagraph"/>
      </w:pPr>
      <w:r>
        <w:t xml:space="preserve">Следующие требования будут актуальны, если приложение использует язык ассемблера или неуправляемый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Убедитесь, что строка форматирования не содержит потенциально вредоносных входных данных и является неизменяемой.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50"/>
    <w:bookmarkStart w:id="151" w:name="v55-предотвращение-десериализации"/>
    <w:p>
      <w:pPr>
        <w:pStyle w:val="Heading2"/>
      </w:pPr>
      <w:r>
        <w:t xml:space="preserve">V5.5 Предотвращение десериализации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Убедитесь, что для предотвращения создания вредоносных объектов или подмены данных используется контроль целостности и/или шифрование.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51"/>
    <w:bookmarkStart w:id="172"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52">
        <w:r>
          <w:rPr>
            <w:rStyle w:val="Hyperlink"/>
          </w:rPr>
          <w:t xml:space="preserve">OWASP Testing Guide 4.0: Input Validation Testing</w:t>
        </w:r>
      </w:hyperlink>
    </w:p>
    <w:p>
      <w:pPr>
        <w:numPr>
          <w:ilvl w:val="0"/>
          <w:numId w:val="1011"/>
        </w:numPr>
        <w:pStyle w:val="Compact"/>
      </w:pPr>
      <w:hyperlink r:id="rId153">
        <w:r>
          <w:rPr>
            <w:rStyle w:val="Hyperlink"/>
          </w:rPr>
          <w:t xml:space="preserve">OWASP Cheat Sheet: Input Validation</w:t>
        </w:r>
      </w:hyperlink>
    </w:p>
    <w:p>
      <w:pPr>
        <w:numPr>
          <w:ilvl w:val="0"/>
          <w:numId w:val="1011"/>
        </w:numPr>
        <w:pStyle w:val="Compact"/>
      </w:pPr>
      <w:hyperlink r:id="rId154">
        <w:r>
          <w:rPr>
            <w:rStyle w:val="Hyperlink"/>
          </w:rPr>
          <w:t xml:space="preserve">OWASP Testing Guide 4.0: Testing for HTTP Parameter Pollution</w:t>
        </w:r>
      </w:hyperlink>
    </w:p>
    <w:p>
      <w:pPr>
        <w:numPr>
          <w:ilvl w:val="0"/>
          <w:numId w:val="1011"/>
        </w:numPr>
        <w:pStyle w:val="Compact"/>
      </w:pPr>
      <w:hyperlink r:id="rId155">
        <w:r>
          <w:rPr>
            <w:rStyle w:val="Hyperlink"/>
          </w:rPr>
          <w:t xml:space="preserve">OWASP LDAP Injection Cheat Sheet</w:t>
        </w:r>
      </w:hyperlink>
    </w:p>
    <w:p>
      <w:pPr>
        <w:numPr>
          <w:ilvl w:val="0"/>
          <w:numId w:val="1011"/>
        </w:numPr>
        <w:pStyle w:val="Compact"/>
      </w:pPr>
      <w:hyperlink r:id="rId156">
        <w:r>
          <w:rPr>
            <w:rStyle w:val="Hyperlink"/>
          </w:rPr>
          <w:t xml:space="preserve">OWASP Testing Guide 4.0: Client Side Testing</w:t>
        </w:r>
      </w:hyperlink>
    </w:p>
    <w:p>
      <w:pPr>
        <w:numPr>
          <w:ilvl w:val="0"/>
          <w:numId w:val="1011"/>
        </w:numPr>
        <w:pStyle w:val="Compact"/>
      </w:pPr>
      <w:hyperlink r:id="rId157">
        <w:r>
          <w:rPr>
            <w:rStyle w:val="Hyperlink"/>
          </w:rPr>
          <w:t xml:space="preserve">OWASP Cross Site Scripting Prevention Cheat Sheet</w:t>
        </w:r>
      </w:hyperlink>
    </w:p>
    <w:p>
      <w:pPr>
        <w:numPr>
          <w:ilvl w:val="0"/>
          <w:numId w:val="1011"/>
        </w:numPr>
        <w:pStyle w:val="Compact"/>
      </w:pPr>
      <w:hyperlink r:id="rId158">
        <w:r>
          <w:rPr>
            <w:rStyle w:val="Hyperlink"/>
          </w:rPr>
          <w:t xml:space="preserve">OWASP DOM Based Cross Site Scripting Prevention Cheat Sheet</w:t>
        </w:r>
      </w:hyperlink>
    </w:p>
    <w:p>
      <w:pPr>
        <w:numPr>
          <w:ilvl w:val="0"/>
          <w:numId w:val="1011"/>
        </w:numPr>
        <w:pStyle w:val="Compact"/>
      </w:pPr>
      <w:hyperlink r:id="rId159">
        <w:r>
          <w:rPr>
            <w:rStyle w:val="Hyperlink"/>
          </w:rPr>
          <w:t xml:space="preserve">OWASP Java Encoding Project</w:t>
        </w:r>
      </w:hyperlink>
    </w:p>
    <w:p>
      <w:pPr>
        <w:numPr>
          <w:ilvl w:val="0"/>
          <w:numId w:val="1011"/>
        </w:numPr>
        <w:pStyle w:val="Compact"/>
      </w:pPr>
      <w:hyperlink r:id="rId160">
        <w:r>
          <w:rPr>
            <w:rStyle w:val="Hyperlink"/>
          </w:rPr>
          <w:t xml:space="preserve">OWASP Mass Assignment Prevention Cheat Sheet</w:t>
        </w:r>
      </w:hyperlink>
    </w:p>
    <w:p>
      <w:pPr>
        <w:numPr>
          <w:ilvl w:val="0"/>
          <w:numId w:val="1011"/>
        </w:numPr>
        <w:pStyle w:val="Compact"/>
      </w:pPr>
      <w:hyperlink r:id="rId161">
        <w:r>
          <w:rPr>
            <w:rStyle w:val="Hyperlink"/>
          </w:rPr>
          <w:t xml:space="preserve">DOMPurify - Client-side HTML Sanitization Library</w:t>
        </w:r>
      </w:hyperlink>
    </w:p>
    <w:p>
      <w:pPr>
        <w:numPr>
          <w:ilvl w:val="0"/>
          <w:numId w:val="1011"/>
        </w:numPr>
        <w:pStyle w:val="Compact"/>
      </w:pPr>
      <w:hyperlink r:id="rId162">
        <w:r>
          <w:rPr>
            <w:rStyle w:val="Hyperlink"/>
          </w:rPr>
          <w:t xml:space="preserve">XML External Entity (XXE) Prevention Cheat Sheet</w:t>
        </w:r>
      </w:hyperlink>
    </w:p>
    <w:p>
      <w:pPr>
        <w:pStyle w:val="FirstParagraph"/>
      </w:pPr>
      <w:r>
        <w:t xml:space="preserve">Для дополнительной информации по экранированию см. также:</w:t>
      </w:r>
    </w:p>
    <w:p>
      <w:pPr>
        <w:numPr>
          <w:ilvl w:val="0"/>
          <w:numId w:val="1012"/>
        </w:numPr>
        <w:pStyle w:val="Compact"/>
      </w:pPr>
      <w:hyperlink r:id="rId163">
        <w:r>
          <w:rPr>
            <w:rStyle w:val="Hyperlink"/>
          </w:rPr>
          <w:t xml:space="preserve">Reducing XSS by way of Automatic Context-Aware Escaping in Template Systems</w:t>
        </w:r>
      </w:hyperlink>
    </w:p>
    <w:p>
      <w:pPr>
        <w:numPr>
          <w:ilvl w:val="0"/>
          <w:numId w:val="1012"/>
        </w:numPr>
        <w:pStyle w:val="Compact"/>
      </w:pPr>
      <w:hyperlink r:id="rId164">
        <w:r>
          <w:rPr>
            <w:rStyle w:val="Hyperlink"/>
          </w:rPr>
          <w:t xml:space="preserve">AngularJS Strict Contextual Escaping</w:t>
        </w:r>
      </w:hyperlink>
    </w:p>
    <w:p>
      <w:pPr>
        <w:numPr>
          <w:ilvl w:val="0"/>
          <w:numId w:val="1012"/>
        </w:numPr>
        <w:pStyle w:val="Compact"/>
      </w:pPr>
      <w:hyperlink r:id="rId165">
        <w:r>
          <w:rPr>
            <w:rStyle w:val="Hyperlink"/>
          </w:rPr>
          <w:t xml:space="preserve">AngularJS ngBind</w:t>
        </w:r>
      </w:hyperlink>
    </w:p>
    <w:p>
      <w:pPr>
        <w:numPr>
          <w:ilvl w:val="0"/>
          <w:numId w:val="1012"/>
        </w:numPr>
        <w:pStyle w:val="Compact"/>
      </w:pPr>
      <w:hyperlink r:id="rId166">
        <w:r>
          <w:rPr>
            <w:rStyle w:val="Hyperlink"/>
          </w:rPr>
          <w:t xml:space="preserve">Angular Sanitization</w:t>
        </w:r>
      </w:hyperlink>
    </w:p>
    <w:p>
      <w:pPr>
        <w:numPr>
          <w:ilvl w:val="0"/>
          <w:numId w:val="1012"/>
        </w:numPr>
        <w:pStyle w:val="Compact"/>
      </w:pPr>
      <w:hyperlink r:id="rId167">
        <w:r>
          <w:rPr>
            <w:rStyle w:val="Hyperlink"/>
          </w:rPr>
          <w:t xml:space="preserve">Angular Security</w:t>
        </w:r>
      </w:hyperlink>
    </w:p>
    <w:p>
      <w:pPr>
        <w:numPr>
          <w:ilvl w:val="0"/>
          <w:numId w:val="1012"/>
        </w:numPr>
        <w:pStyle w:val="Compact"/>
      </w:pPr>
      <w:hyperlink r:id="rId168">
        <w:r>
          <w:rPr>
            <w:rStyle w:val="Hyperlink"/>
          </w:rPr>
          <w:t xml:space="preserve">ReactJS Escaping</w:t>
        </w:r>
      </w:hyperlink>
    </w:p>
    <w:p>
      <w:pPr>
        <w:numPr>
          <w:ilvl w:val="0"/>
          <w:numId w:val="1012"/>
        </w:numPr>
        <w:pStyle w:val="Compact"/>
      </w:pPr>
      <w:hyperlink r:id="rId169">
        <w:r>
          <w:rPr>
            <w:rStyle w:val="Hyperlink"/>
          </w:rPr>
          <w:t xml:space="preserve">Improperly Controlled Modification of Dynamically-Determined Object Attributes</w:t>
        </w:r>
      </w:hyperlink>
    </w:p>
    <w:p>
      <w:pPr>
        <w:pStyle w:val="FirstParagraph"/>
      </w:pPr>
      <w:r>
        <w:t xml:space="preserve">Для дополнительной информации по десериализации см. также:</w:t>
      </w:r>
    </w:p>
    <w:p>
      <w:pPr>
        <w:numPr>
          <w:ilvl w:val="0"/>
          <w:numId w:val="1013"/>
        </w:numPr>
        <w:pStyle w:val="Compact"/>
      </w:pPr>
      <w:hyperlink r:id="rId170">
        <w:r>
          <w:rPr>
            <w:rStyle w:val="Hyperlink"/>
          </w:rPr>
          <w:t xml:space="preserve">OWASP Deserialization Cheat Sheet</w:t>
        </w:r>
      </w:hyperlink>
    </w:p>
    <w:p>
      <w:pPr>
        <w:numPr>
          <w:ilvl w:val="0"/>
          <w:numId w:val="1013"/>
        </w:numPr>
        <w:pStyle w:val="Compact"/>
      </w:pPr>
      <w:hyperlink r:id="rId171">
        <w:r>
          <w:rPr>
            <w:rStyle w:val="Hyperlink"/>
          </w:rPr>
          <w:t xml:space="preserve">OWASP Deserialization of Untrusted Data Guide</w:t>
        </w:r>
      </w:hyperlink>
    </w:p>
    <w:bookmarkEnd w:id="172"/>
    <w:bookmarkEnd w:id="173"/>
    <w:bookmarkStart w:id="183" w:name="v6-хранимая-криптография"/>
    <w:p>
      <w:pPr>
        <w:pStyle w:val="Heading1"/>
      </w:pPr>
      <w:r>
        <w:t xml:space="preserve">V6 Хранимая криптография</w:t>
      </w:r>
    </w:p>
    <w:bookmarkStart w:id="174" w:name="задачи-контроля-5"/>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14"/>
        </w:numPr>
        <w:pStyle w:val="Compact"/>
      </w:pPr>
      <w:r>
        <w:t xml:space="preserve">Криптографические модули выходят из строя безопасным образом, и ошибки корректно обрабатываются.</w:t>
      </w:r>
    </w:p>
    <w:p>
      <w:pPr>
        <w:numPr>
          <w:ilvl w:val="0"/>
          <w:numId w:val="1014"/>
        </w:numPr>
        <w:pStyle w:val="Compact"/>
      </w:pPr>
      <w:r>
        <w:t xml:space="preserve">Используется соответствующий генератор случайных чисел.</w:t>
      </w:r>
    </w:p>
    <w:p>
      <w:pPr>
        <w:numPr>
          <w:ilvl w:val="0"/>
          <w:numId w:val="1014"/>
        </w:numPr>
        <w:pStyle w:val="Compact"/>
      </w:pPr>
      <w:r>
        <w:t xml:space="preserve">Обеспечивается контроль доступа к ключам.</w:t>
      </w:r>
    </w:p>
    <w:bookmarkEnd w:id="174"/>
    <w:bookmarkStart w:id="175" w:name="v61-категории-информации"/>
    <w:p>
      <w:pPr>
        <w:pStyle w:val="Heading2"/>
      </w:pPr>
      <w:r>
        <w:t xml:space="preserve">V6.1 Категории информации</w:t>
      </w:r>
    </w:p>
    <w:p>
      <w:pPr>
        <w:pStyle w:val="FirstParagraph"/>
      </w:pPr>
      <w:r>
        <w:t xml:space="preserve">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5"/>
    <w:bookmarkStart w:id="176" w:name="v62-алгоритмы"/>
    <w:p>
      <w:pPr>
        <w:pStyle w:val="Heading2"/>
      </w:pPr>
      <w:r>
        <w:t xml:space="preserve">V6.2 Алгоритмы</w:t>
      </w:r>
    </w:p>
    <w:p>
      <w:pPr>
        <w:pStyle w:val="FirstParagraph"/>
      </w:pPr>
      <w:r>
        <w:t xml:space="preserve">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pPr>
        <w:pStyle w:val="BodyText"/>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Убедитесь, что вектор инициализации, конфигурация шифра и блочные режимы настроены безопасно, используя актуальные рекомендации.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6"/>
    <w:bookmarkStart w:id="177" w:name="v63-случайные-значения"/>
    <w:p>
      <w:pPr>
        <w:pStyle w:val="Heading2"/>
      </w:pPr>
      <w:r>
        <w:t xml:space="preserve">V6.3 Случайные значения</w:t>
      </w:r>
    </w:p>
    <w:p>
      <w:pPr>
        <w:pStyle w:val="FirstParagraph"/>
      </w:pPr>
      <w:r>
        <w:t xml:space="preserve">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7"/>
    <w:bookmarkStart w:id="178" w:name="v64-управление-секретами"/>
    <w:p>
      <w:pPr>
        <w:pStyle w:val="Heading2"/>
      </w:pPr>
      <w:r>
        <w:t xml:space="preserve">V6.4 Управление секретами</w:t>
      </w:r>
    </w:p>
    <w:p>
      <w:pPr>
        <w:pStyle w:val="FirstParagraph"/>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8"/>
    <w:bookmarkStart w:id="18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79">
        <w:r>
          <w:rPr>
            <w:rStyle w:val="Hyperlink"/>
          </w:rPr>
          <w:t xml:space="preserve">OWASP Testing Guide 4.0: Testing for weak Cryptography</w:t>
        </w:r>
      </w:hyperlink>
    </w:p>
    <w:p>
      <w:pPr>
        <w:numPr>
          <w:ilvl w:val="0"/>
          <w:numId w:val="1015"/>
        </w:numPr>
        <w:pStyle w:val="Compact"/>
      </w:pPr>
      <w:hyperlink r:id="rId180">
        <w:r>
          <w:rPr>
            <w:rStyle w:val="Hyperlink"/>
          </w:rPr>
          <w:t xml:space="preserve">OWASP Cheat Sheet: Cryptographic Storage</w:t>
        </w:r>
      </w:hyperlink>
    </w:p>
    <w:p>
      <w:pPr>
        <w:numPr>
          <w:ilvl w:val="0"/>
          <w:numId w:val="1015"/>
        </w:numPr>
        <w:pStyle w:val="Compact"/>
      </w:pPr>
      <w:hyperlink r:id="rId181">
        <w:r>
          <w:rPr>
            <w:rStyle w:val="Hyperlink"/>
          </w:rPr>
          <w:t xml:space="preserve">FIPS 140-2</w:t>
        </w:r>
      </w:hyperlink>
    </w:p>
    <w:bookmarkEnd w:id="182"/>
    <w:bookmarkEnd w:id="183"/>
    <w:bookmarkStart w:id="193" w:name="v7-обработка-ошибок-и-ведение-журнала"/>
    <w:p>
      <w:pPr>
        <w:pStyle w:val="Heading1"/>
      </w:pPr>
      <w:r>
        <w:t xml:space="preserve">V7 Обработка ошибок и ведение журнала</w:t>
      </w:r>
    </w:p>
    <w:bookmarkStart w:id="184" w:name="задачи-контроля-6"/>
    <w:p>
      <w:pPr>
        <w:pStyle w:val="Heading2"/>
      </w:pPr>
      <w:r>
        <w:t xml:space="preserve">Задачи контроля</w:t>
      </w:r>
    </w:p>
    <w:p>
      <w:pPr>
        <w:pStyle w:val="FirstParagraph"/>
      </w:pPr>
      <w:r>
        <w:t xml:space="preserve">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pPr>
        <w:pStyle w:val="BodyText"/>
      </w:pPr>
      <w:r>
        <w:t xml:space="preserve">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pPr>
        <w:numPr>
          <w:ilvl w:val="0"/>
          <w:numId w:val="1016"/>
        </w:numPr>
        <w:pStyle w:val="Compact"/>
      </w:pPr>
      <w:r>
        <w:t xml:space="preserve">Не собирать и не регистрировать в журналах конфиденциальную информацию, если этого не требуется.</w:t>
      </w:r>
    </w:p>
    <w:p>
      <w:pPr>
        <w:numPr>
          <w:ilvl w:val="0"/>
          <w:numId w:val="1016"/>
        </w:numPr>
        <w:pStyle w:val="Compact"/>
      </w:pPr>
      <w:r>
        <w:t xml:space="preserve">Обеспечивать безопасную обработку и защиту регистрируемой в журналах информации в соответствии с ее категорией.</w:t>
      </w:r>
    </w:p>
    <w:p>
      <w:pPr>
        <w:numPr>
          <w:ilvl w:val="0"/>
          <w:numId w:val="1016"/>
        </w:numPr>
        <w:pStyle w:val="Compact"/>
      </w:pPr>
      <w:r>
        <w:t xml:space="preserve">Убедиться, что журналы не хранятся вечно, и имеют как можно более короткий срок хранения.</w:t>
      </w:r>
    </w:p>
    <w:p>
      <w:pPr>
        <w:pStyle w:val="FirstParagraph"/>
      </w:pPr>
      <w:r>
        <w:t xml:space="preserve">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pPr>
        <w:pStyle w:val="BodyText"/>
      </w:pPr>
      <w:r>
        <w:t xml:space="preserve">Также важно убедиться, что и при сбоях приложение ведет себя безопасно, не раскрывая избыточной информации в тексте ошибок.</w:t>
      </w:r>
    </w:p>
    <w:bookmarkEnd w:id="184"/>
    <w:bookmarkStart w:id="186" w:name="v71-содержимое-журнала"/>
    <w:p>
      <w:pPr>
        <w:pStyle w:val="Heading2"/>
      </w:pPr>
      <w:r>
        <w:t xml:space="preserve">V7.1 Содержимое журнала</w:t>
      </w:r>
    </w:p>
    <w:p>
      <w:pPr>
        <w:pStyle w:val="FirstParagraph"/>
      </w:pPr>
      <w:r>
        <w:t xml:space="preserve">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pPr>
        <w:pStyle w:val="BodyText"/>
      </w:pPr>
      <w:r>
        <w:t xml:space="preserve">V7.1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7"/>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7"/>
        </w:numPr>
        <w:pStyle w:val="Compact"/>
      </w:pPr>
      <w:r>
        <w:t xml:space="preserve">пентестерам — обеспечивать контроль соответствия всем требованиям V7.1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6"/>
    <w:bookmarkStart w:id="187" w:name="v72-обработка-журнала"/>
    <w:p>
      <w:pPr>
        <w:pStyle w:val="Heading2"/>
      </w:pPr>
      <w:r>
        <w:t xml:space="preserve">V7.2 Обработка журнала</w:t>
      </w:r>
    </w:p>
    <w:p>
      <w:pPr>
        <w:pStyle w:val="FirstParagraph"/>
      </w:pPr>
      <w:r>
        <w:t xml:space="preserve">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pPr>
        <w:pStyle w:val="BodyText"/>
      </w:pPr>
      <w:r>
        <w:t xml:space="preserve">V7.2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8"/>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8"/>
        </w:numPr>
        <w:pStyle w:val="Compact"/>
      </w:pPr>
      <w:r>
        <w:t xml:space="preserve">пентестерам — обеспечивать контроль соответствия всем требованиям V7.2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7"/>
    <w:bookmarkStart w:id="188" w:name="v73-защита-журнала"/>
    <w:p>
      <w:pPr>
        <w:pStyle w:val="Heading2"/>
      </w:pPr>
      <w:r>
        <w:t xml:space="preserve">V7.3 Защита журнала</w:t>
      </w:r>
    </w:p>
    <w:p>
      <w:pPr>
        <w:pStyle w:val="FirstParagraph"/>
      </w:pPr>
      <w:r>
        <w:t xml:space="preserve">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[УДАЛЕНО, ДУБЛИРУЕТ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Убедитесь, что журналы событий безопасности защищены от несанкционированного доступа и изменения.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bookmarkEnd w:id="188"/>
    <w:bookmarkStart w:id="189" w:name="v74-обработка-ошибок"/>
    <w:p>
      <w:pPr>
        <w:pStyle w:val="Heading2"/>
      </w:pPr>
      <w:r>
        <w:t xml:space="preserve">V7.4 Обработка ошибок</w:t>
      </w:r>
    </w:p>
    <w:p>
      <w:pPr>
        <w:pStyle w:val="FirstParagraph"/>
      </w:pPr>
      <w:r>
        <w:t xml:space="preserve">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Убедитесь, что определен обработчик ошибок «последней инстанции», который будет перехватывать все необработанные исключения.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bookmarkEnd w:id="189"/>
    <w:bookmarkStart w:id="192"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9"/>
        </w:numPr>
        <w:pStyle w:val="Compact"/>
      </w:pPr>
      <w:hyperlink r:id="rId190">
        <w:r>
          <w:rPr>
            <w:rStyle w:val="Hyperlink"/>
          </w:rPr>
          <w:t xml:space="preserve">OWASP Testing Guide 4.0: Testing for Error Handling</w:t>
        </w:r>
      </w:hyperlink>
    </w:p>
    <w:p>
      <w:pPr>
        <w:numPr>
          <w:ilvl w:val="0"/>
          <w:numId w:val="1019"/>
        </w:numPr>
        <w:pStyle w:val="Compact"/>
      </w:pPr>
      <w:hyperlink r:id="rId191">
        <w:r>
          <w:rPr>
            <w:rStyle w:val="Hyperlink"/>
          </w:rPr>
          <w:t xml:space="preserve">OWASP Authentication Cheat Sheet</w:t>
        </w:r>
      </w:hyperlink>
    </w:p>
    <w:bookmarkEnd w:id="192"/>
    <w:bookmarkEnd w:id="193"/>
    <w:bookmarkStart w:id="205" w:name="v8-защита-информации"/>
    <w:p>
      <w:pPr>
        <w:pStyle w:val="Heading1"/>
      </w:pPr>
      <w:r>
        <w:t xml:space="preserve">V8 Защита информации</w:t>
      </w:r>
    </w:p>
    <w:bookmarkStart w:id="194" w:name="задачи-контроля-7"/>
    <w:p>
      <w:pPr>
        <w:pStyle w:val="Heading2"/>
      </w:pPr>
      <w:r>
        <w:t xml:space="preserve">Задачи контроля</w:t>
      </w:r>
    </w:p>
    <w:p>
      <w:pPr>
        <w:pStyle w:val="FirstParagraph"/>
      </w:pPr>
      <w:r>
        <w:t xml:space="preserve">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pPr>
        <w:pStyle w:val="BodyText"/>
      </w:pPr>
      <w:r>
        <w:t xml:space="preserve">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pPr>
        <w:pStyle w:val="BodyText"/>
      </w:pPr>
      <w:r>
        <w:t xml:space="preserve">Убедитесь, что исследуемое приложение удовлетворяет следующим концептуальным требованиям к защите информации:</w:t>
      </w:r>
    </w:p>
    <w:p>
      <w:pPr>
        <w:numPr>
          <w:ilvl w:val="0"/>
          <w:numId w:val="1020"/>
        </w:numPr>
        <w:pStyle w:val="Compact"/>
      </w:pPr>
      <w:r>
        <w:t xml:space="preserve">Конфиденциальность: информация должна быть защищена от несанкционированного просмотра или разглашения как при передаче, так и при хранении.</w:t>
      </w:r>
    </w:p>
    <w:p>
      <w:pPr>
        <w:numPr>
          <w:ilvl w:val="0"/>
          <w:numId w:val="1020"/>
        </w:numPr>
        <w:pStyle w:val="Compact"/>
      </w:pPr>
      <w:r>
        <w:t xml:space="preserve">Целостность: информация должна быть защищена от несанкционированной регистрации, изменения или удаления неуполномоченными лицами.</w:t>
      </w:r>
    </w:p>
    <w:p>
      <w:pPr>
        <w:numPr>
          <w:ilvl w:val="0"/>
          <w:numId w:val="1020"/>
        </w:numPr>
        <w:pStyle w:val="Compact"/>
      </w:pPr>
      <w:r>
        <w:t xml:space="preserve">Доступность: информация должна быть доступна авторизованным пользователям по мере необходимости.</w:t>
      </w:r>
    </w:p>
    <w:bookmarkEnd w:id="194"/>
    <w:bookmarkStart w:id="195" w:name="v81-базовые-меры"/>
    <w:p>
      <w:pPr>
        <w:pStyle w:val="Heading2"/>
      </w:pPr>
      <w:r>
        <w:t xml:space="preserve">V8.1 Базовые меры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Убедитесь, что регулярно создаются резервные копии всех значимых данных и проводится тестирование по восстановлению этих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Убедитесь, что резервные копии хранятся в безопасном месте, чтобы предотвратить кражу или повреждение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5"/>
    <w:bookmarkStart w:id="196" w:name="v82-защита-данных-на-стороне-клиента"/>
    <w:p>
      <w:pPr>
        <w:pStyle w:val="Heading2"/>
      </w:pPr>
      <w:r>
        <w:t xml:space="preserve">V8.2 Защита данных на стороне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Убедитесь, что данные, хранящиеся в хранилище браузера (например, localStorage, sessionStorage, IndexedDB или файлы cookie), не содержат конфиденциальной информации.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6"/>
    <w:bookmarkStart w:id="197" w:name="v83-персональные-данные"/>
    <w:p>
      <w:pPr>
        <w:pStyle w:val="Heading2"/>
      </w:pPr>
      <w:r>
        <w:t xml:space="preserve">V8.3 Персональные данные</w:t>
      </w:r>
    </w:p>
    <w:p>
      <w:pPr>
        <w:pStyle w:val="FirstParagraph"/>
      </w:pPr>
      <w:r>
        <w:t xml:space="preserve">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pPr>
        <w:pStyle w:val="BodyText"/>
      </w:pPr>
      <w:r>
        <w:t xml:space="preserve">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pPr>
        <w:pStyle w:val="BodyText"/>
      </w:pPr>
      <w:r>
        <w:t xml:space="preserve">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Убедитесь, что у пользователей есть способ удалить или экспортировать свои данные по запросу.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bookmarkEnd w:id="197"/>
    <w:bookmarkStart w:id="20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198">
        <w:r>
          <w:rPr>
            <w:rStyle w:val="Hyperlink"/>
          </w:rPr>
          <w:t xml:space="preserve">Сайт Security Headers</w:t>
        </w:r>
      </w:hyperlink>
    </w:p>
    <w:p>
      <w:pPr>
        <w:numPr>
          <w:ilvl w:val="0"/>
          <w:numId w:val="1021"/>
        </w:numPr>
        <w:pStyle w:val="Compact"/>
      </w:pPr>
      <w:hyperlink r:id="rId199">
        <w:r>
          <w:rPr>
            <w:rStyle w:val="Hyperlink"/>
          </w:rPr>
          <w:t xml:space="preserve">Проект OWASP Secure Headers</w:t>
        </w:r>
      </w:hyperlink>
    </w:p>
    <w:p>
      <w:pPr>
        <w:numPr>
          <w:ilvl w:val="0"/>
          <w:numId w:val="1021"/>
        </w:numPr>
        <w:pStyle w:val="Compact"/>
      </w:pPr>
      <w:hyperlink r:id="rId200">
        <w:r>
          <w:rPr>
            <w:rStyle w:val="Hyperlink"/>
          </w:rPr>
          <w:t xml:space="preserve">Проект OWASP Privacy Risks</w:t>
        </w:r>
      </w:hyperlink>
    </w:p>
    <w:p>
      <w:pPr>
        <w:numPr>
          <w:ilvl w:val="0"/>
          <w:numId w:val="1021"/>
        </w:numPr>
        <w:pStyle w:val="Compact"/>
      </w:pPr>
      <w:hyperlink r:id="rId201">
        <w:r>
          <w:rPr>
            <w:rStyle w:val="Hyperlink"/>
          </w:rPr>
          <w:t xml:space="preserve">OWASP User Privacy Protection Cheat Sheet</w:t>
        </w:r>
      </w:hyperlink>
    </w:p>
    <w:p>
      <w:pPr>
        <w:numPr>
          <w:ilvl w:val="0"/>
          <w:numId w:val="1021"/>
        </w:numPr>
        <w:pStyle w:val="Compact"/>
      </w:pPr>
      <w:hyperlink r:id="rId202">
        <w:r>
          <w:rPr>
            <w:rStyle w:val="Hyperlink"/>
          </w:rPr>
          <w:t xml:space="preserve">Обзор European Union General Data Protection Regulation (GDPR)</w:t>
        </w:r>
      </w:hyperlink>
    </w:p>
    <w:p>
      <w:pPr>
        <w:numPr>
          <w:ilvl w:val="0"/>
          <w:numId w:val="1021"/>
        </w:numPr>
        <w:pStyle w:val="Compact"/>
      </w:pPr>
      <w:hyperlink r:id="rId203">
        <w:r>
          <w:rPr>
            <w:rStyle w:val="Hyperlink"/>
          </w:rPr>
          <w:t xml:space="preserve">European Union Data Protection Supervisor - Internet Privacy Engineering Network</w:t>
        </w:r>
      </w:hyperlink>
    </w:p>
    <w:bookmarkEnd w:id="204"/>
    <w:bookmarkEnd w:id="205"/>
    <w:bookmarkStart w:id="214" w:name="v9-передача-данных"/>
    <w:p>
      <w:pPr>
        <w:pStyle w:val="Heading1"/>
      </w:pPr>
      <w:r>
        <w:t xml:space="preserve">V9 Передача данных</w:t>
      </w:r>
    </w:p>
    <w:bookmarkStart w:id="206" w:name="задачи-контроля-8"/>
    <w:p>
      <w:pPr>
        <w:pStyle w:val="Heading2"/>
      </w:pPr>
      <w:r>
        <w:t xml:space="preserve">Задачи контроля</w:t>
      </w:r>
    </w:p>
    <w:p>
      <w:pPr>
        <w:pStyle w:val="FirstParagraph"/>
      </w:pPr>
      <w:r>
        <w:t xml:space="preserve">Убедитесь, что исследуемое приложение соответствует следующим концептуальным требованиям:</w:t>
      </w:r>
    </w:p>
    <w:p>
      <w:pPr>
        <w:numPr>
          <w:ilvl w:val="0"/>
          <w:numId w:val="1022"/>
        </w:numPr>
        <w:pStyle w:val="Compact"/>
      </w:pPr>
      <w:r>
        <w:t xml:space="preserve">Требует TLS или шифрования, независимо от конфиденциальности обрабатываемой информации.</w:t>
      </w:r>
    </w:p>
    <w:p>
      <w:pPr>
        <w:numPr>
          <w:ilvl w:val="0"/>
          <w:numId w:val="1022"/>
        </w:numPr>
        <w:pStyle w:val="Compact"/>
      </w:pPr>
      <w:r>
        <w:t xml:space="preserve">Следует последним рекомендациям в части:</w:t>
      </w:r>
    </w:p>
    <w:p>
      <w:pPr>
        <w:numPr>
          <w:ilvl w:val="1"/>
          <w:numId w:val="1023"/>
        </w:numPr>
        <w:pStyle w:val="Compact"/>
      </w:pPr>
      <w:r>
        <w:t xml:space="preserve">безопасных конфигураций;</w:t>
      </w:r>
    </w:p>
    <w:p>
      <w:pPr>
        <w:numPr>
          <w:ilvl w:val="1"/>
          <w:numId w:val="1023"/>
        </w:numPr>
        <w:pStyle w:val="Compact"/>
      </w:pPr>
      <w:r>
        <w:t xml:space="preserve">предпочтительных алгоритмов и шифров.</w:t>
      </w:r>
    </w:p>
    <w:p>
      <w:pPr>
        <w:numPr>
          <w:ilvl w:val="0"/>
          <w:numId w:val="1022"/>
        </w:numPr>
        <w:pStyle w:val="Compact"/>
      </w:pPr>
      <w:r>
        <w:t xml:space="preserve">Избегает нестойких или устаревающих алгоритмов и шифров, за исключением крайних случаев.</w:t>
      </w:r>
    </w:p>
    <w:p>
      <w:pPr>
        <w:numPr>
          <w:ilvl w:val="0"/>
          <w:numId w:val="1022"/>
        </w:numPr>
        <w:pStyle w:val="Compact"/>
      </w:pPr>
      <w:r>
        <w:t xml:space="preserve">Отключает небезопасные алгоритмы и шифры.</w:t>
      </w:r>
    </w:p>
    <w:p>
      <w:pPr>
        <w:pStyle w:val="FirstParagraph"/>
      </w:pPr>
      <w:r>
        <w:t xml:space="preserve">В рамках этих требований:</w:t>
      </w:r>
    </w:p>
    <w:p>
      <w:pPr>
        <w:numPr>
          <w:ilvl w:val="0"/>
          <w:numId w:val="1024"/>
        </w:numPr>
        <w:pStyle w:val="Compact"/>
      </w:pPr>
      <w:r>
        <w:t xml:space="preserve">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pPr>
        <w:numPr>
          <w:ilvl w:val="0"/>
          <w:numId w:val="1024"/>
        </w:numPr>
        <w:pStyle w:val="Compact"/>
      </w:pPr>
      <w:r>
        <w:t xml:space="preserve">Используйте самые последние версии инструментов анализа конфигурации TLS, чтобы настроить предпочтительный порядок и выбор алгоритмов.</w:t>
      </w:r>
    </w:p>
    <w:p>
      <w:pPr>
        <w:numPr>
          <w:ilvl w:val="0"/>
          <w:numId w:val="1024"/>
        </w:numPr>
        <w:pStyle w:val="Compact"/>
      </w:pPr>
      <w:r>
        <w:t xml:space="preserve">Периодически проверяйте конфигурацию, чтобы убедиться, что данные передаются надёжно и безопасно.</w:t>
      </w:r>
    </w:p>
    <w:bookmarkEnd w:id="206"/>
    <w:bookmarkStart w:id="207" w:name="Xd1bea29319d5aa950330c0ef2eb1a557c5bfed6"/>
    <w:p>
      <w:pPr>
        <w:pStyle w:val="Heading2"/>
      </w:pPr>
      <w:r>
        <w:t xml:space="preserve">V9.1 Безопасность подключений со стороны клиента</w:t>
      </w:r>
    </w:p>
    <w:p>
      <w:pPr>
        <w:pStyle w:val="FirstParagraph"/>
      </w:pPr>
      <w:r>
        <w:t xml:space="preserve">Убедитесь, что сообщения клиента передаются по зашифрованным каналам с использованием TLS 1.2 или более поздней версии.</w:t>
      </w:r>
      <w:r>
        <w:t xml:space="preserve"> </w:t>
      </w:r>
      <w:r>
        <w:t xml:space="preserve">Используйте современные инструменты для регулярной проверки конфигурации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7"/>
    <w:bookmarkStart w:id="208" w:name="Xc1d9fb2033af8ed65aaf1bc60a05e66aeb13a74"/>
    <w:p>
      <w:pPr>
        <w:pStyle w:val="Heading2"/>
      </w:pPr>
      <w:r>
        <w:t xml:space="preserve">V9.2 Безопасность подключений со стороны сервера</w:t>
      </w:r>
    </w:p>
    <w:p>
      <w:pPr>
        <w:pStyle w:val="FirstParagraph"/>
      </w:pPr>
      <w:r>
        <w:t xml:space="preserve">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Убедитесь, что все зашифрованные соединения с внешними системами, передающие конфиденциальную информацию или функции, аутентифицированы.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Убедитесь, что включена и настроена процедура отзыва сертификатов, например,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Убедитесь, что сбои TLS-соединений со стороны сервера регистрируются в журнале.</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8"/>
    <w:bookmarkStart w:id="213"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5"/>
        </w:numPr>
        <w:pStyle w:val="Compact"/>
      </w:pPr>
      <w:hyperlink r:id="rId209">
        <w:r>
          <w:rPr>
            <w:rStyle w:val="Hyperlink"/>
          </w:rPr>
          <w:t xml:space="preserve">OWASP – TLS Cheat Sheet</w:t>
        </w:r>
      </w:hyperlink>
    </w:p>
    <w:p>
      <w:pPr>
        <w:numPr>
          <w:ilvl w:val="0"/>
          <w:numId w:val="1025"/>
        </w:numPr>
        <w:pStyle w:val="Compact"/>
      </w:pPr>
      <w:hyperlink r:id="rId210">
        <w:r>
          <w:rPr>
            <w:rStyle w:val="Hyperlink"/>
          </w:rPr>
          <w:t xml:space="preserve">OWASP - Pinning Guide</w:t>
        </w:r>
      </w:hyperlink>
    </w:p>
    <w:p>
      <w:pPr>
        <w:numPr>
          <w:ilvl w:val="0"/>
          <w:numId w:val="1025"/>
        </w:numPr>
        <w:pStyle w:val="Compact"/>
      </w:pPr>
      <w:r>
        <w:t xml:space="preserve">Примечания по рекомендованным режимам TLS:</w:t>
      </w:r>
    </w:p>
    <w:p>
      <w:pPr>
        <w:numPr>
          <w:ilvl w:val="1"/>
          <w:numId w:val="1026"/>
        </w:numPr>
        <w:pStyle w:val="Compact"/>
      </w:pPr>
      <w:r>
        <w:t xml:space="preserve">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pPr>
        <w:numPr>
          <w:ilvl w:val="1"/>
          <w:numId w:val="1026"/>
        </w:numPr>
        <w:pStyle w:val="Compact"/>
      </w:pPr>
      <w:r>
        <w:t xml:space="preserve">Лучшим способом достижения соответствия разделу 9.1 будет рассмотрение таких руководств, как</w:t>
      </w:r>
      <w:r>
        <w:t xml:space="preserve"> </w:t>
      </w:r>
      <w:hyperlink r:id="rId211">
        <w:r>
          <w:rPr>
            <w:rStyle w:val="Hyperlink"/>
          </w:rPr>
          <w:t xml:space="preserve">Mozilla's Server Side TLS</w:t>
        </w:r>
      </w:hyperlink>
      <w:r>
        <w:t xml:space="preserve"> </w:t>
      </w:r>
      <w:r>
        <w:t xml:space="preserve">или</w:t>
      </w:r>
      <w:r>
        <w:t xml:space="preserve"> </w:t>
      </w:r>
      <w:hyperlink r:id="rId212">
        <w:r>
          <w:rPr>
            <w:rStyle w:val="Hyperlink"/>
          </w:rPr>
          <w:t xml:space="preserve">generate known good configurations</w:t>
        </w:r>
      </w:hyperlink>
      <w:r>
        <w:t xml:space="preserve">, и использование известных и современных инструменты анализа TLS для достижения желаемого уровня безопасности.</w:t>
      </w:r>
    </w:p>
    <w:bookmarkEnd w:id="213"/>
    <w:bookmarkEnd w:id="214"/>
    <w:bookmarkStart w:id="222" w:name="v10-вредоносный-код"/>
    <w:p>
      <w:pPr>
        <w:pStyle w:val="Heading1"/>
      </w:pPr>
      <w:r>
        <w:t xml:space="preserve">V10 Вредоносный код</w:t>
      </w:r>
    </w:p>
    <w:bookmarkStart w:id="215" w:name="задачи-контроля-9"/>
    <w:p>
      <w:pPr>
        <w:pStyle w:val="Heading2"/>
      </w:pPr>
      <w:r>
        <w:t xml:space="preserve">Задачи контроля</w:t>
      </w:r>
    </w:p>
    <w:p>
      <w:pPr>
        <w:pStyle w:val="FirstParagraph"/>
      </w:pPr>
      <w:r>
        <w:t xml:space="preserve">Убедитесь, что ваш код удовлетворяет следующим концептуальным требованиям:</w:t>
      </w:r>
    </w:p>
    <w:p>
      <w:pPr>
        <w:numPr>
          <w:ilvl w:val="0"/>
          <w:numId w:val="1027"/>
        </w:numPr>
        <w:pStyle w:val="Compact"/>
      </w:pPr>
      <w:r>
        <w:t xml:space="preserve">Вредоносная активность надёжно и безопасно сдерживается, чтобы не повлиять на остальную часть приложения.</w:t>
      </w:r>
    </w:p>
    <w:p>
      <w:pPr>
        <w:numPr>
          <w:ilvl w:val="0"/>
          <w:numId w:val="1027"/>
        </w:numPr>
        <w:pStyle w:val="Compact"/>
      </w:pPr>
      <w:r>
        <w:t xml:space="preserve">Не имеет «бомб отложенного действия» или других атак, основанных на времени.</w:t>
      </w:r>
    </w:p>
    <w:p>
      <w:pPr>
        <w:numPr>
          <w:ilvl w:val="0"/>
          <w:numId w:val="1027"/>
        </w:numPr>
        <w:pStyle w:val="Compact"/>
      </w:pPr>
      <w:r>
        <w:t xml:space="preserve">Не «звонит домой» злонамеренным или неразрешённым адресатам.</w:t>
      </w:r>
    </w:p>
    <w:p>
      <w:pPr>
        <w:numPr>
          <w:ilvl w:val="0"/>
          <w:numId w:val="1027"/>
        </w:numPr>
        <w:pStyle w:val="Compact"/>
      </w:pPr>
      <w:r>
        <w:t xml:space="preserve">В нём нет лазеек, «пасхальных яиц», атак «салями», руткитов или несанкционированного кода, которым может управлять злоумышленник.</w:t>
      </w:r>
    </w:p>
    <w:p>
      <w:pPr>
        <w:pStyle w:val="FirstParagraph"/>
      </w:pPr>
      <w:r>
        <w:t xml:space="preserve">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bookmarkEnd w:id="215"/>
    <w:bookmarkStart w:id="216" w:name="v101-целостность-исходного-кода"/>
    <w:p>
      <w:pPr>
        <w:pStyle w:val="Heading2"/>
      </w:pPr>
      <w:r>
        <w:t xml:space="preserve">V10.1 Целостность исходного кода</w:t>
      </w:r>
    </w:p>
    <w:p>
      <w:pPr>
        <w:pStyle w:val="FirstParagraph"/>
      </w:pPr>
      <w:r>
        <w:t xml:space="preserve">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pPr>
        <w:pStyle w:val="BodyText"/>
      </w:pPr>
      <w:r>
        <w:t xml:space="preserve">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6"/>
    <w:bookmarkStart w:id="217" w:name="v102-поиск-вредоносного-кода"/>
    <w:p>
      <w:pPr>
        <w:pStyle w:val="Heading2"/>
      </w:pPr>
      <w:r>
        <w:t xml:space="preserve">V10.2 Поиск вредоносного кода</w:t>
      </w:r>
    </w:p>
    <w:p>
      <w:pPr>
        <w:pStyle w:val="FirstParagraph"/>
      </w:pPr>
      <w:r>
        <w:t xml:space="preserve">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pPr>
        <w:pStyle w:val="BodyText"/>
      </w:pPr>
      <w:r>
        <w:t xml:space="preserve">Соблюдение требований этого раздела невозможно без полного доступа к исходному коду, включая сторонние библиотеки.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Убедитесь, что исходный код приложения и сторонние библиотеки не содержат «пасхальных яиц» и других недокументированных функций.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7"/>
    <w:bookmarkStart w:id="218" w:name="v103-целостность-приложения"/>
    <w:p>
      <w:pPr>
        <w:pStyle w:val="Heading2"/>
      </w:pPr>
      <w:r>
        <w:t xml:space="preserve">V10.3 Целостность приложения</w:t>
      </w:r>
    </w:p>
    <w:p>
      <w:pPr>
        <w:pStyle w:val="FirstParagraph"/>
      </w:pPr>
      <w:r>
        <w:t xml:space="preserve">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pPr>
        <w:pStyle w:val="BodyText"/>
      </w:pPr>
      <w:r>
        <w:t xml:space="preserve">Соблюдение требований этого раздела, вероятно, будет регулярным занятием во время эксплуатации приложений.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Cs/>
                <w:i/>
              </w:rPr>
              <w:t xml:space="preserve">autogen-bucket-id</w:t>
            </w:r>
            <w:r>
              <w:t xml:space="preserve">.cloud.example.com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8"/>
    <w:bookmarkStart w:id="221" w:name="ссылки-9"/>
    <w:p>
      <w:pPr>
        <w:pStyle w:val="Heading2"/>
      </w:pPr>
      <w:r>
        <w:t xml:space="preserve">Ссылки</w:t>
      </w:r>
    </w:p>
    <w:p>
      <w:pPr>
        <w:numPr>
          <w:ilvl w:val="0"/>
          <w:numId w:val="1028"/>
        </w:numPr>
        <w:pStyle w:val="Compact"/>
      </w:pPr>
      <w:hyperlink r:id="rId219">
        <w:r>
          <w:rPr>
            <w:rStyle w:val="Hyperlink"/>
          </w:rPr>
          <w:t xml:space="preserve">Враждебный захват субдомена, Detectify Labs</w:t>
        </w:r>
      </w:hyperlink>
    </w:p>
    <w:p>
      <w:pPr>
        <w:numPr>
          <w:ilvl w:val="0"/>
          <w:numId w:val="1028"/>
        </w:numPr>
        <w:pStyle w:val="Compact"/>
      </w:pPr>
      <w:hyperlink r:id="rId220">
        <w:r>
          <w:rPr>
            <w:rStyle w:val="Hyperlink"/>
          </w:rPr>
          <w:t xml:space="preserve">Угон заброшенных поддоменов, часть 2, Detectify Labs</w:t>
        </w:r>
      </w:hyperlink>
    </w:p>
    <w:bookmarkEnd w:id="221"/>
    <w:bookmarkEnd w:id="222"/>
    <w:bookmarkStart w:id="230" w:name="v11-бизнес-логика"/>
    <w:p>
      <w:pPr>
        <w:pStyle w:val="Heading1"/>
      </w:pPr>
      <w:r>
        <w:t xml:space="preserve">V11 Бизнес-логика</w:t>
      </w:r>
    </w:p>
    <w:bookmarkStart w:id="223" w:name="задачи-контроля-10"/>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29"/>
        </w:numPr>
        <w:pStyle w:val="Compact"/>
      </w:pPr>
      <w:r>
        <w:t xml:space="preserve">Поток бизнес-логики является последовательным, обрабатывается по порядку, и его нельзя обойти.</w:t>
      </w:r>
    </w:p>
    <w:p>
      <w:pPr>
        <w:numPr>
          <w:ilvl w:val="0"/>
          <w:numId w:val="1029"/>
        </w:numPr>
        <w:pStyle w:val="Compact"/>
      </w:pPr>
      <w:r>
        <w:t xml:space="preserve">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pPr>
        <w:numPr>
          <w:ilvl w:val="0"/>
          <w:numId w:val="1029"/>
        </w:numPr>
        <w:pStyle w:val="Compact"/>
      </w:pPr>
      <w:r>
        <w:t xml:space="preserve">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bookmarkEnd w:id="223"/>
    <w:bookmarkStart w:id="224" w:name="v111-безопасность-бизнес-логики"/>
    <w:p>
      <w:pPr>
        <w:pStyle w:val="Heading2"/>
      </w:pPr>
      <w:r>
        <w:t xml:space="preserve">V11.1 Безопасность бизнес-логики</w:t>
      </w:r>
    </w:p>
    <w:p>
      <w:pPr>
        <w:pStyle w:val="FirstParagraph"/>
      </w:pPr>
      <w:r>
        <w:t xml:space="preserve">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Убедитесь, что приложение обрабатывает потоки бизнес-логики для того же пользователя, последовательно, и без пропуска шагов.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Убедитесь, что приложение имеет настраиваемое оповещение при обнаружении автоматизированных атак или необычных 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4"/>
    <w:bookmarkStart w:id="229"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0"/>
        </w:numPr>
        <w:pStyle w:val="Compact"/>
      </w:pPr>
      <w:hyperlink r:id="rId225">
        <w:r>
          <w:rPr>
            <w:rStyle w:val="Hyperlink"/>
          </w:rPr>
          <w:t xml:space="preserve">OWASP Web Security Testing Guide 4.1: Business Logic Testing</w:t>
        </w:r>
      </w:hyperlink>
    </w:p>
    <w:p>
      <w:pPr>
        <w:numPr>
          <w:ilvl w:val="0"/>
          <w:numId w:val="1030"/>
        </w:numPr>
        <w:pStyle w:val="Compact"/>
      </w:pPr>
      <w:r>
        <w:t xml:space="preserve">"Анти-автоматизация" атак может быть достигнута многими способами, включая</w:t>
      </w:r>
      <w:r>
        <w:t xml:space="preserve"> </w:t>
      </w:r>
      <w:hyperlink r:id="rId226">
        <w:r>
          <w:rPr>
            <w:rStyle w:val="Hyperlink"/>
          </w:rPr>
          <w:t xml:space="preserve">OWASP AppSensor</w:t>
        </w:r>
      </w:hyperlink>
      <w:r>
        <w:t xml:space="preserve"> </w:t>
      </w:r>
      <w:r>
        <w:t xml:space="preserve">и</w:t>
      </w:r>
      <w:r>
        <w:t xml:space="preserve"> </w:t>
      </w:r>
      <w:hyperlink r:id="rId227">
        <w:r>
          <w:rPr>
            <w:rStyle w:val="Hyperlink"/>
          </w:rPr>
          <w:t xml:space="preserve">OWASP Automated Threats to Web Applications</w:t>
        </w:r>
      </w:hyperlink>
    </w:p>
    <w:p>
      <w:pPr>
        <w:numPr>
          <w:ilvl w:val="0"/>
          <w:numId w:val="1030"/>
        </w:numPr>
        <w:pStyle w:val="Compact"/>
      </w:pPr>
      <w:hyperlink r:id="rId226">
        <w:r>
          <w:rPr>
            <w:rStyle w:val="Hyperlink"/>
          </w:rPr>
          <w:t xml:space="preserve">OWASP AppSensor</w:t>
        </w:r>
      </w:hyperlink>
      <w:r>
        <w:t xml:space="preserve"> </w:t>
      </w:r>
      <w:r>
        <w:t xml:space="preserve">также может помочь с обнаружением и реагированием на атаки.</w:t>
      </w:r>
    </w:p>
    <w:p>
      <w:pPr>
        <w:numPr>
          <w:ilvl w:val="0"/>
          <w:numId w:val="1030"/>
        </w:numPr>
        <w:pStyle w:val="Compact"/>
      </w:pPr>
      <w:hyperlink r:id="rId228">
        <w:r>
          <w:rPr>
            <w:rStyle w:val="Hyperlink"/>
          </w:rPr>
          <w:t xml:space="preserve">OWASP Cornucopia</w:t>
        </w:r>
      </w:hyperlink>
    </w:p>
    <w:bookmarkEnd w:id="229"/>
    <w:bookmarkEnd w:id="230"/>
    <w:bookmarkStart w:id="242" w:name="v12-файлы-и-ресурсы"/>
    <w:p>
      <w:pPr>
        <w:pStyle w:val="Heading1"/>
      </w:pPr>
      <w:r>
        <w:t xml:space="preserve">V12 Файлы и ресурсы</w:t>
      </w:r>
    </w:p>
    <w:bookmarkStart w:id="231" w:name="задачи-контроля-11"/>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31"/>
        </w:numPr>
        <w:pStyle w:val="Compact"/>
      </w:pPr>
      <w:r>
        <w:t xml:space="preserve">Недоверенные данные файлов должны обрабатываться соответствующим и безопасным образом.</w:t>
      </w:r>
    </w:p>
    <w:p>
      <w:pPr>
        <w:numPr>
          <w:ilvl w:val="0"/>
          <w:numId w:val="1031"/>
        </w:numPr>
        <w:pStyle w:val="Compact"/>
      </w:pPr>
      <w:r>
        <w:t xml:space="preserve">Недоверенные данные файлов, полученные из недоверенных источников, хранятся вне корневого каталога webroot и с ограниченными разрешениями.</w:t>
      </w:r>
    </w:p>
    <w:bookmarkEnd w:id="231"/>
    <w:bookmarkStart w:id="232" w:name="v121-загрузка-файлов-на-сервер"/>
    <w:p>
      <w:pPr>
        <w:pStyle w:val="Heading2"/>
      </w:pPr>
      <w:r>
        <w:t xml:space="preserve">V12.1 Загрузка файлов на сервер</w:t>
      </w:r>
    </w:p>
    <w:p>
      <w:pPr>
        <w:pStyle w:val="FirstParagraph"/>
      </w:pPr>
      <w:r>
        <w:t xml:space="preserve">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Убедитесь, что приложение не будет принимать файлы, размер которых превышает доступное место или вызывает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32"/>
    <w:bookmarkStart w:id="233" w:name="v122-целостность-файлов"/>
    <w:p>
      <w:pPr>
        <w:pStyle w:val="Heading2"/>
      </w:pPr>
      <w:r>
        <w:t xml:space="preserve">V12.2 Целостность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3"/>
    <w:bookmarkStart w:id="234" w:name="v123-исполнение-файла"/>
    <w:p>
      <w:pPr>
        <w:pStyle w:val="Heading2"/>
      </w:pPr>
      <w:r>
        <w:t xml:space="preserve">V12.3 Исполнение файла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4"/>
    <w:bookmarkStart w:id="235" w:name="v124-хранение-файлов"/>
    <w:p>
      <w:pPr>
        <w:pStyle w:val="Heading2"/>
      </w:pPr>
      <w:r>
        <w:t xml:space="preserve">V12.4 Хранение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Убедитесь, что файлы, полученные из недоверенных источников, хранятся вне корневого каталога webroot и имеют ограниченные разрешения.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5"/>
    <w:bookmarkStart w:id="236" w:name="v125-загрузка-файлов-клиентом"/>
    <w:p>
      <w:pPr>
        <w:pStyle w:val="Heading2"/>
      </w:pPr>
      <w:r>
        <w:t xml:space="preserve">V12.5 Загрузка файлов клиентом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Убедитесь, что прямые запросы к загруженным файлам никогда не будут интерпретироваться как содержимое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6"/>
    <w:bookmarkStart w:id="237" w:name="v126-защита-от-ssrf"/>
    <w:p>
      <w:pPr>
        <w:pStyle w:val="Heading2"/>
      </w:pPr>
      <w:r>
        <w:t xml:space="preserve">V12.6 Защита от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7"/>
    <w:bookmarkStart w:id="241"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2"/>
        </w:numPr>
        <w:pStyle w:val="Compact"/>
      </w:pPr>
      <w:hyperlink r:id="rId238">
        <w:r>
          <w:rPr>
            <w:rStyle w:val="Hyperlink"/>
          </w:rPr>
          <w:t xml:space="preserve">Unrestricted File Upload</w:t>
        </w:r>
      </w:hyperlink>
    </w:p>
    <w:p>
      <w:pPr>
        <w:numPr>
          <w:ilvl w:val="0"/>
          <w:numId w:val="1032"/>
        </w:numPr>
        <w:pStyle w:val="Compact"/>
      </w:pPr>
      <w:hyperlink r:id="rId239">
        <w:r>
          <w:rPr>
            <w:rStyle w:val="Hyperlink"/>
          </w:rPr>
          <w:t xml:space="preserve">Reflective file download by Oren Hafif</w:t>
        </w:r>
      </w:hyperlink>
    </w:p>
    <w:p>
      <w:pPr>
        <w:numPr>
          <w:ilvl w:val="0"/>
          <w:numId w:val="1032"/>
        </w:numPr>
        <w:pStyle w:val="Compact"/>
      </w:pPr>
      <w:hyperlink r:id="rId240">
        <w:r>
          <w:rPr>
            <w:rStyle w:val="Hyperlink"/>
          </w:rPr>
          <w:t xml:space="preserve">OWASP Third Party JavaScript Management Cheat Sheet</w:t>
        </w:r>
      </w:hyperlink>
    </w:p>
    <w:bookmarkEnd w:id="241"/>
    <w:bookmarkEnd w:id="242"/>
    <w:bookmarkStart w:id="257" w:name="v13-api-и-web-сервисы"/>
    <w:p>
      <w:pPr>
        <w:pStyle w:val="Heading1"/>
      </w:pPr>
      <w:r>
        <w:t xml:space="preserve">V13 API и web-сервисы</w:t>
      </w:r>
    </w:p>
    <w:bookmarkStart w:id="243" w:name="задачи-контроля-12"/>
    <w:p>
      <w:pPr>
        <w:pStyle w:val="Heading2"/>
      </w:pPr>
      <w:r>
        <w:t xml:space="preserve">Задачи контроля</w:t>
      </w:r>
    </w:p>
    <w:p>
      <w:pPr>
        <w:pStyle w:val="FirstParagraph"/>
      </w:pPr>
      <w:r>
        <w:t xml:space="preserve">Убедитесь, что исследуемое приложение, использующее API на уровне доверенного сервиса (обычно это JSON, XML или GraphQL), имеет:</w:t>
      </w:r>
    </w:p>
    <w:p>
      <w:pPr>
        <w:numPr>
          <w:ilvl w:val="0"/>
          <w:numId w:val="1033"/>
        </w:numPr>
        <w:pStyle w:val="Compact"/>
      </w:pPr>
      <w:r>
        <w:t xml:space="preserve">Адекватную аутентификацию, управление сессиями и авторизацию для всех web-сервисов.</w:t>
      </w:r>
    </w:p>
    <w:p>
      <w:pPr>
        <w:numPr>
          <w:ilvl w:val="0"/>
          <w:numId w:val="1033"/>
        </w:numPr>
        <w:pStyle w:val="Compact"/>
      </w:pPr>
      <w:r>
        <w:t xml:space="preserve">Форматно-логический контроль всех входных параметров, которые передаются с более низкого уровня доверия на более высокий.</w:t>
      </w:r>
    </w:p>
    <w:p>
      <w:pPr>
        <w:numPr>
          <w:ilvl w:val="0"/>
          <w:numId w:val="1033"/>
        </w:numPr>
        <w:pStyle w:val="Compact"/>
      </w:pPr>
      <w:r>
        <w:t xml:space="preserve">Эффективные меры безопасности для всех типов API, включая облачные и бессерверные API.</w:t>
      </w:r>
    </w:p>
    <w:p>
      <w:pPr>
        <w:pStyle w:val="FirstParagraph"/>
      </w:pPr>
      <w:r>
        <w:t xml:space="preserve">Пожалуйста, воспринимайте эту главу в контексте с другими главами; мы больше не дублируем требования аутентификации или управления сессиями для API.</w:t>
      </w:r>
    </w:p>
    <w:bookmarkEnd w:id="243"/>
    <w:bookmarkStart w:id="244" w:name="v131-базовая-безопасность-web-сервисов"/>
    <w:p>
      <w:pPr>
        <w:pStyle w:val="Heading2"/>
      </w:pPr>
      <w:r>
        <w:t xml:space="preserve">V13.1 Базовая безопасность web-сервисов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[УДАЛЕНО, ДУБЛИРУЕТ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Убедитесь, что URL-адреса API не содержат конфиденциальной информации (ключ API, сессионный токен и т.д.)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4"/>
    <w:bookmarkStart w:id="245" w:name="v132-restful-web-сервисы"/>
    <w:p>
      <w:pPr>
        <w:pStyle w:val="Heading2"/>
      </w:pPr>
      <w:r>
        <w:t xml:space="preserve">V13.2 RESTful web-сервисы</w:t>
      </w:r>
    </w:p>
    <w:p>
      <w:pPr>
        <w:pStyle w:val="FirstParagraph"/>
      </w:pPr>
      <w:r>
        <w:t xml:space="preserve">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pPr>
        <w:numPr>
          <w:ilvl w:val="0"/>
          <w:numId w:val="1034"/>
        </w:numPr>
        <w:pStyle w:val="Compact"/>
      </w:pPr>
      <w:r>
        <w:t xml:space="preserve">Контроль синтаксического разбора объекта в JSON, например, на наличие или отсутствие элементов.</w:t>
      </w:r>
    </w:p>
    <w:p>
      <w:pPr>
        <w:numPr>
          <w:ilvl w:val="0"/>
          <w:numId w:val="1034"/>
        </w:numPr>
        <w:pStyle w:val="Compact"/>
      </w:pPr>
      <w:r>
        <w:t xml:space="preserve">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pPr>
        <w:numPr>
          <w:ilvl w:val="0"/>
          <w:numId w:val="1034"/>
        </w:numPr>
        <w:pStyle w:val="Compact"/>
      </w:pPr>
      <w:r>
        <w:t xml:space="preserve">и формальная проверка JSON-схемы.</w:t>
      </w:r>
    </w:p>
    <w:p>
      <w:pPr>
        <w:pStyle w:val="FirstParagraph"/>
      </w:pPr>
      <w:r>
        <w:t xml:space="preserve">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Прежде чем принимать входные данные в формате JSON, убедитесь в наличии схемы данных, и что по ней проводится форматно-логический контроль.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[УДАЛЕНО, ДУБЛИРУЕТ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Убедитесь, что REST API явно проверяют, предусмотрена ли обработка указанного во входных данных Content-Type, например application/xml или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5"/>
    <w:bookmarkStart w:id="246" w:name="v133-web-сервисы-soap"/>
    <w:p>
      <w:pPr>
        <w:pStyle w:val="Heading2"/>
      </w:pPr>
      <w:r>
        <w:t xml:space="preserve">V13.3 Web сервисы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Убедитесь, что тело сообщения подписывается с помощью WS-Security, чтобы обеспечить безопасную передачу между клиентом и сервисом.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Примечание. Из-за XXE-атак на DTD не следует использовать проверку DTD, и отключить её в соответствии с требованиями, изложенными в разделе V14.</w:t>
      </w:r>
    </w:p>
    <w:bookmarkEnd w:id="246"/>
    <w:bookmarkStart w:id="247"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Убедитесь, что логика авторизации в GraphQL или на другом уровне данных реализована на уровне бизнес-логики, а не на уровне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7"/>
    <w:bookmarkStart w:id="25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48">
        <w:r>
          <w:rPr>
            <w:rStyle w:val="Hyperlink"/>
          </w:rPr>
          <w:t xml:space="preserve">OWASP Serverless Top 10</w:t>
        </w:r>
      </w:hyperlink>
    </w:p>
    <w:p>
      <w:pPr>
        <w:numPr>
          <w:ilvl w:val="0"/>
          <w:numId w:val="1035"/>
        </w:numPr>
        <w:pStyle w:val="Compact"/>
      </w:pPr>
      <w:hyperlink r:id="rId249">
        <w:r>
          <w:rPr>
            <w:rStyle w:val="Hyperlink"/>
          </w:rPr>
          <w:t xml:space="preserve">Проект OWASP Serverless</w:t>
        </w:r>
      </w:hyperlink>
    </w:p>
    <w:p>
      <w:pPr>
        <w:numPr>
          <w:ilvl w:val="0"/>
          <w:numId w:val="1035"/>
        </w:numPr>
        <w:pStyle w:val="Compact"/>
      </w:pPr>
      <w:hyperlink r:id="rId250">
        <w:r>
          <w:rPr>
            <w:rStyle w:val="Hyperlink"/>
          </w:rPr>
          <w:t xml:space="preserve">OWASP Testing Guide 4.0: Configuration and Deployment Management Testing</w:t>
        </w:r>
      </w:hyperlink>
    </w:p>
    <w:p>
      <w:pPr>
        <w:numPr>
          <w:ilvl w:val="0"/>
          <w:numId w:val="1035"/>
        </w:numPr>
        <w:pStyle w:val="Compact"/>
      </w:pPr>
      <w:hyperlink r:id="rId142">
        <w:r>
          <w:rPr>
            <w:rStyle w:val="Hyperlink"/>
          </w:rPr>
          <w:t xml:space="preserve">OWASP Cross-Site Request Forgery cheat sheet</w:t>
        </w:r>
      </w:hyperlink>
    </w:p>
    <w:p>
      <w:pPr>
        <w:numPr>
          <w:ilvl w:val="0"/>
          <w:numId w:val="1035"/>
        </w:numPr>
        <w:pStyle w:val="Compact"/>
      </w:pPr>
      <w:hyperlink r:id="rId251">
        <w:r>
          <w:rPr>
            <w:rStyle w:val="Hyperlink"/>
          </w:rPr>
          <w:t xml:space="preserve">OWASP XML External Entity Prevention Cheat Sheet - General Guidance</w:t>
        </w:r>
      </w:hyperlink>
    </w:p>
    <w:p>
      <w:pPr>
        <w:numPr>
          <w:ilvl w:val="0"/>
          <w:numId w:val="1035"/>
        </w:numPr>
        <w:pStyle w:val="Compact"/>
      </w:pPr>
      <w:hyperlink r:id="rId252">
        <w:r>
          <w:rPr>
            <w:rStyle w:val="Hyperlink"/>
          </w:rPr>
          <w:t xml:space="preserve">JSON Web Tokens (and Signing)</w:t>
        </w:r>
      </w:hyperlink>
    </w:p>
    <w:p>
      <w:pPr>
        <w:numPr>
          <w:ilvl w:val="0"/>
          <w:numId w:val="1035"/>
        </w:numPr>
        <w:pStyle w:val="Compact"/>
      </w:pPr>
      <w:hyperlink r:id="rId143">
        <w:r>
          <w:rPr>
            <w:rStyle w:val="Hyperlink"/>
          </w:rPr>
          <w:t xml:space="preserve">REST Security Cheat Sheet</w:t>
        </w:r>
      </w:hyperlink>
    </w:p>
    <w:p>
      <w:pPr>
        <w:numPr>
          <w:ilvl w:val="0"/>
          <w:numId w:val="1035"/>
        </w:numPr>
        <w:pStyle w:val="Compact"/>
      </w:pPr>
      <w:hyperlink r:id="rId253">
        <w:r>
          <w:rPr>
            <w:rStyle w:val="Hyperlink"/>
          </w:rPr>
          <w:t xml:space="preserve">JSON Schema</w:t>
        </w:r>
      </w:hyperlink>
    </w:p>
    <w:p>
      <w:pPr>
        <w:numPr>
          <w:ilvl w:val="0"/>
          <w:numId w:val="1035"/>
        </w:numPr>
        <w:pStyle w:val="Compact"/>
      </w:pPr>
      <w:hyperlink r:id="rId254">
        <w:r>
          <w:rPr>
            <w:rStyle w:val="Hyperlink"/>
          </w:rPr>
          <w:t xml:space="preserve">XML DTD Entity Attacks</w:t>
        </w:r>
      </w:hyperlink>
    </w:p>
    <w:p>
      <w:pPr>
        <w:numPr>
          <w:ilvl w:val="0"/>
          <w:numId w:val="1035"/>
        </w:numPr>
        <w:pStyle w:val="Compact"/>
      </w:pPr>
      <w:hyperlink r:id="rId255">
        <w:r>
          <w:rPr>
            <w:rStyle w:val="Hyperlink"/>
          </w:rPr>
          <w:t xml:space="preserve">Orange Tsai - A new era of SSRF Exploiting URL Parser In Trending Programming Languages</w:t>
        </w:r>
      </w:hyperlink>
    </w:p>
    <w:bookmarkEnd w:id="256"/>
    <w:bookmarkEnd w:id="257"/>
    <w:bookmarkStart w:id="271" w:name="v14-конфигурация"/>
    <w:p>
      <w:pPr>
        <w:pStyle w:val="Heading1"/>
      </w:pPr>
      <w:r>
        <w:t xml:space="preserve">V14 Конфигурация</w:t>
      </w:r>
    </w:p>
    <w:bookmarkStart w:id="258" w:name="задачи-контроля-13"/>
    <w:p>
      <w:pPr>
        <w:pStyle w:val="Heading2"/>
      </w:pPr>
      <w:r>
        <w:t xml:space="preserve">Задачи контроля</w:t>
      </w:r>
    </w:p>
    <w:p>
      <w:pPr>
        <w:pStyle w:val="FirstParagraph"/>
      </w:pPr>
      <w:r>
        <w:t xml:space="preserve">Убедитесь, что исследуемое приложение имеет:</w:t>
      </w:r>
    </w:p>
    <w:p>
      <w:pPr>
        <w:numPr>
          <w:ilvl w:val="0"/>
          <w:numId w:val="1036"/>
        </w:numPr>
        <w:pStyle w:val="Compact"/>
      </w:pPr>
      <w:r>
        <w:t xml:space="preserve">Безопасную, воспроизводимую, автоматизированную среду сборки.</w:t>
      </w:r>
    </w:p>
    <w:p>
      <w:pPr>
        <w:numPr>
          <w:ilvl w:val="0"/>
          <w:numId w:val="1036"/>
        </w:numPr>
        <w:pStyle w:val="Compact"/>
      </w:pPr>
      <w:r>
        <w:t xml:space="preserve">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pPr>
        <w:pStyle w:val="FirstParagraph"/>
      </w:pPr>
      <w:r>
        <w:t xml:space="preserve">Конфигурация приложения по умолчанию должна быть безопасной для работы в Интернете, что означает безопасную конфигурацию «из коробки».</w:t>
      </w:r>
    </w:p>
    <w:bookmarkEnd w:id="258"/>
    <w:bookmarkStart w:id="259" w:name="v141-сборка-и-развёртывание"/>
    <w:p>
      <w:pPr>
        <w:pStyle w:val="Heading2"/>
      </w:pPr>
      <w:r>
        <w:t xml:space="preserve">V14.1 Сборка и развёртывание</w:t>
      </w:r>
    </w:p>
    <w:p>
      <w:pPr>
        <w:pStyle w:val="FirstParagraph"/>
      </w:pPr>
      <w:r>
        <w:t xml:space="preserve">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pPr>
        <w:pStyle w:val="BodyText"/>
      </w:pPr>
      <w:r>
        <w:t xml:space="preserve">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pPr>
        <w:pStyle w:val="BodyText"/>
      </w:pPr>
      <w:r>
        <w:t xml:space="preserve">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pPr>
        <w:pStyle w:val="BodyText"/>
      </w:pPr>
      <w:r>
        <w:t xml:space="preserve">Для соблюдения требований этого раздела требуется автоматизированная система сборки и доступ к сценариям сборки и развёртывания.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9"/>
    <w:bookmarkStart w:id="260" w:name="v142-зависимости"/>
    <w:p>
      <w:pPr>
        <w:pStyle w:val="Heading2"/>
      </w:pPr>
      <w:r>
        <w:t xml:space="preserve">V14.2 Зависимости</w:t>
      </w:r>
    </w:p>
    <w:p>
      <w:pPr>
        <w:pStyle w:val="FirstParagraph"/>
      </w:pPr>
      <w:r>
        <w:t xml:space="preserve">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pPr>
        <w:pStyle w:val="BodyText"/>
      </w:pPr>
      <w:r>
        <w:t xml:space="preserve">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Убедитесь, что все компоненты обновляются, желательно с помощью инструмента проверки зависимостей во время сборки или компиляции.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Убедитесь, что удалены все ненужные функции, документация, примеры приложений и конфигураций.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Убедитесь, что сторонние компоненты берутся из утвержденных, доверенных и постоянно поддерживаемых репозиториев.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Убедитесь, что для всех используемых сторонних библиотек ведется спецификация программного обеспечения (SBOM).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60"/>
    <w:bookmarkStart w:id="261" w:name="X9a75f7e8890df53c9e7048827a8f44175cf6cae"/>
    <w:p>
      <w:pPr>
        <w:pStyle w:val="Heading2"/>
      </w:pPr>
      <w:r>
        <w:t xml:space="preserve">V14.3 Непреднамеренное раскрытие информации о безопасности</w:t>
      </w:r>
    </w:p>
    <w:p>
      <w:pPr>
        <w:pStyle w:val="FirstParagraph"/>
      </w:pPr>
      <w:r>
        <w:t xml:space="preserve">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[УДАЛЕНО, ДУБЛИРУЕТ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Убедитесь, что в HTTP-заголовках или HTTP-ответах не содержится информации о версии системных компонентов.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61"/>
    <w:bookmarkStart w:id="262" w:name="v144-http-заголовки-безопасности"/>
    <w:p>
      <w:pPr>
        <w:pStyle w:val="Heading2"/>
      </w:pPr>
      <w:r>
        <w:t xml:space="preserve">V14.4 HTTP-заголовки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Убедитесь, что все ответы API содержат заголовок Content-Disposition: attachment; filename="api.json" (или другое наименование файла, подходящее для этого типа контента).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Убедитесь, что ответы содержат заголовок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Убедитесь, что заголовок Strict-Transport-Security включен во все ответы и для всех поддоменов, например, Strict-Transport-Security: max-age=15778463;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62"/>
    <w:bookmarkStart w:id="263" w:name="v145-проверка-заголовка-http-запроса"/>
    <w:p>
      <w:pPr>
        <w:pStyle w:val="Heading2"/>
      </w:pPr>
      <w:r>
        <w:t xml:space="preserve">V14.5 Проверка заголовка HTTP-запроса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3"/>
    <w:bookmarkStart w:id="270"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264">
        <w:r>
          <w:rPr>
            <w:rStyle w:val="Hyperlink"/>
          </w:rPr>
          <w:t xml:space="preserve">OWASP Web Security Testing Guide 4.1: Testing for HTTP Verb Tampering</w:t>
        </w:r>
      </w:hyperlink>
    </w:p>
    <w:p>
      <w:pPr>
        <w:numPr>
          <w:ilvl w:val="0"/>
          <w:numId w:val="1037"/>
        </w:numPr>
        <w:pStyle w:val="Compact"/>
      </w:pPr>
      <w:r>
        <w:t xml:space="preserve">Добавление</w:t>
      </w:r>
      <w:r>
        <w:t xml:space="preserve"> </w:t>
      </w:r>
      <w:r>
        <w:rPr>
          <w:rStyle w:val="VerbatimChar"/>
        </w:rPr>
        <w:t xml:space="preserve">Content-Disposition</w:t>
      </w:r>
      <w:r>
        <w:t xml:space="preserve"> </w:t>
      </w:r>
      <w:r>
        <w:t xml:space="preserve">к ответам API помогает предотвратить многие атаки, основанные на несогласованности в</w:t>
      </w:r>
      <w:r>
        <w:t xml:space="preserve"> </w:t>
      </w:r>
      <w:r>
        <w:rPr>
          <w:rStyle w:val="VerbatimChar"/>
        </w:rPr>
        <w:t xml:space="preserve">MIME type</w:t>
      </w:r>
      <w:r>
        <w:t xml:space="preserve"> </w:t>
      </w:r>
      <w:r>
        <w:t xml:space="preserve">между клиентом и сервером, а опция</w:t>
      </w:r>
      <w:r>
        <w:t xml:space="preserve"> </w:t>
      </w:r>
      <w:r>
        <w:rPr>
          <w:rStyle w:val="VerbatimChar"/>
        </w:rPr>
        <w:t xml:space="preserve">filename</w:t>
      </w:r>
      <w:r>
        <w:t xml:space="preserve"> </w:t>
      </w:r>
      <w:r>
        <w:t xml:space="preserve">помогает предотвратить</w:t>
      </w:r>
      <w:r>
        <w:t xml:space="preserve"> </w:t>
      </w:r>
      <w:hyperlink r:id="rId265">
        <w:r>
          <w:rPr>
            <w:rStyle w:val="Hyperlink"/>
          </w:rPr>
          <w:t xml:space="preserve">атаки Reflected File Download (RFD)</w:t>
        </w:r>
      </w:hyperlink>
    </w:p>
    <w:p>
      <w:pPr>
        <w:numPr>
          <w:ilvl w:val="0"/>
          <w:numId w:val="1037"/>
        </w:numPr>
        <w:pStyle w:val="Compact"/>
      </w:pPr>
      <w:hyperlink r:id="rId266">
        <w:r>
          <w:rPr>
            <w:rStyle w:val="Hyperlink"/>
          </w:rPr>
          <w:t xml:space="preserve">Content Security Policy Cheat Sheet</w:t>
        </w:r>
      </w:hyperlink>
    </w:p>
    <w:p>
      <w:pPr>
        <w:numPr>
          <w:ilvl w:val="0"/>
          <w:numId w:val="1037"/>
        </w:numPr>
        <w:pStyle w:val="Compact"/>
      </w:pPr>
      <w:hyperlink r:id="rId267">
        <w:r>
          <w:rPr>
            <w:rStyle w:val="Hyperlink"/>
          </w:rPr>
          <w:t xml:space="preserve">Exploiting CORS misconfiguration for BitCoins and Bounties</w:t>
        </w:r>
      </w:hyperlink>
    </w:p>
    <w:p>
      <w:pPr>
        <w:numPr>
          <w:ilvl w:val="0"/>
          <w:numId w:val="1037"/>
        </w:numPr>
        <w:pStyle w:val="Compact"/>
      </w:pPr>
      <w:hyperlink r:id="rId268">
        <w:r>
          <w:rPr>
            <w:rStyle w:val="Hyperlink"/>
          </w:rPr>
          <w:t xml:space="preserve">OWASP Web Security Testing Guide: Configuration and Deployment Management Testing</w:t>
        </w:r>
      </w:hyperlink>
    </w:p>
    <w:p>
      <w:pPr>
        <w:numPr>
          <w:ilvl w:val="0"/>
          <w:numId w:val="1037"/>
        </w:numPr>
        <w:pStyle w:val="Compact"/>
      </w:pPr>
      <w:hyperlink r:id="rId269">
        <w:r>
          <w:rPr>
            <w:rStyle w:val="Hyperlink"/>
          </w:rPr>
          <w:t xml:space="preserve">Sandboxing third party components</w:t>
        </w:r>
      </w:hyperlink>
    </w:p>
    <w:bookmarkEnd w:id="270"/>
    <w:bookmarkEnd w:id="271"/>
    <w:bookmarkStart w:id="273" w:name="приложение-a-термины-и-сокращения"/>
    <w:p>
      <w:pPr>
        <w:pStyle w:val="Heading1"/>
      </w:pPr>
      <w:r>
        <w:t xml:space="preserve">Приложение A: Термины и сокращения</w:t>
      </w:r>
    </w:p>
    <w:p>
      <w:pPr>
        <w:numPr>
          <w:ilvl w:val="0"/>
          <w:numId w:val="1038"/>
        </w:numPr>
        <w:pStyle w:val="Compact"/>
      </w:pPr>
      <w:r>
        <w:rPr>
          <w:bCs/>
          <w:b/>
        </w:rPr>
        <w:t xml:space="preserve">Address Space Layout Randomization</w:t>
      </w:r>
      <w:r>
        <w:t xml:space="preserve"> </w:t>
      </w:r>
      <w:r>
        <w:t xml:space="preserve">(ASLR) –</w:t>
      </w:r>
      <w:r>
        <w:rPr>
          <w:iCs/>
          <w:i/>
        </w:rPr>
        <w:t xml:space="preserve">рандомизация распределения адресного пространства</w:t>
      </w:r>
      <w:r>
        <w:t xml:space="preserve">– метод, позволяющий усложнить использование ошибок, связанных с повреждением памяти.</w:t>
      </w:r>
    </w:p>
    <w:p>
      <w:pPr>
        <w:numPr>
          <w:ilvl w:val="0"/>
          <w:numId w:val="1038"/>
        </w:numPr>
        <w:pStyle w:val="Compact"/>
      </w:pPr>
      <w:r>
        <w:rPr>
          <w:bCs/>
          <w:b/>
        </w:rPr>
        <w:t xml:space="preserve">Allow 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38"/>
        </w:numPr>
        <w:pStyle w:val="Compact"/>
      </w:pPr>
      <w:r>
        <w:rPr>
          <w:bCs/>
          <w:b/>
        </w:rPr>
        <w:t xml:space="preserve">Application Security</w:t>
      </w:r>
      <w:r>
        <w:t xml:space="preserve"> </w:t>
      </w:r>
      <w:r>
        <w:t xml:space="preserve">–</w:t>
      </w:r>
      <w:r>
        <w:rPr>
          <w:iCs/>
          <w:i/>
        </w:rPr>
        <w:t xml:space="preserve">безопасность приложений</w:t>
      </w:r>
      <w:r>
        <w:t xml:space="preserve">–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38"/>
        </w:numPr>
        <w:pStyle w:val="Compact"/>
      </w:pPr>
      <w:r>
        <w:rPr>
          <w:bCs/>
          <w:b/>
        </w:rPr>
        <w:t xml:space="preserve">Application Security Verification</w:t>
      </w:r>
      <w:r>
        <w:t xml:space="preserve"> </w:t>
      </w:r>
      <w:r>
        <w:t xml:space="preserve">–</w:t>
      </w:r>
      <w:r>
        <w:rPr>
          <w:iCs/>
          <w:i/>
        </w:rPr>
        <w:t xml:space="preserve">верификация требований к безопасности приложений</w:t>
      </w:r>
      <w:r>
        <w:t xml:space="preserve">– технический анализ приложения по стандарту OWASP ASVS.</w:t>
      </w:r>
    </w:p>
    <w:p>
      <w:pPr>
        <w:numPr>
          <w:ilvl w:val="0"/>
          <w:numId w:val="1038"/>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38"/>
        </w:numPr>
        <w:pStyle w:val="Compact"/>
      </w:pPr>
      <w:r>
        <w:rPr>
          <w:bCs/>
          <w:b/>
        </w:rPr>
        <w:t xml:space="preserve">Authentication</w:t>
      </w:r>
      <w:r>
        <w:t xml:space="preserve"> </w:t>
      </w:r>
      <w:r>
        <w:t xml:space="preserve">–</w:t>
      </w:r>
      <w:r>
        <w:rPr>
          <w:iCs/>
          <w:i/>
        </w:rPr>
        <w:t xml:space="preserve">аутентификация</w:t>
      </w:r>
      <w:r>
        <w:t xml:space="preserve">– проверка учетных данных, предъявленных пользователем приложения.</w:t>
      </w:r>
    </w:p>
    <w:p>
      <w:pPr>
        <w:numPr>
          <w:ilvl w:val="0"/>
          <w:numId w:val="1038"/>
        </w:numPr>
        <w:pStyle w:val="Compact"/>
      </w:pPr>
      <w:r>
        <w:rPr>
          <w:bCs/>
          <w:b/>
        </w:rPr>
        <w:t xml:space="preserve">Automated Verification</w:t>
      </w:r>
      <w:r>
        <w:t xml:space="preserve"> </w:t>
      </w:r>
      <w:r>
        <w:t xml:space="preserve">–</w:t>
      </w:r>
      <w:r>
        <w:rPr>
          <w:iCs/>
          <w:i/>
        </w:rPr>
        <w:t xml:space="preserve">автоматизированная проверка</w:t>
      </w:r>
      <w:r>
        <w:t xml:space="preserve">–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38"/>
        </w:numPr>
        <w:pStyle w:val="Compact"/>
      </w:pPr>
      <w:r>
        <w:rPr>
          <w:bCs/>
          <w:b/>
        </w:rPr>
        <w:t xml:space="preserve">Black box testing</w:t>
      </w:r>
      <w:r>
        <w:t xml:space="preserve"> </w:t>
      </w:r>
      <w:r>
        <w:t xml:space="preserve">–</w:t>
      </w:r>
      <w:r>
        <w:rPr>
          <w:iCs/>
          <w:i/>
        </w:rPr>
        <w:t xml:space="preserve">метод «чёрного ящика»</w:t>
      </w:r>
      <w:r>
        <w:t xml:space="preserve">–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38"/>
        </w:numPr>
        <w:pStyle w:val="Compact"/>
      </w:pPr>
      <w:r>
        <w:rPr>
          <w:bCs/>
          <w:b/>
        </w:rPr>
        <w:t xml:space="preserve">Component</w:t>
      </w:r>
      <w:r>
        <w:t xml:space="preserve"> </w:t>
      </w:r>
      <w:r>
        <w:t xml:space="preserve">–</w:t>
      </w:r>
      <w:r>
        <w:rPr>
          <w:iCs/>
          <w:i/>
        </w:rPr>
        <w:t xml:space="preserve">компонент</w:t>
      </w:r>
      <w:r>
        <w:t xml:space="preserve">– автономный блок кода со связанными дисковыми и сетевыми интерфейсами, который взаимодействует с другими компонентами.</w:t>
      </w:r>
    </w:p>
    <w:p>
      <w:pPr>
        <w:numPr>
          <w:ilvl w:val="0"/>
          <w:numId w:val="1038"/>
        </w:numPr>
        <w:pStyle w:val="Compact"/>
      </w:pPr>
      <w:r>
        <w:rPr>
          <w:bCs/>
          <w:b/>
        </w:rPr>
        <w:t xml:space="preserve">Cross-Site Scripting</w:t>
      </w:r>
      <w:r>
        <w:t xml:space="preserve"> </w:t>
      </w:r>
      <w:r>
        <w:t xml:space="preserve">(XSS) –</w:t>
      </w:r>
      <w:r>
        <w:rPr>
          <w:iCs/>
          <w:i/>
        </w:rPr>
        <w:t xml:space="preserve">межсайтовый скриптинг</w:t>
      </w:r>
      <w:r>
        <w:t xml:space="preserve">–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38"/>
        </w:numPr>
        <w:pStyle w:val="Compact"/>
      </w:pPr>
      <w:r>
        <w:rPr>
          <w:bCs/>
          <w:b/>
        </w:rPr>
        <w:t xml:space="preserve">Cryptographic module</w:t>
      </w:r>
      <w:r>
        <w:t xml:space="preserve"> </w:t>
      </w:r>
      <w:r>
        <w:t xml:space="preserve">–</w:t>
      </w:r>
      <w:r>
        <w:rPr>
          <w:iCs/>
          <w:i/>
        </w:rPr>
        <w:t xml:space="preserve">криптографический модуль</w:t>
      </w:r>
      <w:r>
        <w:t xml:space="preserve">–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38"/>
        </w:numPr>
        <w:pStyle w:val="Compact"/>
      </w:pPr>
      <w:r>
        <w:rPr>
          <w:bCs/>
          <w:b/>
        </w:rPr>
        <w:t xml:space="preserve">Common Weakness Enumeration</w:t>
      </w:r>
      <w:r>
        <w:t xml:space="preserve"> </w:t>
      </w:r>
      <w:r>
        <w:t xml:space="preserve">(CWE) –</w:t>
      </w:r>
      <w:r>
        <w:rPr>
          <w:iCs/>
          <w:i/>
        </w:rPr>
        <w:t xml:space="preserve">список общих недостатков</w:t>
      </w:r>
      <w:r>
        <w:t xml:space="preserve">–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38"/>
        </w:numPr>
        <w:pStyle w:val="Compact"/>
      </w:pPr>
      <w:r>
        <w:rPr>
          <w:bCs/>
          <w:b/>
        </w:rPr>
        <w:t xml:space="preserve">Design Verification</w:t>
      </w:r>
      <w:r>
        <w:t xml:space="preserve"> </w:t>
      </w:r>
      <w:r>
        <w:t xml:space="preserve">–</w:t>
      </w:r>
      <w:r>
        <w:rPr>
          <w:iCs/>
          <w:i/>
        </w:rPr>
        <w:t xml:space="preserve">верификация дизайна</w:t>
      </w:r>
      <w:r>
        <w:t xml:space="preserve">– технический анализ архитектуры безопасности приложения.</w:t>
      </w:r>
    </w:p>
    <w:p>
      <w:pPr>
        <w:numPr>
          <w:ilvl w:val="0"/>
          <w:numId w:val="1038"/>
        </w:numPr>
        <w:pStyle w:val="Compact"/>
      </w:pPr>
      <w:r>
        <w:rPr>
          <w:bCs/>
          <w:b/>
        </w:rPr>
        <w:t xml:space="preserve">Dynamic Application Security Testing</w:t>
      </w:r>
      <w:r>
        <w:t xml:space="preserve"> </w:t>
      </w:r>
      <w:r>
        <w:t xml:space="preserve">(DAST) –</w:t>
      </w:r>
      <w:r>
        <w:rPr>
          <w:iCs/>
          <w:i/>
        </w:rPr>
        <w:t xml:space="preserve">динамический анализ кода</w:t>
      </w:r>
      <w:r>
        <w:t xml:space="preserve">–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pPr>
        <w:numPr>
          <w:ilvl w:val="0"/>
          <w:numId w:val="1038"/>
        </w:numPr>
        <w:pStyle w:val="Compact"/>
      </w:pPr>
      <w:r>
        <w:rPr>
          <w:bCs/>
          <w:b/>
        </w:rPr>
        <w:t xml:space="preserve">Dynamic Verification</w:t>
      </w:r>
      <w:r>
        <w:t xml:space="preserve"> </w:t>
      </w:r>
      <w:r>
        <w:t xml:space="preserve">–</w:t>
      </w:r>
      <w:r>
        <w:rPr>
          <w:iCs/>
          <w:i/>
        </w:rPr>
        <w:t xml:space="preserve">динамическая верификация</w:t>
      </w:r>
      <w:r>
        <w:t xml:space="preserve">–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38"/>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38"/>
        </w:numPr>
        <w:pStyle w:val="Compact"/>
      </w:pPr>
      <w:r>
        <w:rPr>
          <w:bCs/>
          <w:b/>
        </w:rPr>
        <w:t xml:space="preserve">Globally Unique Identifier</w:t>
      </w:r>
      <w:r>
        <w:t xml:space="preserve"> </w:t>
      </w:r>
      <w:r>
        <w:t xml:space="preserve">(GUID) – уникальный индекс, используемый в качестве идентификатора в программном обеспечении.</w:t>
      </w:r>
    </w:p>
    <w:p>
      <w:pPr>
        <w:numPr>
          <w:ilvl w:val="0"/>
          <w:numId w:val="1038"/>
        </w:numPr>
        <w:pStyle w:val="Compact"/>
      </w:pPr>
      <w:r>
        <w:rPr>
          <w:bCs/>
          <w:b/>
        </w:rPr>
        <w:t xml:space="preserve">Hyper Text Transfer Protocol</w:t>
      </w:r>
      <w:r>
        <w:t xml:space="preserve"> </w:t>
      </w:r>
      <w:r>
        <w:t xml:space="preserve">(HTTPS)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38"/>
        </w:numPr>
        <w:pStyle w:val="Compact"/>
      </w:pPr>
      <w:r>
        <w:rPr>
          <w:bCs/>
          <w:b/>
        </w:rPr>
        <w:t xml:space="preserve">Hardcoded keys</w:t>
      </w:r>
      <w:r>
        <w:t xml:space="preserve"> </w:t>
      </w:r>
      <w:r>
        <w:t xml:space="preserve">–</w:t>
      </w:r>
      <w:r>
        <w:rPr>
          <w:iCs/>
          <w:i/>
        </w:rPr>
        <w:t xml:space="preserve">жёстко запрограммированные ключи</w:t>
      </w:r>
      <w:r>
        <w:t xml:space="preserve">– криптографические ключи, которые хранятся в файловой системе, будь то код, комментарии или файлы.</w:t>
      </w:r>
    </w:p>
    <w:p>
      <w:pPr>
        <w:numPr>
          <w:ilvl w:val="0"/>
          <w:numId w:val="1038"/>
        </w:numPr>
        <w:pStyle w:val="Compact"/>
      </w:pPr>
      <w:r>
        <w:rPr>
          <w:bCs/>
          <w:b/>
        </w:rPr>
        <w:t xml:space="preserve">Hardware Security Module</w:t>
      </w:r>
      <w:r>
        <w:t xml:space="preserve"> </w:t>
      </w:r>
      <w:r>
        <w:t xml:space="preserve">(HSM) —</w:t>
      </w:r>
      <w:r>
        <w:rPr>
          <w:iCs/>
          <w:i/>
        </w:rPr>
        <w:t xml:space="preserve">аппаратный модуль безопасности</w:t>
      </w:r>
      <w:r>
        <w:t xml:space="preserve">— аппаратный компонент, способный хранить криптографические ключи и другие секреты в защищённом виде.</w:t>
      </w:r>
    </w:p>
    <w:p>
      <w:pPr>
        <w:numPr>
          <w:ilvl w:val="0"/>
          <w:numId w:val="1038"/>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38"/>
        </w:numPr>
        <w:pStyle w:val="Compact"/>
      </w:pPr>
      <w:r>
        <w:rPr>
          <w:bCs/>
          <w:b/>
        </w:rPr>
        <w:t xml:space="preserve">Input Validation</w:t>
      </w:r>
      <w:r>
        <w:t xml:space="preserve"> </w:t>
      </w:r>
      <w:r>
        <w:t xml:space="preserve">—</w:t>
      </w:r>
      <w:r>
        <w:rPr>
          <w:iCs/>
          <w:i/>
        </w:rPr>
        <w:t xml:space="preserve">форматно-логический контроль</w:t>
      </w:r>
      <w:r>
        <w:t xml:space="preserve">— нормализация и проверка корректности недоверенных входных данных.</w:t>
      </w:r>
    </w:p>
    <w:p>
      <w:pPr>
        <w:numPr>
          <w:ilvl w:val="0"/>
          <w:numId w:val="1038"/>
        </w:numPr>
        <w:pStyle w:val="Compact"/>
      </w:pPr>
      <w:r>
        <w:rPr>
          <w:bCs/>
          <w:b/>
        </w:rPr>
        <w:t xml:space="preserve">Malicious Code</w:t>
      </w:r>
      <w:r>
        <w:t xml:space="preserve"> </w:t>
      </w:r>
      <w:r>
        <w:t xml:space="preserve">—</w:t>
      </w:r>
      <w:r>
        <w:rPr>
          <w:iCs/>
          <w:i/>
        </w:rPr>
        <w:t xml:space="preserve">вредоносный код</w:t>
      </w:r>
      <w:r>
        <w:t xml:space="preserve">—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pPr>
        <w:numPr>
          <w:ilvl w:val="0"/>
          <w:numId w:val="1038"/>
        </w:numPr>
        <w:pStyle w:val="Compact"/>
      </w:pPr>
      <w:r>
        <w:rPr>
          <w:bCs/>
          <w:b/>
        </w:rPr>
        <w:t xml:space="preserve">Malware</w:t>
      </w:r>
      <w:r>
        <w:t xml:space="preserve"> </w:t>
      </w:r>
      <w:r>
        <w:t xml:space="preserve">—</w:t>
      </w:r>
      <w:r>
        <w:rPr>
          <w:iCs/>
          <w:i/>
        </w:rPr>
        <w:t xml:space="preserve">вредоносное ПО</w:t>
      </w:r>
      <w:r>
        <w:t xml:space="preserve">— исполняемый код, который попадает в приложение во время выполнения без ведома пользователя или администратора приложения.</w:t>
      </w:r>
    </w:p>
    <w:p>
      <w:pPr>
        <w:numPr>
          <w:ilvl w:val="0"/>
          <w:numId w:val="1038"/>
        </w:numPr>
        <w:pStyle w:val="Compact"/>
      </w:pPr>
      <w:r>
        <w:rPr>
          <w:bCs/>
          <w:b/>
        </w:rPr>
        <w:t xml:space="preserve">Open Web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272">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w:t>
      </w:r>
      <w:r>
        <w:rPr>
          <w:iCs/>
          <w:i/>
        </w:rPr>
        <w:t xml:space="preserve">одноразовый пароль</w:t>
      </w:r>
      <w:r>
        <w:t xml:space="preserve">— уникальный пароль, сгенерированный для одноразового использования.</w:t>
      </w:r>
    </w:p>
    <w:p>
      <w:pPr>
        <w:numPr>
          <w:ilvl w:val="0"/>
          <w:numId w:val="1038"/>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38"/>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38"/>
        </w:numPr>
        <w:pStyle w:val="Compact"/>
      </w:pPr>
      <w:r>
        <w:rPr>
          <w:bCs/>
          <w:b/>
        </w:rPr>
        <w:t xml:space="preserve">Personally Identifiable Information</w:t>
      </w:r>
      <w:r>
        <w:t xml:space="preserve"> </w:t>
      </w:r>
      <w:r>
        <w:t xml:space="preserve">(PII) —</w:t>
      </w:r>
      <w:r>
        <w:rPr>
          <w:iCs/>
          <w:i/>
        </w:rPr>
        <w:t xml:space="preserve">информация, позволяющая установить личность</w:t>
      </w:r>
      <w:r>
        <w:t xml:space="preserve">—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pPr>
        <w:numPr>
          <w:ilvl w:val="0"/>
          <w:numId w:val="1038"/>
        </w:numPr>
        <w:pStyle w:val="Compact"/>
      </w:pPr>
      <w:r>
        <w:rPr>
          <w:bCs/>
          <w:b/>
        </w:rPr>
        <w:t xml:space="preserve">Position-independent executable</w:t>
      </w:r>
      <w:r>
        <w:t xml:space="preserve"> </w:t>
      </w:r>
      <w:r>
        <w:t xml:space="preserve">(PIE) —</w:t>
      </w:r>
      <w:r>
        <w:rPr>
          <w:iCs/>
          <w:i/>
        </w:rPr>
        <w:t xml:space="preserve">позиционно-независимый исполняемый файл</w:t>
      </w:r>
      <w:r>
        <w:t xml:space="preserve">— текст машинного кода, который, будучи помещен где-то в основной памяти, выполняется должным образом независимо от его абсолютного адреса.</w:t>
      </w:r>
    </w:p>
    <w:p>
      <w:pPr>
        <w:numPr>
          <w:ilvl w:val="0"/>
          <w:numId w:val="1038"/>
        </w:numPr>
        <w:pStyle w:val="Compact"/>
      </w:pPr>
      <w:r>
        <w:rPr>
          <w:bCs/>
          <w:b/>
        </w:rPr>
        <w:t xml:space="preserve">Public Key Infrastructure</w:t>
      </w:r>
      <w:r>
        <w:t xml:space="preserve"> </w:t>
      </w:r>
      <w:r>
        <w:t xml:space="preserve">(PKI) —</w:t>
      </w:r>
      <w:r>
        <w:rPr>
          <w:iCs/>
          <w:i/>
        </w:rPr>
        <w:t xml:space="preserve">инфраструктура открытых ключей</w:t>
      </w:r>
      <w:r>
        <w:t xml:space="preserve">—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38"/>
        </w:numPr>
        <w:pStyle w:val="Compact"/>
      </w:pPr>
      <w:r>
        <w:rPr>
          <w:bCs/>
          <w:b/>
        </w:rPr>
        <w:t xml:space="preserve">Public Switched Telephone Network</w:t>
      </w:r>
      <w:r>
        <w:t xml:space="preserve"> </w:t>
      </w:r>
      <w:r>
        <w:t xml:space="preserve">(PSTN) —</w:t>
      </w:r>
      <w:r>
        <w:rPr>
          <w:iCs/>
          <w:i/>
        </w:rPr>
        <w:t xml:space="preserve">коммутируемая телефонная сеть общего пользования (ТСОП, ТфОП)</w:t>
      </w:r>
      <w:r>
        <w:t xml:space="preserve">— традиционная телефонная сеть, соединяющая как стационарные, так и мобильные телефоны.</w:t>
      </w:r>
    </w:p>
    <w:p>
      <w:pPr>
        <w:numPr>
          <w:ilvl w:val="0"/>
          <w:numId w:val="1038"/>
        </w:numPr>
        <w:pStyle w:val="Compact"/>
      </w:pPr>
      <w:r>
        <w:rPr>
          <w:bCs/>
          <w:b/>
        </w:rPr>
        <w:t xml:space="preserve">Relying Party</w:t>
      </w:r>
      <w:r>
        <w:t xml:space="preserve"> </w:t>
      </w:r>
      <w:r>
        <w:t xml:space="preserve">(RP) —</w:t>
      </w:r>
      <w:r>
        <w:rPr>
          <w:iCs/>
          <w:i/>
        </w:rPr>
        <w:t xml:space="preserve">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38"/>
        </w:numPr>
        <w:pStyle w:val="Compact"/>
      </w:pPr>
      <w:r>
        <w:rPr>
          <w:bCs/>
          <w:b/>
        </w:rPr>
        <w:t xml:space="preserve">Static application security testing</w:t>
      </w:r>
      <w:r>
        <w:t xml:space="preserve"> </w:t>
      </w:r>
      <w:r>
        <w:t xml:space="preserve">(SAST) –</w:t>
      </w:r>
      <w:r>
        <w:rPr>
          <w:iCs/>
          <w:i/>
        </w:rPr>
        <w:t xml:space="preserve">статический анализ кода</w:t>
      </w:r>
      <w:r>
        <w:t xml:space="preserve">–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pPr>
        <w:numPr>
          <w:ilvl w:val="0"/>
          <w:numId w:val="1038"/>
        </w:numPr>
        <w:pStyle w:val="Compact"/>
      </w:pPr>
      <w:r>
        <w:rPr>
          <w:bCs/>
          <w:b/>
        </w:rPr>
        <w:t xml:space="preserve">Software development lifecycle</w:t>
      </w:r>
      <w:r>
        <w:t xml:space="preserve"> </w:t>
      </w:r>
      <w:r>
        <w:t xml:space="preserve">(SDLC) –</w:t>
      </w:r>
      <w:r>
        <w:rPr>
          <w:iCs/>
          <w:i/>
        </w:rPr>
        <w:t xml:space="preserve">жизненный цикл разработки программного обеспечения</w:t>
      </w:r>
      <w:r>
        <w:t xml:space="preserve">– пошаговый процесс разработки ПО, начиная с первоначальных требований, и заканчивая развертыванием и сопровождением.</w:t>
      </w:r>
    </w:p>
    <w:p>
      <w:pPr>
        <w:numPr>
          <w:ilvl w:val="0"/>
          <w:numId w:val="1038"/>
        </w:numPr>
        <w:pStyle w:val="Compact"/>
      </w:pPr>
      <w:r>
        <w:rPr>
          <w:bCs/>
          <w:b/>
        </w:rPr>
        <w:t xml:space="preserve">Security Architecture</w:t>
      </w:r>
      <w:r>
        <w:t xml:space="preserve"> </w:t>
      </w:r>
      <w:r>
        <w:t xml:space="preserve">–</w:t>
      </w:r>
      <w:r>
        <w:rPr>
          <w:iCs/>
          <w:i/>
        </w:rPr>
        <w:t xml:space="preserve">архитектура безопасности</w:t>
      </w:r>
      <w:r>
        <w:t xml:space="preserve">–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38"/>
        </w:numPr>
        <w:pStyle w:val="Compact"/>
      </w:pPr>
      <w:r>
        <w:rPr>
          <w:bCs/>
          <w:b/>
        </w:rPr>
        <w:t xml:space="preserve">Security Configuration</w:t>
      </w:r>
      <w:r>
        <w:t xml:space="preserve"> </w:t>
      </w:r>
      <w:r>
        <w:t xml:space="preserve">–</w:t>
      </w:r>
      <w:r>
        <w:rPr>
          <w:iCs/>
          <w:i/>
        </w:rPr>
        <w:t xml:space="preserve">конфигурация безопасности</w:t>
      </w:r>
      <w:r>
        <w:t xml:space="preserve">– конфигурация среды выполнения приложения, которая влияет на то, как применяются меры безопасности.</w:t>
      </w:r>
    </w:p>
    <w:p>
      <w:pPr>
        <w:numPr>
          <w:ilvl w:val="0"/>
          <w:numId w:val="1038"/>
        </w:numPr>
        <w:pStyle w:val="Compact"/>
      </w:pPr>
      <w:r>
        <w:rPr>
          <w:bCs/>
          <w:b/>
        </w:rPr>
        <w:t xml:space="preserve">Security Control</w:t>
      </w:r>
      <w:r>
        <w:t xml:space="preserve"> </w:t>
      </w:r>
      <w:r>
        <w:t xml:space="preserve">–</w:t>
      </w:r>
      <w:r>
        <w:rPr>
          <w:iCs/>
          <w:i/>
        </w:rPr>
        <w:t xml:space="preserve">мера обеспечения безопасности</w:t>
      </w:r>
      <w:r>
        <w:t xml:space="preserve">–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38"/>
        </w:numPr>
        <w:pStyle w:val="Compact"/>
      </w:pPr>
      <w:r>
        <w:rPr>
          <w:bCs/>
          <w:b/>
        </w:rPr>
        <w:t xml:space="preserve">Server-side Request Forgery</w:t>
      </w:r>
      <w:r>
        <w:t xml:space="preserve"> </w:t>
      </w:r>
      <w:r>
        <w:t xml:space="preserve">(SSRF) –</w:t>
      </w:r>
      <w:r>
        <w:rPr>
          <w:iCs/>
          <w:i/>
        </w:rPr>
        <w:t xml:space="preserve">подделка запросов на стороне сервера</w:t>
      </w:r>
      <w:r>
        <w:t xml:space="preserve">–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38"/>
        </w:numPr>
        <w:pStyle w:val="Compact"/>
      </w:pPr>
      <w:r>
        <w:rPr>
          <w:bCs/>
          <w:b/>
        </w:rPr>
        <w:t xml:space="preserve">Single Sign-on Authentication</w:t>
      </w:r>
      <w:r>
        <w:t xml:space="preserve"> </w:t>
      </w:r>
      <w:r>
        <w:t xml:space="preserve">(SSO) –</w:t>
      </w:r>
      <w:r>
        <w:rPr>
          <w:iCs/>
          <w:i/>
        </w:rPr>
        <w:t xml:space="preserve">аутентификация единого входа</w:t>
      </w:r>
      <w:r>
        <w:t xml:space="preserve">–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38"/>
        </w:numPr>
        <w:pStyle w:val="Compact"/>
      </w:pPr>
      <w:r>
        <w:rPr>
          <w:bCs/>
          <w:b/>
        </w:rPr>
        <w:t xml:space="preserve">SQL Injection</w:t>
      </w:r>
      <w:r>
        <w:t xml:space="preserve"> </w:t>
      </w:r>
      <w:r>
        <w:t xml:space="preserve">(SQLi) –</w:t>
      </w:r>
      <w:r>
        <w:rPr>
          <w:iCs/>
          <w:i/>
        </w:rPr>
        <w:t xml:space="preserve">SQL-инъекция</w:t>
      </w:r>
      <w:r>
        <w:t xml:space="preserve">– метод внедрения кода, используемый для атаки приложений, управляемых данными, в которых вредоносные SQL-выражения вставляются в точку входа.</w:t>
      </w:r>
    </w:p>
    <w:p>
      <w:pPr>
        <w:numPr>
          <w:ilvl w:val="0"/>
          <w:numId w:val="1038"/>
        </w:numPr>
        <w:pStyle w:val="Compact"/>
      </w:pPr>
      <w:r>
        <w:rPr>
          <w:bCs/>
          <w:b/>
        </w:rPr>
        <w:t xml:space="preserve">SVG</w:t>
      </w:r>
      <w:r>
        <w:t xml:space="preserve"> </w:t>
      </w:r>
      <w:r>
        <w:t xml:space="preserve">- Scalable Vector Graphics –</w:t>
      </w:r>
      <w:r>
        <w:rPr>
          <w:iCs/>
          <w:i/>
        </w:rPr>
        <w:t xml:space="preserve">масштабируемая векторная графика</w:t>
      </w:r>
    </w:p>
    <w:p>
      <w:pPr>
        <w:numPr>
          <w:ilvl w:val="0"/>
          <w:numId w:val="1038"/>
        </w:numPr>
        <w:pStyle w:val="Compact"/>
      </w:pPr>
      <w:r>
        <w:rPr>
          <w:bCs/>
          <w:b/>
        </w:rPr>
        <w:t xml:space="preserve">Time-based OTP</w:t>
      </w:r>
      <w:r>
        <w:t xml:space="preserve"> </w:t>
      </w:r>
      <w:r>
        <w:t xml:space="preserve">(TOTP) - метод создания OTP, при котором текущее время является входным аргументом для алгоритма формирования пароля.</w:t>
      </w:r>
    </w:p>
    <w:p>
      <w:pPr>
        <w:numPr>
          <w:ilvl w:val="0"/>
          <w:numId w:val="1038"/>
        </w:numPr>
        <w:pStyle w:val="Compact"/>
      </w:pPr>
      <w:r>
        <w:rPr>
          <w:bCs/>
          <w:b/>
        </w:rPr>
        <w:t xml:space="preserve">Threat Modeling</w:t>
      </w:r>
      <w:r>
        <w:t xml:space="preserve"> </w:t>
      </w:r>
      <w:r>
        <w:t xml:space="preserve">–</w:t>
      </w:r>
      <w:r>
        <w:rPr>
          <w:iCs/>
          <w:i/>
        </w:rPr>
        <w:t xml:space="preserve">моделирование угроз</w:t>
      </w:r>
      <w:r>
        <w:t xml:space="preserve">–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38"/>
        </w:numPr>
        <w:pStyle w:val="Compact"/>
      </w:pPr>
      <w:r>
        <w:rPr>
          <w:bCs/>
          <w:b/>
        </w:rPr>
        <w:t xml:space="preserve">Transport Layer Security</w:t>
      </w:r>
      <w:r>
        <w:t xml:space="preserve"> </w:t>
      </w:r>
      <w:r>
        <w:t xml:space="preserve">(TLS) –</w:t>
      </w:r>
      <w:r>
        <w:rPr>
          <w:iCs/>
          <w:i/>
        </w:rPr>
        <w:t xml:space="preserve">безопасность транспортного уровня</w:t>
      </w:r>
      <w:r>
        <w:t xml:space="preserve">– криптографические протоколы, обеспечивающие безопасность канала связи по сетевому соединению.</w:t>
      </w:r>
    </w:p>
    <w:p>
      <w:pPr>
        <w:numPr>
          <w:ilvl w:val="0"/>
          <w:numId w:val="1038"/>
        </w:numPr>
        <w:pStyle w:val="Compact"/>
      </w:pPr>
      <w:r>
        <w:rPr>
          <w:bCs/>
          <w:b/>
        </w:rPr>
        <w:t xml:space="preserve">Trusted Platform Module</w:t>
      </w:r>
      <w:r>
        <w:t xml:space="preserve"> </w:t>
      </w:r>
      <w:r>
        <w:t xml:space="preserve">(TPM) –</w:t>
      </w:r>
      <w:r>
        <w:rPr>
          <w:iCs/>
          <w:i/>
        </w:rPr>
        <w:t xml:space="preserve">модуль доверенной платформы</w:t>
      </w:r>
      <w:r>
        <w:t xml:space="preserve">–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38"/>
        </w:numPr>
        <w:pStyle w:val="Compact"/>
      </w:pPr>
      <w:r>
        <w:rPr>
          <w:bCs/>
          <w:b/>
        </w:rPr>
        <w:t xml:space="preserve">Two-factor authentication</w:t>
      </w:r>
      <w:r>
        <w:t xml:space="preserve"> </w:t>
      </w:r>
      <w:r>
        <w:t xml:space="preserve">(2FA) –</w:t>
      </w:r>
      <w:r>
        <w:rPr>
          <w:iCs/>
          <w:i/>
        </w:rPr>
        <w:t xml:space="preserve">двухфакторная аутентификация (2ФА)</w:t>
      </w:r>
      <w:r>
        <w:t xml:space="preserve">– добавляет еще один уровень аутентификации для входа в учетную запись.</w:t>
      </w:r>
    </w:p>
    <w:p>
      <w:pPr>
        <w:numPr>
          <w:ilvl w:val="0"/>
          <w:numId w:val="1038"/>
        </w:numPr>
        <w:pStyle w:val="Compact"/>
      </w:pPr>
      <w:r>
        <w:rPr>
          <w:bCs/>
          <w:b/>
        </w:rPr>
        <w:t xml:space="preserve">Universal 2nd Factor</w:t>
      </w:r>
      <w:r>
        <w:t xml:space="preserve"> </w:t>
      </w:r>
      <w:r>
        <w:t xml:space="preserve">(U2F) –</w:t>
      </w:r>
      <w:r>
        <w:rPr>
          <w:iCs/>
          <w:i/>
        </w:rPr>
        <w:t xml:space="preserve">универсальный второй фактор</w:t>
      </w:r>
      <w:r>
        <w:t xml:space="preserve">– один из стандартов, разработанных FIDO специально для использования в качестве второго фактора аутентификации NFC- или USB-токена.</w:t>
      </w:r>
    </w:p>
    <w:p>
      <w:pPr>
        <w:numPr>
          <w:ilvl w:val="0"/>
          <w:numId w:val="1038"/>
        </w:numPr>
        <w:pStyle w:val="Compact"/>
      </w:pPr>
      <w:r>
        <w:rPr>
          <w:bCs/>
          <w:b/>
        </w:rPr>
        <w:t xml:space="preserve">URI/URL/фрагменты URL</w:t>
      </w:r>
      <w:r>
        <w:t xml:space="preserve"> </w:t>
      </w:r>
      <w:r>
        <w:t xml:space="preserve">–</w:t>
      </w:r>
      <w:r>
        <w:rPr>
          <w:iCs/>
          <w:i/>
        </w:rPr>
        <w:t xml:space="preserve">унифицированный идентификатор ресурса</w:t>
      </w:r>
      <w:r>
        <w:t xml:space="preserve">– это строка символов, используемая для идентификации имени или web-ресурса. –</w:t>
      </w:r>
      <w:r>
        <w:rPr>
          <w:iCs/>
          <w:i/>
        </w:rPr>
        <w:t xml:space="preserve">Унифицированный указатель ресурсов</w:t>
      </w:r>
      <w:r>
        <w:t xml:space="preserve">– часто используется в качестве ссылки на ресурс.</w:t>
      </w:r>
    </w:p>
    <w:p>
      <w:pPr>
        <w:numPr>
          <w:ilvl w:val="0"/>
          <w:numId w:val="1038"/>
        </w:numPr>
        <w:pStyle w:val="Compact"/>
      </w:pPr>
      <w:r>
        <w:rPr>
          <w:bCs/>
          <w:b/>
        </w:rPr>
        <w:t xml:space="preserve">Verifier</w:t>
      </w:r>
      <w:r>
        <w:t xml:space="preserve"> </w:t>
      </w:r>
      <w:r>
        <w:t xml:space="preserve">–</w:t>
      </w:r>
      <w:r>
        <w:rPr>
          <w:iCs/>
          <w:i/>
        </w:rPr>
        <w:t xml:space="preserve">верификатор/аудитор</w:t>
      </w:r>
      <w:r>
        <w:t xml:space="preserve">– лицо или группа людей, которые анализируют безопасность приложение на соответствие требованиям OWASP ASVS.</w:t>
      </w:r>
    </w:p>
    <w:p>
      <w:pPr>
        <w:numPr>
          <w:ilvl w:val="0"/>
          <w:numId w:val="1038"/>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38"/>
        </w:numPr>
        <w:pStyle w:val="Compact"/>
      </w:pPr>
      <w:r>
        <w:rPr>
          <w:bCs/>
          <w:b/>
        </w:rPr>
        <w:t xml:space="preserve">Сертификат X.509</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38"/>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273"/>
    <w:bookmarkStart w:id="297"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278" w:name="основные-проекты-owasp"/>
    <w:p>
      <w:pPr>
        <w:pStyle w:val="Heading2"/>
      </w:pPr>
      <w:r>
        <w:t xml:space="preserve">Основные проекты OWASP</w:t>
      </w:r>
    </w:p>
    <w:p>
      <w:pPr>
        <w:numPr>
          <w:ilvl w:val="0"/>
          <w:numId w:val="1039"/>
        </w:numPr>
        <w:pStyle w:val="Compact"/>
      </w:pPr>
      <w:r>
        <w:t xml:space="preserve">Проект OWASP Top 10:</w:t>
      </w:r>
      <w:r>
        <w:t xml:space="preserve"> </w:t>
      </w:r>
      <w:hyperlink r:id="rId274">
        <w:hyperlink r:id="rId274">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75">
        <w:hyperlink r:id="rId275">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6">
        <w:hyperlink r:id="rId276">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7">
        <w:hyperlink r:id="rId277">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8"/>
    <w:bookmarkStart w:id="281" w:name="проект-owasp-cheat-sheet-series"/>
    <w:p>
      <w:pPr>
        <w:pStyle w:val="Heading2"/>
      </w:pPr>
      <w:r>
        <w:t xml:space="preserve">Проект OWASP Cheat Sheet Series</w:t>
      </w:r>
    </w:p>
    <w:p>
      <w:pPr>
        <w:pStyle w:val="FirstParagraph"/>
      </w:pPr>
      <w:hyperlink r:id="rId279">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280">
        <w:hyperlink r:id="rId280">
          <w:r>
            <w:rPr>
              <w:rStyle w:val="Hyperlink"/>
            </w:rPr>
            <w:t xml:space="preserve">https://cheatsheetseries.owasp.org/cheatsheets/IndexASVS.html</w:t>
          </w:r>
        </w:hyperlink>
      </w:hyperlink>
    </w:p>
    <w:bookmarkEnd w:id="281"/>
    <w:bookmarkStart w:id="285" w:name="проекты-mobile-security"/>
    <w:p>
      <w:pPr>
        <w:pStyle w:val="Heading2"/>
      </w:pPr>
      <w:r>
        <w:t xml:space="preserve">Проекты Mobile Security</w:t>
      </w:r>
    </w:p>
    <w:p>
      <w:pPr>
        <w:numPr>
          <w:ilvl w:val="0"/>
          <w:numId w:val="1040"/>
        </w:numPr>
        <w:pStyle w:val="Compact"/>
      </w:pPr>
      <w:r>
        <w:t xml:space="preserve">OWASP Mobile Security Project:</w:t>
      </w:r>
      <w:r>
        <w:t xml:space="preserve"> </w:t>
      </w:r>
      <w:hyperlink r:id="rId282">
        <w:hyperlink r:id="rId282">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83">
        <w:hyperlink r:id="rId283">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84">
        <w:hyperlink r:id="rId284">
          <w:r>
            <w:rPr>
              <w:rStyle w:val="Hyperlink"/>
            </w:rPr>
            <w:t xml:space="preserve">https://owasp.org/www-project-mobile-security-testing-guide/</w:t>
          </w:r>
        </w:hyperlink>
      </w:hyperlink>
    </w:p>
    <w:bookmarkEnd w:id="285"/>
    <w:bookmarkStart w:id="287" w:name="проект-owasp-internet-of-things"/>
    <w:p>
      <w:pPr>
        <w:pStyle w:val="Heading2"/>
      </w:pPr>
      <w:r>
        <w:t xml:space="preserve">Проект OWASP Internet of Things</w:t>
      </w:r>
    </w:p>
    <w:p>
      <w:pPr>
        <w:pStyle w:val="FirstParagraph"/>
      </w:pPr>
      <w:r>
        <w:t xml:space="preserve">OWASP Internet of Things:</w:t>
      </w:r>
      <w:r>
        <w:t xml:space="preserve"> </w:t>
      </w:r>
      <w:hyperlink r:id="rId286">
        <w:hyperlink r:id="rId286">
          <w:r>
            <w:rPr>
              <w:rStyle w:val="Hyperlink"/>
            </w:rPr>
            <w:t xml:space="preserve">https://owasp.org/www-project-internet-of-things/</w:t>
          </w:r>
        </w:hyperlink>
      </w:hyperlink>
    </w:p>
    <w:bookmarkEnd w:id="287"/>
    <w:bookmarkStart w:id="288" w:name="проект-owasp-serverless"/>
    <w:p>
      <w:pPr>
        <w:pStyle w:val="Heading2"/>
      </w:pPr>
      <w:r>
        <w:t xml:space="preserve">Проект OWASP Serverless</w:t>
      </w:r>
    </w:p>
    <w:p>
      <w:pPr>
        <w:pStyle w:val="FirstParagraph"/>
      </w:pPr>
      <w:r>
        <w:t xml:space="preserve">OWASP Serverless:</w:t>
      </w:r>
      <w:r>
        <w:t xml:space="preserve"> </w:t>
      </w:r>
      <w:hyperlink r:id="rId249">
        <w:hyperlink r:id="rId249">
          <w:r>
            <w:rPr>
              <w:rStyle w:val="Hyperlink"/>
            </w:rPr>
            <w:t xml:space="preserve">https://owasp.org/www-project-serverless-top-10/</w:t>
          </w:r>
        </w:hyperlink>
      </w:hyperlink>
    </w:p>
    <w:bookmarkEnd w:id="288"/>
    <w:bookmarkStart w:id="296" w:name="другие"/>
    <w:p>
      <w:pPr>
        <w:pStyle w:val="Heading2"/>
      </w:pPr>
      <w:r>
        <w:t xml:space="preserve">Другие</w:t>
      </w:r>
    </w:p>
    <w:p>
      <w:pPr>
        <w:pStyle w:val="FirstParagraph"/>
      </w:pPr>
      <w:r>
        <w:t xml:space="preserve">Следующие web-сайты, скорее всего, также будут полезны для читателей/последователей этого стандарта:</w:t>
      </w:r>
    </w:p>
    <w:p>
      <w:pPr>
        <w:numPr>
          <w:ilvl w:val="0"/>
          <w:numId w:val="1041"/>
        </w:numPr>
        <w:pStyle w:val="Compact"/>
      </w:pPr>
      <w:r>
        <w:t xml:space="preserve">SecLists Github:</w:t>
      </w:r>
      <w:r>
        <w:t xml:space="preserve"> </w:t>
      </w:r>
      <w:hyperlink r:id="rId289">
        <w:hyperlink r:id="rId289">
          <w:r>
            <w:rPr>
              <w:rStyle w:val="Hyperlink"/>
            </w:rPr>
            <w:t xml:space="preserve">https://github.com/danielmiessler/SecLists</w:t>
          </w:r>
        </w:hyperlink>
      </w:hyperlink>
    </w:p>
    <w:p>
      <w:pPr>
        <w:numPr>
          <w:ilvl w:val="0"/>
          <w:numId w:val="1041"/>
        </w:numPr>
        <w:pStyle w:val="Compact"/>
      </w:pPr>
      <w:r>
        <w:t xml:space="preserve">MITRE Common Weakness Enumeration:</w:t>
      </w:r>
      <w:r>
        <w:t xml:space="preserve"> </w:t>
      </w:r>
      <w:hyperlink r:id="rId290">
        <w:hyperlink r:id="rId290">
          <w:r>
            <w:rPr>
              <w:rStyle w:val="Hyperlink"/>
            </w:rPr>
            <w:t xml:space="preserve">https://cwe.mitre.org/</w:t>
          </w:r>
        </w:hyperlink>
      </w:hyperlink>
    </w:p>
    <w:p>
      <w:pPr>
        <w:numPr>
          <w:ilvl w:val="0"/>
          <w:numId w:val="1041"/>
        </w:numPr>
        <w:pStyle w:val="Compact"/>
      </w:pPr>
      <w:r>
        <w:t xml:space="preserve">PCI Security Standards Council:</w:t>
      </w:r>
      <w:r>
        <w:t xml:space="preserve"> </w:t>
      </w:r>
      <w:hyperlink r:id="rId291">
        <w:hyperlink r:id="rId291">
          <w:r>
            <w:rPr>
              <w:rStyle w:val="Hyperlink"/>
            </w:rPr>
            <w:t xml:space="preserve">https://www.pcisecuritystandards.org</w:t>
          </w:r>
        </w:hyperlink>
      </w:hyperlink>
    </w:p>
    <w:p>
      <w:pPr>
        <w:numPr>
          <w:ilvl w:val="0"/>
          <w:numId w:val="1041"/>
        </w:numPr>
        <w:pStyle w:val="Compact"/>
      </w:pPr>
      <w:r>
        <w:t xml:space="preserve">PCI Data Security Standard (DSS) v3.2.1 Requirements and Security Assessment Procedures:</w:t>
      </w:r>
      <w:r>
        <w:t xml:space="preserve"> </w:t>
      </w:r>
      <w:hyperlink r:id="rId293">
        <w:hyperlink r:id="rId292">
          <w:r>
            <w:rPr>
              <w:rStyle w:val="Hyperlink"/>
            </w:rPr>
            <w:t xml:space="preserve">https://www.pcisecuritystandards.org/documents/PCI_DSS_v3-2-1.pdf</w:t>
          </w:r>
        </w:hyperlink>
      </w:hyperlink>
    </w:p>
    <w:p>
      <w:pPr>
        <w:numPr>
          <w:ilvl w:val="0"/>
          <w:numId w:val="1041"/>
        </w:numPr>
        <w:pStyle w:val="Compact"/>
      </w:pPr>
      <w:r>
        <w:t xml:space="preserve">PCI Software Security Framework - Secure Software Requirements and Assessment Procedures:</w:t>
      </w:r>
      <w:r>
        <w:t xml:space="preserve"> </w:t>
      </w:r>
      <w:hyperlink r:id="rId294">
        <w:hyperlink r:id="rId294">
          <w:r>
            <w:rPr>
              <w:rStyle w:val="Hyperlink"/>
            </w:rPr>
            <w:t xml:space="preserve">https://www.pcisecuritystandards.org/documents/PCI-Secure-Software-Standard-v1_0.pdf</w:t>
          </w:r>
        </w:hyperlink>
      </w:hyperlink>
    </w:p>
    <w:p>
      <w:pPr>
        <w:numPr>
          <w:ilvl w:val="0"/>
          <w:numId w:val="1041"/>
        </w:numPr>
        <w:pStyle w:val="Compact"/>
      </w:pPr>
      <w:r>
        <w:t xml:space="preserve">PCI Secure Software Lifecycle (Secure SLC) Requirements and Assessment Procedures:</w:t>
      </w:r>
      <w:r>
        <w:t xml:space="preserve"> </w:t>
      </w:r>
      <w:hyperlink r:id="rId295">
        <w:hyperlink r:id="rId295">
          <w:r>
            <w:rPr>
              <w:rStyle w:val="Hyperlink"/>
            </w:rPr>
            <w:t xml:space="preserve">https://www.pcisecuritystandards.org/documents/PCI-Secure-SLC-Standard-v1_0.pdf</w:t>
          </w:r>
        </w:hyperlink>
      </w:hyperlink>
    </w:p>
    <w:bookmarkEnd w:id="296"/>
    <w:bookmarkEnd w:id="297"/>
    <w:bookmarkStart w:id="304" w:name="X81ab5c8b6ad52e05bf7a92fd0ff2ce5677844cd"/>
    <w:p>
      <w:pPr>
        <w:pStyle w:val="Heading1"/>
      </w:pPr>
      <w:r>
        <w:t xml:space="preserve">Приложение C: Требования к верификации Internet of Things</w:t>
      </w:r>
    </w:p>
    <w:p>
      <w:pPr>
        <w:pStyle w:val="FirstParagraph"/>
      </w:pPr>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w:t>
      </w:r>
      <w:r>
        <w:t xml:space="preserve"> </w:t>
      </w:r>
      <w:hyperlink r:id="rId286">
        <w:r>
          <w:rPr>
            <w:rStyle w:val="Hyperlink"/>
          </w:rPr>
          <w:t xml:space="preserve">OWASP IoT</w:t>
        </w:r>
      </w:hyperlink>
    </w:p>
    <w:bookmarkStart w:id="298" w:name="задачи-контроля-14"/>
    <w:p>
      <w:pPr>
        <w:pStyle w:val="Heading2"/>
      </w:pPr>
      <w:r>
        <w:t xml:space="preserve">Задачи контроля</w:t>
      </w:r>
    </w:p>
    <w:p>
      <w:pPr>
        <w:pStyle w:val="FirstParagraph"/>
      </w:pPr>
      <w:r>
        <w:t xml:space="preserve">Встраиваемые / IoT-устройства должны:</w:t>
      </w:r>
    </w:p>
    <w:p>
      <w:pPr>
        <w:numPr>
          <w:ilvl w:val="0"/>
          <w:numId w:val="1042"/>
        </w:numPr>
        <w:pStyle w:val="Compact"/>
      </w:pPr>
      <w:r>
        <w:t xml:space="preserve">Обеспечивать тот же уровень безопасности на устройстве, что и на сервере, применяя меры безопасности в доверенной среде.</w:t>
      </w:r>
    </w:p>
    <w:p>
      <w:pPr>
        <w:numPr>
          <w:ilvl w:val="0"/>
          <w:numId w:val="1042"/>
        </w:numPr>
        <w:pStyle w:val="Compact"/>
      </w:pPr>
      <w:r>
        <w:t xml:space="preserve">Конфиденциальные данные, хранящиеся на устройстве, должны храниться безопасным образом с использованием аппаратного хранилища, например, Secure Element.</w:t>
      </w:r>
    </w:p>
    <w:p>
      <w:pPr>
        <w:numPr>
          <w:ilvl w:val="0"/>
          <w:numId w:val="1042"/>
        </w:numPr>
        <w:pStyle w:val="Compact"/>
      </w:pPr>
      <w:r>
        <w:t xml:space="preserve">Все конфиденциальные данные, передаваемые с устройства, должны использовать безопасность транспортного уровня (TLS).</w:t>
      </w:r>
    </w:p>
    <w:bookmarkEnd w:id="298"/>
    <w:bookmarkStart w:id="299" w:name="верификация-требований-к-безопасности-2"/>
    <w:p>
      <w:pPr>
        <w:pStyle w:val="Heading2"/>
      </w:pPr>
      <w:r>
        <w:t xml:space="preserve">Верификация требований к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Описание</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Версия</w:t>
            </w:r>
          </w:p>
        </w:tc>
      </w:tr>
      <w:tr>
        <w:tc>
          <w:tcPr/>
          <w:p>
            <w:pPr>
              <w:pStyle w:val="Compact"/>
              <w:jc w:val="left"/>
            </w:pPr>
            <w:r>
              <w:rPr>
                <w:bCs/>
                <w:b/>
              </w:rPr>
              <w:t xml:space="preserve">C.1</w:t>
            </w:r>
          </w:p>
        </w:tc>
        <w:tc>
          <w:tcPr/>
          <w:p>
            <w:pPr>
              <w:pStyle w:val="Compact"/>
              <w:jc w:val="left"/>
            </w:pPr>
            <w:r>
              <w:t xml:space="preserve">Убедитесь, что последовательные интерфейсы отладки прикладного уровня, такие как USB, UART и другие, отключены или защищены сложным паролем.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Убедитесь, что криптографические ключи и сертификаты уникальны для каждого отдельного устройства.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Убедитесь, что во встроенной операционной системе/IoT включены средства защиты памяти, такие как ASLR и DEP, если применимо.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Убедитесь, что если на SoC или процессоре устройства реализовано доверенное выполнение, то оно включено.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Убедитесь, что приложения встроенного ПО защищают передаваемые данные с помощью безопасности транспортного уровня (TLS).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Убедитесь, что приложения встроенного ПО проверяют электронную подпись подключений к серверу.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Убедитесь, что беспроводные подключения проходят взаимную аутентификацию.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Убедитесь, что беспроводные подключения осуществляются по зашифрованному каналу.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Убедитесь, что любое использование запрещенных функций на языке C заменено их безопасными эквивалентами.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Убедитесь, что весь код, включая сторонние бинарные файлы, библиотеки и фреймворки, проверяется на наличие в коде учётных данных (бэкдоров).</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Убедитесь, что приложения встроенного ПО закрепляют (pinning) электронную подпись на доверенных серверах.</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Убедитесь в наличии средств защиты от несанкционированного доступа и/или его обнаружения.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Убедитесь, что включены все имеющиеся технологии защиты интеллектуальной собственности, предоставляемые производителем чипа.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Убедитесь, что меры безопасности препятствуют обратному инжинирингу встроенного ПО (например, удалению символов детализации отладки).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Убедитесь, что перед загрузкой устройство проверяет подпись загрузочного образа.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Убедитесь, что процесс обновления прошивки не подвержен атакам типа «момент проверки до момента использования».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Перед установкой убедитесь, что устройство использует подпись кода и проверяет файлы обновления прошивки.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Убедитесь, что версия прошивки устройство не может быть понижена до старых версий (анти-откат).</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Убедитесь, что прошивка может выполнять автоматическое обновление по заданному расписанию.</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Убедитесь, что используются только микроконтроллеры, поддерживающие отключение интерфейсов отладки (например, JTAG,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Убедитесь, что конфиденциальные дорожки не соприкасаются с внешними слоями печатной платы.</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Убедитесь, что канал связи между микросхемами зашифрован (например, между основной и дочерней платой).</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Убедитесь, что устройство использует подпись кода и проверяет код перед выполнением.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Убедитесь, что конфиденциальная информация, хранящаяся в памяти, перезаписывается нулями, как только она больше не требуется.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Убедитесь, что приложения встроенного ПО используют контейнеры ядра для изоляции между приложениями.</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Убедитесь, что для сборок микропрограмм настроены безопасные флаги компилятора, такие как -fPIE, -fstack-protector-all, -Wl,-z,noexecstack, -Wl,-z,noexecheap.</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Убедитесь, что в микроконтроллере настроена защита кода (если применимо).</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9"/>
    <w:bookmarkStart w:id="303"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43"/>
        </w:numPr>
        <w:pStyle w:val="Compact"/>
      </w:pPr>
      <w:hyperlink r:id="rId300">
        <w:r>
          <w:rPr>
            <w:rStyle w:val="Hyperlink"/>
          </w:rPr>
          <w:t xml:space="preserve">OWASP Internet of Things Top 10</w:t>
        </w:r>
      </w:hyperlink>
    </w:p>
    <w:p>
      <w:pPr>
        <w:numPr>
          <w:ilvl w:val="0"/>
          <w:numId w:val="1043"/>
        </w:numPr>
        <w:pStyle w:val="Compact"/>
      </w:pPr>
      <w:hyperlink r:id="rId301">
        <w:r>
          <w:rPr>
            <w:rStyle w:val="Hyperlink"/>
          </w:rPr>
          <w:t xml:space="preserve">OWASP Embedded Application Security Project</w:t>
        </w:r>
      </w:hyperlink>
    </w:p>
    <w:p>
      <w:pPr>
        <w:numPr>
          <w:ilvl w:val="0"/>
          <w:numId w:val="1043"/>
        </w:numPr>
        <w:pStyle w:val="Compact"/>
      </w:pPr>
      <w:hyperlink r:id="rId286">
        <w:r>
          <w:rPr>
            <w:rStyle w:val="Hyperlink"/>
          </w:rPr>
          <w:t xml:space="preserve">OWASP Internet of Things Project</w:t>
        </w:r>
      </w:hyperlink>
    </w:p>
    <w:p>
      <w:pPr>
        <w:numPr>
          <w:ilvl w:val="0"/>
          <w:numId w:val="1043"/>
        </w:numPr>
        <w:pStyle w:val="Compact"/>
      </w:pPr>
      <w:hyperlink r:id="rId302">
        <w:r>
          <w:rPr>
            <w:rStyle w:val="Hyperlink"/>
          </w:rPr>
          <w:t xml:space="preserve">Trudy TCP Proxy Tool</w:t>
        </w:r>
      </w:hyperlink>
    </w:p>
    <w:bookmarkEnd w:id="303"/>
    <w:bookmarkEnd w:id="304"/>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2023-06-23T23:09:07Z</dcterms:created>
  <dcterms:modified xsi:type="dcterms:W3CDTF">2023-06-23T23:09:07Z</dcterms:modified>
</cp:coreProperties>
</file>

<file path=docProps/custom.xml><?xml version="1.0" encoding="utf-8"?>
<Properties xmlns="http://schemas.openxmlformats.org/officeDocument/2006/custom-properties" xmlns:vt="http://schemas.openxmlformats.org/officeDocument/2006/docPropsVTypes"/>
</file>