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74B5"/>
          <w:sz w:val="21"/>
        </w:rPr>
        <w:t>ARCHITECTURE PROPOSAL</w:t>
      </w:r>
    </w:p>
    <w:p>
      <w:pPr>
        <w:spacing w:after="80"/>
      </w:pPr>
      <w:r>
        <w:rPr>
          <w:b/>
          <w:color w:val="12202F"/>
          <w:sz w:val="48"/>
        </w:rPr>
        <w:t>AFH AI Platform Architecture Proposal</w:t>
      </w:r>
    </w:p>
    <w:p>
      <w:pPr>
        <w:spacing w:after="240"/>
      </w:pPr>
      <w:r>
        <w:rPr>
          <w:color w:val="596069"/>
          <w:sz w:val="26"/>
        </w:rPr>
        <w:t>MCP Gateway, service-owned AI tools, DevOps integration, security model, SDK strategy, and five-year growth path</w:t>
      </w:r>
    </w:p>
    <w:tbl>
      <w:tblPr>
        <w:tblStyle w:val="TableGrid"/>
        <w:tblW w:type="auto" w:w="0"/>
        <w:jc w:val="center"/>
        <w:tblLayout w:type="fixed"/>
        <w:tblLook w:firstColumn="1" w:firstRow="1" w:lastColumn="0" w:lastRow="0" w:noHBand="0" w:noVBand="1" w:val="04A0"/>
      </w:tblPr>
      <w:tblGrid>
        <w:gridCol w:w="4680"/>
        <w:gridCol w:w="4680"/>
      </w:tblGrid>
      <w:tr>
        <w:tc>
          <w:tcPr>
            <w:tcW w:type="dxa" w:w="1944"/>
            <w:shd w:fill="E8EEF5"/>
            <w:vAlign w:val="center"/>
            <w:tcMar>
              <w:top w:w="100" w:type="dxa"/>
              <w:bottom w:w="100" w:type="dxa"/>
              <w:start w:w="100" w:type="dxa"/>
              <w:end w:w="100" w:type="dxa"/>
            </w:tcMar>
          </w:tcPr>
          <w:p>
            <w:pPr>
              <w:spacing w:after="0"/>
            </w:pPr>
            <w:r/>
            <w:r>
              <w:rPr>
                <w:rFonts w:ascii="Calibri" w:hAnsi="Calibri"/>
                <w:b/>
                <w:color w:val="12202F"/>
                <w:sz w:val="18"/>
              </w:rPr>
              <w:t>Field</w:t>
            </w:r>
          </w:p>
        </w:tc>
        <w:tc>
          <w:tcPr>
            <w:tcW w:type="dxa" w:w="7272"/>
            <w:shd w:fill="E8EEF5"/>
            <w:vAlign w:val="center"/>
            <w:tcMar>
              <w:top w:w="100" w:type="dxa"/>
              <w:bottom w:w="100" w:type="dxa"/>
              <w:start w:w="100" w:type="dxa"/>
              <w:end w:w="100" w:type="dxa"/>
            </w:tcMar>
          </w:tcPr>
          <w:p>
            <w:pPr>
              <w:spacing w:after="0"/>
            </w:pPr>
            <w:r/>
            <w:r>
              <w:rPr>
                <w:rFonts w:ascii="Calibri" w:hAnsi="Calibri"/>
                <w:b/>
                <w:color w:val="12202F"/>
                <w:sz w:val="18"/>
              </w:rPr>
              <w:t>Value</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Audience</w:t>
            </w:r>
          </w:p>
        </w:tc>
        <w:tc>
          <w:tcPr>
            <w:tcW w:type="dxa" w:w="7272"/>
            <w:vAlign w:val="center"/>
            <w:tcMar>
              <w:top w:w="100" w:type="dxa"/>
              <w:bottom w:w="100" w:type="dxa"/>
              <w:start w:w="100" w:type="dxa"/>
              <w:end w:w="100" w:type="dxa"/>
            </w:tcMar>
          </w:tcPr>
          <w:p>
            <w:pPr>
              <w:spacing w:after="0"/>
            </w:pPr>
            <w:r/>
            <w:r>
              <w:rPr>
                <w:rFonts w:ascii="Calibri" w:hAnsi="Calibri"/>
                <w:b w:val="0"/>
                <w:sz w:val="17"/>
              </w:rPr>
              <w:t>Senior engineers, architects, platform owners, and service owners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Status</w:t>
            </w:r>
          </w:p>
        </w:tc>
        <w:tc>
          <w:tcPr>
            <w:tcW w:type="dxa" w:w="7272"/>
            <w:vAlign w:val="center"/>
            <w:tcMar>
              <w:top w:w="100" w:type="dxa"/>
              <w:bottom w:w="100" w:type="dxa"/>
              <w:start w:w="100" w:type="dxa"/>
              <w:end w:w="100" w:type="dxa"/>
            </w:tcMar>
          </w:tcPr>
          <w:p>
            <w:pPr>
              <w:spacing w:after="0"/>
            </w:pPr>
            <w:r/>
            <w:r>
              <w:rPr>
                <w:rFonts w:ascii="Calibri" w:hAnsi="Calibri"/>
                <w:b w:val="0"/>
                <w:sz w:val="17"/>
              </w:rPr>
              <w:t>Proposed</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Proposal</w:t>
            </w:r>
          </w:p>
        </w:tc>
        <w:tc>
          <w:tcPr>
            <w:tcW w:type="dxa" w:w="7272"/>
            <w:vAlign w:val="center"/>
            <w:tcMar>
              <w:top w:w="100" w:type="dxa"/>
              <w:bottom w:w="100" w:type="dxa"/>
              <w:start w:w="100" w:type="dxa"/>
              <w:end w:w="100" w:type="dxa"/>
            </w:tcMar>
          </w:tcPr>
          <w:p>
            <w:pPr>
              <w:spacing w:after="0"/>
            </w:pPr>
            <w:r/>
            <w:r>
              <w:rPr>
                <w:rFonts w:ascii="Calibri" w:hAnsi="Calibri"/>
                <w:b w:val="0"/>
                <w:sz w:val="17"/>
              </w:rPr>
              <w:t>Introduce a central MCP Gateway with service-owned tool providers, evolving toward workflow-specific services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Scope</w:t>
            </w:r>
          </w:p>
        </w:tc>
        <w:tc>
          <w:tcPr>
            <w:tcW w:type="dxa" w:w="7272"/>
            <w:vAlign w:val="center"/>
            <w:tcMar>
              <w:top w:w="100" w:type="dxa"/>
              <w:bottom w:w="100" w:type="dxa"/>
              <w:start w:w="100" w:type="dxa"/>
              <w:end w:w="100" w:type="dxa"/>
            </w:tcMar>
          </w:tcPr>
          <w:p>
            <w:pPr>
              <w:spacing w:after="0"/>
            </w:pPr>
            <w:r/>
            <w:r>
              <w:rPr>
                <w:rFonts w:ascii="Calibri" w:hAnsi="Calibri"/>
                <w:b w:val="0"/>
                <w:sz w:val="17"/>
              </w:rPr>
              <w:t>Existing services under /services and shared SDKs under /sdk</w:t>
            </w:r>
          </w:p>
        </w:tc>
      </w:tr>
    </w:tbl>
    <w:p>
      <w:pPr>
        <w:spacing w:after="60"/>
      </w:pPr>
    </w:p>
    <w:tbl>
      <w:tblPr>
        <w:tblStyle w:val="TableGrid"/>
        <w:tblW w:type="auto" w:w="0"/>
        <w:jc w:val="center"/>
        <w:tblLayout w:type="fixed"/>
        <w:tblLook w:firstColumn="1" w:firstRow="1" w:lastColumn="0" w:lastRow="0" w:noHBand="0" w:noVBand="1" w:val="04A0"/>
      </w:tblPr>
      <w:tblGrid>
        <w:gridCol w:w="9360"/>
      </w:tblGrid>
      <w:tr>
        <w:tc>
          <w:tcPr>
            <w:tcW w:type="dxa" w:w="9288"/>
            <w:tcMar>
              <w:top w:w="100" w:type="dxa"/>
              <w:bottom w:w="100" w:type="dxa"/>
              <w:start w:w="100" w:type="dxa"/>
              <w:end w:w="100" w:type="dxa"/>
            </w:tcMar>
            <w:shd w:fill="E8EEF5"/>
          </w:tcPr>
          <w:p>
            <w:pPr>
              <w:spacing w:before="60" w:after="60"/>
            </w:pPr>
            <w:r>
              <w:rPr>
                <w:b/>
                <w:color w:val="1F4D78"/>
                <w:sz w:val="21"/>
              </w:rPr>
              <w:t>Proposed approach</w:t>
            </w:r>
            <w:r>
              <w:br/>
            </w:r>
            <w:r>
              <w:rPr>
                <w:color w:val="12202F"/>
                <w:sz w:val="20"/>
              </w:rPr>
              <w:t>Introduce an AFH MCP Gateway as the governed AI entry point. Keep business logic in the existing services, publish service-owned tool manifests, and add dedicated workflow services for DevOps and document intelligence when workflows become stateful or long-running.</w:t>
            </w:r>
          </w:p>
        </w:tc>
      </w:tr>
    </w:tbl>
    <w:p>
      <w:pPr>
        <w:spacing w:after="40"/>
      </w:pPr>
    </w:p>
    <w:p>
      <w:pPr>
        <w:pStyle w:val="Heading1"/>
      </w:pPr>
      <w:r>
        <w:t>1. Executive summary</w:t>
      </w:r>
    </w:p>
    <w:p>
      <w:r>
        <w:t>This proposal recommends introducing AI capabilities through a governed MCP Gateway rather than asking every AI client to connect to every microservice directly. The gateway is positioned as a protocol and policy boundary, not a new home for domain logic.</w:t>
      </w:r>
    </w:p>
    <w:p>
      <w:r>
        <w:t>The current solution already has the right ingredients for this model: Azure Functions services, clear Contract/Application/Domain/Infrastructure/Function layering, existing HTTP APIs, OpenAPI/Scalar documentation, shared SDKs, gateway function apps, and service-specific persistence/integration boundaries.</w:t>
      </w:r>
    </w:p>
    <w:p>
      <w:pPr>
        <w:pStyle w:val="ListBullet"/>
        <w:spacing w:after="80"/>
      </w:pPr>
      <w:r>
        <w:t>Position the MCP Gateway as the single AI entry point for Codex, GitHub Copilot, ChatGPT, Claude, and future internal agents.</w:t>
      </w:r>
    </w:p>
    <w:p>
      <w:pPr>
        <w:pStyle w:val="ListBullet"/>
        <w:spacing w:after="80"/>
      </w:pPr>
      <w:r>
        <w:t>Let each service own the tools that map to its domain, such as booking.*, calendar.*, notification.*, location.*, adviser.*, identity.*, acs.*, client.*, devops.*, and sharepoint.*.</w:t>
      </w:r>
    </w:p>
    <w:p>
      <w:pPr>
        <w:pStyle w:val="ListBullet"/>
        <w:spacing w:after="80"/>
      </w:pPr>
      <w:r>
        <w:t>Extend shared SDKs for AI/MCP contracts, actor context, redaction, audit envelopes, and protocol helpers.</w:t>
      </w:r>
    </w:p>
    <w:p>
      <w:pPr>
        <w:pStyle w:val="ListBullet"/>
        <w:spacing w:after="80"/>
      </w:pPr>
      <w:r>
        <w:t>Introduce DevOps Integration as a service/function app because Azure DevOps secrets, managed identity, audit policy, and workflow state need a runtime boundary.</w:t>
      </w:r>
    </w:p>
    <w:p>
      <w:pPr>
        <w:pStyle w:val="ListBullet"/>
        <w:spacing w:after="80"/>
      </w:pPr>
      <w:r>
        <w:t>Move stateful or high-risk AI workflows into dedicated workflow services instead of growing the gateway into a God Service.</w:t>
      </w:r>
    </w:p>
    <w:p>
      <w:pPr>
        <w:pStyle w:val="Heading1"/>
      </w:pPr>
      <w:r>
        <w:t>2. Current architecture</w:t>
      </w:r>
    </w:p>
    <w:p>
      <w:r>
        <w:t>The solution is a set of Azure Functions-based services under /services, supported by cross-cutting SDKs under /sdk. Each major service largely follows a Clean Architecture shape: Contract, Domain, Application, Infrastructure, Function, and tests.</w:t>
      </w:r>
    </w:p>
    <w:p>
      <w:pPr>
        <w:jc w:val="center"/>
      </w:pPr>
      <w:r>
        <w:drawing>
          <wp:inline xmlns:a="http://schemas.openxmlformats.org/drawingml/2006/main" xmlns:pic="http://schemas.openxmlformats.org/drawingml/2006/picture">
            <wp:extent cx="5897880" cy="3407664"/>
            <wp:docPr id="1" name="Picture 1"/>
            <wp:cNvGraphicFramePr>
              <a:graphicFrameLocks noChangeAspect="1"/>
            </wp:cNvGraphicFramePr>
            <a:graphic>
              <a:graphicData uri="http://schemas.openxmlformats.org/drawingml/2006/picture">
                <pic:pic>
                  <pic:nvPicPr>
                    <pic:cNvPr id="0" name="ai-platform-target-architecture.png"/>
                    <pic:cNvPicPr/>
                  </pic:nvPicPr>
                  <pic:blipFill>
                    <a:blip r:embed="rId10"/>
                    <a:stretch>
                      <a:fillRect/>
                    </a:stretch>
                  </pic:blipFill>
                  <pic:spPr>
                    <a:xfrm>
                      <a:off x="0" y="0"/>
                      <a:ext cx="5897880" cy="3407664"/>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20"/>
            <w:shd w:fill="E8EEF5"/>
            <w:vAlign w:val="center"/>
            <w:tcMar>
              <w:top w:w="100" w:type="dxa"/>
              <w:bottom w:w="100" w:type="dxa"/>
              <w:start w:w="100" w:type="dxa"/>
              <w:end w:w="100" w:type="dxa"/>
            </w:tcMar>
          </w:tcPr>
          <w:p>
            <w:pPr>
              <w:spacing w:after="0"/>
            </w:pPr>
            <w:r/>
            <w:r>
              <w:rPr>
                <w:rFonts w:ascii="Calibri" w:hAnsi="Calibri"/>
                <w:b/>
                <w:color w:val="12202F"/>
                <w:sz w:val="18"/>
              </w:rPr>
              <w:t>Service</w:t>
            </w:r>
          </w:p>
        </w:tc>
        <w:tc>
          <w:tcPr>
            <w:tcW w:type="dxa" w:w="4824"/>
            <w:shd w:fill="E8EEF5"/>
            <w:vAlign w:val="center"/>
            <w:tcMar>
              <w:top w:w="100" w:type="dxa"/>
              <w:bottom w:w="100" w:type="dxa"/>
              <w:start w:w="100" w:type="dxa"/>
              <w:end w:w="100" w:type="dxa"/>
            </w:tcMar>
          </w:tcPr>
          <w:p>
            <w:pPr>
              <w:spacing w:after="0"/>
            </w:pPr>
            <w:r/>
            <w:r>
              <w:rPr>
                <w:rFonts w:ascii="Calibri" w:hAnsi="Calibri"/>
                <w:b/>
                <w:color w:val="12202F"/>
                <w:sz w:val="18"/>
              </w:rPr>
              <w:t>Current responsibility</w:t>
            </w:r>
          </w:p>
        </w:tc>
        <w:tc>
          <w:tcPr>
            <w:tcW w:type="dxa" w:w="1872"/>
            <w:shd w:fill="E8EEF5"/>
            <w:vAlign w:val="center"/>
            <w:tcMar>
              <w:top w:w="100" w:type="dxa"/>
              <w:bottom w:w="100" w:type="dxa"/>
              <w:start w:w="100" w:type="dxa"/>
              <w:end w:w="100" w:type="dxa"/>
            </w:tcMar>
          </w:tcPr>
          <w:p>
            <w:pPr>
              <w:spacing w:after="0"/>
            </w:pPr>
            <w:r/>
            <w:r>
              <w:rPr>
                <w:rFonts w:ascii="Calibri" w:hAnsi="Calibri"/>
                <w:b/>
                <w:color w:val="12202F"/>
                <w:sz w:val="18"/>
              </w:rPr>
              <w:t>AI capability owner</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afh-booking-function-app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Availability, holds, bookings, cancellations, rearrangements, approvals, lifecycle, reporting, config, duplicate clients, client lookup, projections.</w:t>
            </w:r>
          </w:p>
        </w:tc>
        <w:tc>
          <w:tcPr>
            <w:tcW w:type="dxa" w:w="1872"/>
            <w:vAlign w:val="center"/>
            <w:tcMar>
              <w:top w:w="100" w:type="dxa"/>
              <w:bottom w:w="100" w:type="dxa"/>
              <w:start w:w="100" w:type="dxa"/>
              <w:end w:w="100" w:type="dxa"/>
            </w:tcMar>
          </w:tcPr>
          <w:p>
            <w:pPr>
              <w:spacing w:after="0"/>
            </w:pPr>
            <w:r/>
            <w:r>
              <w:rPr>
                <w:rFonts w:ascii="Calibri" w:hAnsi="Calibri"/>
                <w:b w:val="0"/>
                <w:sz w:val="17"/>
              </w:rPr>
              <w:t>booking.*</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afh-calendar-function-app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Schedules, appointment create/update/cancel, Microsoft Graph subscriptions, webhook handling, projections.</w:t>
            </w:r>
          </w:p>
        </w:tc>
        <w:tc>
          <w:tcPr>
            <w:tcW w:type="dxa" w:w="1872"/>
            <w:vAlign w:val="center"/>
            <w:tcMar>
              <w:top w:w="100" w:type="dxa"/>
              <w:bottom w:w="100" w:type="dxa"/>
              <w:start w:w="100" w:type="dxa"/>
              <w:end w:w="100" w:type="dxa"/>
            </w:tcMar>
          </w:tcPr>
          <w:p>
            <w:pPr>
              <w:spacing w:after="0"/>
            </w:pPr>
            <w:r/>
            <w:r>
              <w:rPr>
                <w:rFonts w:ascii="Calibri" w:hAnsi="Calibri"/>
                <w:b w:val="0"/>
                <w:sz w:val="17"/>
              </w:rPr>
              <w:t>calendar.*</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afh-notification-function-app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Notification requests, templates, settings, retry policies, dispatch/message logs, bouncebacks.</w:t>
            </w:r>
          </w:p>
        </w:tc>
        <w:tc>
          <w:tcPr>
            <w:tcW w:type="dxa" w:w="1872"/>
            <w:vAlign w:val="center"/>
            <w:tcMar>
              <w:top w:w="100" w:type="dxa"/>
              <w:bottom w:w="100" w:type="dxa"/>
              <w:start w:w="100" w:type="dxa"/>
              <w:end w:w="100" w:type="dxa"/>
            </w:tcMar>
          </w:tcPr>
          <w:p>
            <w:pPr>
              <w:spacing w:after="0"/>
            </w:pPr>
            <w:r/>
            <w:r>
              <w:rPr>
                <w:rFonts w:ascii="Calibri" w:hAnsi="Calibri"/>
                <w:b w:val="0"/>
                <w:sz w:val="17"/>
              </w:rPr>
              <w:t>notification.*</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afh-location-function-app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Travel coverage, route time, location policy, organisation assignments, plus currently co-hosted adviser/identity surfaces.</w:t>
            </w:r>
          </w:p>
        </w:tc>
        <w:tc>
          <w:tcPr>
            <w:tcW w:type="dxa" w:w="1872"/>
            <w:vAlign w:val="center"/>
            <w:tcMar>
              <w:top w:w="100" w:type="dxa"/>
              <w:bottom w:w="100" w:type="dxa"/>
              <w:start w:w="100" w:type="dxa"/>
              <w:end w:w="100" w:type="dxa"/>
            </w:tcMar>
          </w:tcPr>
          <w:p>
            <w:pPr>
              <w:spacing w:after="0"/>
            </w:pPr>
            <w:r/>
            <w:r>
              <w:rPr>
                <w:rFonts w:ascii="Calibri" w:hAnsi="Calibri"/>
                <w:b w:val="0"/>
                <w:sz w:val="17"/>
              </w:rPr>
              <w:t>location.*</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afh-adviser-function-app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Adviser profiles, specialisms, coverage, availability rules, cache sync.</w:t>
            </w:r>
          </w:p>
        </w:tc>
        <w:tc>
          <w:tcPr>
            <w:tcW w:type="dxa" w:w="1872"/>
            <w:vAlign w:val="center"/>
            <w:tcMar>
              <w:top w:w="100" w:type="dxa"/>
              <w:bottom w:w="100" w:type="dxa"/>
              <w:start w:w="100" w:type="dxa"/>
              <w:end w:w="100" w:type="dxa"/>
            </w:tcMar>
          </w:tcPr>
          <w:p>
            <w:pPr>
              <w:spacing w:after="0"/>
            </w:pPr>
            <w:r/>
            <w:r>
              <w:rPr>
                <w:rFonts w:ascii="Calibri" w:hAnsi="Calibri"/>
                <w:b w:val="0"/>
                <w:sz w:val="17"/>
              </w:rPr>
              <w:t>adviser.*</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afh-identity-function-app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Users, partners, roles, permissions, access scopes, current user context.</w:t>
            </w:r>
          </w:p>
        </w:tc>
        <w:tc>
          <w:tcPr>
            <w:tcW w:type="dxa" w:w="1872"/>
            <w:vAlign w:val="center"/>
            <w:tcMar>
              <w:top w:w="100" w:type="dxa"/>
              <w:bottom w:w="100" w:type="dxa"/>
              <w:start w:w="100" w:type="dxa"/>
              <w:end w:w="100" w:type="dxa"/>
            </w:tcMar>
          </w:tcPr>
          <w:p>
            <w:pPr>
              <w:spacing w:after="0"/>
            </w:pPr>
            <w:r/>
            <w:r>
              <w:rPr>
                <w:rFonts w:ascii="Calibri" w:hAnsi="Calibri"/>
                <w:b w:val="0"/>
                <w:sz w:val="17"/>
              </w:rPr>
              <w:t>identity.*</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afh-acs-function-app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ACS meetings, join tokens, links, recordings, transcriptions.</w:t>
            </w:r>
          </w:p>
        </w:tc>
        <w:tc>
          <w:tcPr>
            <w:tcW w:type="dxa" w:w="1872"/>
            <w:vAlign w:val="center"/>
            <w:tcMar>
              <w:top w:w="100" w:type="dxa"/>
              <w:bottom w:w="100" w:type="dxa"/>
              <w:start w:w="100" w:type="dxa"/>
              <w:end w:w="100" w:type="dxa"/>
            </w:tcMar>
          </w:tcPr>
          <w:p>
            <w:pPr>
              <w:spacing w:after="0"/>
            </w:pPr>
            <w:r/>
            <w:r>
              <w:rPr>
                <w:rFonts w:ascii="Calibri" w:hAnsi="Calibri"/>
                <w:b w:val="0"/>
                <w:sz w:val="17"/>
              </w:rPr>
              <w:t>acs.*</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afh-client-integration-function-app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Prospects, client integration, XPlan, Snowflake transaction/status tracking.</w:t>
            </w:r>
          </w:p>
        </w:tc>
        <w:tc>
          <w:tcPr>
            <w:tcW w:type="dxa" w:w="1872"/>
            <w:vAlign w:val="center"/>
            <w:tcMar>
              <w:top w:w="100" w:type="dxa"/>
              <w:bottom w:w="100" w:type="dxa"/>
              <w:start w:w="100" w:type="dxa"/>
              <w:end w:w="100" w:type="dxa"/>
            </w:tcMar>
          </w:tcPr>
          <w:p>
            <w:pPr>
              <w:spacing w:after="0"/>
            </w:pPr>
            <w:r/>
            <w:r>
              <w:rPr>
                <w:rFonts w:ascii="Calibri" w:hAnsi="Calibri"/>
                <w:b w:val="0"/>
                <w:sz w:val="17"/>
              </w:rPr>
              <w:t>client.*</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afh-booking-admin-gateway-function-app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Admin gateway/proxy and admin health/sync APIs.</w:t>
            </w:r>
          </w:p>
        </w:tc>
        <w:tc>
          <w:tcPr>
            <w:tcW w:type="dxa" w:w="1872"/>
            <w:vAlign w:val="center"/>
            <w:tcMar>
              <w:top w:w="100" w:type="dxa"/>
              <w:bottom w:w="100" w:type="dxa"/>
              <w:start w:w="100" w:type="dxa"/>
              <w:end w:w="100" w:type="dxa"/>
            </w:tcMar>
          </w:tcPr>
          <w:p>
            <w:pPr>
              <w:spacing w:after="0"/>
            </w:pPr>
            <w:r/>
            <w:r>
              <w:rPr>
                <w:rFonts w:ascii="Calibri" w:hAnsi="Calibri"/>
                <w:b w:val="0"/>
                <w:sz w:val="17"/>
              </w:rPr>
              <w:t>No domain tools; useful precedent for gateway operations.</w:t>
            </w:r>
          </w:p>
        </w:tc>
      </w:tr>
      <w:tr>
        <w:tc>
          <w:tcPr>
            <w:tcW w:type="dxa" w:w="2520"/>
            <w:vAlign w:val="center"/>
            <w:tcMar>
              <w:top w:w="100" w:type="dxa"/>
              <w:bottom w:w="100" w:type="dxa"/>
              <w:start w:w="100" w:type="dxa"/>
              <w:end w:w="100" w:type="dxa"/>
            </w:tcMar>
          </w:tcPr>
          <w:p>
            <w:pPr>
              <w:spacing w:after="0"/>
            </w:pPr>
            <w:r/>
            <w:r>
              <w:rPr>
                <w:rFonts w:ascii="Calibri" w:hAnsi="Calibri"/>
                <w:b w:val="0"/>
                <w:sz w:val="17"/>
              </w:rPr>
              <w:t>afh-booking-consumer-gateway-function-app</w:t>
            </w:r>
          </w:p>
        </w:tc>
        <w:tc>
          <w:tcPr>
            <w:tcW w:type="dxa" w:w="4824"/>
            <w:vAlign w:val="center"/>
            <w:tcMar>
              <w:top w:w="100" w:type="dxa"/>
              <w:bottom w:w="100" w:type="dxa"/>
              <w:start w:w="100" w:type="dxa"/>
              <w:end w:w="100" w:type="dxa"/>
            </w:tcMar>
          </w:tcPr>
          <w:p>
            <w:pPr>
              <w:spacing w:after="0"/>
            </w:pPr>
            <w:r/>
            <w:r>
              <w:rPr>
                <w:rFonts w:ascii="Calibri" w:hAnsi="Calibri"/>
                <w:b w:val="0"/>
                <w:sz w:val="17"/>
              </w:rPr>
              <w:t>Consumer gateway shell and downstream health registry.</w:t>
            </w:r>
          </w:p>
        </w:tc>
        <w:tc>
          <w:tcPr>
            <w:tcW w:type="dxa" w:w="1872"/>
            <w:vAlign w:val="center"/>
            <w:tcMar>
              <w:top w:w="100" w:type="dxa"/>
              <w:bottom w:w="100" w:type="dxa"/>
              <w:start w:w="100" w:type="dxa"/>
              <w:end w:w="100" w:type="dxa"/>
            </w:tcMar>
          </w:tcPr>
          <w:p>
            <w:pPr>
              <w:spacing w:after="0"/>
            </w:pPr>
            <w:r/>
            <w:r>
              <w:rPr>
                <w:rFonts w:ascii="Calibri" w:hAnsi="Calibri"/>
                <w:b w:val="0"/>
                <w:sz w:val="17"/>
              </w:rPr>
              <w:t>No domain tools initially.</w:t>
            </w:r>
          </w:p>
        </w:tc>
      </w:tr>
    </w:tbl>
    <w:p>
      <w:pPr>
        <w:spacing w:after="60"/>
      </w:pPr>
    </w:p>
    <w:p>
      <w:pPr>
        <w:pStyle w:val="Heading2"/>
      </w:pPr>
      <w:r>
        <w:t>2.1 Existing services and proposed implementation</w:t>
      </w:r>
    </w:p>
    <w:p>
      <w:r>
        <w:t>The proposal separates what already exists from what would be added. Existing business services remain the system of record; new AI-facing components provide protocol, discovery, and integration boundaries.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944"/>
            <w:shd w:fill="E8EEF5"/>
            <w:vAlign w:val="center"/>
            <w:tcMar>
              <w:top w:w="100" w:type="dxa"/>
              <w:bottom w:w="100" w:type="dxa"/>
              <w:start w:w="100" w:type="dxa"/>
              <w:end w:w="100" w:type="dxa"/>
            </w:tcMar>
          </w:tcPr>
          <w:p>
            <w:pPr>
              <w:spacing w:after="0"/>
            </w:pPr>
            <w:r/>
            <w:r>
              <w:rPr>
                <w:rFonts w:ascii="Calibri" w:hAnsi="Calibri"/>
                <w:b/>
                <w:color w:val="12202F"/>
                <w:sz w:val="18"/>
              </w:rPr>
              <w:t>Area</w:t>
            </w:r>
          </w:p>
        </w:tc>
        <w:tc>
          <w:tcPr>
            <w:tcW w:type="dxa" w:w="3671"/>
            <w:shd w:fill="E8EEF5"/>
            <w:vAlign w:val="center"/>
            <w:tcMar>
              <w:top w:w="100" w:type="dxa"/>
              <w:bottom w:w="100" w:type="dxa"/>
              <w:start w:w="100" w:type="dxa"/>
              <w:end w:w="100" w:type="dxa"/>
            </w:tcMar>
          </w:tcPr>
          <w:p>
            <w:pPr>
              <w:spacing w:after="0"/>
            </w:pPr>
            <w:r/>
            <w:r>
              <w:rPr>
                <w:rFonts w:ascii="Calibri" w:hAnsi="Calibri"/>
                <w:b/>
                <w:color w:val="12202F"/>
                <w:sz w:val="18"/>
              </w:rPr>
              <w:t>Exists today</w:t>
            </w:r>
          </w:p>
        </w:tc>
        <w:tc>
          <w:tcPr>
            <w:tcW w:type="dxa" w:w="3600"/>
            <w:shd w:fill="E8EEF5"/>
            <w:vAlign w:val="center"/>
            <w:tcMar>
              <w:top w:w="100" w:type="dxa"/>
              <w:bottom w:w="100" w:type="dxa"/>
              <w:start w:w="100" w:type="dxa"/>
              <w:end w:w="100" w:type="dxa"/>
            </w:tcMar>
          </w:tcPr>
          <w:p>
            <w:pPr>
              <w:spacing w:after="0"/>
            </w:pPr>
            <w:r/>
            <w:r>
              <w:rPr>
                <w:rFonts w:ascii="Calibri" w:hAnsi="Calibri"/>
                <w:b/>
                <w:color w:val="12202F"/>
                <w:sz w:val="18"/>
              </w:rPr>
              <w:t>Proposed implementation</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Booking</w:t>
            </w:r>
          </w:p>
        </w:tc>
        <w:tc>
          <w:tcPr>
            <w:tcW w:type="dxa" w:w="3671"/>
            <w:vAlign w:val="center"/>
            <w:tcMar>
              <w:top w:w="100" w:type="dxa"/>
              <w:bottom w:w="100" w:type="dxa"/>
              <w:start w:w="100" w:type="dxa"/>
              <w:end w:w="100" w:type="dxa"/>
            </w:tcMar>
          </w:tcPr>
          <w:p>
            <w:pPr>
              <w:spacing w:after="0"/>
            </w:pPr>
            <w:r/>
            <w:r>
              <w:rPr>
                <w:rFonts w:ascii="Calibri" w:hAnsi="Calibri"/>
                <w:b w:val="0"/>
                <w:sz w:val="17"/>
              </w:rPr>
              <w:t>afh-booking-function-app with booking, availability, lifecycle, approval, reporting, and config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booking.* tools through a Booking tool manifest that maps to existing Booking HTTP APIs.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Calendar</w:t>
            </w:r>
          </w:p>
        </w:tc>
        <w:tc>
          <w:tcPr>
            <w:tcW w:type="dxa" w:w="3671"/>
            <w:vAlign w:val="center"/>
            <w:tcMar>
              <w:top w:w="100" w:type="dxa"/>
              <w:bottom w:w="100" w:type="dxa"/>
              <w:start w:w="100" w:type="dxa"/>
              <w:end w:w="100" w:type="dxa"/>
            </w:tcMar>
          </w:tcPr>
          <w:p>
            <w:pPr>
              <w:spacing w:after="0"/>
            </w:pPr>
            <w:r/>
            <w:r>
              <w:rPr>
                <w:rFonts w:ascii="Calibri" w:hAnsi="Calibri"/>
                <w:b w:val="0"/>
                <w:sz w:val="17"/>
              </w:rPr>
              <w:t>afh-calendar-function-app with Graph schedule, appointment, webhook, subscription, and projection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calendar.* tools for schedule lookup, appointment inspection, and subscription operational queries.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Notification</w:t>
            </w:r>
          </w:p>
        </w:tc>
        <w:tc>
          <w:tcPr>
            <w:tcW w:type="dxa" w:w="3671"/>
            <w:vAlign w:val="center"/>
            <w:tcMar>
              <w:top w:w="100" w:type="dxa"/>
              <w:bottom w:w="100" w:type="dxa"/>
              <w:start w:w="100" w:type="dxa"/>
              <w:end w:w="100" w:type="dxa"/>
            </w:tcMar>
          </w:tcPr>
          <w:p>
            <w:pPr>
              <w:spacing w:after="0"/>
            </w:pPr>
            <w:r/>
            <w:r>
              <w:rPr>
                <w:rFonts w:ascii="Calibri" w:hAnsi="Calibri"/>
                <w:b w:val="0"/>
                <w:sz w:val="17"/>
              </w:rPr>
              <w:t>afh-notification-function-app with notification requests, templates, settings, dispatch logs, bouncebacks, and retry operations.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notification.* tools for read-only status/templates first; mutating requeue/dead-letter tools later with approval.</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Location</w:t>
            </w:r>
          </w:p>
        </w:tc>
        <w:tc>
          <w:tcPr>
            <w:tcW w:type="dxa" w:w="3671"/>
            <w:vAlign w:val="center"/>
            <w:tcMar>
              <w:top w:w="100" w:type="dxa"/>
              <w:bottom w:w="100" w:type="dxa"/>
              <w:start w:w="100" w:type="dxa"/>
              <w:end w:w="100" w:type="dxa"/>
            </w:tcMar>
          </w:tcPr>
          <w:p>
            <w:pPr>
              <w:spacing w:after="0"/>
            </w:pPr>
            <w:r/>
            <w:r>
              <w:rPr>
                <w:rFonts w:ascii="Calibri" w:hAnsi="Calibri"/>
                <w:b w:val="0"/>
                <w:sz w:val="17"/>
              </w:rPr>
              <w:t>afh-location-function-app with route time, travel coverage, policies, and organisation assignment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location.* tools for route-time and travel-coverage queries.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Adviser</w:t>
            </w:r>
          </w:p>
        </w:tc>
        <w:tc>
          <w:tcPr>
            <w:tcW w:type="dxa" w:w="3671"/>
            <w:vAlign w:val="center"/>
            <w:tcMar>
              <w:top w:w="100" w:type="dxa"/>
              <w:bottom w:w="100" w:type="dxa"/>
              <w:start w:w="100" w:type="dxa"/>
              <w:end w:w="100" w:type="dxa"/>
            </w:tcMar>
          </w:tcPr>
          <w:p>
            <w:pPr>
              <w:spacing w:after="0"/>
            </w:pPr>
            <w:r/>
            <w:r>
              <w:rPr>
                <w:rFonts w:ascii="Calibri" w:hAnsi="Calibri"/>
                <w:b w:val="0"/>
                <w:sz w:val="17"/>
              </w:rPr>
              <w:t>afh-adviser-function-app with adviser profiles, availability, coverage, specialisms, and sync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adviser.* tools for adviser profile, coverage, availability rules, and cache/sync status.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Identity</w:t>
            </w:r>
          </w:p>
        </w:tc>
        <w:tc>
          <w:tcPr>
            <w:tcW w:type="dxa" w:w="3671"/>
            <w:vAlign w:val="center"/>
            <w:tcMar>
              <w:top w:w="100" w:type="dxa"/>
              <w:bottom w:w="100" w:type="dxa"/>
              <w:start w:w="100" w:type="dxa"/>
              <w:end w:w="100" w:type="dxa"/>
            </w:tcMar>
          </w:tcPr>
          <w:p>
            <w:pPr>
              <w:spacing w:after="0"/>
            </w:pPr>
            <w:r/>
            <w:r>
              <w:rPr>
                <w:rFonts w:ascii="Calibri" w:hAnsi="Calibri"/>
                <w:b w:val="0"/>
                <w:sz w:val="17"/>
              </w:rPr>
              <w:t>afh-identity-function-app with partners, users, roles, permissions, access scopes, and current-user context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identity.* only for controlled admin/read workflows; use it as the permission source for AI authorization.</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ACS</w:t>
            </w:r>
          </w:p>
        </w:tc>
        <w:tc>
          <w:tcPr>
            <w:tcW w:type="dxa" w:w="3671"/>
            <w:vAlign w:val="center"/>
            <w:tcMar>
              <w:top w:w="100" w:type="dxa"/>
              <w:bottom w:w="100" w:type="dxa"/>
              <w:start w:w="100" w:type="dxa"/>
              <w:end w:w="100" w:type="dxa"/>
            </w:tcMar>
          </w:tcPr>
          <w:p>
            <w:pPr>
              <w:spacing w:after="0"/>
            </w:pPr>
            <w:r/>
            <w:r>
              <w:rPr>
                <w:rFonts w:ascii="Calibri" w:hAnsi="Calibri"/>
                <w:b w:val="0"/>
                <w:sz w:val="17"/>
              </w:rPr>
              <w:t>afh-acs-function-app with meetings, join tokens, recordings, and transcription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acs.* tools for meeting lookup and transcription status/content where permissions allow.</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Client Integration</w:t>
            </w:r>
          </w:p>
        </w:tc>
        <w:tc>
          <w:tcPr>
            <w:tcW w:type="dxa" w:w="3671"/>
            <w:vAlign w:val="center"/>
            <w:tcMar>
              <w:top w:w="100" w:type="dxa"/>
              <w:bottom w:w="100" w:type="dxa"/>
              <w:start w:w="100" w:type="dxa"/>
              <w:end w:w="100" w:type="dxa"/>
            </w:tcMar>
          </w:tcPr>
          <w:p>
            <w:pPr>
              <w:spacing w:after="0"/>
            </w:pPr>
            <w:r/>
            <w:r>
              <w:rPr>
                <w:rFonts w:ascii="Calibri" w:hAnsi="Calibri"/>
                <w:b w:val="0"/>
                <w:sz w:val="17"/>
              </w:rPr>
              <w:t>afh-client-integration-function-app with XPlan, Snowflake, prospects, doc notes, status, and transaction APIs.</w:t>
            </w:r>
          </w:p>
        </w:tc>
        <w:tc>
          <w:tcPr>
            <w:tcW w:type="dxa" w:w="3600"/>
            <w:vAlign w:val="center"/>
            <w:tcMar>
              <w:top w:w="100" w:type="dxa"/>
              <w:bottom w:w="100" w:type="dxa"/>
              <w:start w:w="100" w:type="dxa"/>
              <w:end w:w="100" w:type="dxa"/>
            </w:tcMar>
          </w:tcPr>
          <w:p>
            <w:pPr>
              <w:spacing w:after="0"/>
            </w:pPr>
            <w:r/>
            <w:r>
              <w:rPr>
                <w:rFonts w:ascii="Calibri" w:hAnsi="Calibri"/>
                <w:b w:val="0"/>
                <w:sz w:val="17"/>
              </w:rPr>
              <w:t>Expose client.* tools for client/prospect lookup and integration status.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AI MCP Gateway</w:t>
            </w:r>
          </w:p>
        </w:tc>
        <w:tc>
          <w:tcPr>
            <w:tcW w:type="dxa" w:w="3671"/>
            <w:vAlign w:val="center"/>
            <w:tcMar>
              <w:top w:w="100" w:type="dxa"/>
              <w:bottom w:w="100" w:type="dxa"/>
              <w:start w:w="100" w:type="dxa"/>
              <w:end w:w="100" w:type="dxa"/>
            </w:tcMar>
          </w:tcPr>
          <w:p>
            <w:pPr>
              <w:spacing w:after="0"/>
            </w:pPr>
            <w:r/>
            <w:r>
              <w:rPr>
                <w:rFonts w:ascii="Calibri" w:hAnsi="Calibri"/>
                <w:b w:val="0"/>
                <w:sz w:val="17"/>
              </w:rPr>
              <w:t>Not currently present.</w:t>
            </w:r>
          </w:p>
        </w:tc>
        <w:tc>
          <w:tcPr>
            <w:tcW w:type="dxa" w:w="3600"/>
            <w:vAlign w:val="center"/>
            <w:tcMar>
              <w:top w:w="100" w:type="dxa"/>
              <w:bottom w:w="100" w:type="dxa"/>
              <w:start w:w="100" w:type="dxa"/>
              <w:end w:w="100" w:type="dxa"/>
            </w:tcMar>
          </w:tcPr>
          <w:p>
            <w:pPr>
              <w:spacing w:after="0"/>
            </w:pPr>
            <w:r/>
            <w:r>
              <w:rPr>
                <w:rFonts w:ascii="Calibri" w:hAnsi="Calibri"/>
                <w:b w:val="0"/>
                <w:sz w:val="17"/>
              </w:rPr>
              <w:t>Add afh-ai-mcp-gateway-function-app under /services as the MCP protocol, routing, policy, discovery, and audit boundary.</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DevOps Integration</w:t>
            </w:r>
          </w:p>
        </w:tc>
        <w:tc>
          <w:tcPr>
            <w:tcW w:type="dxa" w:w="3671"/>
            <w:vAlign w:val="center"/>
            <w:tcMar>
              <w:top w:w="100" w:type="dxa"/>
              <w:bottom w:w="100" w:type="dxa"/>
              <w:start w:w="100" w:type="dxa"/>
              <w:end w:w="100" w:type="dxa"/>
            </w:tcMar>
          </w:tcPr>
          <w:p>
            <w:pPr>
              <w:spacing w:after="0"/>
            </w:pPr>
            <w:r/>
            <w:r>
              <w:rPr>
                <w:rFonts w:ascii="Calibri" w:hAnsi="Calibri"/>
                <w:b w:val="0"/>
                <w:sz w:val="17"/>
              </w:rPr>
              <w:t>Not currently present.</w:t>
            </w:r>
          </w:p>
        </w:tc>
        <w:tc>
          <w:tcPr>
            <w:tcW w:type="dxa" w:w="3600"/>
            <w:vAlign w:val="center"/>
            <w:tcMar>
              <w:top w:w="100" w:type="dxa"/>
              <w:bottom w:w="100" w:type="dxa"/>
              <w:start w:w="100" w:type="dxa"/>
              <w:end w:w="100" w:type="dxa"/>
            </w:tcMar>
          </w:tcPr>
          <w:p>
            <w:pPr>
              <w:spacing w:after="0"/>
            </w:pPr>
            <w:r/>
            <w:r>
              <w:rPr>
                <w:rFonts w:ascii="Calibri" w:hAnsi="Calibri"/>
                <w:b w:val="0"/>
                <w:sz w:val="17"/>
              </w:rPr>
              <w:t>Add afh-devops-integration-function-app under /services. Store Azure DevOps secrets in Key Vault/app settings or use managed identity. Keep workflows and secrets out of SDKs.</w:t>
            </w:r>
          </w:p>
        </w:tc>
      </w:tr>
      <w:tr>
        <w:tc>
          <w:tcPr>
            <w:tcW w:type="dxa" w:w="1944"/>
            <w:vAlign w:val="center"/>
            <w:tcMar>
              <w:top w:w="100" w:type="dxa"/>
              <w:bottom w:w="100" w:type="dxa"/>
              <w:start w:w="100" w:type="dxa"/>
              <w:end w:w="100" w:type="dxa"/>
            </w:tcMar>
          </w:tcPr>
          <w:p>
            <w:pPr>
              <w:spacing w:after="0"/>
            </w:pPr>
            <w:r/>
            <w:r>
              <w:rPr>
                <w:rFonts w:ascii="Calibri" w:hAnsi="Calibri"/>
                <w:b w:val="0"/>
                <w:sz w:val="17"/>
              </w:rPr>
              <w:t>AI/MCP SDKs</w:t>
            </w:r>
          </w:p>
        </w:tc>
        <w:tc>
          <w:tcPr>
            <w:tcW w:type="dxa" w:w="3671"/>
            <w:vAlign w:val="center"/>
            <w:tcMar>
              <w:top w:w="100" w:type="dxa"/>
              <w:bottom w:w="100" w:type="dxa"/>
              <w:start w:w="100" w:type="dxa"/>
              <w:end w:w="100" w:type="dxa"/>
            </w:tcMar>
          </w:tcPr>
          <w:p>
            <w:pPr>
              <w:spacing w:after="0"/>
            </w:pPr>
            <w:r/>
            <w:r>
              <w:rPr>
                <w:rFonts w:ascii="Calibri" w:hAnsi="Calibri"/>
                <w:b w:val="0"/>
                <w:sz w:val="17"/>
              </w:rPr>
              <w:t>Common SDKs exist for error, calendar, SharePoint, XPlan, and Speech AI.</w:t>
            </w:r>
          </w:p>
        </w:tc>
        <w:tc>
          <w:tcPr>
            <w:tcW w:type="dxa" w:w="3600"/>
            <w:vAlign w:val="center"/>
            <w:tcMar>
              <w:top w:w="100" w:type="dxa"/>
              <w:bottom w:w="100" w:type="dxa"/>
              <w:start w:w="100" w:type="dxa"/>
              <w:end w:w="100" w:type="dxa"/>
            </w:tcMar>
          </w:tcPr>
          <w:p>
            <w:pPr>
              <w:spacing w:after="0"/>
            </w:pPr>
            <w:r/>
            <w:r>
              <w:rPr>
                <w:rFonts w:ascii="Calibri" w:hAnsi="Calibri"/>
                <w:b w:val="0"/>
                <w:sz w:val="17"/>
              </w:rPr>
              <w:t>Add common AI/MCP contract SDKs only. These contain schemas and envelopes, not DevOps secrets or workflow logic.</w:t>
            </w:r>
          </w:p>
        </w:tc>
      </w:tr>
    </w:tbl>
    <w:p>
      <w:pPr>
        <w:spacing w:after="60"/>
      </w:pPr>
    </w:p>
    <w:p>
      <w:pPr>
        <w:pStyle w:val="Heading1"/>
      </w:pPr>
      <w:r>
        <w:t>3. Current challenges</w:t>
      </w:r>
    </w:p>
    <w:p>
      <w:pPr>
        <w:pStyle w:val="ListBullet"/>
        <w:spacing w:after="80"/>
      </w:pPr>
      <w:r>
        <w:t>AI clients would benefit from not having to understand every AFH microservice, endpoint, authentication rule, or deployment topology.</w:t>
      </w:r>
    </w:p>
    <w:p>
      <w:pPr>
        <w:pStyle w:val="ListBullet"/>
        <w:spacing w:after="80"/>
      </w:pPr>
      <w:r>
        <w:t>Azure DevOps automation has no natural owner in the current service map.</w:t>
      </w:r>
    </w:p>
    <w:p>
      <w:pPr>
        <w:pStyle w:val="ListBullet"/>
        <w:spacing w:after="80"/>
      </w:pPr>
      <w:r>
        <w:t>Security, audit, redaction, approval, and throttling would be duplicated if each AI client talked to services independently.</w:t>
      </w:r>
    </w:p>
    <w:p>
      <w:pPr>
        <w:pStyle w:val="ListBullet"/>
        <w:spacing w:after="80"/>
      </w:pPr>
      <w:r>
        <w:t>Tool discovery will become difficult as more services are added.</w:t>
      </w:r>
    </w:p>
    <w:p>
      <w:pPr>
        <w:pStyle w:val="ListBullet"/>
        <w:spacing w:after="80"/>
      </w:pPr>
      <w:r>
        <w:t>Several service boundaries are already porous, especially Booking to Location/Calendar/ACS/Notification/Identity, Location-Adviser-Identity co-hosting, and Booking carrying notification-facing projects.</w:t>
      </w:r>
    </w:p>
    <w:p>
      <w:pPr>
        <w:pStyle w:val="Heading1"/>
      </w:pPr>
      <w:r>
        <w:t>4. Goals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E8EEF5"/>
            <w:vAlign w:val="center"/>
            <w:tcMar>
              <w:top w:w="100" w:type="dxa"/>
              <w:bottom w:w="100" w:type="dxa"/>
              <w:start w:w="100" w:type="dxa"/>
              <w:end w:w="100" w:type="dxa"/>
            </w:tcMar>
          </w:tcPr>
          <w:p>
            <w:pPr>
              <w:spacing w:after="0"/>
            </w:pPr>
            <w:r/>
            <w:r>
              <w:rPr>
                <w:rFonts w:ascii="Calibri" w:hAnsi="Calibri"/>
                <w:b/>
                <w:color w:val="12202F"/>
                <w:sz w:val="18"/>
              </w:rPr>
              <w:t>Goal</w:t>
            </w:r>
          </w:p>
        </w:tc>
        <w:tc>
          <w:tcPr>
            <w:tcW w:type="dxa" w:w="6336"/>
            <w:shd w:fill="E8EEF5"/>
            <w:vAlign w:val="center"/>
            <w:tcMar>
              <w:top w:w="100" w:type="dxa"/>
              <w:bottom w:w="100" w:type="dxa"/>
              <w:start w:w="100" w:type="dxa"/>
              <w:end w:w="100" w:type="dxa"/>
            </w:tcMar>
          </w:tcPr>
          <w:p>
            <w:pPr>
              <w:spacing w:after="0"/>
            </w:pPr>
            <w:r/>
            <w:r>
              <w:rPr>
                <w:rFonts w:ascii="Calibri" w:hAnsi="Calibri"/>
                <w:b/>
                <w:color w:val="12202F"/>
                <w:sz w:val="18"/>
              </w:rPr>
              <w:t>Implication</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Enable AI safely</w:t>
            </w:r>
          </w:p>
        </w:tc>
        <w:tc>
          <w:tcPr>
            <w:tcW w:type="dxa" w:w="6336"/>
            <w:vAlign w:val="center"/>
            <w:tcMar>
              <w:top w:w="100" w:type="dxa"/>
              <w:bottom w:w="100" w:type="dxa"/>
              <w:start w:w="100" w:type="dxa"/>
              <w:end w:w="100" w:type="dxa"/>
            </w:tcMar>
          </w:tcPr>
          <w:p>
            <w:pPr>
              <w:spacing w:after="0"/>
            </w:pPr>
            <w:r/>
            <w:r>
              <w:rPr>
                <w:rFonts w:ascii="Calibri" w:hAnsi="Calibri"/>
                <w:b w:val="0"/>
                <w:sz w:val="17"/>
              </w:rPr>
              <w:t>AI access is expected to be authenticated, authorized, auditable, rate-limited, and reversible where possible.</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Preserve service boundaries</w:t>
            </w:r>
          </w:p>
        </w:tc>
        <w:tc>
          <w:tcPr>
            <w:tcW w:type="dxa" w:w="6336"/>
            <w:vAlign w:val="center"/>
            <w:tcMar>
              <w:top w:w="100" w:type="dxa"/>
              <w:bottom w:w="100" w:type="dxa"/>
              <w:start w:w="100" w:type="dxa"/>
              <w:end w:w="100" w:type="dxa"/>
            </w:tcMar>
          </w:tcPr>
          <w:p>
            <w:pPr>
              <w:spacing w:after="0"/>
            </w:pPr>
            <w:r/>
            <w:r>
              <w:rPr>
                <w:rFonts w:ascii="Calibri" w:hAnsi="Calibri"/>
                <w:b w:val="0"/>
                <w:sz w:val="17"/>
              </w:rPr>
              <w:t>Services remain the source of truth for business rules and persistence.</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Support multiple AI providers</w:t>
            </w:r>
          </w:p>
        </w:tc>
        <w:tc>
          <w:tcPr>
            <w:tcW w:type="dxa" w:w="6336"/>
            <w:vAlign w:val="center"/>
            <w:tcMar>
              <w:top w:w="100" w:type="dxa"/>
              <w:bottom w:w="100" w:type="dxa"/>
              <w:start w:w="100" w:type="dxa"/>
              <w:end w:w="100" w:type="dxa"/>
            </w:tcMar>
          </w:tcPr>
          <w:p>
            <w:pPr>
              <w:spacing w:after="0"/>
            </w:pPr>
            <w:r/>
            <w:r>
              <w:rPr>
                <w:rFonts w:ascii="Calibri" w:hAnsi="Calibri"/>
                <w:b w:val="0"/>
                <w:sz w:val="17"/>
              </w:rPr>
              <w:t>Codex, Copilot, ChatGPT, Claude, and internal agents get one governed protocol entry point.</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Limit gateway sprawl</w:t>
            </w:r>
          </w:p>
        </w:tc>
        <w:tc>
          <w:tcPr>
            <w:tcW w:type="dxa" w:w="6336"/>
            <w:vAlign w:val="center"/>
            <w:tcMar>
              <w:top w:w="100" w:type="dxa"/>
              <w:bottom w:w="100" w:type="dxa"/>
              <w:start w:w="100" w:type="dxa"/>
              <w:end w:w="100" w:type="dxa"/>
            </w:tcMar>
          </w:tcPr>
          <w:p>
            <w:pPr>
              <w:spacing w:after="0"/>
            </w:pPr>
            <w:r/>
            <w:r>
              <w:rPr>
                <w:rFonts w:ascii="Calibri" w:hAnsi="Calibri"/>
                <w:b w:val="0"/>
                <w:sz w:val="17"/>
              </w:rPr>
              <w:t>The gateway routes and enforces policy; workflow services own long-running orchestration.</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Scale discovery</w:t>
            </w:r>
          </w:p>
        </w:tc>
        <w:tc>
          <w:tcPr>
            <w:tcW w:type="dxa" w:w="6336"/>
            <w:vAlign w:val="center"/>
            <w:tcMar>
              <w:top w:w="100" w:type="dxa"/>
              <w:bottom w:w="100" w:type="dxa"/>
              <w:start w:w="100" w:type="dxa"/>
              <w:end w:w="100" w:type="dxa"/>
            </w:tcMar>
          </w:tcPr>
          <w:p>
            <w:pPr>
              <w:spacing w:after="0"/>
            </w:pPr>
            <w:r/>
            <w:r>
              <w:rPr>
                <w:rFonts w:ascii="Calibri" w:hAnsi="Calibri"/>
                <w:b w:val="0"/>
                <w:sz w:val="17"/>
              </w:rPr>
              <w:t>Services publish tool manifests; the gateway discovers and registers tools automatically.</w:t>
            </w:r>
          </w:p>
        </w:tc>
      </w:tr>
    </w:tbl>
    <w:p>
      <w:pPr>
        <w:spacing w:after="60"/>
      </w:pPr>
    </w:p>
    <w:p>
      <w:pPr>
        <w:pStyle w:val="Heading1"/>
      </w:pPr>
      <w:r>
        <w:t>5. Architecture options considered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800"/>
            <w:shd w:fill="E8EEF5"/>
            <w:vAlign w:val="center"/>
            <w:tcMar>
              <w:top w:w="100" w:type="dxa"/>
              <w:bottom w:w="100" w:type="dxa"/>
              <w:start w:w="100" w:type="dxa"/>
              <w:end w:w="100" w:type="dxa"/>
            </w:tcMar>
          </w:tcPr>
          <w:p>
            <w:pPr>
              <w:spacing w:after="0"/>
            </w:pPr>
            <w:r/>
            <w:r>
              <w:rPr>
                <w:rFonts w:ascii="Calibri" w:hAnsi="Calibri"/>
                <w:b/>
                <w:color w:val="12202F"/>
                <w:sz w:val="18"/>
              </w:rPr>
              <w:t>Option</w:t>
            </w:r>
          </w:p>
        </w:tc>
        <w:tc>
          <w:tcPr>
            <w:tcW w:type="dxa" w:w="2664"/>
            <w:shd w:fill="E8EEF5"/>
            <w:vAlign w:val="center"/>
            <w:tcMar>
              <w:top w:w="100" w:type="dxa"/>
              <w:bottom w:w="100" w:type="dxa"/>
              <w:start w:w="100" w:type="dxa"/>
              <w:end w:w="100" w:type="dxa"/>
            </w:tcMar>
          </w:tcPr>
          <w:p>
            <w:pPr>
              <w:spacing w:after="0"/>
            </w:pPr>
            <w:r/>
            <w:r>
              <w:rPr>
                <w:rFonts w:ascii="Calibri" w:hAnsi="Calibri"/>
                <w:b/>
                <w:color w:val="12202F"/>
                <w:sz w:val="18"/>
              </w:rPr>
              <w:t>Description</w:t>
            </w:r>
          </w:p>
        </w:tc>
        <w:tc>
          <w:tcPr>
            <w:tcW w:type="dxa" w:w="2376"/>
            <w:shd w:fill="E8EEF5"/>
            <w:vAlign w:val="center"/>
            <w:tcMar>
              <w:top w:w="100" w:type="dxa"/>
              <w:bottom w:w="100" w:type="dxa"/>
              <w:start w:w="100" w:type="dxa"/>
              <w:end w:w="100" w:type="dxa"/>
            </w:tcMar>
          </w:tcPr>
          <w:p>
            <w:pPr>
              <w:spacing w:after="0"/>
            </w:pPr>
            <w:r/>
            <w:r>
              <w:rPr>
                <w:rFonts w:ascii="Calibri" w:hAnsi="Calibri"/>
                <w:b/>
                <w:color w:val="12202F"/>
                <w:sz w:val="18"/>
              </w:rPr>
              <w:t>Strengths</w:t>
            </w:r>
          </w:p>
        </w:tc>
        <w:tc>
          <w:tcPr>
            <w:tcW w:type="dxa" w:w="2376"/>
            <w:shd w:fill="E8EEF5"/>
            <w:vAlign w:val="center"/>
            <w:tcMar>
              <w:top w:w="100" w:type="dxa"/>
              <w:bottom w:w="100" w:type="dxa"/>
              <w:start w:w="100" w:type="dxa"/>
              <w:end w:w="100" w:type="dxa"/>
            </w:tcMar>
          </w:tcPr>
          <w:p>
            <w:pPr>
              <w:spacing w:after="0"/>
            </w:pPr>
            <w:r/>
            <w:r>
              <w:rPr>
                <w:rFonts w:ascii="Calibri" w:hAnsi="Calibri"/>
                <w:b/>
                <w:color w:val="12202F"/>
                <w:sz w:val="18"/>
              </w:rPr>
              <w:t>Weaknesses</w:t>
            </w:r>
          </w:p>
        </w:tc>
      </w:tr>
      <w:tr>
        <w:tc>
          <w:tcPr>
            <w:tcW w:type="dxa" w:w="1800"/>
            <w:vAlign w:val="center"/>
            <w:tcMar>
              <w:top w:w="100" w:type="dxa"/>
              <w:bottom w:w="100" w:type="dxa"/>
              <w:start w:w="100" w:type="dxa"/>
              <w:end w:w="100" w:type="dxa"/>
            </w:tcMar>
          </w:tcPr>
          <w:p>
            <w:pPr>
              <w:spacing w:after="0"/>
            </w:pPr>
            <w:r/>
            <w:r>
              <w:rPr>
                <w:rFonts w:ascii="Calibri" w:hAnsi="Calibri"/>
                <w:b w:val="0"/>
                <w:sz w:val="17"/>
              </w:rPr>
              <w:t>A. Direct MCP providers</w:t>
            </w:r>
          </w:p>
        </w:tc>
        <w:tc>
          <w:tcPr>
            <w:tcW w:type="dxa" w:w="2664"/>
            <w:vAlign w:val="center"/>
            <w:tcMar>
              <w:top w:w="100" w:type="dxa"/>
              <w:bottom w:w="100" w:type="dxa"/>
              <w:start w:w="100" w:type="dxa"/>
              <w:end w:w="100" w:type="dxa"/>
            </w:tcMar>
          </w:tcPr>
          <w:p>
            <w:pPr>
              <w:spacing w:after="0"/>
            </w:pPr>
            <w:r/>
            <w:r>
              <w:rPr>
                <w:rFonts w:ascii="Calibri" w:hAnsi="Calibri"/>
                <w:b w:val="0"/>
                <w:sz w:val="17"/>
              </w:rPr>
              <w:t>Every microservice exposes its own MCP server/tool provider directly to AI clients.</w:t>
            </w:r>
          </w:p>
        </w:tc>
        <w:tc>
          <w:tcPr>
            <w:tcW w:type="dxa" w:w="2376"/>
            <w:vAlign w:val="center"/>
            <w:tcMar>
              <w:top w:w="100" w:type="dxa"/>
              <w:bottom w:w="100" w:type="dxa"/>
              <w:start w:w="100" w:type="dxa"/>
              <w:end w:w="100" w:type="dxa"/>
            </w:tcMar>
          </w:tcPr>
          <w:p>
            <w:pPr>
              <w:spacing w:after="0"/>
            </w:pPr>
            <w:r/>
            <w:r>
              <w:rPr>
                <w:rFonts w:ascii="Calibri" w:hAnsi="Calibri"/>
                <w:b w:val="0"/>
                <w:sz w:val="17"/>
              </w:rPr>
              <w:t>Strong service autonomy; no central runtime bottleneck.</w:t>
            </w:r>
          </w:p>
        </w:tc>
        <w:tc>
          <w:tcPr>
            <w:tcW w:type="dxa" w:w="2376"/>
            <w:vAlign w:val="center"/>
            <w:tcMar>
              <w:top w:w="100" w:type="dxa"/>
              <w:bottom w:w="100" w:type="dxa"/>
              <w:start w:w="100" w:type="dxa"/>
              <w:end w:w="100" w:type="dxa"/>
            </w:tcMar>
          </w:tcPr>
          <w:p>
            <w:pPr>
              <w:spacing w:after="0"/>
            </w:pPr>
            <w:r/>
            <w:r>
              <w:rPr>
                <w:rFonts w:ascii="Calibri" w:hAnsi="Calibri"/>
                <w:b w:val="0"/>
                <w:sz w:val="17"/>
              </w:rPr>
              <w:t>Duplicates auth, audit, redaction, throttling, approvals, client onboarding, and discovery.</w:t>
            </w:r>
          </w:p>
        </w:tc>
      </w:tr>
      <w:tr>
        <w:tc>
          <w:tcPr>
            <w:tcW w:type="dxa" w:w="1800"/>
            <w:vAlign w:val="center"/>
            <w:tcMar>
              <w:top w:w="100" w:type="dxa"/>
              <w:bottom w:w="100" w:type="dxa"/>
              <w:start w:w="100" w:type="dxa"/>
              <w:end w:w="100" w:type="dxa"/>
            </w:tcMar>
          </w:tcPr>
          <w:p>
            <w:pPr>
              <w:spacing w:after="0"/>
            </w:pPr>
            <w:r/>
            <w:r>
              <w:rPr>
                <w:rFonts w:ascii="Calibri" w:hAnsi="Calibri"/>
                <w:b w:val="0"/>
                <w:sz w:val="17"/>
              </w:rPr>
              <w:t>B. Central MCP Gateway</w:t>
            </w:r>
          </w:p>
        </w:tc>
        <w:tc>
          <w:tcPr>
            <w:tcW w:type="dxa" w:w="2664"/>
            <w:vAlign w:val="center"/>
            <w:tcMar>
              <w:top w:w="100" w:type="dxa"/>
              <w:bottom w:w="100" w:type="dxa"/>
              <w:start w:w="100" w:type="dxa"/>
              <w:end w:w="100" w:type="dxa"/>
            </w:tcMar>
          </w:tcPr>
          <w:p>
            <w:pPr>
              <w:spacing w:after="0"/>
            </w:pPr>
            <w:r/>
            <w:r>
              <w:rPr>
                <w:rFonts w:ascii="Calibri" w:hAnsi="Calibri"/>
                <w:b w:val="0"/>
                <w:sz w:val="17"/>
              </w:rPr>
              <w:t>AI clients connect to one AFH MCP Gateway, which routes to service-owned tools.</w:t>
            </w:r>
          </w:p>
        </w:tc>
        <w:tc>
          <w:tcPr>
            <w:tcW w:type="dxa" w:w="2376"/>
            <w:vAlign w:val="center"/>
            <w:tcMar>
              <w:top w:w="100" w:type="dxa"/>
              <w:bottom w:w="100" w:type="dxa"/>
              <w:start w:w="100" w:type="dxa"/>
              <w:end w:w="100" w:type="dxa"/>
            </w:tcMar>
          </w:tcPr>
          <w:p>
            <w:pPr>
              <w:spacing w:after="0"/>
            </w:pPr>
            <w:r/>
            <w:r>
              <w:rPr>
                <w:rFonts w:ascii="Calibri" w:hAnsi="Calibri"/>
                <w:b w:val="0"/>
                <w:sz w:val="17"/>
              </w:rPr>
              <w:t>Consistent governance; one AI entry point; natural fit with existing gateway services.</w:t>
            </w:r>
          </w:p>
        </w:tc>
        <w:tc>
          <w:tcPr>
            <w:tcW w:type="dxa" w:w="2376"/>
            <w:vAlign w:val="center"/>
            <w:tcMar>
              <w:top w:w="100" w:type="dxa"/>
              <w:bottom w:w="100" w:type="dxa"/>
              <w:start w:w="100" w:type="dxa"/>
              <w:end w:w="100" w:type="dxa"/>
            </w:tcMar>
          </w:tcPr>
          <w:p>
            <w:pPr>
              <w:spacing w:after="0"/>
            </w:pPr>
            <w:r/>
            <w:r>
              <w:rPr>
                <w:rFonts w:ascii="Calibri" w:hAnsi="Calibri"/>
                <w:b w:val="0"/>
                <w:sz w:val="17"/>
              </w:rPr>
              <w:t>Can become a bottleneck if it starts owning business logic.</w:t>
            </w:r>
          </w:p>
        </w:tc>
      </w:tr>
      <w:tr>
        <w:tc>
          <w:tcPr>
            <w:tcW w:type="dxa" w:w="1800"/>
            <w:vAlign w:val="center"/>
            <w:tcMar>
              <w:top w:w="100" w:type="dxa"/>
              <w:bottom w:w="100" w:type="dxa"/>
              <w:start w:w="100" w:type="dxa"/>
              <w:end w:w="100" w:type="dxa"/>
            </w:tcMar>
          </w:tcPr>
          <w:p>
            <w:pPr>
              <w:spacing w:after="0"/>
            </w:pPr>
            <w:r/>
            <w:r>
              <w:rPr>
                <w:rFonts w:ascii="Calibri" w:hAnsi="Calibri"/>
                <w:b w:val="0"/>
                <w:sz w:val="17"/>
              </w:rPr>
              <w:t>C. Gateway plus workflow services</w:t>
            </w:r>
          </w:p>
        </w:tc>
        <w:tc>
          <w:tcPr>
            <w:tcW w:type="dxa" w:w="2664"/>
            <w:vAlign w:val="center"/>
            <w:tcMar>
              <w:top w:w="100" w:type="dxa"/>
              <w:bottom w:w="100" w:type="dxa"/>
              <w:start w:w="100" w:type="dxa"/>
              <w:end w:w="100" w:type="dxa"/>
            </w:tcMar>
          </w:tcPr>
          <w:p>
            <w:pPr>
              <w:spacing w:after="0"/>
            </w:pPr>
            <w:r/>
            <w:r>
              <w:rPr>
                <w:rFonts w:ascii="Calibri" w:hAnsi="Calibri"/>
                <w:b w:val="0"/>
                <w:sz w:val="17"/>
              </w:rPr>
              <w:t>The gateway routes tools and delegates complex workflows to services such as DevOps Integration or Document Intelligence.</w:t>
            </w:r>
          </w:p>
        </w:tc>
        <w:tc>
          <w:tcPr>
            <w:tcW w:type="dxa" w:w="2376"/>
            <w:vAlign w:val="center"/>
            <w:tcMar>
              <w:top w:w="100" w:type="dxa"/>
              <w:bottom w:w="100" w:type="dxa"/>
              <w:start w:w="100" w:type="dxa"/>
              <w:end w:w="100" w:type="dxa"/>
            </w:tcMar>
          </w:tcPr>
          <w:p>
            <w:pPr>
              <w:spacing w:after="0"/>
            </w:pPr>
            <w:r/>
            <w:r>
              <w:rPr>
                <w:rFonts w:ascii="Calibri" w:hAnsi="Calibri"/>
                <w:b w:val="0"/>
                <w:sz w:val="17"/>
              </w:rPr>
              <w:t>Best long-term separation for stateful, high-risk, and long-running workflows.</w:t>
            </w:r>
          </w:p>
        </w:tc>
        <w:tc>
          <w:tcPr>
            <w:tcW w:type="dxa" w:w="2376"/>
            <w:vAlign w:val="center"/>
            <w:tcMar>
              <w:top w:w="100" w:type="dxa"/>
              <w:bottom w:w="100" w:type="dxa"/>
              <w:start w:w="100" w:type="dxa"/>
              <w:end w:w="100" w:type="dxa"/>
            </w:tcMar>
          </w:tcPr>
          <w:p>
            <w:pPr>
              <w:spacing w:after="0"/>
            </w:pPr>
            <w:r/>
            <w:r>
              <w:rPr>
                <w:rFonts w:ascii="Calibri" w:hAnsi="Calibri"/>
                <w:b w:val="0"/>
                <w:sz w:val="17"/>
              </w:rPr>
              <w:t>More moving parts and requires stronger workflow contracts.</w:t>
            </w:r>
          </w:p>
        </w:tc>
      </w:tr>
    </w:tbl>
    <w:p>
      <w:pPr>
        <w:spacing w:after="60"/>
      </w:pPr>
    </w:p>
    <w:tbl>
      <w:tblPr>
        <w:tblStyle w:val="TableGrid"/>
        <w:tblW w:type="auto" w:w="0"/>
        <w:jc w:val="center"/>
        <w:tblLayout w:type="fixed"/>
        <w:tblLook w:firstColumn="1" w:firstRow="1" w:lastColumn="0" w:lastRow="0" w:noHBand="0" w:noVBand="1" w:val="04A0"/>
      </w:tblPr>
      <w:tblGrid>
        <w:gridCol w:w="9360"/>
      </w:tblGrid>
      <w:tr>
        <w:tc>
          <w:tcPr>
            <w:tcW w:type="dxa" w:w="9288"/>
            <w:tcMar>
              <w:top w:w="100" w:type="dxa"/>
              <w:bottom w:w="100" w:type="dxa"/>
              <w:start w:w="100" w:type="dxa"/>
              <w:end w:w="100" w:type="dxa"/>
            </w:tcMar>
            <w:shd w:fill="E8EEF5"/>
          </w:tcPr>
          <w:p>
            <w:pPr>
              <w:spacing w:before="60" w:after="60"/>
            </w:pPr>
            <w:r>
              <w:rPr>
                <w:b/>
                <w:color w:val="1F4D78"/>
                <w:sz w:val="21"/>
              </w:rPr>
              <w:t>Proposal rationale</w:t>
            </w:r>
            <w:r>
              <w:br/>
            </w:r>
            <w:r>
              <w:rPr>
                <w:color w:val="12202F"/>
                <w:sz w:val="20"/>
              </w:rPr>
              <w:t>The proposal favours Option B first, with a design that can evolve into Option C. Option A is attractive for service autonomy, but it weakens platform governance and makes AI clients responsible for too much internal topology.</w:t>
            </w:r>
          </w:p>
        </w:tc>
      </w:tr>
    </w:tbl>
    <w:p>
      <w:pPr>
        <w:spacing w:after="40"/>
      </w:pPr>
    </w:p>
    <w:p>
      <w:pPr>
        <w:pStyle w:val="Heading1"/>
      </w:pPr>
      <w:r>
        <w:t>6. Proposed MCP Gateway architecture</w:t>
      </w:r>
    </w:p>
    <w:p>
      <w:r>
        <w:t>The proposed location for the MCP Gateway is /services as a separate Azure Functions service named afh-ai-mcp-gateway-function-app. The preferred integration style is service APIs rather than direct references to existing service Application or Infrastructure projects. HTTP is the proposed default for downstream service calls, with asynchronous messaging reserved for long-running workflows.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E8EEF5"/>
            <w:vAlign w:val="center"/>
            <w:tcMar>
              <w:top w:w="100" w:type="dxa"/>
              <w:bottom w:w="100" w:type="dxa"/>
              <w:start w:w="100" w:type="dxa"/>
              <w:end w:w="100" w:type="dxa"/>
            </w:tcMar>
          </w:tcPr>
          <w:p>
            <w:pPr>
              <w:spacing w:after="0"/>
            </w:pPr>
            <w:r/>
            <w:r>
              <w:rPr>
                <w:rFonts w:ascii="Calibri" w:hAnsi="Calibri"/>
                <w:b/>
                <w:color w:val="12202F"/>
                <w:sz w:val="18"/>
              </w:rPr>
              <w:t>Gateway responsibility</w:t>
            </w:r>
          </w:p>
        </w:tc>
        <w:tc>
          <w:tcPr>
            <w:tcW w:type="dxa" w:w="6336"/>
            <w:shd w:fill="E8EEF5"/>
            <w:vAlign w:val="center"/>
            <w:tcMar>
              <w:top w:w="100" w:type="dxa"/>
              <w:bottom w:w="100" w:type="dxa"/>
              <w:start w:w="100" w:type="dxa"/>
              <w:end w:w="100" w:type="dxa"/>
            </w:tcMar>
          </w:tcPr>
          <w:p>
            <w:pPr>
              <w:spacing w:after="0"/>
            </w:pPr>
            <w:r/>
            <w:r>
              <w:rPr>
                <w:rFonts w:ascii="Calibri" w:hAnsi="Calibri"/>
                <w:b/>
                <w:color w:val="12202F"/>
                <w:sz w:val="18"/>
              </w:rPr>
              <w:t>Explanation</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MCP protocol</w:t>
            </w:r>
          </w:p>
        </w:tc>
        <w:tc>
          <w:tcPr>
            <w:tcW w:type="dxa" w:w="6336"/>
            <w:vAlign w:val="center"/>
            <w:tcMar>
              <w:top w:w="100" w:type="dxa"/>
              <w:bottom w:w="100" w:type="dxa"/>
              <w:start w:w="100" w:type="dxa"/>
              <w:end w:w="100" w:type="dxa"/>
            </w:tcMar>
          </w:tcPr>
          <w:p>
            <w:pPr>
              <w:spacing w:after="0"/>
            </w:pPr>
            <w:r/>
            <w:r>
              <w:rPr>
                <w:rFonts w:ascii="Calibri" w:hAnsi="Calibri"/>
                <w:b w:val="0"/>
                <w:sz w:val="17"/>
              </w:rPr>
              <w:t>Expose tools and resources to AI clients using MCP-compatible contracts.</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Routing</w:t>
            </w:r>
          </w:p>
        </w:tc>
        <w:tc>
          <w:tcPr>
            <w:tcW w:type="dxa" w:w="6336"/>
            <w:vAlign w:val="center"/>
            <w:tcMar>
              <w:top w:w="100" w:type="dxa"/>
              <w:bottom w:w="100" w:type="dxa"/>
              <w:start w:w="100" w:type="dxa"/>
              <w:end w:w="100" w:type="dxa"/>
            </w:tcMar>
          </w:tcPr>
          <w:p>
            <w:pPr>
              <w:spacing w:after="0"/>
            </w:pPr>
            <w:r/>
            <w:r>
              <w:rPr>
                <w:rFonts w:ascii="Calibri" w:hAnsi="Calibri"/>
                <w:b w:val="0"/>
                <w:sz w:val="17"/>
              </w:rPr>
              <w:t>Map tool names to owner service endpoints based on discovered manifests.</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Policy enforcement</w:t>
            </w:r>
          </w:p>
        </w:tc>
        <w:tc>
          <w:tcPr>
            <w:tcW w:type="dxa" w:w="6336"/>
            <w:vAlign w:val="center"/>
            <w:tcMar>
              <w:top w:w="100" w:type="dxa"/>
              <w:bottom w:w="100" w:type="dxa"/>
              <w:start w:w="100" w:type="dxa"/>
              <w:end w:w="100" w:type="dxa"/>
            </w:tcMar>
          </w:tcPr>
          <w:p>
            <w:pPr>
              <w:spacing w:after="0"/>
            </w:pPr>
            <w:r/>
            <w:r>
              <w:rPr>
                <w:rFonts w:ascii="Calibri" w:hAnsi="Calibri"/>
                <w:b w:val="0"/>
                <w:sz w:val="17"/>
              </w:rPr>
              <w:t>Check tool permissions, side-effect level, approval requirements, rate limits, and tenant/environment constraints before invocation.</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Audit envelope</w:t>
            </w:r>
          </w:p>
        </w:tc>
        <w:tc>
          <w:tcPr>
            <w:tcW w:type="dxa" w:w="6336"/>
            <w:vAlign w:val="center"/>
            <w:tcMar>
              <w:top w:w="100" w:type="dxa"/>
              <w:bottom w:w="100" w:type="dxa"/>
              <w:start w:w="100" w:type="dxa"/>
              <w:end w:w="100" w:type="dxa"/>
            </w:tcMar>
          </w:tcPr>
          <w:p>
            <w:pPr>
              <w:spacing w:after="0"/>
            </w:pPr>
            <w:r/>
            <w:r>
              <w:rPr>
                <w:rFonts w:ascii="Calibri" w:hAnsi="Calibri"/>
                <w:b w:val="0"/>
                <w:sz w:val="17"/>
              </w:rPr>
              <w:t>Record actor, AI agent, tool, correlation ID, request hash, redaction state, downstream target, outcome, and latency.</w:t>
            </w:r>
          </w:p>
        </w:tc>
      </w:tr>
      <w:tr>
        <w:tc>
          <w:tcPr>
            <w:tcW w:type="dxa" w:w="2880"/>
            <w:vAlign w:val="center"/>
            <w:tcMar>
              <w:top w:w="100" w:type="dxa"/>
              <w:bottom w:w="100" w:type="dxa"/>
              <w:start w:w="100" w:type="dxa"/>
              <w:end w:w="100" w:type="dxa"/>
            </w:tcMar>
          </w:tcPr>
          <w:p>
            <w:pPr>
              <w:spacing w:after="0"/>
            </w:pPr>
            <w:r/>
            <w:r>
              <w:rPr>
                <w:rFonts w:ascii="Calibri" w:hAnsi="Calibri"/>
                <w:b w:val="0"/>
                <w:sz w:val="17"/>
              </w:rPr>
              <w:t>Thin aggregation</w:t>
            </w:r>
          </w:p>
        </w:tc>
        <w:tc>
          <w:tcPr>
            <w:tcW w:type="dxa" w:w="6336"/>
            <w:vAlign w:val="center"/>
            <w:tcMar>
              <w:top w:w="100" w:type="dxa"/>
              <w:bottom w:w="100" w:type="dxa"/>
              <w:start w:w="100" w:type="dxa"/>
              <w:end w:w="100" w:type="dxa"/>
            </w:tcMar>
          </w:tcPr>
          <w:p>
            <w:pPr>
              <w:spacing w:after="0"/>
            </w:pPr>
            <w:r/>
            <w:r>
              <w:rPr>
                <w:rFonts w:ascii="Calibri" w:hAnsi="Calibri"/>
                <w:b w:val="0"/>
                <w:sz w:val="17"/>
              </w:rPr>
              <w:t>Aggregate read-only service responses where this improves the AI experience without embedding business rules.</w:t>
            </w:r>
          </w:p>
        </w:tc>
      </w:tr>
    </w:tbl>
    <w:p>
      <w:pPr>
        <w:spacing w:after="60"/>
      </w:pPr>
    </w:p>
    <w:p>
      <w:pPr>
        <w:pStyle w:val="Heading2"/>
      </w:pPr>
      <w:r>
        <w:t>6.1 Example proposed endpoints and tool mappings</w:t>
      </w:r>
    </w:p>
    <w:p>
      <w:r>
        <w:t>The following examples illustrate how AI tools can map to service-owned HTTP endpoints. Exact routes would be confirmed during implementation against the existing API contracts and security model.</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232"/>
            <w:shd w:fill="E8EEF5"/>
            <w:vAlign w:val="center"/>
            <w:tcMar>
              <w:top w:w="100" w:type="dxa"/>
              <w:bottom w:w="100" w:type="dxa"/>
              <w:start w:w="100" w:type="dxa"/>
              <w:end w:w="100" w:type="dxa"/>
            </w:tcMar>
          </w:tcPr>
          <w:p>
            <w:pPr>
              <w:spacing w:after="0"/>
            </w:pPr>
            <w:r/>
            <w:r>
              <w:rPr>
                <w:rFonts w:ascii="Calibri" w:hAnsi="Calibri"/>
                <w:b/>
                <w:color w:val="12202F"/>
                <w:sz w:val="18"/>
              </w:rPr>
              <w:t>Tool</w:t>
            </w:r>
          </w:p>
        </w:tc>
        <w:tc>
          <w:tcPr>
            <w:tcW w:type="dxa" w:w="1800"/>
            <w:shd w:fill="E8EEF5"/>
            <w:vAlign w:val="center"/>
            <w:tcMar>
              <w:top w:w="100" w:type="dxa"/>
              <w:bottom w:w="100" w:type="dxa"/>
              <w:start w:w="100" w:type="dxa"/>
              <w:end w:w="100" w:type="dxa"/>
            </w:tcMar>
          </w:tcPr>
          <w:p>
            <w:pPr>
              <w:spacing w:after="0"/>
            </w:pPr>
            <w:r/>
            <w:r>
              <w:rPr>
                <w:rFonts w:ascii="Calibri" w:hAnsi="Calibri"/>
                <w:b/>
                <w:color w:val="12202F"/>
                <w:sz w:val="18"/>
              </w:rPr>
              <w:t>Owning service</w:t>
            </w:r>
          </w:p>
        </w:tc>
        <w:tc>
          <w:tcPr>
            <w:tcW w:type="dxa" w:w="4176"/>
            <w:shd w:fill="E8EEF5"/>
            <w:vAlign w:val="center"/>
            <w:tcMar>
              <w:top w:w="100" w:type="dxa"/>
              <w:bottom w:w="100" w:type="dxa"/>
              <w:start w:w="100" w:type="dxa"/>
              <w:end w:w="100" w:type="dxa"/>
            </w:tcMar>
          </w:tcPr>
          <w:p>
            <w:pPr>
              <w:spacing w:after="0"/>
            </w:pPr>
            <w:r/>
            <w:r>
              <w:rPr>
                <w:rFonts w:ascii="Calibri" w:hAnsi="Calibri"/>
                <w:b/>
                <w:color w:val="12202F"/>
                <w:sz w:val="18"/>
              </w:rPr>
              <w:t>Example downstream endpoint</w:t>
            </w:r>
          </w:p>
        </w:tc>
        <w:tc>
          <w:tcPr>
            <w:tcW w:type="dxa" w:w="1007"/>
            <w:shd w:fill="E8EEF5"/>
            <w:vAlign w:val="center"/>
            <w:tcMar>
              <w:top w:w="100" w:type="dxa"/>
              <w:bottom w:w="100" w:type="dxa"/>
              <w:start w:w="100" w:type="dxa"/>
              <w:end w:w="100" w:type="dxa"/>
            </w:tcMar>
          </w:tcPr>
          <w:p>
            <w:pPr>
              <w:spacing w:after="0"/>
            </w:pPr>
            <w:r/>
            <w:r>
              <w:rPr>
                <w:rFonts w:ascii="Calibri" w:hAnsi="Calibri"/>
                <w:b/>
                <w:color w:val="12202F"/>
                <w:sz w:val="18"/>
              </w:rPr>
              <w:t>Side effect</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booking.search</w:t>
            </w:r>
          </w:p>
        </w:tc>
        <w:tc>
          <w:tcPr>
            <w:tcW w:type="dxa" w:w="1800"/>
            <w:vAlign w:val="center"/>
            <w:tcMar>
              <w:top w:w="100" w:type="dxa"/>
              <w:bottom w:w="100" w:type="dxa"/>
              <w:start w:w="100" w:type="dxa"/>
              <w:end w:w="100" w:type="dxa"/>
            </w:tcMar>
          </w:tcPr>
          <w:p>
            <w:pPr>
              <w:spacing w:after="0"/>
            </w:pPr>
            <w:r/>
            <w:r>
              <w:rPr>
                <w:rFonts w:ascii="Calibri" w:hAnsi="Calibri"/>
                <w:b w:val="0"/>
                <w:sz w:val="17"/>
              </w:rPr>
              <w:t>Booking</w:t>
            </w:r>
          </w:p>
        </w:tc>
        <w:tc>
          <w:tcPr>
            <w:tcW w:type="dxa" w:w="4176"/>
            <w:vAlign w:val="center"/>
            <w:tcMar>
              <w:top w:w="100" w:type="dxa"/>
              <w:bottom w:w="100" w:type="dxa"/>
              <w:start w:w="100" w:type="dxa"/>
              <w:end w:w="100" w:type="dxa"/>
            </w:tcMar>
          </w:tcPr>
          <w:p>
            <w:pPr>
              <w:spacing w:after="0"/>
            </w:pPr>
            <w:r/>
            <w:r>
              <w:rPr>
                <w:rFonts w:ascii="Calibri" w:hAnsi="Calibri"/>
                <w:b w:val="0"/>
                <w:sz w:val="17"/>
              </w:rPr>
              <w:t>GET /v1/admin/bookings?from={date}&amp;to={date}&amp;adviserId={id}</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booking.get_lifecycle</w:t>
            </w:r>
          </w:p>
        </w:tc>
        <w:tc>
          <w:tcPr>
            <w:tcW w:type="dxa" w:w="1800"/>
            <w:vAlign w:val="center"/>
            <w:tcMar>
              <w:top w:w="100" w:type="dxa"/>
              <w:bottom w:w="100" w:type="dxa"/>
              <w:start w:w="100" w:type="dxa"/>
              <w:end w:w="100" w:type="dxa"/>
            </w:tcMar>
          </w:tcPr>
          <w:p>
            <w:pPr>
              <w:spacing w:after="0"/>
            </w:pPr>
            <w:r/>
            <w:r>
              <w:rPr>
                <w:rFonts w:ascii="Calibri" w:hAnsi="Calibri"/>
                <w:b w:val="0"/>
                <w:sz w:val="17"/>
              </w:rPr>
              <w:t>Booking</w:t>
            </w:r>
          </w:p>
        </w:tc>
        <w:tc>
          <w:tcPr>
            <w:tcW w:type="dxa" w:w="4176"/>
            <w:vAlign w:val="center"/>
            <w:tcMar>
              <w:top w:w="100" w:type="dxa"/>
              <w:bottom w:w="100" w:type="dxa"/>
              <w:start w:w="100" w:type="dxa"/>
              <w:end w:w="100" w:type="dxa"/>
            </w:tcMar>
          </w:tcPr>
          <w:p>
            <w:pPr>
              <w:spacing w:after="0"/>
            </w:pPr>
            <w:r/>
            <w:r>
              <w:rPr>
                <w:rFonts w:ascii="Calibri" w:hAnsi="Calibri"/>
                <w:b w:val="0"/>
                <w:sz w:val="17"/>
              </w:rPr>
              <w:t>GET /v1/bookings/{bookingId}/lifecycle</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booking.find_availability</w:t>
            </w:r>
          </w:p>
        </w:tc>
        <w:tc>
          <w:tcPr>
            <w:tcW w:type="dxa" w:w="1800"/>
            <w:vAlign w:val="center"/>
            <w:tcMar>
              <w:top w:w="100" w:type="dxa"/>
              <w:bottom w:w="100" w:type="dxa"/>
              <w:start w:w="100" w:type="dxa"/>
              <w:end w:w="100" w:type="dxa"/>
            </w:tcMar>
          </w:tcPr>
          <w:p>
            <w:pPr>
              <w:spacing w:after="0"/>
            </w:pPr>
            <w:r/>
            <w:r>
              <w:rPr>
                <w:rFonts w:ascii="Calibri" w:hAnsi="Calibri"/>
                <w:b w:val="0"/>
                <w:sz w:val="17"/>
              </w:rPr>
              <w:t>Booking</w:t>
            </w:r>
          </w:p>
        </w:tc>
        <w:tc>
          <w:tcPr>
            <w:tcW w:type="dxa" w:w="4176"/>
            <w:vAlign w:val="center"/>
            <w:tcMar>
              <w:top w:w="100" w:type="dxa"/>
              <w:bottom w:w="100" w:type="dxa"/>
              <w:start w:w="100" w:type="dxa"/>
              <w:end w:w="100" w:type="dxa"/>
            </w:tcMar>
          </w:tcPr>
          <w:p>
            <w:pPr>
              <w:spacing w:after="0"/>
            </w:pPr>
            <w:r/>
            <w:r>
              <w:rPr>
                <w:rFonts w:ascii="Calibri" w:hAnsi="Calibri"/>
                <w:b w:val="0"/>
                <w:sz w:val="17"/>
              </w:rPr>
              <w:t>POST /v2/transactions/{transactionId}/availability</w:t>
            </w:r>
          </w:p>
        </w:tc>
        <w:tc>
          <w:tcPr>
            <w:tcW w:type="dxa" w:w="1007"/>
            <w:vAlign w:val="center"/>
            <w:tcMar>
              <w:top w:w="100" w:type="dxa"/>
              <w:bottom w:w="100" w:type="dxa"/>
              <w:start w:w="100" w:type="dxa"/>
              <w:end w:w="100" w:type="dxa"/>
            </w:tcMar>
          </w:tcPr>
          <w:p>
            <w:pPr>
              <w:spacing w:after="0"/>
            </w:pPr>
            <w:r/>
            <w:r>
              <w:rPr>
                <w:rFonts w:ascii="Calibri" w:hAnsi="Calibri"/>
                <w:b w:val="0"/>
                <w:sz w:val="17"/>
              </w:rPr>
              <w:t>Read/calculation</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calendar.get_schedule</w:t>
            </w:r>
          </w:p>
        </w:tc>
        <w:tc>
          <w:tcPr>
            <w:tcW w:type="dxa" w:w="1800"/>
            <w:vAlign w:val="center"/>
            <w:tcMar>
              <w:top w:w="100" w:type="dxa"/>
              <w:bottom w:w="100" w:type="dxa"/>
              <w:start w:w="100" w:type="dxa"/>
              <w:end w:w="100" w:type="dxa"/>
            </w:tcMar>
          </w:tcPr>
          <w:p>
            <w:pPr>
              <w:spacing w:after="0"/>
            </w:pPr>
            <w:r/>
            <w:r>
              <w:rPr>
                <w:rFonts w:ascii="Calibri" w:hAnsi="Calibri"/>
                <w:b w:val="0"/>
                <w:sz w:val="17"/>
              </w:rPr>
              <w:t>Calendar</w:t>
            </w:r>
          </w:p>
        </w:tc>
        <w:tc>
          <w:tcPr>
            <w:tcW w:type="dxa" w:w="4176"/>
            <w:vAlign w:val="center"/>
            <w:tcMar>
              <w:top w:w="100" w:type="dxa"/>
              <w:bottom w:w="100" w:type="dxa"/>
              <w:start w:w="100" w:type="dxa"/>
              <w:end w:w="100" w:type="dxa"/>
            </w:tcMar>
          </w:tcPr>
          <w:p>
            <w:pPr>
              <w:spacing w:after="0"/>
            </w:pPr>
            <w:r/>
            <w:r>
              <w:rPr>
                <w:rFonts w:ascii="Calibri" w:hAnsi="Calibri"/>
                <w:b w:val="0"/>
                <w:sz w:val="17"/>
              </w:rPr>
              <w:t>GET /v1/calendar/users/{userId}/schedule?start={utc}&amp;end={utc}</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calendar.ensure_subscriptions</w:t>
            </w:r>
          </w:p>
        </w:tc>
        <w:tc>
          <w:tcPr>
            <w:tcW w:type="dxa" w:w="1800"/>
            <w:vAlign w:val="center"/>
            <w:tcMar>
              <w:top w:w="100" w:type="dxa"/>
              <w:bottom w:w="100" w:type="dxa"/>
              <w:start w:w="100" w:type="dxa"/>
              <w:end w:w="100" w:type="dxa"/>
            </w:tcMar>
          </w:tcPr>
          <w:p>
            <w:pPr>
              <w:spacing w:after="0"/>
            </w:pPr>
            <w:r/>
            <w:r>
              <w:rPr>
                <w:rFonts w:ascii="Calibri" w:hAnsi="Calibri"/>
                <w:b w:val="0"/>
                <w:sz w:val="17"/>
              </w:rPr>
              <w:t>Calendar</w:t>
            </w:r>
          </w:p>
        </w:tc>
        <w:tc>
          <w:tcPr>
            <w:tcW w:type="dxa" w:w="4176"/>
            <w:vAlign w:val="center"/>
            <w:tcMar>
              <w:top w:w="100" w:type="dxa"/>
              <w:bottom w:w="100" w:type="dxa"/>
              <w:start w:w="100" w:type="dxa"/>
              <w:end w:w="100" w:type="dxa"/>
            </w:tcMar>
          </w:tcPr>
          <w:p>
            <w:pPr>
              <w:spacing w:after="0"/>
            </w:pPr>
            <w:r/>
            <w:r>
              <w:rPr>
                <w:rFonts w:ascii="Calibri" w:hAnsi="Calibri"/>
                <w:b w:val="0"/>
                <w:sz w:val="17"/>
              </w:rPr>
              <w:t>POST /v1/calendar/subscriptions/ensure</w:t>
            </w:r>
          </w:p>
        </w:tc>
        <w:tc>
          <w:tcPr>
            <w:tcW w:type="dxa" w:w="1007"/>
            <w:vAlign w:val="center"/>
            <w:tcMar>
              <w:top w:w="100" w:type="dxa"/>
              <w:bottom w:w="100" w:type="dxa"/>
              <w:start w:w="100" w:type="dxa"/>
              <w:end w:w="100" w:type="dxa"/>
            </w:tcMar>
          </w:tcPr>
          <w:p>
            <w:pPr>
              <w:spacing w:after="0"/>
            </w:pPr>
            <w:r/>
            <w:r>
              <w:rPr>
                <w:rFonts w:ascii="Calibri" w:hAnsi="Calibri"/>
                <w:b w:val="0"/>
                <w:sz w:val="17"/>
              </w:rPr>
              <w:t>Write/operational</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notification.get_request</w:t>
            </w:r>
          </w:p>
        </w:tc>
        <w:tc>
          <w:tcPr>
            <w:tcW w:type="dxa" w:w="1800"/>
            <w:vAlign w:val="center"/>
            <w:tcMar>
              <w:top w:w="100" w:type="dxa"/>
              <w:bottom w:w="100" w:type="dxa"/>
              <w:start w:w="100" w:type="dxa"/>
              <w:end w:w="100" w:type="dxa"/>
            </w:tcMar>
          </w:tcPr>
          <w:p>
            <w:pPr>
              <w:spacing w:after="0"/>
            </w:pPr>
            <w:r/>
            <w:r>
              <w:rPr>
                <w:rFonts w:ascii="Calibri" w:hAnsi="Calibri"/>
                <w:b w:val="0"/>
                <w:sz w:val="17"/>
              </w:rPr>
              <w:t>Notification</w:t>
            </w:r>
          </w:p>
        </w:tc>
        <w:tc>
          <w:tcPr>
            <w:tcW w:type="dxa" w:w="4176"/>
            <w:vAlign w:val="center"/>
            <w:tcMar>
              <w:top w:w="100" w:type="dxa"/>
              <w:bottom w:w="100" w:type="dxa"/>
              <w:start w:w="100" w:type="dxa"/>
              <w:end w:w="100" w:type="dxa"/>
            </w:tcMar>
          </w:tcPr>
          <w:p>
            <w:pPr>
              <w:spacing w:after="0"/>
            </w:pPr>
            <w:r/>
            <w:r>
              <w:rPr>
                <w:rFonts w:ascii="Calibri" w:hAnsi="Calibri"/>
                <w:b w:val="0"/>
                <w:sz w:val="17"/>
              </w:rPr>
              <w:t>GET /v1/notifications/requests/{id}</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notification.requeue_request</w:t>
            </w:r>
          </w:p>
        </w:tc>
        <w:tc>
          <w:tcPr>
            <w:tcW w:type="dxa" w:w="1800"/>
            <w:vAlign w:val="center"/>
            <w:tcMar>
              <w:top w:w="100" w:type="dxa"/>
              <w:bottom w:w="100" w:type="dxa"/>
              <w:start w:w="100" w:type="dxa"/>
              <w:end w:w="100" w:type="dxa"/>
            </w:tcMar>
          </w:tcPr>
          <w:p>
            <w:pPr>
              <w:spacing w:after="0"/>
            </w:pPr>
            <w:r/>
            <w:r>
              <w:rPr>
                <w:rFonts w:ascii="Calibri" w:hAnsi="Calibri"/>
                <w:b w:val="0"/>
                <w:sz w:val="17"/>
              </w:rPr>
              <w:t>Notification</w:t>
            </w:r>
          </w:p>
        </w:tc>
        <w:tc>
          <w:tcPr>
            <w:tcW w:type="dxa" w:w="4176"/>
            <w:vAlign w:val="center"/>
            <w:tcMar>
              <w:top w:w="100" w:type="dxa"/>
              <w:bottom w:w="100" w:type="dxa"/>
              <w:start w:w="100" w:type="dxa"/>
              <w:end w:w="100" w:type="dxa"/>
            </w:tcMar>
          </w:tcPr>
          <w:p>
            <w:pPr>
              <w:spacing w:after="0"/>
            </w:pPr>
            <w:r/>
            <w:r>
              <w:rPr>
                <w:rFonts w:ascii="Calibri" w:hAnsi="Calibri"/>
                <w:b w:val="0"/>
                <w:sz w:val="17"/>
              </w:rPr>
              <w:t>POST /v1/notifications/requests/{id}/requeue</w:t>
            </w:r>
          </w:p>
        </w:tc>
        <w:tc>
          <w:tcPr>
            <w:tcW w:type="dxa" w:w="1007"/>
            <w:vAlign w:val="center"/>
            <w:tcMar>
              <w:top w:w="100" w:type="dxa"/>
              <w:bottom w:w="100" w:type="dxa"/>
              <w:start w:w="100" w:type="dxa"/>
              <w:end w:w="100" w:type="dxa"/>
            </w:tcMar>
          </w:tcPr>
          <w:p>
            <w:pPr>
              <w:spacing w:after="0"/>
            </w:pPr>
            <w:r/>
            <w:r>
              <w:rPr>
                <w:rFonts w:ascii="Calibri" w:hAnsi="Calibri"/>
                <w:b w:val="0"/>
                <w:sz w:val="17"/>
              </w:rPr>
              <w:t>Write; approval proposed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location.route_time</w:t>
            </w:r>
          </w:p>
        </w:tc>
        <w:tc>
          <w:tcPr>
            <w:tcW w:type="dxa" w:w="1800"/>
            <w:vAlign w:val="center"/>
            <w:tcMar>
              <w:top w:w="100" w:type="dxa"/>
              <w:bottom w:w="100" w:type="dxa"/>
              <w:start w:w="100" w:type="dxa"/>
              <w:end w:w="100" w:type="dxa"/>
            </w:tcMar>
          </w:tcPr>
          <w:p>
            <w:pPr>
              <w:spacing w:after="0"/>
            </w:pPr>
            <w:r/>
            <w:r>
              <w:rPr>
                <w:rFonts w:ascii="Calibri" w:hAnsi="Calibri"/>
                <w:b w:val="0"/>
                <w:sz w:val="17"/>
              </w:rPr>
              <w:t>Location</w:t>
            </w:r>
          </w:p>
        </w:tc>
        <w:tc>
          <w:tcPr>
            <w:tcW w:type="dxa" w:w="4176"/>
            <w:vAlign w:val="center"/>
            <w:tcMar>
              <w:top w:w="100" w:type="dxa"/>
              <w:bottom w:w="100" w:type="dxa"/>
              <w:start w:w="100" w:type="dxa"/>
              <w:end w:w="100" w:type="dxa"/>
            </w:tcMar>
          </w:tcPr>
          <w:p>
            <w:pPr>
              <w:spacing w:after="0"/>
            </w:pPr>
            <w:r/>
            <w:r>
              <w:rPr>
                <w:rFonts w:ascii="Calibri" w:hAnsi="Calibri"/>
                <w:b w:val="0"/>
                <w:sz w:val="17"/>
              </w:rPr>
              <w:t>POST /v1/location/route-time</w:t>
            </w:r>
          </w:p>
        </w:tc>
        <w:tc>
          <w:tcPr>
            <w:tcW w:type="dxa" w:w="1007"/>
            <w:vAlign w:val="center"/>
            <w:tcMar>
              <w:top w:w="100" w:type="dxa"/>
              <w:bottom w:w="100" w:type="dxa"/>
              <w:start w:w="100" w:type="dxa"/>
              <w:end w:w="100" w:type="dxa"/>
            </w:tcMar>
          </w:tcPr>
          <w:p>
            <w:pPr>
              <w:spacing w:after="0"/>
            </w:pPr>
            <w:r/>
            <w:r>
              <w:rPr>
                <w:rFonts w:ascii="Calibri" w:hAnsi="Calibri"/>
                <w:b w:val="0"/>
                <w:sz w:val="17"/>
              </w:rPr>
              <w:t>Read/calculation</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adviser.get_profile</w:t>
            </w:r>
          </w:p>
        </w:tc>
        <w:tc>
          <w:tcPr>
            <w:tcW w:type="dxa" w:w="1800"/>
            <w:vAlign w:val="center"/>
            <w:tcMar>
              <w:top w:w="100" w:type="dxa"/>
              <w:bottom w:w="100" w:type="dxa"/>
              <w:start w:w="100" w:type="dxa"/>
              <w:end w:w="100" w:type="dxa"/>
            </w:tcMar>
          </w:tcPr>
          <w:p>
            <w:pPr>
              <w:spacing w:after="0"/>
            </w:pPr>
            <w:r/>
            <w:r>
              <w:rPr>
                <w:rFonts w:ascii="Calibri" w:hAnsi="Calibri"/>
                <w:b w:val="0"/>
                <w:sz w:val="17"/>
              </w:rPr>
              <w:t>Adviser</w:t>
            </w:r>
          </w:p>
        </w:tc>
        <w:tc>
          <w:tcPr>
            <w:tcW w:type="dxa" w:w="4176"/>
            <w:vAlign w:val="center"/>
            <w:tcMar>
              <w:top w:w="100" w:type="dxa"/>
              <w:bottom w:w="100" w:type="dxa"/>
              <w:start w:w="100" w:type="dxa"/>
              <w:end w:w="100" w:type="dxa"/>
            </w:tcMar>
          </w:tcPr>
          <w:p>
            <w:pPr>
              <w:spacing w:after="0"/>
            </w:pPr>
            <w:r/>
            <w:r>
              <w:rPr>
                <w:rFonts w:ascii="Calibri" w:hAnsi="Calibri"/>
                <w:b w:val="0"/>
                <w:sz w:val="17"/>
              </w:rPr>
              <w:t>GET /v1/admin/advisers/{adviserId}</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identity.get_current_user</w:t>
            </w:r>
          </w:p>
        </w:tc>
        <w:tc>
          <w:tcPr>
            <w:tcW w:type="dxa" w:w="1800"/>
            <w:vAlign w:val="center"/>
            <w:tcMar>
              <w:top w:w="100" w:type="dxa"/>
              <w:bottom w:w="100" w:type="dxa"/>
              <w:start w:w="100" w:type="dxa"/>
              <w:end w:w="100" w:type="dxa"/>
            </w:tcMar>
          </w:tcPr>
          <w:p>
            <w:pPr>
              <w:spacing w:after="0"/>
            </w:pPr>
            <w:r/>
            <w:r>
              <w:rPr>
                <w:rFonts w:ascii="Calibri" w:hAnsi="Calibri"/>
                <w:b w:val="0"/>
                <w:sz w:val="17"/>
              </w:rPr>
              <w:t>Identity</w:t>
            </w:r>
          </w:p>
        </w:tc>
        <w:tc>
          <w:tcPr>
            <w:tcW w:type="dxa" w:w="4176"/>
            <w:vAlign w:val="center"/>
            <w:tcMar>
              <w:top w:w="100" w:type="dxa"/>
              <w:bottom w:w="100" w:type="dxa"/>
              <w:start w:w="100" w:type="dxa"/>
              <w:end w:w="100" w:type="dxa"/>
            </w:tcMar>
          </w:tcPr>
          <w:p>
            <w:pPr>
              <w:spacing w:after="0"/>
            </w:pPr>
            <w:r/>
            <w:r>
              <w:rPr>
                <w:rFonts w:ascii="Calibri" w:hAnsi="Calibri"/>
                <w:b w:val="0"/>
                <w:sz w:val="17"/>
              </w:rPr>
              <w:t>GET /internal/identity/v1/me</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acs.get_transcription</w:t>
            </w:r>
          </w:p>
        </w:tc>
        <w:tc>
          <w:tcPr>
            <w:tcW w:type="dxa" w:w="1800"/>
            <w:vAlign w:val="center"/>
            <w:tcMar>
              <w:top w:w="100" w:type="dxa"/>
              <w:bottom w:w="100" w:type="dxa"/>
              <w:start w:w="100" w:type="dxa"/>
              <w:end w:w="100" w:type="dxa"/>
            </w:tcMar>
          </w:tcPr>
          <w:p>
            <w:pPr>
              <w:spacing w:after="0"/>
            </w:pPr>
            <w:r/>
            <w:r>
              <w:rPr>
                <w:rFonts w:ascii="Calibri" w:hAnsi="Calibri"/>
                <w:b w:val="0"/>
                <w:sz w:val="17"/>
              </w:rPr>
              <w:t>ACS</w:t>
            </w:r>
          </w:p>
        </w:tc>
        <w:tc>
          <w:tcPr>
            <w:tcW w:type="dxa" w:w="4176"/>
            <w:vAlign w:val="center"/>
            <w:tcMar>
              <w:top w:w="100" w:type="dxa"/>
              <w:bottom w:w="100" w:type="dxa"/>
              <w:start w:w="100" w:type="dxa"/>
              <w:end w:w="100" w:type="dxa"/>
            </w:tcMar>
          </w:tcPr>
          <w:p>
            <w:pPr>
              <w:spacing w:after="0"/>
            </w:pPr>
            <w:r/>
            <w:r>
              <w:rPr>
                <w:rFonts w:ascii="Calibri" w:hAnsi="Calibri"/>
                <w:b w:val="0"/>
                <w:sz w:val="17"/>
              </w:rPr>
              <w:t>GET /v1/transcriptions/{jobId}/content</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client.get_integration_status</w:t>
            </w:r>
          </w:p>
        </w:tc>
        <w:tc>
          <w:tcPr>
            <w:tcW w:type="dxa" w:w="1800"/>
            <w:vAlign w:val="center"/>
            <w:tcMar>
              <w:top w:w="100" w:type="dxa"/>
              <w:bottom w:w="100" w:type="dxa"/>
              <w:start w:w="100" w:type="dxa"/>
              <w:end w:w="100" w:type="dxa"/>
            </w:tcMar>
          </w:tcPr>
          <w:p>
            <w:pPr>
              <w:spacing w:after="0"/>
            </w:pPr>
            <w:r/>
            <w:r>
              <w:rPr>
                <w:rFonts w:ascii="Calibri" w:hAnsi="Calibri"/>
                <w:b w:val="0"/>
                <w:sz w:val="17"/>
              </w:rPr>
              <w:t>Client Integration</w:t>
            </w:r>
          </w:p>
        </w:tc>
        <w:tc>
          <w:tcPr>
            <w:tcW w:type="dxa" w:w="4176"/>
            <w:vAlign w:val="center"/>
            <w:tcMar>
              <w:top w:w="100" w:type="dxa"/>
              <w:bottom w:w="100" w:type="dxa"/>
              <w:start w:w="100" w:type="dxa"/>
              <w:end w:w="100" w:type="dxa"/>
            </w:tcMar>
          </w:tcPr>
          <w:p>
            <w:pPr>
              <w:spacing w:after="0"/>
            </w:pPr>
            <w:r/>
            <w:r>
              <w:rPr>
                <w:rFonts w:ascii="Calibri" w:hAnsi="Calibri"/>
                <w:b w:val="0"/>
                <w:sz w:val="17"/>
              </w:rPr>
              <w:t>GET /v2/status/{id}</w:t>
            </w:r>
          </w:p>
        </w:tc>
        <w:tc>
          <w:tcPr>
            <w:tcW w:type="dxa" w:w="1007"/>
            <w:vAlign w:val="center"/>
            <w:tcMar>
              <w:top w:w="100" w:type="dxa"/>
              <w:bottom w:w="100" w:type="dxa"/>
              <w:start w:w="100" w:type="dxa"/>
              <w:end w:w="100" w:type="dxa"/>
            </w:tcMar>
          </w:tcPr>
          <w:p>
            <w:pPr>
              <w:spacing w:after="0"/>
            </w:pPr>
            <w:r/>
            <w:r>
              <w:rPr>
                <w:rFonts w:ascii="Calibri" w:hAnsi="Calibri"/>
                <w:b w:val="0"/>
                <w:sz w:val="17"/>
              </w:rPr>
              <w:t>Read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devops.create_user_story</w:t>
            </w:r>
          </w:p>
        </w:tc>
        <w:tc>
          <w:tcPr>
            <w:tcW w:type="dxa" w:w="1800"/>
            <w:vAlign w:val="center"/>
            <w:tcMar>
              <w:top w:w="100" w:type="dxa"/>
              <w:bottom w:w="100" w:type="dxa"/>
              <w:start w:w="100" w:type="dxa"/>
              <w:end w:w="100" w:type="dxa"/>
            </w:tcMar>
          </w:tcPr>
          <w:p>
            <w:pPr>
              <w:spacing w:after="0"/>
            </w:pPr>
            <w:r/>
            <w:r>
              <w:rPr>
                <w:rFonts w:ascii="Calibri" w:hAnsi="Calibri"/>
                <w:b w:val="0"/>
                <w:sz w:val="17"/>
              </w:rPr>
              <w:t>DevOps Integration</w:t>
            </w:r>
          </w:p>
        </w:tc>
        <w:tc>
          <w:tcPr>
            <w:tcW w:type="dxa" w:w="4176"/>
            <w:vAlign w:val="center"/>
            <w:tcMar>
              <w:top w:w="100" w:type="dxa"/>
              <w:bottom w:w="100" w:type="dxa"/>
              <w:start w:w="100" w:type="dxa"/>
              <w:end w:w="100" w:type="dxa"/>
            </w:tcMar>
          </w:tcPr>
          <w:p>
            <w:pPr>
              <w:spacing w:after="0"/>
            </w:pPr>
            <w:r/>
            <w:r>
              <w:rPr>
                <w:rFonts w:ascii="Calibri" w:hAnsi="Calibri"/>
                <w:b w:val="0"/>
                <w:sz w:val="17"/>
              </w:rPr>
              <w:t>POST /internal/devops/v1/work-items/user-stories</w:t>
            </w:r>
          </w:p>
        </w:tc>
        <w:tc>
          <w:tcPr>
            <w:tcW w:type="dxa" w:w="1007"/>
            <w:vAlign w:val="center"/>
            <w:tcMar>
              <w:top w:w="100" w:type="dxa"/>
              <w:bottom w:w="100" w:type="dxa"/>
              <w:start w:w="100" w:type="dxa"/>
              <w:end w:w="100" w:type="dxa"/>
            </w:tcMar>
          </w:tcPr>
          <w:p>
            <w:pPr>
              <w:spacing w:after="0"/>
            </w:pPr>
            <w:r/>
            <w:r>
              <w:rPr>
                <w:rFonts w:ascii="Calibri" w:hAnsi="Calibri"/>
                <w:b w:val="0"/>
                <w:sz w:val="17"/>
              </w:rPr>
              <w:t>Write; approval/idempotency proposed</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devops.link_pull_request</w:t>
            </w:r>
          </w:p>
        </w:tc>
        <w:tc>
          <w:tcPr>
            <w:tcW w:type="dxa" w:w="1800"/>
            <w:vAlign w:val="center"/>
            <w:tcMar>
              <w:top w:w="100" w:type="dxa"/>
              <w:bottom w:w="100" w:type="dxa"/>
              <w:start w:w="100" w:type="dxa"/>
              <w:end w:w="100" w:type="dxa"/>
            </w:tcMar>
          </w:tcPr>
          <w:p>
            <w:pPr>
              <w:spacing w:after="0"/>
            </w:pPr>
            <w:r/>
            <w:r>
              <w:rPr>
                <w:rFonts w:ascii="Calibri" w:hAnsi="Calibri"/>
                <w:b w:val="0"/>
                <w:sz w:val="17"/>
              </w:rPr>
              <w:t>DevOps Integration</w:t>
            </w:r>
          </w:p>
        </w:tc>
        <w:tc>
          <w:tcPr>
            <w:tcW w:type="dxa" w:w="4176"/>
            <w:vAlign w:val="center"/>
            <w:tcMar>
              <w:top w:w="100" w:type="dxa"/>
              <w:bottom w:w="100" w:type="dxa"/>
              <w:start w:w="100" w:type="dxa"/>
              <w:end w:w="100" w:type="dxa"/>
            </w:tcMar>
          </w:tcPr>
          <w:p>
            <w:pPr>
              <w:spacing w:after="0"/>
            </w:pPr>
            <w:r/>
            <w:r>
              <w:rPr>
                <w:rFonts w:ascii="Calibri" w:hAnsi="Calibri"/>
                <w:b w:val="0"/>
                <w:sz w:val="17"/>
              </w:rPr>
              <w:t>POST /internal/devops/v1/pull-requests/link</w:t>
            </w:r>
          </w:p>
        </w:tc>
        <w:tc>
          <w:tcPr>
            <w:tcW w:type="dxa" w:w="1007"/>
            <w:vAlign w:val="center"/>
            <w:tcMar>
              <w:top w:w="100" w:type="dxa"/>
              <w:bottom w:w="100" w:type="dxa"/>
              <w:start w:w="100" w:type="dxa"/>
              <w:end w:w="100" w:type="dxa"/>
            </w:tcMar>
          </w:tcPr>
          <w:p>
            <w:pPr>
              <w:spacing w:after="0"/>
            </w:pPr>
            <w:r/>
            <w:r>
              <w:rPr>
                <w:rFonts w:ascii="Calibri" w:hAnsi="Calibri"/>
                <w:b w:val="0"/>
                <w:sz w:val="17"/>
              </w:rPr>
              <w:t>Write</w:t>
            </w:r>
          </w:p>
        </w:tc>
      </w:tr>
    </w:tbl>
    <w:p>
      <w:pPr>
        <w:spacing w:after="60"/>
      </w:pPr>
    </w:p>
    <w:p>
      <w:pPr>
        <w:pStyle w:val="Heading2"/>
      </w:pPr>
      <w:r>
        <w:t>6.2 Example tool provider manifest</w:t>
      </w:r>
    </w:p>
    <w:p>
      <w:r>
        <w:rPr>
          <w:rFonts w:ascii="Consolas" w:hAnsi="Consolas"/>
          <w:sz w:val="17"/>
        </w:rPr>
        <w:t>{</w:t>
        <w:br/>
        <w:t xml:space="preserve">  "provider": "afh-booking-function-app",</w:t>
        <w:br/>
        <w:t xml:space="preserve">  "version": "1.0",</w:t>
        <w:br/>
        <w:t xml:space="preserve">  "tools": [</w:t>
        <w:br/>
        <w:t xml:space="preserve">    {</w:t>
        <w:br/>
        <w:t xml:space="preserve">      "name": "booking.get_lifecycle",</w:t>
        <w:br/>
        <w:t xml:space="preserve">      "description": "Return booking lifecycle events for an existing booking.",</w:t>
        <w:br/>
        <w:t xml:space="preserve">      "permission": "booking.lifecycle.read",</w:t>
        <w:br/>
        <w:t xml:space="preserve">      "sideEffect": "read",</w:t>
        <w:br/>
        <w:t xml:space="preserve">      "endpoint": { "method": "GET", "path": "/v1/bookings/{bookingId}/lifecycle" },</w:t>
        <w:br/>
        <w:t xml:space="preserve">      "inputSchema": { "bookingId": "string" },</w:t>
        <w:br/>
        <w:t xml:space="preserve">      "approvalRequired": false</w:t>
        <w:br/>
        <w:t xml:space="preserve">    }</w:t>
        <w:br/>
        <w:t xml:space="preserve">  ]</w:t>
        <w:br/>
        <w:t>}</w:t>
        <w:br/>
      </w:r>
    </w:p>
    <w:p>
      <w:pPr>
        <w:pStyle w:val="Heading1"/>
      </w:pPr>
      <w:r>
        <w:t>7. Internal communication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88"/>
            <w:shd w:fill="E8EEF5"/>
            <w:vAlign w:val="center"/>
            <w:tcMar>
              <w:top w:w="100" w:type="dxa"/>
              <w:bottom w:w="100" w:type="dxa"/>
              <w:start w:w="100" w:type="dxa"/>
              <w:end w:w="100" w:type="dxa"/>
            </w:tcMar>
          </w:tcPr>
          <w:p>
            <w:pPr>
              <w:spacing w:after="0"/>
            </w:pPr>
            <w:r/>
            <w:r>
              <w:rPr>
                <w:rFonts w:ascii="Calibri" w:hAnsi="Calibri"/>
                <w:b/>
                <w:color w:val="12202F"/>
                <w:sz w:val="18"/>
              </w:rPr>
              <w:t>Mechanism</w:t>
            </w:r>
          </w:p>
        </w:tc>
        <w:tc>
          <w:tcPr>
            <w:tcW w:type="dxa" w:w="2664"/>
            <w:shd w:fill="E8EEF5"/>
            <w:vAlign w:val="center"/>
            <w:tcMar>
              <w:top w:w="100" w:type="dxa"/>
              <w:bottom w:w="100" w:type="dxa"/>
              <w:start w:w="100" w:type="dxa"/>
              <w:end w:w="100" w:type="dxa"/>
            </w:tcMar>
          </w:tcPr>
          <w:p>
            <w:pPr>
              <w:spacing w:after="0"/>
            </w:pPr>
            <w:r/>
            <w:r>
              <w:rPr>
                <w:rFonts w:ascii="Calibri" w:hAnsi="Calibri"/>
                <w:b/>
                <w:color w:val="12202F"/>
                <w:sz w:val="18"/>
              </w:rPr>
              <w:t>Best use</w:t>
            </w:r>
          </w:p>
        </w:tc>
        <w:tc>
          <w:tcPr>
            <w:tcW w:type="dxa" w:w="4464"/>
            <w:shd w:fill="E8EEF5"/>
            <w:vAlign w:val="center"/>
            <w:tcMar>
              <w:top w:w="100" w:type="dxa"/>
              <w:bottom w:w="100" w:type="dxa"/>
              <w:start w:w="100" w:type="dxa"/>
              <w:end w:w="100" w:type="dxa"/>
            </w:tcMar>
          </w:tcPr>
          <w:p>
            <w:pPr>
              <w:spacing w:after="0"/>
            </w:pPr>
            <w:r/>
            <w:r>
              <w:rPr>
                <w:rFonts w:ascii="Calibri" w:hAnsi="Calibri"/>
                <w:b/>
                <w:color w:val="12202F"/>
                <w:sz w:val="18"/>
              </w:rPr>
              <w:t>Fit for current solution</w:t>
            </w:r>
          </w:p>
        </w:tc>
      </w:tr>
      <w:tr>
        <w:tc>
          <w:tcPr>
            <w:tcW w:type="dxa" w:w="2088"/>
            <w:vAlign w:val="center"/>
            <w:tcMar>
              <w:top w:w="100" w:type="dxa"/>
              <w:bottom w:w="100" w:type="dxa"/>
              <w:start w:w="100" w:type="dxa"/>
              <w:end w:w="100" w:type="dxa"/>
            </w:tcMar>
          </w:tcPr>
          <w:p>
            <w:pPr>
              <w:spacing w:after="0"/>
            </w:pPr>
            <w:r/>
            <w:r>
              <w:rPr>
                <w:rFonts w:ascii="Calibri" w:hAnsi="Calibri"/>
                <w:b w:val="0"/>
                <w:sz w:val="17"/>
              </w:rPr>
              <w:t>HTTP</w:t>
            </w:r>
          </w:p>
        </w:tc>
        <w:tc>
          <w:tcPr>
            <w:tcW w:type="dxa" w:w="2664"/>
            <w:vAlign w:val="center"/>
            <w:tcMar>
              <w:top w:w="100" w:type="dxa"/>
              <w:bottom w:w="100" w:type="dxa"/>
              <w:start w:w="100" w:type="dxa"/>
              <w:end w:w="100" w:type="dxa"/>
            </w:tcMar>
          </w:tcPr>
          <w:p>
            <w:pPr>
              <w:spacing w:after="0"/>
            </w:pPr>
            <w:r/>
            <w:r>
              <w:rPr>
                <w:rFonts w:ascii="Calibri" w:hAnsi="Calibri"/>
                <w:b w:val="0"/>
                <w:sz w:val="17"/>
              </w:rPr>
              <w:t>Synchronous tool calls and existing Azure Functions APIs.</w:t>
            </w:r>
          </w:p>
        </w:tc>
        <w:tc>
          <w:tcPr>
            <w:tcW w:type="dxa" w:w="4464"/>
            <w:vAlign w:val="center"/>
            <w:tcMar>
              <w:top w:w="100" w:type="dxa"/>
              <w:bottom w:w="100" w:type="dxa"/>
              <w:start w:w="100" w:type="dxa"/>
              <w:end w:w="100" w:type="dxa"/>
            </w:tcMar>
          </w:tcPr>
          <w:p>
            <w:pPr>
              <w:spacing w:after="0"/>
            </w:pPr>
            <w:r/>
            <w:r>
              <w:rPr>
                <w:rFonts w:ascii="Calibri" w:hAnsi="Calibri"/>
                <w:b w:val="0"/>
                <w:sz w:val="17"/>
              </w:rPr>
              <w:t>Best default. The services already expose HTTP triggers, gateways, and OpenAPI/Scalar docs.</w:t>
            </w:r>
          </w:p>
        </w:tc>
      </w:tr>
      <w:tr>
        <w:tc>
          <w:tcPr>
            <w:tcW w:type="dxa" w:w="2088"/>
            <w:vAlign w:val="center"/>
            <w:tcMar>
              <w:top w:w="100" w:type="dxa"/>
              <w:bottom w:w="100" w:type="dxa"/>
              <w:start w:w="100" w:type="dxa"/>
              <w:end w:w="100" w:type="dxa"/>
            </w:tcMar>
          </w:tcPr>
          <w:p>
            <w:pPr>
              <w:spacing w:after="0"/>
            </w:pPr>
            <w:r/>
            <w:r>
              <w:rPr>
                <w:rFonts w:ascii="Calibri" w:hAnsi="Calibri"/>
                <w:b w:val="0"/>
                <w:sz w:val="17"/>
              </w:rPr>
              <w:t>gRPC</w:t>
            </w:r>
          </w:p>
        </w:tc>
        <w:tc>
          <w:tcPr>
            <w:tcW w:type="dxa" w:w="2664"/>
            <w:vAlign w:val="center"/>
            <w:tcMar>
              <w:top w:w="100" w:type="dxa"/>
              <w:bottom w:w="100" w:type="dxa"/>
              <w:start w:w="100" w:type="dxa"/>
              <w:end w:w="100" w:type="dxa"/>
            </w:tcMar>
          </w:tcPr>
          <w:p>
            <w:pPr>
              <w:spacing w:after="0"/>
            </w:pPr>
            <w:r/>
            <w:r>
              <w:rPr>
                <w:rFonts w:ascii="Calibri" w:hAnsi="Calibri"/>
                <w:b w:val="0"/>
                <w:sz w:val="17"/>
              </w:rPr>
              <w:t>High-throughput internal binary APIs.</w:t>
            </w:r>
          </w:p>
        </w:tc>
        <w:tc>
          <w:tcPr>
            <w:tcW w:type="dxa" w:w="4464"/>
            <w:vAlign w:val="center"/>
            <w:tcMar>
              <w:top w:w="100" w:type="dxa"/>
              <w:bottom w:w="100" w:type="dxa"/>
              <w:start w:w="100" w:type="dxa"/>
              <w:end w:w="100" w:type="dxa"/>
            </w:tcMar>
          </w:tcPr>
          <w:p>
            <w:pPr>
              <w:spacing w:after="0"/>
            </w:pPr>
            <w:r/>
            <w:r>
              <w:rPr>
                <w:rFonts w:ascii="Calibri" w:hAnsi="Calibri"/>
                <w:b w:val="0"/>
                <w:sz w:val="17"/>
              </w:rPr>
              <w:t>Not a natural fit unless services move toward ASP.NET Core/container hosting.</w:t>
            </w:r>
          </w:p>
        </w:tc>
      </w:tr>
      <w:tr>
        <w:tc>
          <w:tcPr>
            <w:tcW w:type="dxa" w:w="2088"/>
            <w:vAlign w:val="center"/>
            <w:tcMar>
              <w:top w:w="100" w:type="dxa"/>
              <w:bottom w:w="100" w:type="dxa"/>
              <w:start w:w="100" w:type="dxa"/>
              <w:end w:w="100" w:type="dxa"/>
            </w:tcMar>
          </w:tcPr>
          <w:p>
            <w:pPr>
              <w:spacing w:after="0"/>
            </w:pPr>
            <w:r/>
            <w:r>
              <w:rPr>
                <w:rFonts w:ascii="Calibri" w:hAnsi="Calibri"/>
                <w:b w:val="0"/>
                <w:sz w:val="17"/>
              </w:rPr>
              <w:t>Azure Service Bus</w:t>
            </w:r>
          </w:p>
        </w:tc>
        <w:tc>
          <w:tcPr>
            <w:tcW w:type="dxa" w:w="2664"/>
            <w:vAlign w:val="center"/>
            <w:tcMar>
              <w:top w:w="100" w:type="dxa"/>
              <w:bottom w:w="100" w:type="dxa"/>
              <w:start w:w="100" w:type="dxa"/>
              <w:end w:w="100" w:type="dxa"/>
            </w:tcMar>
          </w:tcPr>
          <w:p>
            <w:pPr>
              <w:spacing w:after="0"/>
            </w:pPr>
            <w:r/>
            <w:r>
              <w:rPr>
                <w:rFonts w:ascii="Calibri" w:hAnsi="Calibri"/>
                <w:b w:val="0"/>
                <w:sz w:val="17"/>
              </w:rPr>
              <w:t>Asynchronous commands, long-running workflows, retries, and fan-out.</w:t>
            </w:r>
          </w:p>
        </w:tc>
        <w:tc>
          <w:tcPr>
            <w:tcW w:type="dxa" w:w="4464"/>
            <w:vAlign w:val="center"/>
            <w:tcMar>
              <w:top w:w="100" w:type="dxa"/>
              <w:bottom w:w="100" w:type="dxa"/>
              <w:start w:w="100" w:type="dxa"/>
              <w:end w:w="100" w:type="dxa"/>
            </w:tcMar>
          </w:tcPr>
          <w:p>
            <w:pPr>
              <w:spacing w:after="0"/>
            </w:pPr>
            <w:r/>
            <w:r>
              <w:rPr>
                <w:rFonts w:ascii="Calibri" w:hAnsi="Calibri"/>
                <w:b w:val="0"/>
                <w:sz w:val="17"/>
              </w:rPr>
              <w:t>Strong fit for DevOps/document workflows and notification-style patterns, not simple request/response tools.</w:t>
            </w:r>
          </w:p>
        </w:tc>
      </w:tr>
      <w:tr>
        <w:tc>
          <w:tcPr>
            <w:tcW w:type="dxa" w:w="2088"/>
            <w:vAlign w:val="center"/>
            <w:tcMar>
              <w:top w:w="100" w:type="dxa"/>
              <w:bottom w:w="100" w:type="dxa"/>
              <w:start w:w="100" w:type="dxa"/>
              <w:end w:w="100" w:type="dxa"/>
            </w:tcMar>
          </w:tcPr>
          <w:p>
            <w:pPr>
              <w:spacing w:after="0"/>
            </w:pPr>
            <w:r/>
            <w:r>
              <w:rPr>
                <w:rFonts w:ascii="Calibri" w:hAnsi="Calibri"/>
                <w:b w:val="0"/>
                <w:sz w:val="17"/>
              </w:rPr>
              <w:t>Direct project references</w:t>
            </w:r>
          </w:p>
        </w:tc>
        <w:tc>
          <w:tcPr>
            <w:tcW w:type="dxa" w:w="2664"/>
            <w:vAlign w:val="center"/>
            <w:tcMar>
              <w:top w:w="100" w:type="dxa"/>
              <w:bottom w:w="100" w:type="dxa"/>
              <w:start w:w="100" w:type="dxa"/>
              <w:end w:w="100" w:type="dxa"/>
            </w:tcMar>
          </w:tcPr>
          <w:p>
            <w:pPr>
              <w:spacing w:after="0"/>
            </w:pPr>
            <w:r/>
            <w:r>
              <w:rPr>
                <w:rFonts w:ascii="Calibri" w:hAnsi="Calibri"/>
                <w:b w:val="0"/>
                <w:sz w:val="17"/>
              </w:rPr>
              <w:t>Local code reuse.</w:t>
            </w:r>
          </w:p>
        </w:tc>
        <w:tc>
          <w:tcPr>
            <w:tcW w:type="dxa" w:w="4464"/>
            <w:vAlign w:val="center"/>
            <w:tcMar>
              <w:top w:w="100" w:type="dxa"/>
              <w:bottom w:w="100" w:type="dxa"/>
              <w:start w:w="100" w:type="dxa"/>
              <w:end w:w="100" w:type="dxa"/>
            </w:tcMar>
          </w:tcPr>
          <w:p>
            <w:pPr>
              <w:spacing w:after="0"/>
            </w:pPr>
            <w:r/>
            <w:r>
              <w:rPr>
                <w:rFonts w:ascii="Calibri" w:hAnsi="Calibri"/>
                <w:b w:val="0"/>
                <w:sz w:val="17"/>
              </w:rPr>
              <w:t>Not recommended for the gateway. It couples deployments and bypasses service-owned behavior.</w:t>
            </w:r>
          </w:p>
        </w:tc>
      </w:tr>
    </w:tbl>
    <w:p>
      <w:pPr>
        <w:spacing w:after="60"/>
      </w:pPr>
    </w:p>
    <w:p>
      <w:pPr>
        <w:pStyle w:val="Heading1"/>
      </w:pPr>
      <w:r>
        <w:t>8. AI orchestration boundaries</w:t>
      </w:r>
    </w:p>
    <w:tbl>
      <w:tblPr>
        <w:tblStyle w:val="TableGrid"/>
        <w:tblW w:type="auto" w:w="0"/>
        <w:jc w:val="center"/>
        <w:tblLayout w:type="fixed"/>
        <w:tblLook w:firstColumn="1" w:firstRow="1" w:lastColumn="0" w:lastRow="0" w:noHBand="0" w:noVBand="1" w:val="04A0"/>
      </w:tblPr>
      <w:tblGrid>
        <w:gridCol w:w="4680"/>
        <w:gridCol w:w="4680"/>
      </w:tblGrid>
      <w:tr>
        <w:tc>
          <w:tcPr>
            <w:tcW w:type="dxa" w:w="4608"/>
            <w:shd w:fill="E8EEF5"/>
            <w:vAlign w:val="center"/>
            <w:tcMar>
              <w:top w:w="100" w:type="dxa"/>
              <w:bottom w:w="100" w:type="dxa"/>
              <w:start w:w="100" w:type="dxa"/>
              <w:end w:w="100" w:type="dxa"/>
            </w:tcMar>
          </w:tcPr>
          <w:p>
            <w:pPr>
              <w:spacing w:after="0"/>
            </w:pPr>
            <w:r/>
            <w:r>
              <w:rPr>
                <w:rFonts w:ascii="Calibri" w:hAnsi="Calibri"/>
                <w:b/>
                <w:color w:val="12202F"/>
                <w:sz w:val="18"/>
              </w:rPr>
              <w:t>Belongs in MCP Gateway</w:t>
            </w:r>
          </w:p>
        </w:tc>
        <w:tc>
          <w:tcPr>
            <w:tcW w:type="dxa" w:w="4608"/>
            <w:shd w:fill="E8EEF5"/>
            <w:vAlign w:val="center"/>
            <w:tcMar>
              <w:top w:w="100" w:type="dxa"/>
              <w:bottom w:w="100" w:type="dxa"/>
              <w:start w:w="100" w:type="dxa"/>
              <w:end w:w="100" w:type="dxa"/>
            </w:tcMar>
          </w:tcPr>
          <w:p>
            <w:pPr>
              <w:spacing w:after="0"/>
            </w:pPr>
            <w:r/>
            <w:r>
              <w:rPr>
                <w:rFonts w:ascii="Calibri" w:hAnsi="Calibri"/>
                <w:b/>
                <w:color w:val="12202F"/>
                <w:sz w:val="18"/>
              </w:rPr>
              <w:t>Belongs in workflow-specific services</w:t>
            </w:r>
          </w:p>
        </w:tc>
      </w:tr>
      <w:tr>
        <w:tc>
          <w:tcPr>
            <w:tcW w:type="dxa" w:w="4608"/>
            <w:vAlign w:val="center"/>
            <w:tcMar>
              <w:top w:w="100" w:type="dxa"/>
              <w:bottom w:w="100" w:type="dxa"/>
              <w:start w:w="100" w:type="dxa"/>
              <w:end w:w="100" w:type="dxa"/>
            </w:tcMar>
          </w:tcPr>
          <w:p>
            <w:pPr>
              <w:spacing w:after="0"/>
            </w:pPr>
            <w:r/>
            <w:r>
              <w:rPr>
                <w:rFonts w:ascii="Calibri" w:hAnsi="Calibri"/>
                <w:b w:val="0"/>
                <w:sz w:val="17"/>
              </w:rPr>
              <w:t>Tool discovery, registration, and schema validation.</w:t>
            </w:r>
          </w:p>
        </w:tc>
        <w:tc>
          <w:tcPr>
            <w:tcW w:type="dxa" w:w="4608"/>
            <w:vAlign w:val="center"/>
            <w:tcMar>
              <w:top w:w="100" w:type="dxa"/>
              <w:bottom w:w="100" w:type="dxa"/>
              <w:start w:w="100" w:type="dxa"/>
              <w:end w:w="100" w:type="dxa"/>
            </w:tcMar>
          </w:tcPr>
          <w:p>
            <w:pPr>
              <w:spacing w:after="0"/>
            </w:pPr>
            <w:r/>
            <w:r>
              <w:rPr>
                <w:rFonts w:ascii="Calibri" w:hAnsi="Calibri"/>
                <w:b w:val="0"/>
                <w:sz w:val="17"/>
              </w:rPr>
              <w:t>Requirement document to Epic/Feature/User Story/Task generation.</w:t>
            </w:r>
          </w:p>
        </w:tc>
      </w:tr>
      <w:tr>
        <w:tc>
          <w:tcPr>
            <w:tcW w:type="dxa" w:w="4608"/>
            <w:vAlign w:val="center"/>
            <w:tcMar>
              <w:top w:w="100" w:type="dxa"/>
              <w:bottom w:w="100" w:type="dxa"/>
              <w:start w:w="100" w:type="dxa"/>
              <w:end w:w="100" w:type="dxa"/>
            </w:tcMar>
          </w:tcPr>
          <w:p>
            <w:pPr>
              <w:spacing w:after="0"/>
            </w:pPr>
            <w:r/>
            <w:r>
              <w:rPr>
                <w:rFonts w:ascii="Calibri" w:hAnsi="Calibri"/>
                <w:b w:val="0"/>
                <w:sz w:val="17"/>
              </w:rPr>
              <w:t>Authentication, actor resolution, and policy checks.</w:t>
            </w:r>
          </w:p>
        </w:tc>
        <w:tc>
          <w:tcPr>
            <w:tcW w:type="dxa" w:w="4608"/>
            <w:vAlign w:val="center"/>
            <w:tcMar>
              <w:top w:w="100" w:type="dxa"/>
              <w:bottom w:w="100" w:type="dxa"/>
              <w:start w:w="100" w:type="dxa"/>
              <w:end w:w="100" w:type="dxa"/>
            </w:tcMar>
          </w:tcPr>
          <w:p>
            <w:pPr>
              <w:spacing w:after="0"/>
            </w:pPr>
            <w:r/>
            <w:r>
              <w:rPr>
                <w:rFonts w:ascii="Calibri" w:hAnsi="Calibri"/>
                <w:b w:val="0"/>
                <w:sz w:val="17"/>
              </w:rPr>
              <w:t>SharePoint document analysis and classification.</w:t>
            </w:r>
          </w:p>
        </w:tc>
      </w:tr>
      <w:tr>
        <w:tc>
          <w:tcPr>
            <w:tcW w:type="dxa" w:w="4608"/>
            <w:vAlign w:val="center"/>
            <w:tcMar>
              <w:top w:w="100" w:type="dxa"/>
              <w:bottom w:w="100" w:type="dxa"/>
              <w:start w:w="100" w:type="dxa"/>
              <w:end w:w="100" w:type="dxa"/>
            </w:tcMar>
          </w:tcPr>
          <w:p>
            <w:pPr>
              <w:spacing w:after="0"/>
            </w:pPr>
            <w:r/>
            <w:r>
              <w:rPr>
                <w:rFonts w:ascii="Calibri" w:hAnsi="Calibri"/>
                <w:b w:val="0"/>
                <w:sz w:val="17"/>
              </w:rPr>
              <w:t>Audit envelope and redacted request logging.</w:t>
            </w:r>
          </w:p>
        </w:tc>
        <w:tc>
          <w:tcPr>
            <w:tcW w:type="dxa" w:w="4608"/>
            <w:vAlign w:val="center"/>
            <w:tcMar>
              <w:top w:w="100" w:type="dxa"/>
              <w:bottom w:w="100" w:type="dxa"/>
              <w:start w:w="100" w:type="dxa"/>
              <w:end w:w="100" w:type="dxa"/>
            </w:tcMar>
          </w:tcPr>
          <w:p>
            <w:pPr>
              <w:spacing w:after="0"/>
            </w:pPr>
            <w:r/>
            <w:r>
              <w:rPr>
                <w:rFonts w:ascii="Calibri" w:hAnsi="Calibri"/>
                <w:b w:val="0"/>
                <w:sz w:val="17"/>
              </w:rPr>
              <w:t>Sprint analysis, work item linking, and PR-link workflows.</w:t>
            </w:r>
          </w:p>
        </w:tc>
      </w:tr>
      <w:tr>
        <w:tc>
          <w:tcPr>
            <w:tcW w:type="dxa" w:w="4608"/>
            <w:vAlign w:val="center"/>
            <w:tcMar>
              <w:top w:w="100" w:type="dxa"/>
              <w:bottom w:w="100" w:type="dxa"/>
              <w:start w:w="100" w:type="dxa"/>
              <w:end w:w="100" w:type="dxa"/>
            </w:tcMar>
          </w:tcPr>
          <w:p>
            <w:pPr>
              <w:spacing w:after="0"/>
            </w:pPr>
            <w:r/>
            <w:r>
              <w:rPr>
                <w:rFonts w:ascii="Calibri" w:hAnsi="Calibri"/>
                <w:b w:val="0"/>
                <w:sz w:val="17"/>
              </w:rPr>
              <w:t>Thin read-only aggregation.</w:t>
            </w:r>
          </w:p>
        </w:tc>
        <w:tc>
          <w:tcPr>
            <w:tcW w:type="dxa" w:w="4608"/>
            <w:vAlign w:val="center"/>
            <w:tcMar>
              <w:top w:w="100" w:type="dxa"/>
              <w:bottom w:w="100" w:type="dxa"/>
              <w:start w:w="100" w:type="dxa"/>
              <w:end w:w="100" w:type="dxa"/>
            </w:tcMar>
          </w:tcPr>
          <w:p>
            <w:pPr>
              <w:spacing w:after="0"/>
            </w:pPr>
            <w:r/>
            <w:r>
              <w:rPr>
                <w:rFonts w:ascii="Calibri" w:hAnsi="Calibri"/>
                <w:b w:val="0"/>
                <w:sz w:val="17"/>
              </w:rPr>
              <w:t>Production incident investigation and remediation-plan workflows.</w:t>
            </w:r>
          </w:p>
        </w:tc>
      </w:tr>
      <w:tr>
        <w:tc>
          <w:tcPr>
            <w:tcW w:type="dxa" w:w="4608"/>
            <w:vAlign w:val="center"/>
            <w:tcMar>
              <w:top w:w="100" w:type="dxa"/>
              <w:bottom w:w="100" w:type="dxa"/>
              <w:start w:w="100" w:type="dxa"/>
              <w:end w:w="100" w:type="dxa"/>
            </w:tcMar>
          </w:tcPr>
          <w:p>
            <w:pPr>
              <w:spacing w:after="0"/>
            </w:pPr>
            <w:r/>
            <w:r>
              <w:rPr>
                <w:rFonts w:ascii="Calibri" w:hAnsi="Calibri"/>
                <w:b w:val="0"/>
                <w:sz w:val="17"/>
              </w:rPr>
              <w:t>Human approval checks for high-risk tool invocations.</w:t>
            </w:r>
          </w:p>
        </w:tc>
        <w:tc>
          <w:tcPr>
            <w:tcW w:type="dxa" w:w="4608"/>
            <w:vAlign w:val="center"/>
            <w:tcMar>
              <w:top w:w="100" w:type="dxa"/>
              <w:bottom w:w="100" w:type="dxa"/>
              <w:start w:w="100" w:type="dxa"/>
              <w:end w:w="100" w:type="dxa"/>
            </w:tcMar>
          </w:tcPr>
          <w:p>
            <w:pPr>
              <w:spacing w:after="0"/>
            </w:pPr>
            <w:r/>
            <w:r>
              <w:rPr>
                <w:rFonts w:ascii="Calibri" w:hAnsi="Calibri"/>
                <w:b w:val="0"/>
                <w:sz w:val="17"/>
              </w:rPr>
              <w:t>Potential PR generation, branch management, and review automation.</w:t>
            </w:r>
          </w:p>
        </w:tc>
      </w:tr>
    </w:tbl>
    <w:p>
      <w:pPr>
        <w:spacing w:after="60"/>
      </w:pPr>
    </w:p>
    <w:tbl>
      <w:tblPr>
        <w:tblStyle w:val="TableGrid"/>
        <w:tblW w:type="auto" w:w="0"/>
        <w:jc w:val="center"/>
        <w:tblLayout w:type="fixed"/>
        <w:tblLook w:firstColumn="1" w:firstRow="1" w:lastColumn="0" w:lastRow="0" w:noHBand="0" w:noVBand="1" w:val="04A0"/>
      </w:tblPr>
      <w:tblGrid>
        <w:gridCol w:w="9360"/>
      </w:tblGrid>
      <w:tr>
        <w:tc>
          <w:tcPr>
            <w:tcW w:type="dxa" w:w="9288"/>
            <w:tcMar>
              <w:top w:w="100" w:type="dxa"/>
              <w:bottom w:w="100" w:type="dxa"/>
              <w:start w:w="100" w:type="dxa"/>
              <w:end w:w="100" w:type="dxa"/>
            </w:tcMar>
            <w:shd w:fill="F2F4F7"/>
          </w:tcPr>
          <w:p>
            <w:pPr>
              <w:spacing w:before="60" w:after="60"/>
            </w:pPr>
            <w:r>
              <w:rPr>
                <w:b/>
                <w:color w:val="1F4D78"/>
                <w:sz w:val="21"/>
              </w:rPr>
              <w:t>Practical rule</w:t>
            </w:r>
            <w:r>
              <w:br/>
            </w:r>
            <w:r>
              <w:rPr>
                <w:color w:val="12202F"/>
                <w:sz w:val="20"/>
              </w:rPr>
              <w:t>A practical boundary is to place workflows with durable state, retries, idempotency, approvals, scheduling, or domain-specific decisions outside the MCP Gateway.</w:t>
            </w:r>
          </w:p>
        </w:tc>
      </w:tr>
    </w:tbl>
    <w:p>
      <w:pPr>
        <w:spacing w:after="40"/>
      </w:pPr>
    </w:p>
    <w:p>
      <w:pPr>
        <w:pStyle w:val="Heading1"/>
      </w:pPr>
      <w:r>
        <w:t>9. DevOps integration proposal</w:t>
      </w:r>
    </w:p>
    <w:p>
      <w:r>
        <w:t>This proposal places Azure DevOps automation in a dedicated DevOps Integration Service under /services, exposed by the MCP Gateway as devops.* tools. This is intentionally a service/function app rather than an SDK because Azure DevOps credentials, managed identities, Key Vault access, token refresh, approval state, idempotency, and workflow audit need a deployable runtime boundary.</w:t>
      </w:r>
    </w:p>
    <w:p>
      <w:pPr>
        <w:pStyle w:val="ListBullet"/>
        <w:spacing w:after="80"/>
      </w:pPr>
      <w:r>
        <w:t>The MCP Gateway exposes devops.* tools and applies AI policy.</w:t>
      </w:r>
    </w:p>
    <w:p>
      <w:pPr>
        <w:pStyle w:val="ListBullet"/>
        <w:spacing w:after="80"/>
      </w:pPr>
      <w:r>
        <w:t>AFH.DevOps.Integration.Application owns workflows such as create epic, create feature, create user story, create task, update work item, link pull request, read sprint, and generate implementation plan.</w:t>
      </w:r>
    </w:p>
    <w:p>
      <w:pPr>
        <w:pStyle w:val="ListBullet"/>
        <w:spacing w:after="80"/>
      </w:pPr>
      <w:r>
        <w:t>AFH.DevOps.Integration.Infrastructure contains Azure DevOps REST clients, auth, retries, and DTO mapping.</w:t>
      </w:r>
    </w:p>
    <w:p>
      <w:pPr>
        <w:pStyle w:val="ListBullet"/>
        <w:spacing w:after="80"/>
      </w:pPr>
      <w:r>
        <w:t>Azure DevOps secrets stay in the DevOps Integration Function App configuration or Key Vault references, not in shared SDK packages.</w:t>
      </w:r>
    </w:p>
    <w:p>
      <w:pPr>
        <w:pStyle w:val="ListBullet"/>
        <w:spacing w:after="80"/>
      </w:pPr>
      <w:r>
        <w:t>If shared contracts are useful, keep them in AFH.DevOps.Integration.Contract or a thin contract package with no secrets, no token acquisition, and no workflow execution.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232"/>
            <w:shd w:fill="E8EEF5"/>
            <w:vAlign w:val="center"/>
            <w:tcMar>
              <w:top w:w="100" w:type="dxa"/>
              <w:bottom w:w="100" w:type="dxa"/>
              <w:start w:w="100" w:type="dxa"/>
              <w:end w:w="100" w:type="dxa"/>
            </w:tcMar>
          </w:tcPr>
          <w:p>
            <w:pPr>
              <w:spacing w:after="0"/>
            </w:pPr>
            <w:r/>
            <w:r>
              <w:rPr>
                <w:rFonts w:ascii="Calibri" w:hAnsi="Calibri"/>
                <w:b/>
                <w:color w:val="12202F"/>
                <w:sz w:val="18"/>
              </w:rPr>
              <w:t>DevOps capability</w:t>
            </w:r>
          </w:p>
        </w:tc>
        <w:tc>
          <w:tcPr>
            <w:tcW w:type="dxa" w:w="3816"/>
            <w:shd w:fill="E8EEF5"/>
            <w:vAlign w:val="center"/>
            <w:tcMar>
              <w:top w:w="100" w:type="dxa"/>
              <w:bottom w:w="100" w:type="dxa"/>
              <w:start w:w="100" w:type="dxa"/>
              <w:end w:w="100" w:type="dxa"/>
            </w:tcMar>
          </w:tcPr>
          <w:p>
            <w:pPr>
              <w:spacing w:after="0"/>
            </w:pPr>
            <w:r/>
            <w:r>
              <w:rPr>
                <w:rFonts w:ascii="Calibri" w:hAnsi="Calibri"/>
                <w:b/>
                <w:color w:val="12202F"/>
                <w:sz w:val="18"/>
              </w:rPr>
              <w:t>Example endpoint in DevOps Integration Service</w:t>
            </w:r>
          </w:p>
        </w:tc>
        <w:tc>
          <w:tcPr>
            <w:tcW w:type="dxa" w:w="3168"/>
            <w:shd w:fill="E8EEF5"/>
            <w:vAlign w:val="center"/>
            <w:tcMar>
              <w:top w:w="100" w:type="dxa"/>
              <w:bottom w:w="100" w:type="dxa"/>
              <w:start w:w="100" w:type="dxa"/>
              <w:end w:w="100" w:type="dxa"/>
            </w:tcMar>
          </w:tcPr>
          <w:p>
            <w:pPr>
              <w:spacing w:after="0"/>
            </w:pPr>
            <w:r/>
            <w:r>
              <w:rPr>
                <w:rFonts w:ascii="Calibri" w:hAnsi="Calibri"/>
                <w:b/>
                <w:color w:val="12202F"/>
                <w:sz w:val="18"/>
              </w:rPr>
              <w:t>Notes</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Create Epic</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/internal/devops/v1/work-items/epics</w:t>
            </w:r>
          </w:p>
        </w:tc>
        <w:tc>
          <w:tcPr>
            <w:tcW w:type="dxa" w:w="3168"/>
            <w:vAlign w:val="center"/>
            <w:tcMar>
              <w:top w:w="100" w:type="dxa"/>
              <w:bottom w:w="100" w:type="dxa"/>
              <w:start w:w="100" w:type="dxa"/>
              <w:end w:w="100" w:type="dxa"/>
            </w:tcMar>
          </w:tcPr>
          <w:p>
            <w:pPr>
              <w:spacing w:after="0"/>
            </w:pPr>
            <w:r/>
            <w:r>
              <w:rPr>
                <w:rFonts w:ascii="Calibri" w:hAnsi="Calibri"/>
                <w:b w:val="0"/>
                <w:sz w:val="17"/>
              </w:rPr>
              <w:t>Creates one Epic from structured input or extracted requirements.</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Create Feature</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/internal/devops/v1/work-items/features</w:t>
            </w:r>
          </w:p>
        </w:tc>
        <w:tc>
          <w:tcPr>
            <w:tcW w:type="dxa" w:w="3168"/>
            <w:vAlign w:val="center"/>
            <w:tcMar>
              <w:top w:w="100" w:type="dxa"/>
              <w:bottom w:w="100" w:type="dxa"/>
              <w:start w:w="100" w:type="dxa"/>
              <w:end w:w="100" w:type="dxa"/>
            </w:tcMar>
          </w:tcPr>
          <w:p>
            <w:pPr>
              <w:spacing w:after="0"/>
            </w:pPr>
            <w:r/>
            <w:r>
              <w:rPr>
                <w:rFonts w:ascii="Calibri" w:hAnsi="Calibri"/>
                <w:b w:val="0"/>
                <w:sz w:val="17"/>
              </w:rPr>
              <w:t>Can optionally link to an Epic.</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Create User Story</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/internal/devops/v1/work-items/user-stories</w:t>
            </w:r>
          </w:p>
        </w:tc>
        <w:tc>
          <w:tcPr>
            <w:tcW w:type="dxa" w:w="3168"/>
            <w:vAlign w:val="center"/>
            <w:tcMar>
              <w:top w:w="100" w:type="dxa"/>
              <w:bottom w:w="100" w:type="dxa"/>
              <w:start w:w="100" w:type="dxa"/>
              <w:end w:w="100" w:type="dxa"/>
            </w:tcMar>
          </w:tcPr>
          <w:p>
            <w:pPr>
              <w:spacing w:after="0"/>
            </w:pPr>
            <w:r/>
            <w:r>
              <w:rPr>
                <w:rFonts w:ascii="Calibri" w:hAnsi="Calibri"/>
                <w:b w:val="0"/>
                <w:sz w:val="17"/>
              </w:rPr>
              <w:t>Supports acceptance criteria and parent Feature link.</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Create Task</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/internal/devops/v1/work-items/tasks</w:t>
            </w:r>
          </w:p>
        </w:tc>
        <w:tc>
          <w:tcPr>
            <w:tcW w:type="dxa" w:w="3168"/>
            <w:vAlign w:val="center"/>
            <w:tcMar>
              <w:top w:w="100" w:type="dxa"/>
              <w:bottom w:w="100" w:type="dxa"/>
              <w:start w:w="100" w:type="dxa"/>
              <w:end w:w="100" w:type="dxa"/>
            </w:tcMar>
          </w:tcPr>
          <w:p>
            <w:pPr>
              <w:spacing w:after="0"/>
            </w:pPr>
            <w:r/>
            <w:r>
              <w:rPr>
                <w:rFonts w:ascii="Calibri" w:hAnsi="Calibri"/>
                <w:b w:val="0"/>
                <w:sz w:val="17"/>
              </w:rPr>
              <w:t>Supports parent User Story link and area/iteration path.</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Update Work Item</w:t>
            </w:r>
          </w:p>
        </w:tc>
        <w:tc>
          <w:tcPr>
            <w:tcW w:type="dxa" w:w="3816"/>
            <w:vAlign w:val="center"/>
            <w:tcMar>
              <w:top w:w="100" w:type="dxa"/>
              <w:bottom w:w="100" w:type="dxa"/>
              <w:start w:w="100" w:type="dxa"/>
              <w:end w:w="100" w:type="dxa"/>
            </w:tcMar>
          </w:tcPr>
          <w:p>
            <w:pPr>
              <w:spacing w:after="0"/>
            </w:pPr>
            <w:r/>
            <w:r>
              <w:rPr>
                <w:rFonts w:ascii="Calibri" w:hAnsi="Calibri"/>
                <w:b w:val="0"/>
                <w:sz w:val="17"/>
              </w:rPr>
              <w:t>PATCH /internal/devops/v1/work-items/{id}</w:t>
            </w:r>
          </w:p>
        </w:tc>
        <w:tc>
          <w:tcPr>
            <w:tcW w:type="dxa" w:w="3168"/>
            <w:vAlign w:val="center"/>
            <w:tcMar>
              <w:top w:w="100" w:type="dxa"/>
              <w:bottom w:w="100" w:type="dxa"/>
              <w:start w:w="100" w:type="dxa"/>
              <w:end w:w="100" w:type="dxa"/>
            </w:tcMar>
          </w:tcPr>
          <w:p>
            <w:pPr>
              <w:spacing w:after="0"/>
            </w:pPr>
            <w:r/>
            <w:r>
              <w:rPr>
                <w:rFonts w:ascii="Calibri" w:hAnsi="Calibri"/>
                <w:b w:val="0"/>
                <w:sz w:val="17"/>
              </w:rPr>
              <w:t>Uses Azure DevOps patch document internally.</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Link Pull Request</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/internal/devops/v1/pull-requests/link</w:t>
            </w:r>
          </w:p>
        </w:tc>
        <w:tc>
          <w:tcPr>
            <w:tcW w:type="dxa" w:w="3168"/>
            <w:vAlign w:val="center"/>
            <w:tcMar>
              <w:top w:w="100" w:type="dxa"/>
              <w:bottom w:w="100" w:type="dxa"/>
              <w:start w:w="100" w:type="dxa"/>
              <w:end w:w="100" w:type="dxa"/>
            </w:tcMar>
          </w:tcPr>
          <w:p>
            <w:pPr>
              <w:spacing w:after="0"/>
            </w:pPr>
            <w:r/>
            <w:r>
              <w:rPr>
                <w:rFonts w:ascii="Calibri" w:hAnsi="Calibri"/>
                <w:b w:val="0"/>
                <w:sz w:val="17"/>
              </w:rPr>
              <w:t>Links repository/PR metadata to work items.</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Read Sprint</w:t>
            </w:r>
          </w:p>
        </w:tc>
        <w:tc>
          <w:tcPr>
            <w:tcW w:type="dxa" w:w="3816"/>
            <w:vAlign w:val="center"/>
            <w:tcMar>
              <w:top w:w="100" w:type="dxa"/>
              <w:bottom w:w="100" w:type="dxa"/>
              <w:start w:w="100" w:type="dxa"/>
              <w:end w:w="100" w:type="dxa"/>
            </w:tcMar>
          </w:tcPr>
          <w:p>
            <w:pPr>
              <w:spacing w:after="0"/>
            </w:pPr>
            <w:r/>
            <w:r>
              <w:rPr>
                <w:rFonts w:ascii="Calibri" w:hAnsi="Calibri"/>
                <w:b w:val="0"/>
                <w:sz w:val="17"/>
              </w:rPr>
              <w:t>GET /internal/devops/v1/sprints/current</w:t>
            </w:r>
          </w:p>
        </w:tc>
        <w:tc>
          <w:tcPr>
            <w:tcW w:type="dxa" w:w="3168"/>
            <w:vAlign w:val="center"/>
            <w:tcMar>
              <w:top w:w="100" w:type="dxa"/>
              <w:bottom w:w="100" w:type="dxa"/>
              <w:start w:w="100" w:type="dxa"/>
              <w:end w:w="100" w:type="dxa"/>
            </w:tcMar>
          </w:tcPr>
          <w:p>
            <w:pPr>
              <w:spacing w:after="0"/>
            </w:pPr>
            <w:r/>
            <w:r>
              <w:rPr>
                <w:rFonts w:ascii="Calibri" w:hAnsi="Calibri"/>
                <w:b w:val="0"/>
                <w:sz w:val="17"/>
              </w:rPr>
              <w:t>Returns current iteration, dates, capacity metadata if available.</w:t>
            </w:r>
          </w:p>
        </w:tc>
      </w:tr>
      <w:tr>
        <w:tc>
          <w:tcPr>
            <w:tcW w:type="dxa" w:w="2232"/>
            <w:vAlign w:val="center"/>
            <w:tcMar>
              <w:top w:w="100" w:type="dxa"/>
              <w:bottom w:w="100" w:type="dxa"/>
              <w:start w:w="100" w:type="dxa"/>
              <w:end w:w="100" w:type="dxa"/>
            </w:tcMar>
          </w:tcPr>
          <w:p>
            <w:pPr>
              <w:spacing w:after="0"/>
            </w:pPr>
            <w:r/>
            <w:r>
              <w:rPr>
                <w:rFonts w:ascii="Calibri" w:hAnsi="Calibri"/>
                <w:b w:val="0"/>
                <w:sz w:val="17"/>
              </w:rPr>
              <w:t>Generate Plan</w:t>
            </w:r>
          </w:p>
        </w:tc>
        <w:tc>
          <w:tcPr>
            <w:tcW w:type="dxa" w:w="3816"/>
            <w:vAlign w:val="center"/>
            <w:tcMar>
              <w:top w:w="100" w:type="dxa"/>
              <w:bottom w:w="100" w:type="dxa"/>
              <w:start w:w="100" w:type="dxa"/>
              <w:end w:w="100" w:type="dxa"/>
            </w:tcMar>
          </w:tcPr>
          <w:p>
            <w:pPr>
              <w:spacing w:after="0"/>
            </w:pPr>
            <w:r/>
            <w:r>
              <w:rPr>
                <w:rFonts w:ascii="Calibri" w:hAnsi="Calibri"/>
                <w:b w:val="0"/>
                <w:sz w:val="17"/>
              </w:rPr>
              <w:t>POST /internal/devops/v1/implementation-plans</w:t>
            </w:r>
          </w:p>
        </w:tc>
        <w:tc>
          <w:tcPr>
            <w:tcW w:type="dxa" w:w="3168"/>
            <w:vAlign w:val="center"/>
            <w:tcMar>
              <w:top w:w="100" w:type="dxa"/>
              <w:bottom w:w="100" w:type="dxa"/>
              <w:start w:w="100" w:type="dxa"/>
              <w:end w:w="100" w:type="dxa"/>
            </w:tcMar>
          </w:tcPr>
          <w:p>
            <w:pPr>
              <w:spacing w:after="0"/>
            </w:pPr>
            <w:r/>
            <w:r>
              <w:rPr>
                <w:rFonts w:ascii="Calibri" w:hAnsi="Calibri"/>
                <w:b w:val="0"/>
                <w:sz w:val="17"/>
              </w:rPr>
              <w:t>Long-running workflow candidate; may return operationId.</w:t>
            </w:r>
          </w:p>
        </w:tc>
      </w:tr>
    </w:tbl>
    <w:p>
      <w:pPr>
        <w:spacing w:after="60"/>
      </w:pPr>
    </w:p>
    <w:p>
      <w:pPr>
        <w:pStyle w:val="Heading1"/>
      </w:pPr>
      <w:r>
        <w:t>10. SDK strategy</w:t>
      </w:r>
    </w:p>
    <w:p>
      <w:r>
        <w:t>The SDKs are part of the architecture. In the proposed model, they provide shared platform primitives while avoiding hidden business logic. Existing SDKs remain focused, and new AI/MCP SDKs define contracts, manifests, actor context, and protocol helpers.</w:t>
      </w:r>
    </w:p>
    <w:tbl>
      <w:tblPr>
        <w:tblStyle w:val="TableGrid"/>
        <w:tblW w:type="auto" w:w="0"/>
        <w:jc w:val="center"/>
        <w:tblLayout w:type="fixed"/>
        <w:tblLook w:firstColumn="1" w:firstRow="1" w:lastColumn="0" w:lastRow="0" w:noHBand="0" w:noVBand="1" w:val="04A0"/>
      </w:tblPr>
      <w:tblGrid>
        <w:gridCol w:w="4680"/>
        <w:gridCol w:w="4680"/>
      </w:tblGrid>
      <w:tr>
        <w:tc>
          <w:tcPr>
            <w:tcW w:type="dxa" w:w="3024"/>
            <w:shd w:fill="E8EEF5"/>
            <w:vAlign w:val="center"/>
            <w:tcMar>
              <w:top w:w="100" w:type="dxa"/>
              <w:bottom w:w="100" w:type="dxa"/>
              <w:start w:w="100" w:type="dxa"/>
              <w:end w:w="100" w:type="dxa"/>
            </w:tcMar>
          </w:tcPr>
          <w:p>
            <w:pPr>
              <w:spacing w:after="0"/>
            </w:pPr>
            <w:r/>
            <w:r>
              <w:rPr>
                <w:rFonts w:ascii="Calibri" w:hAnsi="Calibri"/>
                <w:b/>
                <w:color w:val="12202F"/>
                <w:sz w:val="18"/>
              </w:rPr>
              <w:t>SDK</w:t>
            </w:r>
          </w:p>
        </w:tc>
        <w:tc>
          <w:tcPr>
            <w:tcW w:type="dxa" w:w="6192"/>
            <w:shd w:fill="E8EEF5"/>
            <w:vAlign w:val="center"/>
            <w:tcMar>
              <w:top w:w="100" w:type="dxa"/>
              <w:bottom w:w="100" w:type="dxa"/>
              <w:start w:w="100" w:type="dxa"/>
              <w:end w:w="100" w:type="dxa"/>
            </w:tcMar>
          </w:tcPr>
          <w:p>
            <w:pPr>
              <w:spacing w:after="0"/>
            </w:pPr>
            <w:r/>
            <w:r>
              <w:rPr>
                <w:rFonts w:ascii="Calibri" w:hAnsi="Calibri"/>
                <w:b/>
                <w:color w:val="12202F"/>
                <w:sz w:val="18"/>
              </w:rPr>
              <w:t>Responsibility</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afh-common-error</w:t>
            </w:r>
          </w:p>
        </w:tc>
        <w:tc>
          <w:tcPr>
            <w:tcW w:type="dxa" w:w="6192"/>
            <w:vAlign w:val="center"/>
            <w:tcMar>
              <w:top w:w="100" w:type="dxa"/>
              <w:bottom w:w="100" w:type="dxa"/>
              <w:start w:w="100" w:type="dxa"/>
              <w:end w:w="100" w:type="dxa"/>
            </w:tcMar>
          </w:tcPr>
          <w:p>
            <w:pPr>
              <w:spacing w:after="0"/>
            </w:pPr>
            <w:r/>
            <w:r>
              <w:rPr>
                <w:rFonts w:ascii="Calibri" w:hAnsi="Calibri"/>
                <w:b w:val="0"/>
                <w:sz w:val="17"/>
              </w:rPr>
              <w:t>Shared error handling, Azure Functions support, EF persistence, Application Insights/email error sinks.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afh-common-calendar</w:t>
            </w:r>
          </w:p>
        </w:tc>
        <w:tc>
          <w:tcPr>
            <w:tcW w:type="dxa" w:w="6192"/>
            <w:vAlign w:val="center"/>
            <w:tcMar>
              <w:top w:w="100" w:type="dxa"/>
              <w:bottom w:w="100" w:type="dxa"/>
              <w:start w:w="100" w:type="dxa"/>
              <w:end w:w="100" w:type="dxa"/>
            </w:tcMar>
          </w:tcPr>
          <w:p>
            <w:pPr>
              <w:spacing w:after="0"/>
            </w:pPr>
            <w:r/>
            <w:r>
              <w:rPr>
                <w:rFonts w:ascii="Calibri" w:hAnsi="Calibri"/>
                <w:b w:val="0"/>
                <w:sz w:val="17"/>
              </w:rPr>
              <w:t>Shared calendar and Microsoft Graph calendar utilities.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afh-common-sharepoint</w:t>
            </w:r>
          </w:p>
        </w:tc>
        <w:tc>
          <w:tcPr>
            <w:tcW w:type="dxa" w:w="6192"/>
            <w:vAlign w:val="center"/>
            <w:tcMar>
              <w:top w:w="100" w:type="dxa"/>
              <w:bottom w:w="100" w:type="dxa"/>
              <w:start w:w="100" w:type="dxa"/>
              <w:end w:w="100" w:type="dxa"/>
            </w:tcMar>
          </w:tcPr>
          <w:p>
            <w:pPr>
              <w:spacing w:after="0"/>
            </w:pPr>
            <w:r/>
            <w:r>
              <w:rPr>
                <w:rFonts w:ascii="Calibri" w:hAnsi="Calibri"/>
                <w:b w:val="0"/>
                <w:sz w:val="17"/>
              </w:rPr>
              <w:t>Shared SharePoint access utilities.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afh-common-xplan</w:t>
            </w:r>
          </w:p>
        </w:tc>
        <w:tc>
          <w:tcPr>
            <w:tcW w:type="dxa" w:w="6192"/>
            <w:vAlign w:val="center"/>
            <w:tcMar>
              <w:top w:w="100" w:type="dxa"/>
              <w:bottom w:w="100" w:type="dxa"/>
              <w:start w:w="100" w:type="dxa"/>
              <w:end w:w="100" w:type="dxa"/>
            </w:tcMar>
          </w:tcPr>
          <w:p>
            <w:pPr>
              <w:spacing w:after="0"/>
            </w:pPr>
            <w:r/>
            <w:r>
              <w:rPr>
                <w:rFonts w:ascii="Calibri" w:hAnsi="Calibri"/>
                <w:b w:val="0"/>
                <w:sz w:val="17"/>
              </w:rPr>
              <w:t>Shared XPlan integration utilities.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afh-common-speechai</w:t>
            </w:r>
          </w:p>
        </w:tc>
        <w:tc>
          <w:tcPr>
            <w:tcW w:type="dxa" w:w="6192"/>
            <w:vAlign w:val="center"/>
            <w:tcMar>
              <w:top w:w="100" w:type="dxa"/>
              <w:bottom w:w="100" w:type="dxa"/>
              <w:start w:w="100" w:type="dxa"/>
              <w:end w:w="100" w:type="dxa"/>
            </w:tcMar>
          </w:tcPr>
          <w:p>
            <w:pPr>
              <w:spacing w:after="0"/>
            </w:pPr>
            <w:r/>
            <w:r>
              <w:rPr>
                <w:rFonts w:ascii="Calibri" w:hAnsi="Calibri"/>
                <w:b w:val="0"/>
                <w:sz w:val="17"/>
              </w:rPr>
              <w:t>Shared Speech AI utilities for transcription-oriented flows.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afh-common-ai</w:t>
            </w:r>
          </w:p>
        </w:tc>
        <w:tc>
          <w:tcPr>
            <w:tcW w:type="dxa" w:w="6192"/>
            <w:vAlign w:val="center"/>
            <w:tcMar>
              <w:top w:w="100" w:type="dxa"/>
              <w:bottom w:w="100" w:type="dxa"/>
              <w:start w:w="100" w:type="dxa"/>
              <w:end w:w="100" w:type="dxa"/>
            </w:tcMar>
          </w:tcPr>
          <w:p>
            <w:pPr>
              <w:spacing w:after="0"/>
            </w:pPr>
            <w:r/>
            <w:r>
              <w:rPr>
                <w:rFonts w:ascii="Calibri" w:hAnsi="Calibri"/>
                <w:b w:val="0"/>
                <w:sz w:val="17"/>
              </w:rPr>
              <w:t>Tool manifest contracts, AI actor context, permission metadata, redaction helpers, audit event contracts.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afh-common-mcp</w:t>
            </w:r>
          </w:p>
        </w:tc>
        <w:tc>
          <w:tcPr>
            <w:tcW w:type="dxa" w:w="6192"/>
            <w:vAlign w:val="center"/>
            <w:tcMar>
              <w:top w:w="100" w:type="dxa"/>
              <w:bottom w:w="100" w:type="dxa"/>
              <w:start w:w="100" w:type="dxa"/>
              <w:end w:w="100" w:type="dxa"/>
            </w:tcMar>
          </w:tcPr>
          <w:p>
            <w:pPr>
              <w:spacing w:after="0"/>
            </w:pPr>
            <w:r/>
            <w:r>
              <w:rPr>
                <w:rFonts w:ascii="Calibri" w:hAnsi="Calibri"/>
                <w:b w:val="0"/>
                <w:sz w:val="17"/>
              </w:rPr>
              <w:t>MCP envelope abstractions, discovery client, schema validation helpers.</w:t>
            </w:r>
          </w:p>
        </w:tc>
      </w:tr>
      <w:tr>
        <w:tc>
          <w:tcPr>
            <w:tcW w:type="dxa" w:w="3024"/>
            <w:vAlign w:val="center"/>
            <w:tcMar>
              <w:top w:w="100" w:type="dxa"/>
              <w:bottom w:w="100" w:type="dxa"/>
              <w:start w:w="100" w:type="dxa"/>
              <w:end w:w="100" w:type="dxa"/>
            </w:tcMar>
          </w:tcPr>
          <w:p>
            <w:pPr>
              <w:spacing w:after="0"/>
            </w:pPr>
            <w:r/>
            <w:r>
              <w:rPr>
                <w:rFonts w:ascii="Calibri" w:hAnsi="Calibri"/>
                <w:b w:val="0"/>
                <w:sz w:val="17"/>
              </w:rPr>
              <w:t>No DevOps secrets SDK</w:t>
            </w:r>
          </w:p>
        </w:tc>
        <w:tc>
          <w:tcPr>
            <w:tcW w:type="dxa" w:w="6192"/>
            <w:vAlign w:val="center"/>
            <w:tcMar>
              <w:top w:w="100" w:type="dxa"/>
              <w:bottom w:w="100" w:type="dxa"/>
              <w:start w:w="100" w:type="dxa"/>
              <w:end w:w="100" w:type="dxa"/>
            </w:tcMar>
          </w:tcPr>
          <w:p>
            <w:pPr>
              <w:spacing w:after="0"/>
            </w:pPr>
            <w:r/>
            <w:r>
              <w:rPr>
                <w:rFonts w:ascii="Calibri" w:hAnsi="Calibri"/>
                <w:b w:val="0"/>
                <w:sz w:val="17"/>
              </w:rPr>
              <w:t>DevOps auth, tokens, secrets, and workflow execution stay in afh-devops-integration-function-app. Optional shared contracts contain schemas only.</w:t>
            </w:r>
          </w:p>
        </w:tc>
      </w:tr>
    </w:tbl>
    <w:p>
      <w:pPr>
        <w:spacing w:after="60"/>
      </w:pPr>
    </w:p>
    <w:tbl>
      <w:tblPr>
        <w:tblStyle w:val="TableGrid"/>
        <w:tblW w:type="auto" w:w="0"/>
        <w:jc w:val="center"/>
        <w:tblLayout w:type="fixed"/>
        <w:tblLook w:firstColumn="1" w:firstRow="1" w:lastColumn="0" w:lastRow="0" w:noHBand="0" w:noVBand="1" w:val="04A0"/>
      </w:tblPr>
      <w:tblGrid>
        <w:gridCol w:w="9360"/>
      </w:tblGrid>
      <w:tr>
        <w:tc>
          <w:tcPr>
            <w:tcW w:type="dxa" w:w="9288"/>
            <w:tcMar>
              <w:top w:w="100" w:type="dxa"/>
              <w:bottom w:w="100" w:type="dxa"/>
              <w:start w:w="100" w:type="dxa"/>
              <w:end w:w="100" w:type="dxa"/>
            </w:tcMar>
            <w:shd w:fill="E8EEF5"/>
          </w:tcPr>
          <w:p>
            <w:pPr>
              <w:spacing w:before="60" w:after="60"/>
            </w:pPr>
            <w:r>
              <w:rPr>
                <w:b/>
                <w:color w:val="1F4D78"/>
                <w:sz w:val="21"/>
              </w:rPr>
              <w:t>SDK boundary</w:t>
            </w:r>
            <w:r>
              <w:br/>
            </w:r>
            <w:r>
              <w:rPr>
                <w:color w:val="12202F"/>
                <w:sz w:val="20"/>
              </w:rPr>
              <w:t>SDKs provide shared contracts and infrastructure primitives. Domain and workflow business logic remains in the owning services rather than in SDK packages.</w:t>
            </w:r>
          </w:p>
        </w:tc>
      </w:tr>
    </w:tbl>
    <w:p>
      <w:pPr>
        <w:spacing w:after="40"/>
      </w:pPr>
    </w:p>
    <w:p>
      <w:pPr>
        <w:pStyle w:val="Heading1"/>
      </w:pPr>
      <w:r>
        <w:t>11. Security model</w:t>
      </w:r>
    </w:p>
    <w:p>
      <w:r>
        <w:t>The proposed security model carries both the human principal and the AI principal. This allows AFH to answer who requested the work, which AI agent performed it, which service executed it, and which permission authorized it.</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E8EEF5"/>
            <w:vAlign w:val="center"/>
            <w:tcMar>
              <w:top w:w="100" w:type="dxa"/>
              <w:bottom w:w="100" w:type="dxa"/>
              <w:start w:w="100" w:type="dxa"/>
              <w:end w:w="100" w:type="dxa"/>
            </w:tcMar>
          </w:tcPr>
          <w:p>
            <w:pPr>
              <w:spacing w:after="0"/>
            </w:pPr>
            <w:r/>
            <w:r>
              <w:rPr>
                <w:rFonts w:ascii="Calibri" w:hAnsi="Calibri"/>
                <w:b/>
                <w:color w:val="12202F"/>
                <w:sz w:val="18"/>
              </w:rPr>
              <w:t>Security concern</w:t>
            </w:r>
          </w:p>
        </w:tc>
        <w:tc>
          <w:tcPr>
            <w:tcW w:type="dxa" w:w="6623"/>
            <w:shd w:fill="E8EEF5"/>
            <w:vAlign w:val="center"/>
            <w:tcMar>
              <w:top w:w="100" w:type="dxa"/>
              <w:bottom w:w="100" w:type="dxa"/>
              <w:start w:w="100" w:type="dxa"/>
              <w:end w:w="100" w:type="dxa"/>
            </w:tcMar>
          </w:tcPr>
          <w:p>
            <w:pPr>
              <w:spacing w:after="0"/>
            </w:pPr>
            <w:r/>
            <w:r>
              <w:rPr>
                <w:rFonts w:ascii="Calibri" w:hAnsi="Calibri"/>
                <w:b/>
                <w:color w:val="12202F"/>
                <w:sz w:val="18"/>
              </w:rPr>
              <w:t>Proposed approach</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Authentication</w:t>
            </w:r>
          </w:p>
        </w:tc>
        <w:tc>
          <w:tcPr>
            <w:tcW w:type="dxa" w:w="6623"/>
            <w:vAlign w:val="center"/>
            <w:tcMar>
              <w:top w:w="100" w:type="dxa"/>
              <w:bottom w:w="100" w:type="dxa"/>
              <w:start w:w="100" w:type="dxa"/>
              <w:end w:w="100" w:type="dxa"/>
            </w:tcMar>
          </w:tcPr>
          <w:p>
            <w:pPr>
              <w:spacing w:after="0"/>
            </w:pPr>
            <w:r/>
            <w:r>
              <w:rPr>
                <w:rFonts w:ascii="Calibri" w:hAnsi="Calibri"/>
                <w:b w:val="0"/>
                <w:sz w:val="17"/>
              </w:rPr>
              <w:t>Authenticate AI clients at the MCP Gateway using Entra ID where possible. Register AI agents as application identities.</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Authorization</w:t>
            </w:r>
          </w:p>
        </w:tc>
        <w:tc>
          <w:tcPr>
            <w:tcW w:type="dxa" w:w="6623"/>
            <w:vAlign w:val="center"/>
            <w:tcMar>
              <w:top w:w="100" w:type="dxa"/>
              <w:bottom w:w="100" w:type="dxa"/>
              <w:start w:w="100" w:type="dxa"/>
              <w:end w:w="100" w:type="dxa"/>
            </w:tcMar>
          </w:tcPr>
          <w:p>
            <w:pPr>
              <w:spacing w:after="0"/>
            </w:pPr>
            <w:r/>
            <w:r>
              <w:rPr>
                <w:rFonts w:ascii="Calibri" w:hAnsi="Calibri"/>
                <w:b w:val="0"/>
                <w:sz w:val="17"/>
              </w:rPr>
              <w:t>Capability-based permissions such as booking.read, booking.rearrange, notification.requeue, devops.workitem.write, and sharepoint.requirements.read.</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Identity propagation</w:t>
            </w:r>
          </w:p>
        </w:tc>
        <w:tc>
          <w:tcPr>
            <w:tcW w:type="dxa" w:w="6623"/>
            <w:vAlign w:val="center"/>
            <w:tcMar>
              <w:top w:w="100" w:type="dxa"/>
              <w:bottom w:w="100" w:type="dxa"/>
              <w:start w:w="100" w:type="dxa"/>
              <w:end w:w="100" w:type="dxa"/>
            </w:tcMar>
          </w:tcPr>
          <w:p>
            <w:pPr>
              <w:spacing w:after="0"/>
            </w:pPr>
            <w:r/>
            <w:r>
              <w:rPr>
                <w:rFonts w:ascii="Calibri" w:hAnsi="Calibri"/>
                <w:b w:val="0"/>
                <w:sz w:val="17"/>
              </w:rPr>
              <w:t>Propagate actor user, actor email, AI agent ID, AI session ID, correlation ID, authorized permission, and approval ID to downstream services.</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Downstream enforcement</w:t>
            </w:r>
          </w:p>
        </w:tc>
        <w:tc>
          <w:tcPr>
            <w:tcW w:type="dxa" w:w="6623"/>
            <w:vAlign w:val="center"/>
            <w:tcMar>
              <w:top w:w="100" w:type="dxa"/>
              <w:bottom w:w="100" w:type="dxa"/>
              <w:start w:w="100" w:type="dxa"/>
              <w:end w:w="100" w:type="dxa"/>
            </w:tcMar>
          </w:tcPr>
          <w:p>
            <w:pPr>
              <w:spacing w:after="0"/>
            </w:pPr>
            <w:r/>
            <w:r>
              <w:rPr>
                <w:rFonts w:ascii="Calibri" w:hAnsi="Calibri"/>
                <w:b w:val="0"/>
                <w:sz w:val="17"/>
              </w:rPr>
              <w:t>Every business service re-authorizes operations. The gateway is an enforcing boundary, not the only enforcement point.</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Audit</w:t>
            </w:r>
          </w:p>
        </w:tc>
        <w:tc>
          <w:tcPr>
            <w:tcW w:type="dxa" w:w="6623"/>
            <w:vAlign w:val="center"/>
            <w:tcMar>
              <w:top w:w="100" w:type="dxa"/>
              <w:bottom w:w="100" w:type="dxa"/>
              <w:start w:w="100" w:type="dxa"/>
              <w:end w:w="100" w:type="dxa"/>
            </w:tcMar>
          </w:tcPr>
          <w:p>
            <w:pPr>
              <w:spacing w:after="0"/>
            </w:pPr>
            <w:r/>
            <w:r>
              <w:rPr>
                <w:rFonts w:ascii="Calibri" w:hAnsi="Calibri"/>
                <w:b w:val="0"/>
                <w:sz w:val="17"/>
              </w:rPr>
              <w:t>Log redacted input, request hash, tool name, side-effect level, actor, AI agent, target service, downstream operation, result, and latency.</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High-risk tools</w:t>
            </w:r>
          </w:p>
        </w:tc>
        <w:tc>
          <w:tcPr>
            <w:tcW w:type="dxa" w:w="6623"/>
            <w:vAlign w:val="center"/>
            <w:tcMar>
              <w:top w:w="100" w:type="dxa"/>
              <w:bottom w:w="100" w:type="dxa"/>
              <w:start w:w="100" w:type="dxa"/>
              <w:end w:w="100" w:type="dxa"/>
            </w:tcMar>
          </w:tcPr>
          <w:p>
            <w:pPr>
              <w:spacing w:after="0"/>
            </w:pPr>
            <w:r/>
            <w:r>
              <w:rPr>
                <w:rFonts w:ascii="Calibri" w:hAnsi="Calibri"/>
                <w:b w:val="0"/>
                <w:sz w:val="17"/>
              </w:rPr>
              <w:t>Dry-run, approval, idempotency keys, and stronger audit for destructive or mutating operations.</w:t>
            </w:r>
          </w:p>
        </w:tc>
      </w:tr>
    </w:tbl>
    <w:p>
      <w:pPr>
        <w:spacing w:after="60"/>
      </w:pPr>
    </w:p>
    <w:p>
      <w:pPr>
        <w:pStyle w:val="Heading1"/>
      </w:pPr>
      <w:r>
        <w:t>12. Tool discovery</w:t>
      </w:r>
    </w:p>
    <w:p>
      <w:r>
        <w:t>Each service publishes an internal AI tool manifest in the proposed model. The MCP Gateway discovers manifests from configured service providers, caches them, validates them, and registers tools dynamically.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E8EEF5"/>
            <w:vAlign w:val="center"/>
            <w:tcMar>
              <w:top w:w="100" w:type="dxa"/>
              <w:bottom w:w="100" w:type="dxa"/>
              <w:start w:w="100" w:type="dxa"/>
              <w:end w:w="100" w:type="dxa"/>
            </w:tcMar>
          </w:tcPr>
          <w:p>
            <w:pPr>
              <w:spacing w:after="0"/>
            </w:pPr>
            <w:r/>
            <w:r>
              <w:rPr>
                <w:rFonts w:ascii="Calibri" w:hAnsi="Calibri"/>
                <w:b/>
                <w:color w:val="12202F"/>
                <w:sz w:val="18"/>
              </w:rPr>
              <w:t>Manifest field</w:t>
            </w:r>
          </w:p>
        </w:tc>
        <w:tc>
          <w:tcPr>
            <w:tcW w:type="dxa" w:w="6623"/>
            <w:shd w:fill="E8EEF5"/>
            <w:vAlign w:val="center"/>
            <w:tcMar>
              <w:top w:w="100" w:type="dxa"/>
              <w:bottom w:w="100" w:type="dxa"/>
              <w:start w:w="100" w:type="dxa"/>
              <w:end w:w="100" w:type="dxa"/>
            </w:tcMar>
          </w:tcPr>
          <w:p>
            <w:pPr>
              <w:spacing w:after="0"/>
            </w:pPr>
            <w:r/>
            <w:r>
              <w:rPr>
                <w:rFonts w:ascii="Calibri" w:hAnsi="Calibri"/>
                <w:b/>
                <w:color w:val="12202F"/>
                <w:sz w:val="18"/>
              </w:rPr>
              <w:t>Purpose</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Tool name</w:t>
            </w:r>
          </w:p>
        </w:tc>
        <w:tc>
          <w:tcPr>
            <w:tcW w:type="dxa" w:w="6623"/>
            <w:vAlign w:val="center"/>
            <w:tcMar>
              <w:top w:w="100" w:type="dxa"/>
              <w:bottom w:w="100" w:type="dxa"/>
              <w:start w:w="100" w:type="dxa"/>
              <w:end w:w="100" w:type="dxa"/>
            </w:tcMar>
          </w:tcPr>
          <w:p>
            <w:pPr>
              <w:spacing w:after="0"/>
            </w:pPr>
            <w:r/>
            <w:r>
              <w:rPr>
                <w:rFonts w:ascii="Calibri" w:hAnsi="Calibri"/>
                <w:b w:val="0"/>
                <w:sz w:val="17"/>
              </w:rPr>
              <w:t>Stable name such as booking.search or devops.create_user_story.</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Owner service</w:t>
            </w:r>
          </w:p>
        </w:tc>
        <w:tc>
          <w:tcPr>
            <w:tcW w:type="dxa" w:w="6623"/>
            <w:vAlign w:val="center"/>
            <w:tcMar>
              <w:top w:w="100" w:type="dxa"/>
              <w:bottom w:w="100" w:type="dxa"/>
              <w:start w:w="100" w:type="dxa"/>
              <w:end w:w="100" w:type="dxa"/>
            </w:tcMar>
          </w:tcPr>
          <w:p>
            <w:pPr>
              <w:spacing w:after="0"/>
            </w:pPr>
            <w:r/>
            <w:r>
              <w:rPr>
                <w:rFonts w:ascii="Calibri" w:hAnsi="Calibri"/>
                <w:b w:val="0"/>
                <w:sz w:val="17"/>
              </w:rPr>
              <w:t>The service responsible for the capability and downstream endpoint.</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Input/output schema</w:t>
            </w:r>
          </w:p>
        </w:tc>
        <w:tc>
          <w:tcPr>
            <w:tcW w:type="dxa" w:w="6623"/>
            <w:vAlign w:val="center"/>
            <w:tcMar>
              <w:top w:w="100" w:type="dxa"/>
              <w:bottom w:w="100" w:type="dxa"/>
              <w:start w:w="100" w:type="dxa"/>
              <w:end w:w="100" w:type="dxa"/>
            </w:tcMar>
          </w:tcPr>
          <w:p>
            <w:pPr>
              <w:spacing w:after="0"/>
            </w:pPr>
            <w:r/>
            <w:r>
              <w:rPr>
                <w:rFonts w:ascii="Calibri" w:hAnsi="Calibri"/>
                <w:b w:val="0"/>
                <w:sz w:val="17"/>
              </w:rPr>
              <w:t>Validation and AI client discoverability.</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Required permission</w:t>
            </w:r>
          </w:p>
        </w:tc>
        <w:tc>
          <w:tcPr>
            <w:tcW w:type="dxa" w:w="6623"/>
            <w:vAlign w:val="center"/>
            <w:tcMar>
              <w:top w:w="100" w:type="dxa"/>
              <w:bottom w:w="100" w:type="dxa"/>
              <w:start w:w="100" w:type="dxa"/>
              <w:end w:w="100" w:type="dxa"/>
            </w:tcMar>
          </w:tcPr>
          <w:p>
            <w:pPr>
              <w:spacing w:after="0"/>
            </w:pPr>
            <w:r/>
            <w:r>
              <w:rPr>
                <w:rFonts w:ascii="Calibri" w:hAnsi="Calibri"/>
                <w:b w:val="0"/>
                <w:sz w:val="17"/>
              </w:rPr>
              <w:t>Capability-based authorization.</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Side-effect level</w:t>
            </w:r>
          </w:p>
        </w:tc>
        <w:tc>
          <w:tcPr>
            <w:tcW w:type="dxa" w:w="6623"/>
            <w:vAlign w:val="center"/>
            <w:tcMar>
              <w:top w:w="100" w:type="dxa"/>
              <w:bottom w:w="100" w:type="dxa"/>
              <w:start w:w="100" w:type="dxa"/>
              <w:end w:w="100" w:type="dxa"/>
            </w:tcMar>
          </w:tcPr>
          <w:p>
            <w:pPr>
              <w:spacing w:after="0"/>
            </w:pPr>
            <w:r/>
            <w:r>
              <w:rPr>
                <w:rFonts w:ascii="Calibri" w:hAnsi="Calibri"/>
                <w:b w:val="0"/>
                <w:sz w:val="17"/>
              </w:rPr>
              <w:t>Read, write, or destructive.</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Approval requirement</w:t>
            </w:r>
          </w:p>
        </w:tc>
        <w:tc>
          <w:tcPr>
            <w:tcW w:type="dxa" w:w="6623"/>
            <w:vAlign w:val="center"/>
            <w:tcMar>
              <w:top w:w="100" w:type="dxa"/>
              <w:bottom w:w="100" w:type="dxa"/>
              <w:start w:w="100" w:type="dxa"/>
              <w:end w:w="100" w:type="dxa"/>
            </w:tcMar>
          </w:tcPr>
          <w:p>
            <w:pPr>
              <w:spacing w:after="0"/>
            </w:pPr>
            <w:r/>
            <w:r>
              <w:rPr>
                <w:rFonts w:ascii="Calibri" w:hAnsi="Calibri"/>
                <w:b w:val="0"/>
                <w:sz w:val="17"/>
              </w:rPr>
              <w:t>Whether a human approval token is required before invocation.</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Endpoint mapping</w:t>
            </w:r>
          </w:p>
        </w:tc>
        <w:tc>
          <w:tcPr>
            <w:tcW w:type="dxa" w:w="6623"/>
            <w:vAlign w:val="center"/>
            <w:tcMar>
              <w:top w:w="100" w:type="dxa"/>
              <w:bottom w:w="100" w:type="dxa"/>
              <w:start w:w="100" w:type="dxa"/>
              <w:end w:w="100" w:type="dxa"/>
            </w:tcMar>
          </w:tcPr>
          <w:p>
            <w:pPr>
              <w:spacing w:after="0"/>
            </w:pPr>
            <w:r/>
            <w:r>
              <w:rPr>
                <w:rFonts w:ascii="Calibri" w:hAnsi="Calibri"/>
                <w:b w:val="0"/>
                <w:sz w:val="17"/>
              </w:rPr>
              <w:t>The downstream HTTP route or asynchronous command target.</w:t>
            </w:r>
          </w:p>
        </w:tc>
      </w:tr>
      <w:tr>
        <w:tc>
          <w:tcPr>
            <w:tcW w:type="dxa" w:w="2592"/>
            <w:vAlign w:val="center"/>
            <w:tcMar>
              <w:top w:w="100" w:type="dxa"/>
              <w:bottom w:w="100" w:type="dxa"/>
              <w:start w:w="100" w:type="dxa"/>
              <w:end w:w="100" w:type="dxa"/>
            </w:tcMar>
          </w:tcPr>
          <w:p>
            <w:pPr>
              <w:spacing w:after="0"/>
            </w:pPr>
            <w:r/>
            <w:r>
              <w:rPr>
                <w:rFonts w:ascii="Calibri" w:hAnsi="Calibri"/>
                <w:b w:val="0"/>
                <w:sz w:val="17"/>
              </w:rPr>
              <w:t>Version/deprecation</w:t>
            </w:r>
          </w:p>
        </w:tc>
        <w:tc>
          <w:tcPr>
            <w:tcW w:type="dxa" w:w="6623"/>
            <w:vAlign w:val="center"/>
            <w:tcMar>
              <w:top w:w="100" w:type="dxa"/>
              <w:bottom w:w="100" w:type="dxa"/>
              <w:start w:w="100" w:type="dxa"/>
              <w:end w:w="100" w:type="dxa"/>
            </w:tcMar>
          </w:tcPr>
          <w:p>
            <w:pPr>
              <w:spacing w:after="0"/>
            </w:pPr>
            <w:r/>
            <w:r>
              <w:rPr>
                <w:rFonts w:ascii="Calibri" w:hAnsi="Calibri"/>
                <w:b w:val="0"/>
                <w:sz w:val="17"/>
              </w:rPr>
              <w:t>Safe evolution as service APIs change.</w:t>
            </w:r>
          </w:p>
        </w:tc>
      </w:tr>
    </w:tbl>
    <w:p>
      <w:pPr>
        <w:spacing w:after="60"/>
      </w:pPr>
    </w:p>
    <w:p>
      <w:pPr>
        <w:pStyle w:val="Heading1"/>
      </w:pPr>
      <w:r>
        <w:t>13. Future evolution</w:t>
      </w:r>
    </w:p>
    <w:p>
      <w:r>
        <w:t>At 30 or more services, the gateway is intended to remain a routing and governance layer. Service-owned manifests, SDK contracts, and workflow services prevent it from becoming a bottleneck or God Service.</w:t>
      </w:r>
    </w:p>
    <w:p>
      <w:pPr>
        <w:pStyle w:val="ListNumber"/>
        <w:spacing w:after="80"/>
      </w:pPr>
      <w:r>
        <w:t>Initial scope focuses on read-only tools and explicit manifests for Booking, Calendar, Notification, Location, Adviser, Identity, ACS, and Client Integration.</w:t>
      </w:r>
    </w:p>
    <w:p>
      <w:pPr>
        <w:pStyle w:val="ListNumber"/>
        <w:spacing w:after="80"/>
      </w:pPr>
      <w:r>
        <w:t>Mutating tools follow after identity propagation, downstream authorization, audit logging, dry-run, and approval flows are in place.</w:t>
      </w:r>
    </w:p>
    <w:p>
      <w:pPr>
        <w:pStyle w:val="ListNumber"/>
        <w:spacing w:after="80"/>
      </w:pPr>
      <w:r>
        <w:t>DevOps Integration is proposed as the first workflow-specific service.</w:t>
      </w:r>
    </w:p>
    <w:p>
      <w:pPr>
        <w:pStyle w:val="ListNumber"/>
        <w:spacing w:after="80"/>
      </w:pPr>
      <w:r>
        <w:t>SharePoint or Document Intelligence becomes a separate service when requirement analysis grows beyond simple document retrieval.</w:t>
      </w:r>
    </w:p>
    <w:p>
      <w:pPr>
        <w:pStyle w:val="ListNumber"/>
        <w:spacing w:after="80"/>
      </w:pPr>
      <w:r>
        <w:t>Separate business, DevOps, and operations MCP gateways remain an option if isolation, scaling, or risk justifies it.</w:t>
      </w:r>
    </w:p>
    <w:p>
      <w:pPr>
        <w:pStyle w:val="Heading1"/>
      </w:pPr>
      <w:r>
        <w:t>14. Proposed folder structure</w:t>
      </w:r>
    </w:p>
    <w:p>
      <w:pPr/>
      <w:r>
        <w:rPr>
          <w:rFonts w:ascii="Consolas" w:hAnsi="Consolas"/>
          <w:sz w:val="18"/>
        </w:rPr>
        <w:t>/services</w:t>
        <w:br/>
        <w:t xml:space="preserve">  /afh-ai-mcp-gateway-function-app</w:t>
        <w:br/>
        <w:t xml:space="preserve">    /src</w:t>
        <w:br/>
        <w:t xml:space="preserve">      /AFH.Ai.McpGateway.Contract</w:t>
        <w:br/>
        <w:t xml:space="preserve">      /AFH.Ai.McpGateway.Application</w:t>
        <w:br/>
        <w:t xml:space="preserve">      /AFH.Ai.McpGateway.Infrastructure</w:t>
        <w:br/>
        <w:t xml:space="preserve">      /AFH.Ai.McpGateway.Function</w:t>
        <w:br/>
        <w:t xml:space="preserve">    /tests</w:t>
        <w:br/>
        <w:t xml:space="preserve">      /AFH.Ai.McpGateway.Tests</w:t>
        <w:br/>
        <w:br/>
        <w:t xml:space="preserve">  /afh-devops-integration-function-app</w:t>
        <w:br/>
        <w:t xml:space="preserve">    /src</w:t>
        <w:br/>
        <w:t xml:space="preserve">      /AFH.DevOps.Integration.Contract</w:t>
        <w:br/>
        <w:t xml:space="preserve">      /AFH.DevOps.Integration.Application</w:t>
        <w:br/>
        <w:t xml:space="preserve">      /AFH.DevOps.Integration.Domain</w:t>
        <w:br/>
        <w:t xml:space="preserve">      /AFH.DevOps.Integration.Infrastructure</w:t>
        <w:br/>
        <w:t xml:space="preserve">      /AFH.DevOps.Integration.Function</w:t>
        <w:br/>
        <w:t xml:space="preserve">    /tests</w:t>
        <w:br/>
        <w:t xml:space="preserve">      /AFH.DevOps.Integration.Tests</w:t>
        <w:br/>
        <w:br/>
        <w:t>/sdk</w:t>
        <w:br/>
        <w:t xml:space="preserve">  /afh-common-ai</w:t>
        <w:br/>
        <w:t xml:space="preserve">  /afh-common-mcp</w:t>
        <w:br/>
        <w:t xml:space="preserve">  # Optional only if needed: contract-only DevOps DTO package with no secrets or auth clients</w:t>
        <w:br/>
      </w:r>
    </w:p>
    <w:p>
      <w:pPr>
        <w:pStyle w:val="Heading1"/>
      </w:pPr>
      <w:r>
        <w:t>15. Final decision statement</w:t>
      </w:r>
    </w:p>
    <w:tbl>
      <w:tblPr>
        <w:tblStyle w:val="TableGrid"/>
        <w:tblW w:type="auto" w:w="0"/>
        <w:jc w:val="center"/>
        <w:tblLayout w:type="fixed"/>
        <w:tblLook w:firstColumn="1" w:firstRow="1" w:lastColumn="0" w:lastRow="0" w:noHBand="0" w:noVBand="1" w:val="04A0"/>
      </w:tblPr>
      <w:tblGrid>
        <w:gridCol w:w="9360"/>
      </w:tblGrid>
      <w:tr>
        <w:tc>
          <w:tcPr>
            <w:tcW w:type="dxa" w:w="9288"/>
            <w:tcMar>
              <w:top w:w="100" w:type="dxa"/>
              <w:bottom w:w="100" w:type="dxa"/>
              <w:start w:w="100" w:type="dxa"/>
              <w:end w:w="100" w:type="dxa"/>
            </w:tcMar>
            <w:shd w:fill="E8EEF5"/>
          </w:tcPr>
          <w:p>
            <w:pPr>
              <w:spacing w:before="60" w:after="60"/>
            </w:pPr>
            <w:r>
              <w:rPr>
                <w:b/>
                <w:color w:val="1F4D78"/>
                <w:sz w:val="21"/>
              </w:rPr>
              <w:t>Proposal statement</w:t>
            </w:r>
            <w:r>
              <w:br/>
            </w:r>
            <w:r>
              <w:rPr>
                <w:color w:val="12202F"/>
                <w:sz w:val="20"/>
              </w:rPr>
              <w:t>The proposal is to introduce a central AFH MCP Gateway that discovers service-owned tool providers, add a DevOps Integration Function App for Azure DevOps workflows and secrets, and use SDKs only for shared AI/MCP contracts and infrastructure primitives while keeping business rules in the owning services.</w:t>
            </w:r>
          </w:p>
        </w:tc>
      </w:tr>
    </w:tbl>
    <w:p>
      <w:pPr>
        <w:spacing w:after="40"/>
      </w:pP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6069"/>
        <w:sz w:val="17"/>
      </w:rPr>
      <w:t>AFH AI Platform Architecture Proposal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220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