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74B5"/>
          <w:sz w:val="21"/>
        </w:rPr>
        <w:t>ARCHITECTURE DECISION PROPOSAL</w:t>
      </w:r>
    </w:p>
    <w:p>
      <w:pPr>
        <w:spacing w:after="80"/>
      </w:pPr>
      <w:r>
        <w:rPr>
          <w:b/>
          <w:color w:val="12202F"/>
          <w:sz w:val="48"/>
        </w:rPr>
        <w:t>AFH AI Platform Architecture Proposal</w:t>
      </w:r>
    </w:p>
    <w:p>
      <w:pPr>
        <w:spacing w:after="240"/>
      </w:pPr>
      <w:r>
        <w:rPr>
          <w:color w:val="596069"/>
          <w:sz w:val="26"/>
        </w:rPr>
        <w:t>MCP Gateway, service-owned AI tools, DevOps integration, security model, SDK strategy, and five-year growth path</w:t>
      </w:r>
    </w:p>
    <w:tbl>
      <w:tblPr>
        <w:tblStyle w:val="TableGrid"/>
        <w:tblW w:type="auto" w:w="0"/>
        <w:jc w:val="center"/>
        <w:tblLayout w:type="fixed"/>
        <w:tblLook w:firstColumn="1" w:firstRow="1" w:lastColumn="0" w:lastRow="0" w:noHBand="0" w:noVBand="1" w:val="04A0"/>
      </w:tblPr>
      <w:tblGrid>
        <w:gridCol w:w="4680"/>
        <w:gridCol w:w="4680"/>
      </w:tblGrid>
      <w:tr>
        <w:tc>
          <w:tcPr>
            <w:tcW w:type="dxa" w:w="1944"/>
            <w:shd w:fill="E8EEF5"/>
            <w:vAlign w:val="center"/>
            <w:tcMar>
              <w:top w:w="100" w:type="dxa"/>
              <w:bottom w:w="100" w:type="dxa"/>
              <w:start w:w="100" w:type="dxa"/>
              <w:end w:w="100" w:type="dxa"/>
            </w:tcMar>
          </w:tcPr>
          <w:p>
            <w:pPr>
              <w:spacing w:after="0"/>
            </w:pPr>
            <w:r/>
            <w:r>
              <w:rPr>
                <w:rFonts w:ascii="Calibri" w:hAnsi="Calibri"/>
                <w:b/>
                <w:color w:val="12202F"/>
                <w:sz w:val="18"/>
              </w:rPr>
              <w:t>Field</w:t>
            </w:r>
          </w:p>
        </w:tc>
        <w:tc>
          <w:tcPr>
            <w:tcW w:type="dxa" w:w="7272"/>
            <w:shd w:fill="E8EEF5"/>
            <w:vAlign w:val="center"/>
            <w:tcMar>
              <w:top w:w="100" w:type="dxa"/>
              <w:bottom w:w="100" w:type="dxa"/>
              <w:start w:w="100" w:type="dxa"/>
              <w:end w:w="100" w:type="dxa"/>
            </w:tcMar>
          </w:tcPr>
          <w:p>
            <w:pPr>
              <w:spacing w:after="0"/>
            </w:pPr>
            <w:r/>
            <w:r>
              <w:rPr>
                <w:rFonts w:ascii="Calibri" w:hAnsi="Calibri"/>
                <w:b/>
                <w:color w:val="12202F"/>
                <w:sz w:val="18"/>
              </w:rPr>
              <w:t>Value</w:t>
            </w:r>
          </w:p>
        </w:tc>
      </w:tr>
      <w:tr>
        <w:tc>
          <w:tcPr>
            <w:tcW w:type="dxa" w:w="1944"/>
            <w:vAlign w:val="center"/>
            <w:tcMar>
              <w:top w:w="100" w:type="dxa"/>
              <w:bottom w:w="100" w:type="dxa"/>
              <w:start w:w="100" w:type="dxa"/>
              <w:end w:w="100" w:type="dxa"/>
            </w:tcMar>
          </w:tcPr>
          <w:p>
            <w:pPr>
              <w:spacing w:after="0"/>
            </w:pPr>
            <w:r/>
            <w:r>
              <w:rPr>
                <w:rFonts w:ascii="Calibri" w:hAnsi="Calibri"/>
                <w:b w:val="0"/>
                <w:sz w:val="17"/>
              </w:rPr>
              <w:t>Audience</w:t>
            </w:r>
          </w:p>
        </w:tc>
        <w:tc>
          <w:tcPr>
            <w:tcW w:type="dxa" w:w="7272"/>
            <w:vAlign w:val="center"/>
            <w:tcMar>
              <w:top w:w="100" w:type="dxa"/>
              <w:bottom w:w="100" w:type="dxa"/>
              <w:start w:w="100" w:type="dxa"/>
              <w:end w:w="100" w:type="dxa"/>
            </w:tcMar>
          </w:tcPr>
          <w:p>
            <w:pPr>
              <w:spacing w:after="0"/>
            </w:pPr>
            <w:r/>
            <w:r>
              <w:rPr>
                <w:rFonts w:ascii="Calibri" w:hAnsi="Calibri"/>
                <w:b w:val="0"/>
                <w:sz w:val="17"/>
              </w:rPr>
              <w:t>Senior engineers, architects, platform owners, and service owners</w:t>
            </w:r>
          </w:p>
        </w:tc>
      </w:tr>
      <w:tr>
        <w:tc>
          <w:tcPr>
            <w:tcW w:type="dxa" w:w="1944"/>
            <w:vAlign w:val="center"/>
            <w:tcMar>
              <w:top w:w="100" w:type="dxa"/>
              <w:bottom w:w="100" w:type="dxa"/>
              <w:start w:w="100" w:type="dxa"/>
              <w:end w:w="100" w:type="dxa"/>
            </w:tcMar>
          </w:tcPr>
          <w:p>
            <w:pPr>
              <w:spacing w:after="0"/>
            </w:pPr>
            <w:r/>
            <w:r>
              <w:rPr>
                <w:rFonts w:ascii="Calibri" w:hAnsi="Calibri"/>
                <w:b w:val="0"/>
                <w:sz w:val="17"/>
              </w:rPr>
              <w:t>Status</w:t>
            </w:r>
          </w:p>
        </w:tc>
        <w:tc>
          <w:tcPr>
            <w:tcW w:type="dxa" w:w="7272"/>
            <w:vAlign w:val="center"/>
            <w:tcMar>
              <w:top w:w="100" w:type="dxa"/>
              <w:bottom w:w="100" w:type="dxa"/>
              <w:start w:w="100" w:type="dxa"/>
              <w:end w:w="100" w:type="dxa"/>
            </w:tcMar>
          </w:tcPr>
          <w:p>
            <w:pPr>
              <w:spacing w:after="0"/>
            </w:pPr>
            <w:r/>
            <w:r>
              <w:rPr>
                <w:rFonts w:ascii="Calibri" w:hAnsi="Calibri"/>
                <w:b w:val="0"/>
                <w:sz w:val="17"/>
              </w:rPr>
              <w:t>Proposed</w:t>
            </w:r>
          </w:p>
        </w:tc>
      </w:tr>
      <w:tr>
        <w:tc>
          <w:tcPr>
            <w:tcW w:type="dxa" w:w="1944"/>
            <w:vAlign w:val="center"/>
            <w:tcMar>
              <w:top w:w="100" w:type="dxa"/>
              <w:bottom w:w="100" w:type="dxa"/>
              <w:start w:w="100" w:type="dxa"/>
              <w:end w:w="100" w:type="dxa"/>
            </w:tcMar>
          </w:tcPr>
          <w:p>
            <w:pPr>
              <w:spacing w:after="0"/>
            </w:pPr>
            <w:r/>
            <w:r>
              <w:rPr>
                <w:rFonts w:ascii="Calibri" w:hAnsi="Calibri"/>
                <w:b w:val="0"/>
                <w:sz w:val="17"/>
              </w:rPr>
              <w:t>Decision</w:t>
            </w:r>
          </w:p>
        </w:tc>
        <w:tc>
          <w:tcPr>
            <w:tcW w:type="dxa" w:w="7272"/>
            <w:vAlign w:val="center"/>
            <w:tcMar>
              <w:top w:w="100" w:type="dxa"/>
              <w:bottom w:w="100" w:type="dxa"/>
              <w:start w:w="100" w:type="dxa"/>
              <w:end w:w="100" w:type="dxa"/>
            </w:tcMar>
          </w:tcPr>
          <w:p>
            <w:pPr>
              <w:spacing w:after="0"/>
            </w:pPr>
            <w:r/>
            <w:r>
              <w:rPr>
                <w:rFonts w:ascii="Calibri" w:hAnsi="Calibri"/>
                <w:b w:val="0"/>
                <w:sz w:val="17"/>
              </w:rPr>
              <w:t>Adopt a central MCP Gateway with service-owned tool providers, evolving toward workflow-specific services</w:t>
            </w:r>
          </w:p>
        </w:tc>
      </w:tr>
      <w:tr>
        <w:tc>
          <w:tcPr>
            <w:tcW w:type="dxa" w:w="1944"/>
            <w:vAlign w:val="center"/>
            <w:tcMar>
              <w:top w:w="100" w:type="dxa"/>
              <w:bottom w:w="100" w:type="dxa"/>
              <w:start w:w="100" w:type="dxa"/>
              <w:end w:w="100" w:type="dxa"/>
            </w:tcMar>
          </w:tcPr>
          <w:p>
            <w:pPr>
              <w:spacing w:after="0"/>
            </w:pPr>
            <w:r/>
            <w:r>
              <w:rPr>
                <w:rFonts w:ascii="Calibri" w:hAnsi="Calibri"/>
                <w:b w:val="0"/>
                <w:sz w:val="17"/>
              </w:rPr>
              <w:t>Scope</w:t>
            </w:r>
          </w:p>
        </w:tc>
        <w:tc>
          <w:tcPr>
            <w:tcW w:type="dxa" w:w="7272"/>
            <w:vAlign w:val="center"/>
            <w:tcMar>
              <w:top w:w="100" w:type="dxa"/>
              <w:bottom w:w="100" w:type="dxa"/>
              <w:start w:w="100" w:type="dxa"/>
              <w:end w:w="100" w:type="dxa"/>
            </w:tcMar>
          </w:tcPr>
          <w:p>
            <w:pPr>
              <w:spacing w:after="0"/>
            </w:pPr>
            <w:r/>
            <w:r>
              <w:rPr>
                <w:rFonts w:ascii="Calibri" w:hAnsi="Calibri"/>
                <w:b w:val="0"/>
                <w:sz w:val="17"/>
              </w:rPr>
              <w:t>Existing services under /services and shared SDKs under /sdk</w:t>
            </w:r>
          </w:p>
        </w:tc>
      </w:tr>
    </w:tbl>
    <w:p>
      <w:pPr>
        <w:spacing w:after="60"/>
      </w:pPr>
    </w:p>
    <w:tbl>
      <w:tblPr>
        <w:tblStyle w:val="TableGrid"/>
        <w:tblW w:type="auto" w:w="0"/>
        <w:jc w:val="center"/>
        <w:tblLayout w:type="fixed"/>
        <w:tblLook w:firstColumn="1" w:firstRow="1" w:lastColumn="0" w:lastRow="0" w:noHBand="0" w:noVBand="1" w:val="04A0"/>
      </w:tblPr>
      <w:tblGrid>
        <w:gridCol w:w="9360"/>
      </w:tblGrid>
      <w:tr>
        <w:tc>
          <w:tcPr>
            <w:tcW w:type="dxa" w:w="9288"/>
            <w:tcMar>
              <w:top w:w="100" w:type="dxa"/>
              <w:bottom w:w="100" w:type="dxa"/>
              <w:start w:w="100" w:type="dxa"/>
              <w:end w:w="100" w:type="dxa"/>
            </w:tcMar>
            <w:shd w:fill="E8EEF5"/>
          </w:tcPr>
          <w:p>
            <w:pPr>
              <w:spacing w:before="60" w:after="60"/>
            </w:pPr>
            <w:r>
              <w:rPr>
                <w:b/>
                <w:color w:val="1F4D78"/>
                <w:sz w:val="21"/>
              </w:rPr>
              <w:t>Recommendation</w:t>
            </w:r>
            <w:r>
              <w:br/>
            </w:r>
            <w:r>
              <w:rPr>
                <w:color w:val="12202F"/>
                <w:sz w:val="20"/>
              </w:rPr>
              <w:t>Introduce an AFH MCP Gateway as the governed AI entry point. Keep business logic in the existing services, publish service-owned tool manifests, and add dedicated workflow services for DevOps and document intelligence when workflows become stateful or long-running.</w:t>
            </w:r>
          </w:p>
        </w:tc>
      </w:tr>
    </w:tbl>
    <w:p>
      <w:pPr>
        <w:spacing w:after="40"/>
      </w:pPr>
    </w:p>
    <w:p>
      <w:pPr>
        <w:pStyle w:val="Heading1"/>
      </w:pPr>
      <w:r>
        <w:t>1. Executive summary</w:t>
      </w:r>
    </w:p>
    <w:p>
      <w:r>
        <w:t>AFH should introduce AI capabilities through a governed MCP Gateway rather than asking every AI client to connect to every microservice directly. The gateway should be treated as a protocol and policy boundary, not a new home for domain logic.</w:t>
      </w:r>
    </w:p>
    <w:p>
      <w:r>
        <w:t>The current solution already has the right ingredients for this model: Azure Functions services, clear Contract/Application/Domain/Infrastructure/Function layering, existing HTTP APIs, OpenAPI/Scalar documentation, shared SDKs, gateway function apps, and service-specific persistence/integration boundaries.</w:t>
      </w:r>
    </w:p>
    <w:p>
      <w:pPr>
        <w:pStyle w:val="ListBullet"/>
        <w:spacing w:after="80"/>
      </w:pPr>
      <w:r>
        <w:t>Use the MCP Gateway as the single AI entry point for Codex, GitHub Copilot, ChatGPT, Claude, and future internal agents.</w:t>
      </w:r>
    </w:p>
    <w:p>
      <w:pPr>
        <w:pStyle w:val="ListBullet"/>
        <w:spacing w:after="80"/>
      </w:pPr>
      <w:r>
        <w:t>Let each service own the tools that map to its domain, such as booking.*, calendar.*, notification.*, location.*, adviser.*, identity.*, acs.*, client.*, devops.*, and sharepoint.*.</w:t>
      </w:r>
    </w:p>
    <w:p>
      <w:pPr>
        <w:pStyle w:val="ListBullet"/>
        <w:spacing w:after="80"/>
      </w:pPr>
      <w:r>
        <w:t>Use shared SDKs for tool contracts, actor context, redaction, audit envelopes, MCP protocol helpers, and external client primitives.</w:t>
      </w:r>
    </w:p>
    <w:p>
      <w:pPr>
        <w:pStyle w:val="ListBullet"/>
        <w:spacing w:after="80"/>
      </w:pPr>
      <w:r>
        <w:t>Move stateful or high-risk AI workflows into dedicated workflow services instead of growing the gateway into a God Service.</w:t>
      </w:r>
    </w:p>
    <w:p>
      <w:pPr>
        <w:pStyle w:val="Heading1"/>
      </w:pPr>
      <w:r>
        <w:t>2. Current architecture</w:t>
      </w:r>
    </w:p>
    <w:p>
      <w:r>
        <w:t>The solution is a set of Azure Functions-based services under /services, supported by cross-cutting SDKs under /sdk. Each major service largely follows a Clean Architecture shape: Contract, Domain, Application, Infrastructure, Function, and tests.</w:t>
      </w:r>
    </w:p>
    <w:p>
      <w:pPr>
        <w:jc w:val="center"/>
      </w:pPr>
      <w:r>
        <w:drawing>
          <wp:inline xmlns:a="http://schemas.openxmlformats.org/drawingml/2006/main" xmlns:pic="http://schemas.openxmlformats.org/drawingml/2006/picture">
            <wp:extent cx="5897880" cy="3407664"/>
            <wp:docPr id="1" name="Picture 1"/>
            <wp:cNvGraphicFramePr>
              <a:graphicFrameLocks noChangeAspect="1"/>
            </wp:cNvGraphicFramePr>
            <a:graphic>
              <a:graphicData uri="http://schemas.openxmlformats.org/drawingml/2006/picture">
                <pic:pic>
                  <pic:nvPicPr>
                    <pic:cNvPr id="0" name="ai-platform-target-architecture.png"/>
                    <pic:cNvPicPr/>
                  </pic:nvPicPr>
                  <pic:blipFill>
                    <a:blip r:embed="rId10"/>
                    <a:stretch>
                      <a:fillRect/>
                    </a:stretch>
                  </pic:blipFill>
                  <pic:spPr>
                    <a:xfrm>
                      <a:off x="0" y="0"/>
                      <a:ext cx="5897880" cy="3407664"/>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20"/>
            <w:shd w:fill="E8EEF5"/>
            <w:vAlign w:val="center"/>
            <w:tcMar>
              <w:top w:w="100" w:type="dxa"/>
              <w:bottom w:w="100" w:type="dxa"/>
              <w:start w:w="100" w:type="dxa"/>
              <w:end w:w="100" w:type="dxa"/>
            </w:tcMar>
          </w:tcPr>
          <w:p>
            <w:pPr>
              <w:spacing w:after="0"/>
            </w:pPr>
            <w:r/>
            <w:r>
              <w:rPr>
                <w:rFonts w:ascii="Calibri" w:hAnsi="Calibri"/>
                <w:b/>
                <w:color w:val="12202F"/>
                <w:sz w:val="18"/>
              </w:rPr>
              <w:t>Service</w:t>
            </w:r>
          </w:p>
        </w:tc>
        <w:tc>
          <w:tcPr>
            <w:tcW w:type="dxa" w:w="4824"/>
            <w:shd w:fill="E8EEF5"/>
            <w:vAlign w:val="center"/>
            <w:tcMar>
              <w:top w:w="100" w:type="dxa"/>
              <w:bottom w:w="100" w:type="dxa"/>
              <w:start w:w="100" w:type="dxa"/>
              <w:end w:w="100" w:type="dxa"/>
            </w:tcMar>
          </w:tcPr>
          <w:p>
            <w:pPr>
              <w:spacing w:after="0"/>
            </w:pPr>
            <w:r/>
            <w:r>
              <w:rPr>
                <w:rFonts w:ascii="Calibri" w:hAnsi="Calibri"/>
                <w:b/>
                <w:color w:val="12202F"/>
                <w:sz w:val="18"/>
              </w:rPr>
              <w:t>Current responsibility</w:t>
            </w:r>
          </w:p>
        </w:tc>
        <w:tc>
          <w:tcPr>
            <w:tcW w:type="dxa" w:w="1872"/>
            <w:shd w:fill="E8EEF5"/>
            <w:vAlign w:val="center"/>
            <w:tcMar>
              <w:top w:w="100" w:type="dxa"/>
              <w:bottom w:w="100" w:type="dxa"/>
              <w:start w:w="100" w:type="dxa"/>
              <w:end w:w="100" w:type="dxa"/>
            </w:tcMar>
          </w:tcPr>
          <w:p>
            <w:pPr>
              <w:spacing w:after="0"/>
            </w:pPr>
            <w:r/>
            <w:r>
              <w:rPr>
                <w:rFonts w:ascii="Calibri" w:hAnsi="Calibri"/>
                <w:b/>
                <w:color w:val="12202F"/>
                <w:sz w:val="18"/>
              </w:rPr>
              <w:t>AI capability owner</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afh-booking-function-app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Availability, holds, bookings, cancellations, rearrangements, approvals, lifecycle, reporting, config, duplicate clients, client lookup, projections.</w:t>
            </w:r>
          </w:p>
        </w:tc>
        <w:tc>
          <w:tcPr>
            <w:tcW w:type="dxa" w:w="1872"/>
            <w:vAlign w:val="center"/>
            <w:tcMar>
              <w:top w:w="100" w:type="dxa"/>
              <w:bottom w:w="100" w:type="dxa"/>
              <w:start w:w="100" w:type="dxa"/>
              <w:end w:w="100" w:type="dxa"/>
            </w:tcMar>
          </w:tcPr>
          <w:p>
            <w:pPr>
              <w:spacing w:after="0"/>
            </w:pPr>
            <w:r/>
            <w:r>
              <w:rPr>
                <w:rFonts w:ascii="Calibri" w:hAnsi="Calibri"/>
                <w:b w:val="0"/>
                <w:sz w:val="17"/>
              </w:rPr>
              <w:t>booking.*</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afh-calendar-function-app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Schedules, appointment create/update/cancel, Microsoft Graph subscriptions, webhook handling, projections.</w:t>
            </w:r>
          </w:p>
        </w:tc>
        <w:tc>
          <w:tcPr>
            <w:tcW w:type="dxa" w:w="1872"/>
            <w:vAlign w:val="center"/>
            <w:tcMar>
              <w:top w:w="100" w:type="dxa"/>
              <w:bottom w:w="100" w:type="dxa"/>
              <w:start w:w="100" w:type="dxa"/>
              <w:end w:w="100" w:type="dxa"/>
            </w:tcMar>
          </w:tcPr>
          <w:p>
            <w:pPr>
              <w:spacing w:after="0"/>
            </w:pPr>
            <w:r/>
            <w:r>
              <w:rPr>
                <w:rFonts w:ascii="Calibri" w:hAnsi="Calibri"/>
                <w:b w:val="0"/>
                <w:sz w:val="17"/>
              </w:rPr>
              <w:t>calendar.*</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afh-notification-function-app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Notification requests, templates, settings, retry policies, dispatch/message logs, bouncebacks.</w:t>
            </w:r>
          </w:p>
        </w:tc>
        <w:tc>
          <w:tcPr>
            <w:tcW w:type="dxa" w:w="1872"/>
            <w:vAlign w:val="center"/>
            <w:tcMar>
              <w:top w:w="100" w:type="dxa"/>
              <w:bottom w:w="100" w:type="dxa"/>
              <w:start w:w="100" w:type="dxa"/>
              <w:end w:w="100" w:type="dxa"/>
            </w:tcMar>
          </w:tcPr>
          <w:p>
            <w:pPr>
              <w:spacing w:after="0"/>
            </w:pPr>
            <w:r/>
            <w:r>
              <w:rPr>
                <w:rFonts w:ascii="Calibri" w:hAnsi="Calibri"/>
                <w:b w:val="0"/>
                <w:sz w:val="17"/>
              </w:rPr>
              <w:t>notification.*</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afh-location-function-app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Travel coverage, route time, location policy, organisation assignments, plus currently co-hosted adviser/identity surfaces.</w:t>
            </w:r>
          </w:p>
        </w:tc>
        <w:tc>
          <w:tcPr>
            <w:tcW w:type="dxa" w:w="1872"/>
            <w:vAlign w:val="center"/>
            <w:tcMar>
              <w:top w:w="100" w:type="dxa"/>
              <w:bottom w:w="100" w:type="dxa"/>
              <w:start w:w="100" w:type="dxa"/>
              <w:end w:w="100" w:type="dxa"/>
            </w:tcMar>
          </w:tcPr>
          <w:p>
            <w:pPr>
              <w:spacing w:after="0"/>
            </w:pPr>
            <w:r/>
            <w:r>
              <w:rPr>
                <w:rFonts w:ascii="Calibri" w:hAnsi="Calibri"/>
                <w:b w:val="0"/>
                <w:sz w:val="17"/>
              </w:rPr>
              <w:t>location.*</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afh-adviser-function-app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Adviser profiles, specialisms, coverage, availability rules, cache sync.</w:t>
            </w:r>
          </w:p>
        </w:tc>
        <w:tc>
          <w:tcPr>
            <w:tcW w:type="dxa" w:w="1872"/>
            <w:vAlign w:val="center"/>
            <w:tcMar>
              <w:top w:w="100" w:type="dxa"/>
              <w:bottom w:w="100" w:type="dxa"/>
              <w:start w:w="100" w:type="dxa"/>
              <w:end w:w="100" w:type="dxa"/>
            </w:tcMar>
          </w:tcPr>
          <w:p>
            <w:pPr>
              <w:spacing w:after="0"/>
            </w:pPr>
            <w:r/>
            <w:r>
              <w:rPr>
                <w:rFonts w:ascii="Calibri" w:hAnsi="Calibri"/>
                <w:b w:val="0"/>
                <w:sz w:val="17"/>
              </w:rPr>
              <w:t>adviser.*</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afh-identity-function-app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Users, partners, roles, permissions, access scopes, current user context.</w:t>
            </w:r>
          </w:p>
        </w:tc>
        <w:tc>
          <w:tcPr>
            <w:tcW w:type="dxa" w:w="1872"/>
            <w:vAlign w:val="center"/>
            <w:tcMar>
              <w:top w:w="100" w:type="dxa"/>
              <w:bottom w:w="100" w:type="dxa"/>
              <w:start w:w="100" w:type="dxa"/>
              <w:end w:w="100" w:type="dxa"/>
            </w:tcMar>
          </w:tcPr>
          <w:p>
            <w:pPr>
              <w:spacing w:after="0"/>
            </w:pPr>
            <w:r/>
            <w:r>
              <w:rPr>
                <w:rFonts w:ascii="Calibri" w:hAnsi="Calibri"/>
                <w:b w:val="0"/>
                <w:sz w:val="17"/>
              </w:rPr>
              <w:t>identity.*</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afh-acs-function-app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ACS meetings, join tokens, links, recordings, transcriptions.</w:t>
            </w:r>
          </w:p>
        </w:tc>
        <w:tc>
          <w:tcPr>
            <w:tcW w:type="dxa" w:w="1872"/>
            <w:vAlign w:val="center"/>
            <w:tcMar>
              <w:top w:w="100" w:type="dxa"/>
              <w:bottom w:w="100" w:type="dxa"/>
              <w:start w:w="100" w:type="dxa"/>
              <w:end w:w="100" w:type="dxa"/>
            </w:tcMar>
          </w:tcPr>
          <w:p>
            <w:pPr>
              <w:spacing w:after="0"/>
            </w:pPr>
            <w:r/>
            <w:r>
              <w:rPr>
                <w:rFonts w:ascii="Calibri" w:hAnsi="Calibri"/>
                <w:b w:val="0"/>
                <w:sz w:val="17"/>
              </w:rPr>
              <w:t>acs.*</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afh-client-integration-function-app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Prospects, client integration, XPlan, Snowflake transaction/status tracking.</w:t>
            </w:r>
          </w:p>
        </w:tc>
        <w:tc>
          <w:tcPr>
            <w:tcW w:type="dxa" w:w="1872"/>
            <w:vAlign w:val="center"/>
            <w:tcMar>
              <w:top w:w="100" w:type="dxa"/>
              <w:bottom w:w="100" w:type="dxa"/>
              <w:start w:w="100" w:type="dxa"/>
              <w:end w:w="100" w:type="dxa"/>
            </w:tcMar>
          </w:tcPr>
          <w:p>
            <w:pPr>
              <w:spacing w:after="0"/>
            </w:pPr>
            <w:r/>
            <w:r>
              <w:rPr>
                <w:rFonts w:ascii="Calibri" w:hAnsi="Calibri"/>
                <w:b w:val="0"/>
                <w:sz w:val="17"/>
              </w:rPr>
              <w:t>client.*</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afh-booking-admin-gateway-function-app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Admin gateway/proxy and admin health/sync APIs.</w:t>
            </w:r>
          </w:p>
        </w:tc>
        <w:tc>
          <w:tcPr>
            <w:tcW w:type="dxa" w:w="1872"/>
            <w:vAlign w:val="center"/>
            <w:tcMar>
              <w:top w:w="100" w:type="dxa"/>
              <w:bottom w:w="100" w:type="dxa"/>
              <w:start w:w="100" w:type="dxa"/>
              <w:end w:w="100" w:type="dxa"/>
            </w:tcMar>
          </w:tcPr>
          <w:p>
            <w:pPr>
              <w:spacing w:after="0"/>
            </w:pPr>
            <w:r/>
            <w:r>
              <w:rPr>
                <w:rFonts w:ascii="Calibri" w:hAnsi="Calibri"/>
                <w:b w:val="0"/>
                <w:sz w:val="17"/>
              </w:rPr>
              <w:t>No domain tools; useful precedent for gateway operations.</w:t>
            </w:r>
          </w:p>
        </w:tc>
      </w:tr>
      <w:tr>
        <w:tc>
          <w:tcPr>
            <w:tcW w:type="dxa" w:w="2520"/>
            <w:vAlign w:val="center"/>
            <w:tcMar>
              <w:top w:w="100" w:type="dxa"/>
              <w:bottom w:w="100" w:type="dxa"/>
              <w:start w:w="100" w:type="dxa"/>
              <w:end w:w="100" w:type="dxa"/>
            </w:tcMar>
          </w:tcPr>
          <w:p>
            <w:pPr>
              <w:spacing w:after="0"/>
            </w:pPr>
            <w:r/>
            <w:r>
              <w:rPr>
                <w:rFonts w:ascii="Calibri" w:hAnsi="Calibri"/>
                <w:b w:val="0"/>
                <w:sz w:val="17"/>
              </w:rPr>
              <w:t>afh-booking-consumer-gateway-function-app</w:t>
            </w:r>
          </w:p>
        </w:tc>
        <w:tc>
          <w:tcPr>
            <w:tcW w:type="dxa" w:w="4824"/>
            <w:vAlign w:val="center"/>
            <w:tcMar>
              <w:top w:w="100" w:type="dxa"/>
              <w:bottom w:w="100" w:type="dxa"/>
              <w:start w:w="100" w:type="dxa"/>
              <w:end w:w="100" w:type="dxa"/>
            </w:tcMar>
          </w:tcPr>
          <w:p>
            <w:pPr>
              <w:spacing w:after="0"/>
            </w:pPr>
            <w:r/>
            <w:r>
              <w:rPr>
                <w:rFonts w:ascii="Calibri" w:hAnsi="Calibri"/>
                <w:b w:val="0"/>
                <w:sz w:val="17"/>
              </w:rPr>
              <w:t>Consumer gateway shell and downstream health registry.</w:t>
            </w:r>
          </w:p>
        </w:tc>
        <w:tc>
          <w:tcPr>
            <w:tcW w:type="dxa" w:w="1872"/>
            <w:vAlign w:val="center"/>
            <w:tcMar>
              <w:top w:w="100" w:type="dxa"/>
              <w:bottom w:w="100" w:type="dxa"/>
              <w:start w:w="100" w:type="dxa"/>
              <w:end w:w="100" w:type="dxa"/>
            </w:tcMar>
          </w:tcPr>
          <w:p>
            <w:pPr>
              <w:spacing w:after="0"/>
            </w:pPr>
            <w:r/>
            <w:r>
              <w:rPr>
                <w:rFonts w:ascii="Calibri" w:hAnsi="Calibri"/>
                <w:b w:val="0"/>
                <w:sz w:val="17"/>
              </w:rPr>
              <w:t>No domain tools initially.</w:t>
            </w:r>
          </w:p>
        </w:tc>
      </w:tr>
    </w:tbl>
    <w:p>
      <w:pPr>
        <w:spacing w:after="60"/>
      </w:pPr>
    </w:p>
    <w:p>
      <w:pPr>
        <w:pStyle w:val="Heading1"/>
      </w:pPr>
      <w:r>
        <w:t>3. Current challenges</w:t>
      </w:r>
    </w:p>
    <w:p>
      <w:pPr>
        <w:pStyle w:val="ListBullet"/>
        <w:spacing w:after="80"/>
      </w:pPr>
      <w:r>
        <w:t>AI clients should not need to understand every AFH microservice, endpoint, authentication rule, or deployment topology.</w:t>
      </w:r>
    </w:p>
    <w:p>
      <w:pPr>
        <w:pStyle w:val="ListBullet"/>
        <w:spacing w:after="80"/>
      </w:pPr>
      <w:r>
        <w:t>Azure DevOps automation has no natural owner in the current service map.</w:t>
      </w:r>
    </w:p>
    <w:p>
      <w:pPr>
        <w:pStyle w:val="ListBullet"/>
        <w:spacing w:after="80"/>
      </w:pPr>
      <w:r>
        <w:t>Security, audit, redaction, approval, and throttling would be duplicated if each AI client talked to services independently.</w:t>
      </w:r>
    </w:p>
    <w:p>
      <w:pPr>
        <w:pStyle w:val="ListBullet"/>
        <w:spacing w:after="80"/>
      </w:pPr>
      <w:r>
        <w:t>Tool discovery will become difficult as more services are added.</w:t>
      </w:r>
    </w:p>
    <w:p>
      <w:pPr>
        <w:pStyle w:val="ListBullet"/>
        <w:spacing w:after="80"/>
      </w:pPr>
      <w:r>
        <w:t>Several service boundaries are already porous, especially Booking to Location/Calendar/ACS/Notification/Identity, Location-Adviser-Identity co-hosting, and Booking carrying notification-facing projects.</w:t>
      </w:r>
    </w:p>
    <w:p>
      <w:pPr>
        <w:pStyle w:val="Heading1"/>
      </w:pPr>
      <w:r>
        <w:t>4. Goals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E8EEF5"/>
            <w:vAlign w:val="center"/>
            <w:tcMar>
              <w:top w:w="100" w:type="dxa"/>
              <w:bottom w:w="100" w:type="dxa"/>
              <w:start w:w="100" w:type="dxa"/>
              <w:end w:w="100" w:type="dxa"/>
            </w:tcMar>
          </w:tcPr>
          <w:p>
            <w:pPr>
              <w:spacing w:after="0"/>
            </w:pPr>
            <w:r/>
            <w:r>
              <w:rPr>
                <w:rFonts w:ascii="Calibri" w:hAnsi="Calibri"/>
                <w:b/>
                <w:color w:val="12202F"/>
                <w:sz w:val="18"/>
              </w:rPr>
              <w:t>Goal</w:t>
            </w:r>
          </w:p>
        </w:tc>
        <w:tc>
          <w:tcPr>
            <w:tcW w:type="dxa" w:w="6336"/>
            <w:shd w:fill="E8EEF5"/>
            <w:vAlign w:val="center"/>
            <w:tcMar>
              <w:top w:w="100" w:type="dxa"/>
              <w:bottom w:w="100" w:type="dxa"/>
              <w:start w:w="100" w:type="dxa"/>
              <w:end w:w="100" w:type="dxa"/>
            </w:tcMar>
          </w:tcPr>
          <w:p>
            <w:pPr>
              <w:spacing w:after="0"/>
            </w:pPr>
            <w:r/>
            <w:r>
              <w:rPr>
                <w:rFonts w:ascii="Calibri" w:hAnsi="Calibri"/>
                <w:b/>
                <w:color w:val="12202F"/>
                <w:sz w:val="18"/>
              </w:rPr>
              <w:t>Implication</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Enable AI safely</w:t>
            </w:r>
          </w:p>
        </w:tc>
        <w:tc>
          <w:tcPr>
            <w:tcW w:type="dxa" w:w="6336"/>
            <w:vAlign w:val="center"/>
            <w:tcMar>
              <w:top w:w="100" w:type="dxa"/>
              <w:bottom w:w="100" w:type="dxa"/>
              <w:start w:w="100" w:type="dxa"/>
              <w:end w:w="100" w:type="dxa"/>
            </w:tcMar>
          </w:tcPr>
          <w:p>
            <w:pPr>
              <w:spacing w:after="0"/>
            </w:pPr>
            <w:r/>
            <w:r>
              <w:rPr>
                <w:rFonts w:ascii="Calibri" w:hAnsi="Calibri"/>
                <w:b w:val="0"/>
                <w:sz w:val="17"/>
              </w:rPr>
              <w:t>AI access must be authenticated, authorized, auditable, rate-limited, and reversible where possible.</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Preserve service boundaries</w:t>
            </w:r>
          </w:p>
        </w:tc>
        <w:tc>
          <w:tcPr>
            <w:tcW w:type="dxa" w:w="6336"/>
            <w:vAlign w:val="center"/>
            <w:tcMar>
              <w:top w:w="100" w:type="dxa"/>
              <w:bottom w:w="100" w:type="dxa"/>
              <w:start w:w="100" w:type="dxa"/>
              <w:end w:w="100" w:type="dxa"/>
            </w:tcMar>
          </w:tcPr>
          <w:p>
            <w:pPr>
              <w:spacing w:after="0"/>
            </w:pPr>
            <w:r/>
            <w:r>
              <w:rPr>
                <w:rFonts w:ascii="Calibri" w:hAnsi="Calibri"/>
                <w:b w:val="0"/>
                <w:sz w:val="17"/>
              </w:rPr>
              <w:t>Services remain the source of truth for business rules and persistence.</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Support multiple AI providers</w:t>
            </w:r>
          </w:p>
        </w:tc>
        <w:tc>
          <w:tcPr>
            <w:tcW w:type="dxa" w:w="6336"/>
            <w:vAlign w:val="center"/>
            <w:tcMar>
              <w:top w:w="100" w:type="dxa"/>
              <w:bottom w:w="100" w:type="dxa"/>
              <w:start w:w="100" w:type="dxa"/>
              <w:end w:w="100" w:type="dxa"/>
            </w:tcMar>
          </w:tcPr>
          <w:p>
            <w:pPr>
              <w:spacing w:after="0"/>
            </w:pPr>
            <w:r/>
            <w:r>
              <w:rPr>
                <w:rFonts w:ascii="Calibri" w:hAnsi="Calibri"/>
                <w:b w:val="0"/>
                <w:sz w:val="17"/>
              </w:rPr>
              <w:t>Codex, Copilot, ChatGPT, Claude, and internal agents get one governed protocol entry point.</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Avoid gateway sprawl</w:t>
            </w:r>
          </w:p>
        </w:tc>
        <w:tc>
          <w:tcPr>
            <w:tcW w:type="dxa" w:w="6336"/>
            <w:vAlign w:val="center"/>
            <w:tcMar>
              <w:top w:w="100" w:type="dxa"/>
              <w:bottom w:w="100" w:type="dxa"/>
              <w:start w:w="100" w:type="dxa"/>
              <w:end w:w="100" w:type="dxa"/>
            </w:tcMar>
          </w:tcPr>
          <w:p>
            <w:pPr>
              <w:spacing w:after="0"/>
            </w:pPr>
            <w:r/>
            <w:r>
              <w:rPr>
                <w:rFonts w:ascii="Calibri" w:hAnsi="Calibri"/>
                <w:b w:val="0"/>
                <w:sz w:val="17"/>
              </w:rPr>
              <w:t>The gateway routes and enforces policy; workflow services own long-running orchestration.</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Scale discovery</w:t>
            </w:r>
          </w:p>
        </w:tc>
        <w:tc>
          <w:tcPr>
            <w:tcW w:type="dxa" w:w="6336"/>
            <w:vAlign w:val="center"/>
            <w:tcMar>
              <w:top w:w="100" w:type="dxa"/>
              <w:bottom w:w="100" w:type="dxa"/>
              <w:start w:w="100" w:type="dxa"/>
              <w:end w:w="100" w:type="dxa"/>
            </w:tcMar>
          </w:tcPr>
          <w:p>
            <w:pPr>
              <w:spacing w:after="0"/>
            </w:pPr>
            <w:r/>
            <w:r>
              <w:rPr>
                <w:rFonts w:ascii="Calibri" w:hAnsi="Calibri"/>
                <w:b w:val="0"/>
                <w:sz w:val="17"/>
              </w:rPr>
              <w:t>Services publish tool manifests; the gateway discovers and registers tools automatically.</w:t>
            </w:r>
          </w:p>
        </w:tc>
      </w:tr>
    </w:tbl>
    <w:p>
      <w:pPr>
        <w:spacing w:after="60"/>
      </w:pPr>
    </w:p>
    <w:p>
      <w:pPr>
        <w:pStyle w:val="Heading1"/>
      </w:pPr>
      <w:r>
        <w:t>5. Architecture options considered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00"/>
            <w:shd w:fill="E8EEF5"/>
            <w:vAlign w:val="center"/>
            <w:tcMar>
              <w:top w:w="100" w:type="dxa"/>
              <w:bottom w:w="100" w:type="dxa"/>
              <w:start w:w="100" w:type="dxa"/>
              <w:end w:w="100" w:type="dxa"/>
            </w:tcMar>
          </w:tcPr>
          <w:p>
            <w:pPr>
              <w:spacing w:after="0"/>
            </w:pPr>
            <w:r/>
            <w:r>
              <w:rPr>
                <w:rFonts w:ascii="Calibri" w:hAnsi="Calibri"/>
                <w:b/>
                <w:color w:val="12202F"/>
                <w:sz w:val="18"/>
              </w:rPr>
              <w:t>Option</w:t>
            </w:r>
          </w:p>
        </w:tc>
        <w:tc>
          <w:tcPr>
            <w:tcW w:type="dxa" w:w="2664"/>
            <w:shd w:fill="E8EEF5"/>
            <w:vAlign w:val="center"/>
            <w:tcMar>
              <w:top w:w="100" w:type="dxa"/>
              <w:bottom w:w="100" w:type="dxa"/>
              <w:start w:w="100" w:type="dxa"/>
              <w:end w:w="100" w:type="dxa"/>
            </w:tcMar>
          </w:tcPr>
          <w:p>
            <w:pPr>
              <w:spacing w:after="0"/>
            </w:pPr>
            <w:r/>
            <w:r>
              <w:rPr>
                <w:rFonts w:ascii="Calibri" w:hAnsi="Calibri"/>
                <w:b/>
                <w:color w:val="12202F"/>
                <w:sz w:val="18"/>
              </w:rPr>
              <w:t>Description</w:t>
            </w:r>
          </w:p>
        </w:tc>
        <w:tc>
          <w:tcPr>
            <w:tcW w:type="dxa" w:w="2376"/>
            <w:shd w:fill="E8EEF5"/>
            <w:vAlign w:val="center"/>
            <w:tcMar>
              <w:top w:w="100" w:type="dxa"/>
              <w:bottom w:w="100" w:type="dxa"/>
              <w:start w:w="100" w:type="dxa"/>
              <w:end w:w="100" w:type="dxa"/>
            </w:tcMar>
          </w:tcPr>
          <w:p>
            <w:pPr>
              <w:spacing w:after="0"/>
            </w:pPr>
            <w:r/>
            <w:r>
              <w:rPr>
                <w:rFonts w:ascii="Calibri" w:hAnsi="Calibri"/>
                <w:b/>
                <w:color w:val="12202F"/>
                <w:sz w:val="18"/>
              </w:rPr>
              <w:t>Strengths</w:t>
            </w:r>
          </w:p>
        </w:tc>
        <w:tc>
          <w:tcPr>
            <w:tcW w:type="dxa" w:w="2376"/>
            <w:shd w:fill="E8EEF5"/>
            <w:vAlign w:val="center"/>
            <w:tcMar>
              <w:top w:w="100" w:type="dxa"/>
              <w:bottom w:w="100" w:type="dxa"/>
              <w:start w:w="100" w:type="dxa"/>
              <w:end w:w="100" w:type="dxa"/>
            </w:tcMar>
          </w:tcPr>
          <w:p>
            <w:pPr>
              <w:spacing w:after="0"/>
            </w:pPr>
            <w:r/>
            <w:r>
              <w:rPr>
                <w:rFonts w:ascii="Calibri" w:hAnsi="Calibri"/>
                <w:b/>
                <w:color w:val="12202F"/>
                <w:sz w:val="18"/>
              </w:rPr>
              <w:t>Weaknesses</w:t>
            </w:r>
          </w:p>
        </w:tc>
      </w:tr>
      <w:tr>
        <w:tc>
          <w:tcPr>
            <w:tcW w:type="dxa" w:w="1800"/>
            <w:vAlign w:val="center"/>
            <w:tcMar>
              <w:top w:w="100" w:type="dxa"/>
              <w:bottom w:w="100" w:type="dxa"/>
              <w:start w:w="100" w:type="dxa"/>
              <w:end w:w="100" w:type="dxa"/>
            </w:tcMar>
          </w:tcPr>
          <w:p>
            <w:pPr>
              <w:spacing w:after="0"/>
            </w:pPr>
            <w:r/>
            <w:r>
              <w:rPr>
                <w:rFonts w:ascii="Calibri" w:hAnsi="Calibri"/>
                <w:b w:val="0"/>
                <w:sz w:val="17"/>
              </w:rPr>
              <w:t>A. Direct MCP providers</w:t>
            </w:r>
          </w:p>
        </w:tc>
        <w:tc>
          <w:tcPr>
            <w:tcW w:type="dxa" w:w="2664"/>
            <w:vAlign w:val="center"/>
            <w:tcMar>
              <w:top w:w="100" w:type="dxa"/>
              <w:bottom w:w="100" w:type="dxa"/>
              <w:start w:w="100" w:type="dxa"/>
              <w:end w:w="100" w:type="dxa"/>
            </w:tcMar>
          </w:tcPr>
          <w:p>
            <w:pPr>
              <w:spacing w:after="0"/>
            </w:pPr>
            <w:r/>
            <w:r>
              <w:rPr>
                <w:rFonts w:ascii="Calibri" w:hAnsi="Calibri"/>
                <w:b w:val="0"/>
                <w:sz w:val="17"/>
              </w:rPr>
              <w:t>Every microservice exposes its own MCP server/tool provider directly to AI clients.</w:t>
            </w:r>
          </w:p>
        </w:tc>
        <w:tc>
          <w:tcPr>
            <w:tcW w:type="dxa" w:w="2376"/>
            <w:vAlign w:val="center"/>
            <w:tcMar>
              <w:top w:w="100" w:type="dxa"/>
              <w:bottom w:w="100" w:type="dxa"/>
              <w:start w:w="100" w:type="dxa"/>
              <w:end w:w="100" w:type="dxa"/>
            </w:tcMar>
          </w:tcPr>
          <w:p>
            <w:pPr>
              <w:spacing w:after="0"/>
            </w:pPr>
            <w:r/>
            <w:r>
              <w:rPr>
                <w:rFonts w:ascii="Calibri" w:hAnsi="Calibri"/>
                <w:b w:val="0"/>
                <w:sz w:val="17"/>
              </w:rPr>
              <w:t>Strong service autonomy; no central runtime bottleneck.</w:t>
            </w:r>
          </w:p>
        </w:tc>
        <w:tc>
          <w:tcPr>
            <w:tcW w:type="dxa" w:w="2376"/>
            <w:vAlign w:val="center"/>
            <w:tcMar>
              <w:top w:w="100" w:type="dxa"/>
              <w:bottom w:w="100" w:type="dxa"/>
              <w:start w:w="100" w:type="dxa"/>
              <w:end w:w="100" w:type="dxa"/>
            </w:tcMar>
          </w:tcPr>
          <w:p>
            <w:pPr>
              <w:spacing w:after="0"/>
            </w:pPr>
            <w:r/>
            <w:r>
              <w:rPr>
                <w:rFonts w:ascii="Calibri" w:hAnsi="Calibri"/>
                <w:b w:val="0"/>
                <w:sz w:val="17"/>
              </w:rPr>
              <w:t>Duplicates auth, audit, redaction, throttling, approvals, client onboarding, and discovery.</w:t>
            </w:r>
          </w:p>
        </w:tc>
      </w:tr>
      <w:tr>
        <w:tc>
          <w:tcPr>
            <w:tcW w:type="dxa" w:w="1800"/>
            <w:vAlign w:val="center"/>
            <w:tcMar>
              <w:top w:w="100" w:type="dxa"/>
              <w:bottom w:w="100" w:type="dxa"/>
              <w:start w:w="100" w:type="dxa"/>
              <w:end w:w="100" w:type="dxa"/>
            </w:tcMar>
          </w:tcPr>
          <w:p>
            <w:pPr>
              <w:spacing w:after="0"/>
            </w:pPr>
            <w:r/>
            <w:r>
              <w:rPr>
                <w:rFonts w:ascii="Calibri" w:hAnsi="Calibri"/>
                <w:b w:val="0"/>
                <w:sz w:val="17"/>
              </w:rPr>
              <w:t>B. Central MCP Gateway</w:t>
            </w:r>
          </w:p>
        </w:tc>
        <w:tc>
          <w:tcPr>
            <w:tcW w:type="dxa" w:w="2664"/>
            <w:vAlign w:val="center"/>
            <w:tcMar>
              <w:top w:w="100" w:type="dxa"/>
              <w:bottom w:w="100" w:type="dxa"/>
              <w:start w:w="100" w:type="dxa"/>
              <w:end w:w="100" w:type="dxa"/>
            </w:tcMar>
          </w:tcPr>
          <w:p>
            <w:pPr>
              <w:spacing w:after="0"/>
            </w:pPr>
            <w:r/>
            <w:r>
              <w:rPr>
                <w:rFonts w:ascii="Calibri" w:hAnsi="Calibri"/>
                <w:b w:val="0"/>
                <w:sz w:val="17"/>
              </w:rPr>
              <w:t>AI clients connect to one AFH MCP Gateway, which routes to service-owned tools.</w:t>
            </w:r>
          </w:p>
        </w:tc>
        <w:tc>
          <w:tcPr>
            <w:tcW w:type="dxa" w:w="2376"/>
            <w:vAlign w:val="center"/>
            <w:tcMar>
              <w:top w:w="100" w:type="dxa"/>
              <w:bottom w:w="100" w:type="dxa"/>
              <w:start w:w="100" w:type="dxa"/>
              <w:end w:w="100" w:type="dxa"/>
            </w:tcMar>
          </w:tcPr>
          <w:p>
            <w:pPr>
              <w:spacing w:after="0"/>
            </w:pPr>
            <w:r/>
            <w:r>
              <w:rPr>
                <w:rFonts w:ascii="Calibri" w:hAnsi="Calibri"/>
                <w:b w:val="0"/>
                <w:sz w:val="17"/>
              </w:rPr>
              <w:t>Consistent governance; one AI entry point; natural fit with existing gateway services.</w:t>
            </w:r>
          </w:p>
        </w:tc>
        <w:tc>
          <w:tcPr>
            <w:tcW w:type="dxa" w:w="2376"/>
            <w:vAlign w:val="center"/>
            <w:tcMar>
              <w:top w:w="100" w:type="dxa"/>
              <w:bottom w:w="100" w:type="dxa"/>
              <w:start w:w="100" w:type="dxa"/>
              <w:end w:w="100" w:type="dxa"/>
            </w:tcMar>
          </w:tcPr>
          <w:p>
            <w:pPr>
              <w:spacing w:after="0"/>
            </w:pPr>
            <w:r/>
            <w:r>
              <w:rPr>
                <w:rFonts w:ascii="Calibri" w:hAnsi="Calibri"/>
                <w:b w:val="0"/>
                <w:sz w:val="17"/>
              </w:rPr>
              <w:t>Can become a bottleneck if it starts owning business logic.</w:t>
            </w:r>
          </w:p>
        </w:tc>
      </w:tr>
      <w:tr>
        <w:tc>
          <w:tcPr>
            <w:tcW w:type="dxa" w:w="1800"/>
            <w:vAlign w:val="center"/>
            <w:tcMar>
              <w:top w:w="100" w:type="dxa"/>
              <w:bottom w:w="100" w:type="dxa"/>
              <w:start w:w="100" w:type="dxa"/>
              <w:end w:w="100" w:type="dxa"/>
            </w:tcMar>
          </w:tcPr>
          <w:p>
            <w:pPr>
              <w:spacing w:after="0"/>
            </w:pPr>
            <w:r/>
            <w:r>
              <w:rPr>
                <w:rFonts w:ascii="Calibri" w:hAnsi="Calibri"/>
                <w:b w:val="0"/>
                <w:sz w:val="17"/>
              </w:rPr>
              <w:t>C. Gateway plus workflow services</w:t>
            </w:r>
          </w:p>
        </w:tc>
        <w:tc>
          <w:tcPr>
            <w:tcW w:type="dxa" w:w="2664"/>
            <w:vAlign w:val="center"/>
            <w:tcMar>
              <w:top w:w="100" w:type="dxa"/>
              <w:bottom w:w="100" w:type="dxa"/>
              <w:start w:w="100" w:type="dxa"/>
              <w:end w:w="100" w:type="dxa"/>
            </w:tcMar>
          </w:tcPr>
          <w:p>
            <w:pPr>
              <w:spacing w:after="0"/>
            </w:pPr>
            <w:r/>
            <w:r>
              <w:rPr>
                <w:rFonts w:ascii="Calibri" w:hAnsi="Calibri"/>
                <w:b w:val="0"/>
                <w:sz w:val="17"/>
              </w:rPr>
              <w:t>The gateway routes tools and delegates complex workflows to services such as DevOps Integration or Document Intelligence.</w:t>
            </w:r>
          </w:p>
        </w:tc>
        <w:tc>
          <w:tcPr>
            <w:tcW w:type="dxa" w:w="2376"/>
            <w:vAlign w:val="center"/>
            <w:tcMar>
              <w:top w:w="100" w:type="dxa"/>
              <w:bottom w:w="100" w:type="dxa"/>
              <w:start w:w="100" w:type="dxa"/>
              <w:end w:w="100" w:type="dxa"/>
            </w:tcMar>
          </w:tcPr>
          <w:p>
            <w:pPr>
              <w:spacing w:after="0"/>
            </w:pPr>
            <w:r/>
            <w:r>
              <w:rPr>
                <w:rFonts w:ascii="Calibri" w:hAnsi="Calibri"/>
                <w:b w:val="0"/>
                <w:sz w:val="17"/>
              </w:rPr>
              <w:t>Best long-term separation for stateful, high-risk, and long-running workflows.</w:t>
            </w:r>
          </w:p>
        </w:tc>
        <w:tc>
          <w:tcPr>
            <w:tcW w:type="dxa" w:w="2376"/>
            <w:vAlign w:val="center"/>
            <w:tcMar>
              <w:top w:w="100" w:type="dxa"/>
              <w:bottom w:w="100" w:type="dxa"/>
              <w:start w:w="100" w:type="dxa"/>
              <w:end w:w="100" w:type="dxa"/>
            </w:tcMar>
          </w:tcPr>
          <w:p>
            <w:pPr>
              <w:spacing w:after="0"/>
            </w:pPr>
            <w:r/>
            <w:r>
              <w:rPr>
                <w:rFonts w:ascii="Calibri" w:hAnsi="Calibri"/>
                <w:b w:val="0"/>
                <w:sz w:val="17"/>
              </w:rPr>
              <w:t>More moving parts and requires stronger workflow contracts.</w:t>
            </w:r>
          </w:p>
        </w:tc>
      </w:tr>
    </w:tbl>
    <w:p>
      <w:pPr>
        <w:spacing w:after="60"/>
      </w:pPr>
    </w:p>
    <w:tbl>
      <w:tblPr>
        <w:tblStyle w:val="TableGrid"/>
        <w:tblW w:type="auto" w:w="0"/>
        <w:jc w:val="center"/>
        <w:tblLayout w:type="fixed"/>
        <w:tblLook w:firstColumn="1" w:firstRow="1" w:lastColumn="0" w:lastRow="0" w:noHBand="0" w:noVBand="1" w:val="04A0"/>
      </w:tblPr>
      <w:tblGrid>
        <w:gridCol w:w="9360"/>
      </w:tblGrid>
      <w:tr>
        <w:tc>
          <w:tcPr>
            <w:tcW w:type="dxa" w:w="9288"/>
            <w:tcMar>
              <w:top w:w="100" w:type="dxa"/>
              <w:bottom w:w="100" w:type="dxa"/>
              <w:start w:w="100" w:type="dxa"/>
              <w:end w:w="100" w:type="dxa"/>
            </w:tcMar>
            <w:shd w:fill="E8EEF5"/>
          </w:tcPr>
          <w:p>
            <w:pPr>
              <w:spacing w:before="60" w:after="60"/>
            </w:pPr>
            <w:r>
              <w:rPr>
                <w:b/>
                <w:color w:val="1F4D78"/>
                <w:sz w:val="21"/>
              </w:rPr>
              <w:t>Decision rationale</w:t>
            </w:r>
            <w:r>
              <w:br/>
            </w:r>
            <w:r>
              <w:rPr>
                <w:color w:val="12202F"/>
                <w:sz w:val="20"/>
              </w:rPr>
              <w:t>Adopt Option B first and design it so Option C is easy. Option A is attractive for service autonomy, but it weakens platform governance and makes AI clients responsible for too much internal topology.</w:t>
            </w:r>
          </w:p>
        </w:tc>
      </w:tr>
    </w:tbl>
    <w:p>
      <w:pPr>
        <w:spacing w:after="40"/>
      </w:pPr>
    </w:p>
    <w:p>
      <w:pPr>
        <w:pStyle w:val="Heading1"/>
      </w:pPr>
      <w:r>
        <w:t>6. Recommended MCP Gateway architecture</w:t>
      </w:r>
    </w:p>
    <w:p>
      <w:r>
        <w:t>The MCP Gateway should live under /services as a separate Azure Functions service named afh-ai-mcp-gateway-function-app. It should not reference existing service Application or Infrastructure projects directly. Instead, it should call downstream service APIs through HTTP by default and use asynchronous messaging for long-running workflows.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E8EEF5"/>
            <w:vAlign w:val="center"/>
            <w:tcMar>
              <w:top w:w="100" w:type="dxa"/>
              <w:bottom w:w="100" w:type="dxa"/>
              <w:start w:w="100" w:type="dxa"/>
              <w:end w:w="100" w:type="dxa"/>
            </w:tcMar>
          </w:tcPr>
          <w:p>
            <w:pPr>
              <w:spacing w:after="0"/>
            </w:pPr>
            <w:r/>
            <w:r>
              <w:rPr>
                <w:rFonts w:ascii="Calibri" w:hAnsi="Calibri"/>
                <w:b/>
                <w:color w:val="12202F"/>
                <w:sz w:val="18"/>
              </w:rPr>
              <w:t>Gateway responsibility</w:t>
            </w:r>
          </w:p>
        </w:tc>
        <w:tc>
          <w:tcPr>
            <w:tcW w:type="dxa" w:w="6336"/>
            <w:shd w:fill="E8EEF5"/>
            <w:vAlign w:val="center"/>
            <w:tcMar>
              <w:top w:w="100" w:type="dxa"/>
              <w:bottom w:w="100" w:type="dxa"/>
              <w:start w:w="100" w:type="dxa"/>
              <w:end w:w="100" w:type="dxa"/>
            </w:tcMar>
          </w:tcPr>
          <w:p>
            <w:pPr>
              <w:spacing w:after="0"/>
            </w:pPr>
            <w:r/>
            <w:r>
              <w:rPr>
                <w:rFonts w:ascii="Calibri" w:hAnsi="Calibri"/>
                <w:b/>
                <w:color w:val="12202F"/>
                <w:sz w:val="18"/>
              </w:rPr>
              <w:t>Explanation</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MCP protocol</w:t>
            </w:r>
          </w:p>
        </w:tc>
        <w:tc>
          <w:tcPr>
            <w:tcW w:type="dxa" w:w="6336"/>
            <w:vAlign w:val="center"/>
            <w:tcMar>
              <w:top w:w="100" w:type="dxa"/>
              <w:bottom w:w="100" w:type="dxa"/>
              <w:start w:w="100" w:type="dxa"/>
              <w:end w:w="100" w:type="dxa"/>
            </w:tcMar>
          </w:tcPr>
          <w:p>
            <w:pPr>
              <w:spacing w:after="0"/>
            </w:pPr>
            <w:r/>
            <w:r>
              <w:rPr>
                <w:rFonts w:ascii="Calibri" w:hAnsi="Calibri"/>
                <w:b w:val="0"/>
                <w:sz w:val="17"/>
              </w:rPr>
              <w:t>Expose tools and resources to AI clients using MCP-compatible contracts.</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Routing</w:t>
            </w:r>
          </w:p>
        </w:tc>
        <w:tc>
          <w:tcPr>
            <w:tcW w:type="dxa" w:w="6336"/>
            <w:vAlign w:val="center"/>
            <w:tcMar>
              <w:top w:w="100" w:type="dxa"/>
              <w:bottom w:w="100" w:type="dxa"/>
              <w:start w:w="100" w:type="dxa"/>
              <w:end w:w="100" w:type="dxa"/>
            </w:tcMar>
          </w:tcPr>
          <w:p>
            <w:pPr>
              <w:spacing w:after="0"/>
            </w:pPr>
            <w:r/>
            <w:r>
              <w:rPr>
                <w:rFonts w:ascii="Calibri" w:hAnsi="Calibri"/>
                <w:b w:val="0"/>
                <w:sz w:val="17"/>
              </w:rPr>
              <w:t>Map tool names to owner service endpoints based on discovered manifests.</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Policy enforcement</w:t>
            </w:r>
          </w:p>
        </w:tc>
        <w:tc>
          <w:tcPr>
            <w:tcW w:type="dxa" w:w="6336"/>
            <w:vAlign w:val="center"/>
            <w:tcMar>
              <w:top w:w="100" w:type="dxa"/>
              <w:bottom w:w="100" w:type="dxa"/>
              <w:start w:w="100" w:type="dxa"/>
              <w:end w:w="100" w:type="dxa"/>
            </w:tcMar>
          </w:tcPr>
          <w:p>
            <w:pPr>
              <w:spacing w:after="0"/>
            </w:pPr>
            <w:r/>
            <w:r>
              <w:rPr>
                <w:rFonts w:ascii="Calibri" w:hAnsi="Calibri"/>
                <w:b w:val="0"/>
                <w:sz w:val="17"/>
              </w:rPr>
              <w:t>Check tool permissions, side-effect level, approval requirements, rate limits, and tenant/environment constraints before invocation.</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Audit envelope</w:t>
            </w:r>
          </w:p>
        </w:tc>
        <w:tc>
          <w:tcPr>
            <w:tcW w:type="dxa" w:w="6336"/>
            <w:vAlign w:val="center"/>
            <w:tcMar>
              <w:top w:w="100" w:type="dxa"/>
              <w:bottom w:w="100" w:type="dxa"/>
              <w:start w:w="100" w:type="dxa"/>
              <w:end w:w="100" w:type="dxa"/>
            </w:tcMar>
          </w:tcPr>
          <w:p>
            <w:pPr>
              <w:spacing w:after="0"/>
            </w:pPr>
            <w:r/>
            <w:r>
              <w:rPr>
                <w:rFonts w:ascii="Calibri" w:hAnsi="Calibri"/>
                <w:b w:val="0"/>
                <w:sz w:val="17"/>
              </w:rPr>
              <w:t>Record actor, AI agent, tool, correlation ID, request hash, redaction state, downstream target, outcome, and latency.</w:t>
            </w:r>
          </w:p>
        </w:tc>
      </w:tr>
      <w:tr>
        <w:tc>
          <w:tcPr>
            <w:tcW w:type="dxa" w:w="2880"/>
            <w:vAlign w:val="center"/>
            <w:tcMar>
              <w:top w:w="100" w:type="dxa"/>
              <w:bottom w:w="100" w:type="dxa"/>
              <w:start w:w="100" w:type="dxa"/>
              <w:end w:w="100" w:type="dxa"/>
            </w:tcMar>
          </w:tcPr>
          <w:p>
            <w:pPr>
              <w:spacing w:after="0"/>
            </w:pPr>
            <w:r/>
            <w:r>
              <w:rPr>
                <w:rFonts w:ascii="Calibri" w:hAnsi="Calibri"/>
                <w:b w:val="0"/>
                <w:sz w:val="17"/>
              </w:rPr>
              <w:t>Thin aggregation</w:t>
            </w:r>
          </w:p>
        </w:tc>
        <w:tc>
          <w:tcPr>
            <w:tcW w:type="dxa" w:w="6336"/>
            <w:vAlign w:val="center"/>
            <w:tcMar>
              <w:top w:w="100" w:type="dxa"/>
              <w:bottom w:w="100" w:type="dxa"/>
              <w:start w:w="100" w:type="dxa"/>
              <w:end w:w="100" w:type="dxa"/>
            </w:tcMar>
          </w:tcPr>
          <w:p>
            <w:pPr>
              <w:spacing w:after="0"/>
            </w:pPr>
            <w:r/>
            <w:r>
              <w:rPr>
                <w:rFonts w:ascii="Calibri" w:hAnsi="Calibri"/>
                <w:b w:val="0"/>
                <w:sz w:val="17"/>
              </w:rPr>
              <w:t>Aggregate read-only service responses where this improves the AI experience without embedding business rules.</w:t>
            </w:r>
          </w:p>
        </w:tc>
      </w:tr>
    </w:tbl>
    <w:p>
      <w:pPr>
        <w:spacing w:after="60"/>
      </w:pPr>
    </w:p>
    <w:p>
      <w:pPr>
        <w:pStyle w:val="Heading1"/>
      </w:pPr>
      <w:r>
        <w:t>7. Internal communication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E8EEF5"/>
            <w:vAlign w:val="center"/>
            <w:tcMar>
              <w:top w:w="100" w:type="dxa"/>
              <w:bottom w:w="100" w:type="dxa"/>
              <w:start w:w="100" w:type="dxa"/>
              <w:end w:w="100" w:type="dxa"/>
            </w:tcMar>
          </w:tcPr>
          <w:p>
            <w:pPr>
              <w:spacing w:after="0"/>
            </w:pPr>
            <w:r/>
            <w:r>
              <w:rPr>
                <w:rFonts w:ascii="Calibri" w:hAnsi="Calibri"/>
                <w:b/>
                <w:color w:val="12202F"/>
                <w:sz w:val="18"/>
              </w:rPr>
              <w:t>Mechanism</w:t>
            </w:r>
          </w:p>
        </w:tc>
        <w:tc>
          <w:tcPr>
            <w:tcW w:type="dxa" w:w="2664"/>
            <w:shd w:fill="E8EEF5"/>
            <w:vAlign w:val="center"/>
            <w:tcMar>
              <w:top w:w="100" w:type="dxa"/>
              <w:bottom w:w="100" w:type="dxa"/>
              <w:start w:w="100" w:type="dxa"/>
              <w:end w:w="100" w:type="dxa"/>
            </w:tcMar>
          </w:tcPr>
          <w:p>
            <w:pPr>
              <w:spacing w:after="0"/>
            </w:pPr>
            <w:r/>
            <w:r>
              <w:rPr>
                <w:rFonts w:ascii="Calibri" w:hAnsi="Calibri"/>
                <w:b/>
                <w:color w:val="12202F"/>
                <w:sz w:val="18"/>
              </w:rPr>
              <w:t>Best use</w:t>
            </w:r>
          </w:p>
        </w:tc>
        <w:tc>
          <w:tcPr>
            <w:tcW w:type="dxa" w:w="4464"/>
            <w:shd w:fill="E8EEF5"/>
            <w:vAlign w:val="center"/>
            <w:tcMar>
              <w:top w:w="100" w:type="dxa"/>
              <w:bottom w:w="100" w:type="dxa"/>
              <w:start w:w="100" w:type="dxa"/>
              <w:end w:w="100" w:type="dxa"/>
            </w:tcMar>
          </w:tcPr>
          <w:p>
            <w:pPr>
              <w:spacing w:after="0"/>
            </w:pPr>
            <w:r/>
            <w:r>
              <w:rPr>
                <w:rFonts w:ascii="Calibri" w:hAnsi="Calibri"/>
                <w:b/>
                <w:color w:val="12202F"/>
                <w:sz w:val="18"/>
              </w:rPr>
              <w:t>Fit for current solution</w:t>
            </w:r>
          </w:p>
        </w:tc>
      </w:tr>
      <w:tr>
        <w:tc>
          <w:tcPr>
            <w:tcW w:type="dxa" w:w="2088"/>
            <w:vAlign w:val="center"/>
            <w:tcMar>
              <w:top w:w="100" w:type="dxa"/>
              <w:bottom w:w="100" w:type="dxa"/>
              <w:start w:w="100" w:type="dxa"/>
              <w:end w:w="100" w:type="dxa"/>
            </w:tcMar>
          </w:tcPr>
          <w:p>
            <w:pPr>
              <w:spacing w:after="0"/>
            </w:pPr>
            <w:r/>
            <w:r>
              <w:rPr>
                <w:rFonts w:ascii="Calibri" w:hAnsi="Calibri"/>
                <w:b w:val="0"/>
                <w:sz w:val="17"/>
              </w:rPr>
              <w:t>HTTP</w:t>
            </w:r>
          </w:p>
        </w:tc>
        <w:tc>
          <w:tcPr>
            <w:tcW w:type="dxa" w:w="2664"/>
            <w:vAlign w:val="center"/>
            <w:tcMar>
              <w:top w:w="100" w:type="dxa"/>
              <w:bottom w:w="100" w:type="dxa"/>
              <w:start w:w="100" w:type="dxa"/>
              <w:end w:w="100" w:type="dxa"/>
            </w:tcMar>
          </w:tcPr>
          <w:p>
            <w:pPr>
              <w:spacing w:after="0"/>
            </w:pPr>
            <w:r/>
            <w:r>
              <w:rPr>
                <w:rFonts w:ascii="Calibri" w:hAnsi="Calibri"/>
                <w:b w:val="0"/>
                <w:sz w:val="17"/>
              </w:rPr>
              <w:t>Synchronous tool calls and existing Azure Functions APIs.</w:t>
            </w:r>
          </w:p>
        </w:tc>
        <w:tc>
          <w:tcPr>
            <w:tcW w:type="dxa" w:w="4464"/>
            <w:vAlign w:val="center"/>
            <w:tcMar>
              <w:top w:w="100" w:type="dxa"/>
              <w:bottom w:w="100" w:type="dxa"/>
              <w:start w:w="100" w:type="dxa"/>
              <w:end w:w="100" w:type="dxa"/>
            </w:tcMar>
          </w:tcPr>
          <w:p>
            <w:pPr>
              <w:spacing w:after="0"/>
            </w:pPr>
            <w:r/>
            <w:r>
              <w:rPr>
                <w:rFonts w:ascii="Calibri" w:hAnsi="Calibri"/>
                <w:b w:val="0"/>
                <w:sz w:val="17"/>
              </w:rPr>
              <w:t>Best default. The services already expose HTTP triggers, gateways, and OpenAPI/Scalar docs.</w:t>
            </w:r>
          </w:p>
        </w:tc>
      </w:tr>
      <w:tr>
        <w:tc>
          <w:tcPr>
            <w:tcW w:type="dxa" w:w="2088"/>
            <w:vAlign w:val="center"/>
            <w:tcMar>
              <w:top w:w="100" w:type="dxa"/>
              <w:bottom w:w="100" w:type="dxa"/>
              <w:start w:w="100" w:type="dxa"/>
              <w:end w:w="100" w:type="dxa"/>
            </w:tcMar>
          </w:tcPr>
          <w:p>
            <w:pPr>
              <w:spacing w:after="0"/>
            </w:pPr>
            <w:r/>
            <w:r>
              <w:rPr>
                <w:rFonts w:ascii="Calibri" w:hAnsi="Calibri"/>
                <w:b w:val="0"/>
                <w:sz w:val="17"/>
              </w:rPr>
              <w:t>gRPC</w:t>
            </w:r>
          </w:p>
        </w:tc>
        <w:tc>
          <w:tcPr>
            <w:tcW w:type="dxa" w:w="2664"/>
            <w:vAlign w:val="center"/>
            <w:tcMar>
              <w:top w:w="100" w:type="dxa"/>
              <w:bottom w:w="100" w:type="dxa"/>
              <w:start w:w="100" w:type="dxa"/>
              <w:end w:w="100" w:type="dxa"/>
            </w:tcMar>
          </w:tcPr>
          <w:p>
            <w:pPr>
              <w:spacing w:after="0"/>
            </w:pPr>
            <w:r/>
            <w:r>
              <w:rPr>
                <w:rFonts w:ascii="Calibri" w:hAnsi="Calibri"/>
                <w:b w:val="0"/>
                <w:sz w:val="17"/>
              </w:rPr>
              <w:t>High-throughput internal binary APIs.</w:t>
            </w:r>
          </w:p>
        </w:tc>
        <w:tc>
          <w:tcPr>
            <w:tcW w:type="dxa" w:w="4464"/>
            <w:vAlign w:val="center"/>
            <w:tcMar>
              <w:top w:w="100" w:type="dxa"/>
              <w:bottom w:w="100" w:type="dxa"/>
              <w:start w:w="100" w:type="dxa"/>
              <w:end w:w="100" w:type="dxa"/>
            </w:tcMar>
          </w:tcPr>
          <w:p>
            <w:pPr>
              <w:spacing w:after="0"/>
            </w:pPr>
            <w:r/>
            <w:r>
              <w:rPr>
                <w:rFonts w:ascii="Calibri" w:hAnsi="Calibri"/>
                <w:b w:val="0"/>
                <w:sz w:val="17"/>
              </w:rPr>
              <w:t>Not a natural fit unless services move toward ASP.NET Core/container hosting.</w:t>
            </w:r>
          </w:p>
        </w:tc>
      </w:tr>
      <w:tr>
        <w:tc>
          <w:tcPr>
            <w:tcW w:type="dxa" w:w="2088"/>
            <w:vAlign w:val="center"/>
            <w:tcMar>
              <w:top w:w="100" w:type="dxa"/>
              <w:bottom w:w="100" w:type="dxa"/>
              <w:start w:w="100" w:type="dxa"/>
              <w:end w:w="100" w:type="dxa"/>
            </w:tcMar>
          </w:tcPr>
          <w:p>
            <w:pPr>
              <w:spacing w:after="0"/>
            </w:pPr>
            <w:r/>
            <w:r>
              <w:rPr>
                <w:rFonts w:ascii="Calibri" w:hAnsi="Calibri"/>
                <w:b w:val="0"/>
                <w:sz w:val="17"/>
              </w:rPr>
              <w:t>Azure Service Bus</w:t>
            </w:r>
          </w:p>
        </w:tc>
        <w:tc>
          <w:tcPr>
            <w:tcW w:type="dxa" w:w="2664"/>
            <w:vAlign w:val="center"/>
            <w:tcMar>
              <w:top w:w="100" w:type="dxa"/>
              <w:bottom w:w="100" w:type="dxa"/>
              <w:start w:w="100" w:type="dxa"/>
              <w:end w:w="100" w:type="dxa"/>
            </w:tcMar>
          </w:tcPr>
          <w:p>
            <w:pPr>
              <w:spacing w:after="0"/>
            </w:pPr>
            <w:r/>
            <w:r>
              <w:rPr>
                <w:rFonts w:ascii="Calibri" w:hAnsi="Calibri"/>
                <w:b w:val="0"/>
                <w:sz w:val="17"/>
              </w:rPr>
              <w:t>Asynchronous commands, long-running workflows, retries, and fan-out.</w:t>
            </w:r>
          </w:p>
        </w:tc>
        <w:tc>
          <w:tcPr>
            <w:tcW w:type="dxa" w:w="4464"/>
            <w:vAlign w:val="center"/>
            <w:tcMar>
              <w:top w:w="100" w:type="dxa"/>
              <w:bottom w:w="100" w:type="dxa"/>
              <w:start w:w="100" w:type="dxa"/>
              <w:end w:w="100" w:type="dxa"/>
            </w:tcMar>
          </w:tcPr>
          <w:p>
            <w:pPr>
              <w:spacing w:after="0"/>
            </w:pPr>
            <w:r/>
            <w:r>
              <w:rPr>
                <w:rFonts w:ascii="Calibri" w:hAnsi="Calibri"/>
                <w:b w:val="0"/>
                <w:sz w:val="17"/>
              </w:rPr>
              <w:t>Strong fit for DevOps/document workflows and notification-style patterns, not simple request/response tools.</w:t>
            </w:r>
          </w:p>
        </w:tc>
      </w:tr>
      <w:tr>
        <w:tc>
          <w:tcPr>
            <w:tcW w:type="dxa" w:w="2088"/>
            <w:vAlign w:val="center"/>
            <w:tcMar>
              <w:top w:w="100" w:type="dxa"/>
              <w:bottom w:w="100" w:type="dxa"/>
              <w:start w:w="100" w:type="dxa"/>
              <w:end w:w="100" w:type="dxa"/>
            </w:tcMar>
          </w:tcPr>
          <w:p>
            <w:pPr>
              <w:spacing w:after="0"/>
            </w:pPr>
            <w:r/>
            <w:r>
              <w:rPr>
                <w:rFonts w:ascii="Calibri" w:hAnsi="Calibri"/>
                <w:b w:val="0"/>
                <w:sz w:val="17"/>
              </w:rPr>
              <w:t>Direct project references</w:t>
            </w:r>
          </w:p>
        </w:tc>
        <w:tc>
          <w:tcPr>
            <w:tcW w:type="dxa" w:w="2664"/>
            <w:vAlign w:val="center"/>
            <w:tcMar>
              <w:top w:w="100" w:type="dxa"/>
              <w:bottom w:w="100" w:type="dxa"/>
              <w:start w:w="100" w:type="dxa"/>
              <w:end w:w="100" w:type="dxa"/>
            </w:tcMar>
          </w:tcPr>
          <w:p>
            <w:pPr>
              <w:spacing w:after="0"/>
            </w:pPr>
            <w:r/>
            <w:r>
              <w:rPr>
                <w:rFonts w:ascii="Calibri" w:hAnsi="Calibri"/>
                <w:b w:val="0"/>
                <w:sz w:val="17"/>
              </w:rPr>
              <w:t>Local code reuse.</w:t>
            </w:r>
          </w:p>
        </w:tc>
        <w:tc>
          <w:tcPr>
            <w:tcW w:type="dxa" w:w="4464"/>
            <w:vAlign w:val="center"/>
            <w:tcMar>
              <w:top w:w="100" w:type="dxa"/>
              <w:bottom w:w="100" w:type="dxa"/>
              <w:start w:w="100" w:type="dxa"/>
              <w:end w:w="100" w:type="dxa"/>
            </w:tcMar>
          </w:tcPr>
          <w:p>
            <w:pPr>
              <w:spacing w:after="0"/>
            </w:pPr>
            <w:r/>
            <w:r>
              <w:rPr>
                <w:rFonts w:ascii="Calibri" w:hAnsi="Calibri"/>
                <w:b w:val="0"/>
                <w:sz w:val="17"/>
              </w:rPr>
              <w:t>Not recommended for the gateway. It couples deployments and bypasses service-owned behavior.</w:t>
            </w:r>
          </w:p>
        </w:tc>
      </w:tr>
    </w:tbl>
    <w:p>
      <w:pPr>
        <w:spacing w:after="60"/>
      </w:pPr>
    </w:p>
    <w:p>
      <w:pPr>
        <w:pStyle w:val="Heading1"/>
      </w:pPr>
      <w:r>
        <w:t>8. AI orchestration boundaries</w:t>
      </w:r>
    </w:p>
    <w:tbl>
      <w:tblPr>
        <w:tblStyle w:val="TableGrid"/>
        <w:tblW w:type="auto" w:w="0"/>
        <w:jc w:val="center"/>
        <w:tblLayout w:type="fixed"/>
        <w:tblLook w:firstColumn="1" w:firstRow="1" w:lastColumn="0" w:lastRow="0" w:noHBand="0" w:noVBand="1" w:val="04A0"/>
      </w:tblPr>
      <w:tblGrid>
        <w:gridCol w:w="4680"/>
        <w:gridCol w:w="4680"/>
      </w:tblGrid>
      <w:tr>
        <w:tc>
          <w:tcPr>
            <w:tcW w:type="dxa" w:w="4608"/>
            <w:shd w:fill="E8EEF5"/>
            <w:vAlign w:val="center"/>
            <w:tcMar>
              <w:top w:w="100" w:type="dxa"/>
              <w:bottom w:w="100" w:type="dxa"/>
              <w:start w:w="100" w:type="dxa"/>
              <w:end w:w="100" w:type="dxa"/>
            </w:tcMar>
          </w:tcPr>
          <w:p>
            <w:pPr>
              <w:spacing w:after="0"/>
            </w:pPr>
            <w:r/>
            <w:r>
              <w:rPr>
                <w:rFonts w:ascii="Calibri" w:hAnsi="Calibri"/>
                <w:b/>
                <w:color w:val="12202F"/>
                <w:sz w:val="18"/>
              </w:rPr>
              <w:t>Belongs in MCP Gateway</w:t>
            </w:r>
          </w:p>
        </w:tc>
        <w:tc>
          <w:tcPr>
            <w:tcW w:type="dxa" w:w="4608"/>
            <w:shd w:fill="E8EEF5"/>
            <w:vAlign w:val="center"/>
            <w:tcMar>
              <w:top w:w="100" w:type="dxa"/>
              <w:bottom w:w="100" w:type="dxa"/>
              <w:start w:w="100" w:type="dxa"/>
              <w:end w:w="100" w:type="dxa"/>
            </w:tcMar>
          </w:tcPr>
          <w:p>
            <w:pPr>
              <w:spacing w:after="0"/>
            </w:pPr>
            <w:r/>
            <w:r>
              <w:rPr>
                <w:rFonts w:ascii="Calibri" w:hAnsi="Calibri"/>
                <w:b/>
                <w:color w:val="12202F"/>
                <w:sz w:val="18"/>
              </w:rPr>
              <w:t>Belongs in workflow-specific services</w:t>
            </w:r>
          </w:p>
        </w:tc>
      </w:tr>
      <w:tr>
        <w:tc>
          <w:tcPr>
            <w:tcW w:type="dxa" w:w="4608"/>
            <w:vAlign w:val="center"/>
            <w:tcMar>
              <w:top w:w="100" w:type="dxa"/>
              <w:bottom w:w="100" w:type="dxa"/>
              <w:start w:w="100" w:type="dxa"/>
              <w:end w:w="100" w:type="dxa"/>
            </w:tcMar>
          </w:tcPr>
          <w:p>
            <w:pPr>
              <w:spacing w:after="0"/>
            </w:pPr>
            <w:r/>
            <w:r>
              <w:rPr>
                <w:rFonts w:ascii="Calibri" w:hAnsi="Calibri"/>
                <w:b w:val="0"/>
                <w:sz w:val="17"/>
              </w:rPr>
              <w:t>Tool discovery, registration, and schema validation.</w:t>
            </w:r>
          </w:p>
        </w:tc>
        <w:tc>
          <w:tcPr>
            <w:tcW w:type="dxa" w:w="4608"/>
            <w:vAlign w:val="center"/>
            <w:tcMar>
              <w:top w:w="100" w:type="dxa"/>
              <w:bottom w:w="100" w:type="dxa"/>
              <w:start w:w="100" w:type="dxa"/>
              <w:end w:w="100" w:type="dxa"/>
            </w:tcMar>
          </w:tcPr>
          <w:p>
            <w:pPr>
              <w:spacing w:after="0"/>
            </w:pPr>
            <w:r/>
            <w:r>
              <w:rPr>
                <w:rFonts w:ascii="Calibri" w:hAnsi="Calibri"/>
                <w:b w:val="0"/>
                <w:sz w:val="17"/>
              </w:rPr>
              <w:t>Requirement document to Epic/Feature/User Story/Task generation.</w:t>
            </w:r>
          </w:p>
        </w:tc>
      </w:tr>
      <w:tr>
        <w:tc>
          <w:tcPr>
            <w:tcW w:type="dxa" w:w="4608"/>
            <w:vAlign w:val="center"/>
            <w:tcMar>
              <w:top w:w="100" w:type="dxa"/>
              <w:bottom w:w="100" w:type="dxa"/>
              <w:start w:w="100" w:type="dxa"/>
              <w:end w:w="100" w:type="dxa"/>
            </w:tcMar>
          </w:tcPr>
          <w:p>
            <w:pPr>
              <w:spacing w:after="0"/>
            </w:pPr>
            <w:r/>
            <w:r>
              <w:rPr>
                <w:rFonts w:ascii="Calibri" w:hAnsi="Calibri"/>
                <w:b w:val="0"/>
                <w:sz w:val="17"/>
              </w:rPr>
              <w:t>Authentication, actor resolution, and policy checks.</w:t>
            </w:r>
          </w:p>
        </w:tc>
        <w:tc>
          <w:tcPr>
            <w:tcW w:type="dxa" w:w="4608"/>
            <w:vAlign w:val="center"/>
            <w:tcMar>
              <w:top w:w="100" w:type="dxa"/>
              <w:bottom w:w="100" w:type="dxa"/>
              <w:start w:w="100" w:type="dxa"/>
              <w:end w:w="100" w:type="dxa"/>
            </w:tcMar>
          </w:tcPr>
          <w:p>
            <w:pPr>
              <w:spacing w:after="0"/>
            </w:pPr>
            <w:r/>
            <w:r>
              <w:rPr>
                <w:rFonts w:ascii="Calibri" w:hAnsi="Calibri"/>
                <w:b w:val="0"/>
                <w:sz w:val="17"/>
              </w:rPr>
              <w:t>SharePoint document analysis and classification.</w:t>
            </w:r>
          </w:p>
        </w:tc>
      </w:tr>
      <w:tr>
        <w:tc>
          <w:tcPr>
            <w:tcW w:type="dxa" w:w="4608"/>
            <w:vAlign w:val="center"/>
            <w:tcMar>
              <w:top w:w="100" w:type="dxa"/>
              <w:bottom w:w="100" w:type="dxa"/>
              <w:start w:w="100" w:type="dxa"/>
              <w:end w:w="100" w:type="dxa"/>
            </w:tcMar>
          </w:tcPr>
          <w:p>
            <w:pPr>
              <w:spacing w:after="0"/>
            </w:pPr>
            <w:r/>
            <w:r>
              <w:rPr>
                <w:rFonts w:ascii="Calibri" w:hAnsi="Calibri"/>
                <w:b w:val="0"/>
                <w:sz w:val="17"/>
              </w:rPr>
              <w:t>Audit envelope and redacted request logging.</w:t>
            </w:r>
          </w:p>
        </w:tc>
        <w:tc>
          <w:tcPr>
            <w:tcW w:type="dxa" w:w="4608"/>
            <w:vAlign w:val="center"/>
            <w:tcMar>
              <w:top w:w="100" w:type="dxa"/>
              <w:bottom w:w="100" w:type="dxa"/>
              <w:start w:w="100" w:type="dxa"/>
              <w:end w:w="100" w:type="dxa"/>
            </w:tcMar>
          </w:tcPr>
          <w:p>
            <w:pPr>
              <w:spacing w:after="0"/>
            </w:pPr>
            <w:r/>
            <w:r>
              <w:rPr>
                <w:rFonts w:ascii="Calibri" w:hAnsi="Calibri"/>
                <w:b w:val="0"/>
                <w:sz w:val="17"/>
              </w:rPr>
              <w:t>Sprint analysis, work item linking, and PR-link workflows.</w:t>
            </w:r>
          </w:p>
        </w:tc>
      </w:tr>
      <w:tr>
        <w:tc>
          <w:tcPr>
            <w:tcW w:type="dxa" w:w="4608"/>
            <w:vAlign w:val="center"/>
            <w:tcMar>
              <w:top w:w="100" w:type="dxa"/>
              <w:bottom w:w="100" w:type="dxa"/>
              <w:start w:w="100" w:type="dxa"/>
              <w:end w:w="100" w:type="dxa"/>
            </w:tcMar>
          </w:tcPr>
          <w:p>
            <w:pPr>
              <w:spacing w:after="0"/>
            </w:pPr>
            <w:r/>
            <w:r>
              <w:rPr>
                <w:rFonts w:ascii="Calibri" w:hAnsi="Calibri"/>
                <w:b w:val="0"/>
                <w:sz w:val="17"/>
              </w:rPr>
              <w:t>Thin read-only aggregation.</w:t>
            </w:r>
          </w:p>
        </w:tc>
        <w:tc>
          <w:tcPr>
            <w:tcW w:type="dxa" w:w="4608"/>
            <w:vAlign w:val="center"/>
            <w:tcMar>
              <w:top w:w="100" w:type="dxa"/>
              <w:bottom w:w="100" w:type="dxa"/>
              <w:start w:w="100" w:type="dxa"/>
              <w:end w:w="100" w:type="dxa"/>
            </w:tcMar>
          </w:tcPr>
          <w:p>
            <w:pPr>
              <w:spacing w:after="0"/>
            </w:pPr>
            <w:r/>
            <w:r>
              <w:rPr>
                <w:rFonts w:ascii="Calibri" w:hAnsi="Calibri"/>
                <w:b w:val="0"/>
                <w:sz w:val="17"/>
              </w:rPr>
              <w:t>Production incident investigation and remediation-plan workflows.</w:t>
            </w:r>
          </w:p>
        </w:tc>
      </w:tr>
      <w:tr>
        <w:tc>
          <w:tcPr>
            <w:tcW w:type="dxa" w:w="4608"/>
            <w:vAlign w:val="center"/>
            <w:tcMar>
              <w:top w:w="100" w:type="dxa"/>
              <w:bottom w:w="100" w:type="dxa"/>
              <w:start w:w="100" w:type="dxa"/>
              <w:end w:w="100" w:type="dxa"/>
            </w:tcMar>
          </w:tcPr>
          <w:p>
            <w:pPr>
              <w:spacing w:after="0"/>
            </w:pPr>
            <w:r/>
            <w:r>
              <w:rPr>
                <w:rFonts w:ascii="Calibri" w:hAnsi="Calibri"/>
                <w:b w:val="0"/>
                <w:sz w:val="17"/>
              </w:rPr>
              <w:t>Human approval checks for high-risk tool invocations.</w:t>
            </w:r>
          </w:p>
        </w:tc>
        <w:tc>
          <w:tcPr>
            <w:tcW w:type="dxa" w:w="4608"/>
            <w:vAlign w:val="center"/>
            <w:tcMar>
              <w:top w:w="100" w:type="dxa"/>
              <w:bottom w:w="100" w:type="dxa"/>
              <w:start w:w="100" w:type="dxa"/>
              <w:end w:w="100" w:type="dxa"/>
            </w:tcMar>
          </w:tcPr>
          <w:p>
            <w:pPr>
              <w:spacing w:after="0"/>
            </w:pPr>
            <w:r/>
            <w:r>
              <w:rPr>
                <w:rFonts w:ascii="Calibri" w:hAnsi="Calibri"/>
                <w:b w:val="0"/>
                <w:sz w:val="17"/>
              </w:rPr>
              <w:t>Potential PR generation, branch management, and review automation.</w:t>
            </w:r>
          </w:p>
        </w:tc>
      </w:tr>
    </w:tbl>
    <w:p>
      <w:pPr>
        <w:spacing w:after="60"/>
      </w:pPr>
    </w:p>
    <w:tbl>
      <w:tblPr>
        <w:tblStyle w:val="TableGrid"/>
        <w:tblW w:type="auto" w:w="0"/>
        <w:jc w:val="center"/>
        <w:tblLayout w:type="fixed"/>
        <w:tblLook w:firstColumn="1" w:firstRow="1" w:lastColumn="0" w:lastRow="0" w:noHBand="0" w:noVBand="1" w:val="04A0"/>
      </w:tblPr>
      <w:tblGrid>
        <w:gridCol w:w="9360"/>
      </w:tblGrid>
      <w:tr>
        <w:tc>
          <w:tcPr>
            <w:tcW w:type="dxa" w:w="9288"/>
            <w:tcMar>
              <w:top w:w="100" w:type="dxa"/>
              <w:bottom w:w="100" w:type="dxa"/>
              <w:start w:w="100" w:type="dxa"/>
              <w:end w:w="100" w:type="dxa"/>
            </w:tcMar>
            <w:shd w:fill="F2F4F7"/>
          </w:tcPr>
          <w:p>
            <w:pPr>
              <w:spacing w:before="60" w:after="60"/>
            </w:pPr>
            <w:r>
              <w:rPr>
                <w:b/>
                <w:color w:val="1F4D78"/>
                <w:sz w:val="21"/>
              </w:rPr>
              <w:t>Practical rule</w:t>
            </w:r>
            <w:r>
              <w:br/>
            </w:r>
            <w:r>
              <w:rPr>
                <w:color w:val="12202F"/>
                <w:sz w:val="20"/>
              </w:rPr>
              <w:t>If a workflow needs durable state, retries, idempotency, approvals, scheduling, or domain-specific decisions, it should not live in the MCP Gateway.</w:t>
            </w:r>
          </w:p>
        </w:tc>
      </w:tr>
    </w:tbl>
    <w:p>
      <w:pPr>
        <w:spacing w:after="40"/>
      </w:pPr>
    </w:p>
    <w:p>
      <w:pPr>
        <w:pStyle w:val="Heading1"/>
      </w:pPr>
      <w:r>
        <w:t>9. DevOps integration recommendation</w:t>
      </w:r>
    </w:p>
    <w:p>
      <w:r>
        <w:t>Azure DevOps automation should be implemented as a dedicated DevOps Integration Service under /services and exposed by the MCP Gateway as devops.* tools. This keeps Azure DevOps auth, work item templates, sprint reads, pull request linking, idempotency, and workflow audit in one owned service.</w:t>
      </w:r>
    </w:p>
    <w:p>
      <w:pPr>
        <w:pStyle w:val="ListBullet"/>
        <w:spacing w:after="80"/>
      </w:pPr>
      <w:r>
        <w:t>The MCP Gateway should expose devops.* tools and enforce AI policy.</w:t>
      </w:r>
    </w:p>
    <w:p>
      <w:pPr>
        <w:pStyle w:val="ListBullet"/>
        <w:spacing w:after="80"/>
      </w:pPr>
      <w:r>
        <w:t>AFH.DevOps.Integration.Application should own workflows such as create epic, create feature, create user story, create task, update work item, link pull request, read sprint, and generate implementation plan.</w:t>
      </w:r>
    </w:p>
    <w:p>
      <w:pPr>
        <w:pStyle w:val="ListBullet"/>
        <w:spacing w:after="80"/>
      </w:pPr>
      <w:r>
        <w:t>AFH.DevOps.Integration.Infrastructure should contain Azure DevOps REST clients, auth, retries, and DTO mapping.</w:t>
      </w:r>
    </w:p>
    <w:p>
      <w:pPr>
        <w:pStyle w:val="ListBullet"/>
        <w:spacing w:after="80"/>
      </w:pPr>
      <w:r>
        <w:t>A shared afh-common-devops SDK should contain reusable client primitives, not workflow business logic.</w:t>
      </w:r>
    </w:p>
    <w:p>
      <w:pPr>
        <w:pStyle w:val="Heading1"/>
      </w:pPr>
      <w:r>
        <w:t>10. SDK strategy</w:t>
      </w:r>
    </w:p>
    <w:p>
      <w:r>
        <w:t>The SDKs are part of the architecture. They should provide shared platform primitives while avoiding hidden business logic. Existing SDKs should remain focused, and new AI/MCP SDKs should define contracts, manifests, actor context, and protocol helpers.</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fill="E8EEF5"/>
            <w:vAlign w:val="center"/>
            <w:tcMar>
              <w:top w:w="100" w:type="dxa"/>
              <w:bottom w:w="100" w:type="dxa"/>
              <w:start w:w="100" w:type="dxa"/>
              <w:end w:w="100" w:type="dxa"/>
            </w:tcMar>
          </w:tcPr>
          <w:p>
            <w:pPr>
              <w:spacing w:after="0"/>
            </w:pPr>
            <w:r/>
            <w:r>
              <w:rPr>
                <w:rFonts w:ascii="Calibri" w:hAnsi="Calibri"/>
                <w:b/>
                <w:color w:val="12202F"/>
                <w:sz w:val="18"/>
              </w:rPr>
              <w:t>SDK</w:t>
            </w:r>
          </w:p>
        </w:tc>
        <w:tc>
          <w:tcPr>
            <w:tcW w:type="dxa" w:w="6192"/>
            <w:shd w:fill="E8EEF5"/>
            <w:vAlign w:val="center"/>
            <w:tcMar>
              <w:top w:w="100" w:type="dxa"/>
              <w:bottom w:w="100" w:type="dxa"/>
              <w:start w:w="100" w:type="dxa"/>
              <w:end w:w="100" w:type="dxa"/>
            </w:tcMar>
          </w:tcPr>
          <w:p>
            <w:pPr>
              <w:spacing w:after="0"/>
            </w:pPr>
            <w:r/>
            <w:r>
              <w:rPr>
                <w:rFonts w:ascii="Calibri" w:hAnsi="Calibri"/>
                <w:b/>
                <w:color w:val="12202F"/>
                <w:sz w:val="18"/>
              </w:rPr>
              <w:t>Responsibility</w:t>
            </w:r>
          </w:p>
        </w:tc>
      </w:tr>
      <w:tr>
        <w:tc>
          <w:tcPr>
            <w:tcW w:type="dxa" w:w="3024"/>
            <w:vAlign w:val="center"/>
            <w:tcMar>
              <w:top w:w="100" w:type="dxa"/>
              <w:bottom w:w="100" w:type="dxa"/>
              <w:start w:w="100" w:type="dxa"/>
              <w:end w:w="100" w:type="dxa"/>
            </w:tcMar>
          </w:tcPr>
          <w:p>
            <w:pPr>
              <w:spacing w:after="0"/>
            </w:pPr>
            <w:r/>
            <w:r>
              <w:rPr>
                <w:rFonts w:ascii="Calibri" w:hAnsi="Calibri"/>
                <w:b w:val="0"/>
                <w:sz w:val="17"/>
              </w:rPr>
              <w:t>afh-common-error</w:t>
            </w:r>
          </w:p>
        </w:tc>
        <w:tc>
          <w:tcPr>
            <w:tcW w:type="dxa" w:w="6192"/>
            <w:vAlign w:val="center"/>
            <w:tcMar>
              <w:top w:w="100" w:type="dxa"/>
              <w:bottom w:w="100" w:type="dxa"/>
              <w:start w:w="100" w:type="dxa"/>
              <w:end w:w="100" w:type="dxa"/>
            </w:tcMar>
          </w:tcPr>
          <w:p>
            <w:pPr>
              <w:spacing w:after="0"/>
            </w:pPr>
            <w:r/>
            <w:r>
              <w:rPr>
                <w:rFonts w:ascii="Calibri" w:hAnsi="Calibri"/>
                <w:b w:val="0"/>
                <w:sz w:val="17"/>
              </w:rPr>
              <w:t>Shared error handling, Azure Functions support, EF persistence, Application Insights/email error sinks.</w:t>
            </w:r>
          </w:p>
        </w:tc>
      </w:tr>
      <w:tr>
        <w:tc>
          <w:tcPr>
            <w:tcW w:type="dxa" w:w="3024"/>
            <w:vAlign w:val="center"/>
            <w:tcMar>
              <w:top w:w="100" w:type="dxa"/>
              <w:bottom w:w="100" w:type="dxa"/>
              <w:start w:w="100" w:type="dxa"/>
              <w:end w:w="100" w:type="dxa"/>
            </w:tcMar>
          </w:tcPr>
          <w:p>
            <w:pPr>
              <w:spacing w:after="0"/>
            </w:pPr>
            <w:r/>
            <w:r>
              <w:rPr>
                <w:rFonts w:ascii="Calibri" w:hAnsi="Calibri"/>
                <w:b w:val="0"/>
                <w:sz w:val="17"/>
              </w:rPr>
              <w:t>afh-common-calendar</w:t>
            </w:r>
          </w:p>
        </w:tc>
        <w:tc>
          <w:tcPr>
            <w:tcW w:type="dxa" w:w="6192"/>
            <w:vAlign w:val="center"/>
            <w:tcMar>
              <w:top w:w="100" w:type="dxa"/>
              <w:bottom w:w="100" w:type="dxa"/>
              <w:start w:w="100" w:type="dxa"/>
              <w:end w:w="100" w:type="dxa"/>
            </w:tcMar>
          </w:tcPr>
          <w:p>
            <w:pPr>
              <w:spacing w:after="0"/>
            </w:pPr>
            <w:r/>
            <w:r>
              <w:rPr>
                <w:rFonts w:ascii="Calibri" w:hAnsi="Calibri"/>
                <w:b w:val="0"/>
                <w:sz w:val="17"/>
              </w:rPr>
              <w:t>Shared calendar and Microsoft Graph calendar utilities.</w:t>
            </w:r>
          </w:p>
        </w:tc>
      </w:tr>
      <w:tr>
        <w:tc>
          <w:tcPr>
            <w:tcW w:type="dxa" w:w="3024"/>
            <w:vAlign w:val="center"/>
            <w:tcMar>
              <w:top w:w="100" w:type="dxa"/>
              <w:bottom w:w="100" w:type="dxa"/>
              <w:start w:w="100" w:type="dxa"/>
              <w:end w:w="100" w:type="dxa"/>
            </w:tcMar>
          </w:tcPr>
          <w:p>
            <w:pPr>
              <w:spacing w:after="0"/>
            </w:pPr>
            <w:r/>
            <w:r>
              <w:rPr>
                <w:rFonts w:ascii="Calibri" w:hAnsi="Calibri"/>
                <w:b w:val="0"/>
                <w:sz w:val="17"/>
              </w:rPr>
              <w:t>afh-common-sharepoint</w:t>
            </w:r>
          </w:p>
        </w:tc>
        <w:tc>
          <w:tcPr>
            <w:tcW w:type="dxa" w:w="6192"/>
            <w:vAlign w:val="center"/>
            <w:tcMar>
              <w:top w:w="100" w:type="dxa"/>
              <w:bottom w:w="100" w:type="dxa"/>
              <w:start w:w="100" w:type="dxa"/>
              <w:end w:w="100" w:type="dxa"/>
            </w:tcMar>
          </w:tcPr>
          <w:p>
            <w:pPr>
              <w:spacing w:after="0"/>
            </w:pPr>
            <w:r/>
            <w:r>
              <w:rPr>
                <w:rFonts w:ascii="Calibri" w:hAnsi="Calibri"/>
                <w:b w:val="0"/>
                <w:sz w:val="17"/>
              </w:rPr>
              <w:t>Shared SharePoint access utilities.</w:t>
            </w:r>
          </w:p>
        </w:tc>
      </w:tr>
      <w:tr>
        <w:tc>
          <w:tcPr>
            <w:tcW w:type="dxa" w:w="3024"/>
            <w:vAlign w:val="center"/>
            <w:tcMar>
              <w:top w:w="100" w:type="dxa"/>
              <w:bottom w:w="100" w:type="dxa"/>
              <w:start w:w="100" w:type="dxa"/>
              <w:end w:w="100" w:type="dxa"/>
            </w:tcMar>
          </w:tcPr>
          <w:p>
            <w:pPr>
              <w:spacing w:after="0"/>
            </w:pPr>
            <w:r/>
            <w:r>
              <w:rPr>
                <w:rFonts w:ascii="Calibri" w:hAnsi="Calibri"/>
                <w:b w:val="0"/>
                <w:sz w:val="17"/>
              </w:rPr>
              <w:t>afh-common-xplan</w:t>
            </w:r>
          </w:p>
        </w:tc>
        <w:tc>
          <w:tcPr>
            <w:tcW w:type="dxa" w:w="6192"/>
            <w:vAlign w:val="center"/>
            <w:tcMar>
              <w:top w:w="100" w:type="dxa"/>
              <w:bottom w:w="100" w:type="dxa"/>
              <w:start w:w="100" w:type="dxa"/>
              <w:end w:w="100" w:type="dxa"/>
            </w:tcMar>
          </w:tcPr>
          <w:p>
            <w:pPr>
              <w:spacing w:after="0"/>
            </w:pPr>
            <w:r/>
            <w:r>
              <w:rPr>
                <w:rFonts w:ascii="Calibri" w:hAnsi="Calibri"/>
                <w:b w:val="0"/>
                <w:sz w:val="17"/>
              </w:rPr>
              <w:t>Shared XPlan integration utilities.</w:t>
            </w:r>
          </w:p>
        </w:tc>
      </w:tr>
      <w:tr>
        <w:tc>
          <w:tcPr>
            <w:tcW w:type="dxa" w:w="3024"/>
            <w:vAlign w:val="center"/>
            <w:tcMar>
              <w:top w:w="100" w:type="dxa"/>
              <w:bottom w:w="100" w:type="dxa"/>
              <w:start w:w="100" w:type="dxa"/>
              <w:end w:w="100" w:type="dxa"/>
            </w:tcMar>
          </w:tcPr>
          <w:p>
            <w:pPr>
              <w:spacing w:after="0"/>
            </w:pPr>
            <w:r/>
            <w:r>
              <w:rPr>
                <w:rFonts w:ascii="Calibri" w:hAnsi="Calibri"/>
                <w:b w:val="0"/>
                <w:sz w:val="17"/>
              </w:rPr>
              <w:t>afh-common-speechai</w:t>
            </w:r>
          </w:p>
        </w:tc>
        <w:tc>
          <w:tcPr>
            <w:tcW w:type="dxa" w:w="6192"/>
            <w:vAlign w:val="center"/>
            <w:tcMar>
              <w:top w:w="100" w:type="dxa"/>
              <w:bottom w:w="100" w:type="dxa"/>
              <w:start w:w="100" w:type="dxa"/>
              <w:end w:w="100" w:type="dxa"/>
            </w:tcMar>
          </w:tcPr>
          <w:p>
            <w:pPr>
              <w:spacing w:after="0"/>
            </w:pPr>
            <w:r/>
            <w:r>
              <w:rPr>
                <w:rFonts w:ascii="Calibri" w:hAnsi="Calibri"/>
                <w:b w:val="0"/>
                <w:sz w:val="17"/>
              </w:rPr>
              <w:t>Shared Speech AI utilities for transcription-oriented flows.</w:t>
            </w:r>
          </w:p>
        </w:tc>
      </w:tr>
      <w:tr>
        <w:tc>
          <w:tcPr>
            <w:tcW w:type="dxa" w:w="3024"/>
            <w:vAlign w:val="center"/>
            <w:tcMar>
              <w:top w:w="100" w:type="dxa"/>
              <w:bottom w:w="100" w:type="dxa"/>
              <w:start w:w="100" w:type="dxa"/>
              <w:end w:w="100" w:type="dxa"/>
            </w:tcMar>
          </w:tcPr>
          <w:p>
            <w:pPr>
              <w:spacing w:after="0"/>
            </w:pPr>
            <w:r/>
            <w:r>
              <w:rPr>
                <w:rFonts w:ascii="Calibri" w:hAnsi="Calibri"/>
                <w:b w:val="0"/>
                <w:sz w:val="17"/>
              </w:rPr>
              <w:t>afh-common-ai</w:t>
            </w:r>
          </w:p>
        </w:tc>
        <w:tc>
          <w:tcPr>
            <w:tcW w:type="dxa" w:w="6192"/>
            <w:vAlign w:val="center"/>
            <w:tcMar>
              <w:top w:w="100" w:type="dxa"/>
              <w:bottom w:w="100" w:type="dxa"/>
              <w:start w:w="100" w:type="dxa"/>
              <w:end w:w="100" w:type="dxa"/>
            </w:tcMar>
          </w:tcPr>
          <w:p>
            <w:pPr>
              <w:spacing w:after="0"/>
            </w:pPr>
            <w:r/>
            <w:r>
              <w:rPr>
                <w:rFonts w:ascii="Calibri" w:hAnsi="Calibri"/>
                <w:b w:val="0"/>
                <w:sz w:val="17"/>
              </w:rPr>
              <w:t>Tool manifest contracts, AI actor context, permission metadata, redaction helpers, audit event contracts.</w:t>
            </w:r>
          </w:p>
        </w:tc>
      </w:tr>
      <w:tr>
        <w:tc>
          <w:tcPr>
            <w:tcW w:type="dxa" w:w="3024"/>
            <w:vAlign w:val="center"/>
            <w:tcMar>
              <w:top w:w="100" w:type="dxa"/>
              <w:bottom w:w="100" w:type="dxa"/>
              <w:start w:w="100" w:type="dxa"/>
              <w:end w:w="100" w:type="dxa"/>
            </w:tcMar>
          </w:tcPr>
          <w:p>
            <w:pPr>
              <w:spacing w:after="0"/>
            </w:pPr>
            <w:r/>
            <w:r>
              <w:rPr>
                <w:rFonts w:ascii="Calibri" w:hAnsi="Calibri"/>
                <w:b w:val="0"/>
                <w:sz w:val="17"/>
              </w:rPr>
              <w:t>afh-common-mcp</w:t>
            </w:r>
          </w:p>
        </w:tc>
        <w:tc>
          <w:tcPr>
            <w:tcW w:type="dxa" w:w="6192"/>
            <w:vAlign w:val="center"/>
            <w:tcMar>
              <w:top w:w="100" w:type="dxa"/>
              <w:bottom w:w="100" w:type="dxa"/>
              <w:start w:w="100" w:type="dxa"/>
              <w:end w:w="100" w:type="dxa"/>
            </w:tcMar>
          </w:tcPr>
          <w:p>
            <w:pPr>
              <w:spacing w:after="0"/>
            </w:pPr>
            <w:r/>
            <w:r>
              <w:rPr>
                <w:rFonts w:ascii="Calibri" w:hAnsi="Calibri"/>
                <w:b w:val="0"/>
                <w:sz w:val="17"/>
              </w:rPr>
              <w:t>MCP envelope abstractions, discovery client, schema validation helpers.</w:t>
            </w:r>
          </w:p>
        </w:tc>
      </w:tr>
      <w:tr>
        <w:tc>
          <w:tcPr>
            <w:tcW w:type="dxa" w:w="3024"/>
            <w:vAlign w:val="center"/>
            <w:tcMar>
              <w:top w:w="100" w:type="dxa"/>
              <w:bottom w:w="100" w:type="dxa"/>
              <w:start w:w="100" w:type="dxa"/>
              <w:end w:w="100" w:type="dxa"/>
            </w:tcMar>
          </w:tcPr>
          <w:p>
            <w:pPr>
              <w:spacing w:after="0"/>
            </w:pPr>
            <w:r/>
            <w:r>
              <w:rPr>
                <w:rFonts w:ascii="Calibri" w:hAnsi="Calibri"/>
                <w:b w:val="0"/>
                <w:sz w:val="17"/>
              </w:rPr>
              <w:t>afh-common-devops</w:t>
            </w:r>
          </w:p>
        </w:tc>
        <w:tc>
          <w:tcPr>
            <w:tcW w:type="dxa" w:w="6192"/>
            <w:vAlign w:val="center"/>
            <w:tcMar>
              <w:top w:w="100" w:type="dxa"/>
              <w:bottom w:w="100" w:type="dxa"/>
              <w:start w:w="100" w:type="dxa"/>
              <w:end w:w="100" w:type="dxa"/>
            </w:tcMar>
          </w:tcPr>
          <w:p>
            <w:pPr>
              <w:spacing w:after="0"/>
            </w:pPr>
            <w:r/>
            <w:r>
              <w:rPr>
                <w:rFonts w:ascii="Calibri" w:hAnsi="Calibri"/>
                <w:b w:val="0"/>
                <w:sz w:val="17"/>
              </w:rPr>
              <w:t>Azure DevOps REST client primitives, work item DTOs, PR linking DTOs, retry and auth helpers.</w:t>
            </w:r>
          </w:p>
        </w:tc>
      </w:tr>
    </w:tbl>
    <w:p>
      <w:pPr>
        <w:spacing w:after="60"/>
      </w:pPr>
    </w:p>
    <w:tbl>
      <w:tblPr>
        <w:tblStyle w:val="TableGrid"/>
        <w:tblW w:type="auto" w:w="0"/>
        <w:jc w:val="center"/>
        <w:tblLayout w:type="fixed"/>
        <w:tblLook w:firstColumn="1" w:firstRow="1" w:lastColumn="0" w:lastRow="0" w:noHBand="0" w:noVBand="1" w:val="04A0"/>
      </w:tblPr>
      <w:tblGrid>
        <w:gridCol w:w="9360"/>
      </w:tblGrid>
      <w:tr>
        <w:tc>
          <w:tcPr>
            <w:tcW w:type="dxa" w:w="9288"/>
            <w:tcMar>
              <w:top w:w="100" w:type="dxa"/>
              <w:bottom w:w="100" w:type="dxa"/>
              <w:start w:w="100" w:type="dxa"/>
              <w:end w:w="100" w:type="dxa"/>
            </w:tcMar>
            <w:shd w:fill="E8EEF5"/>
          </w:tcPr>
          <w:p>
            <w:pPr>
              <w:spacing w:before="60" w:after="60"/>
            </w:pPr>
            <w:r>
              <w:rPr>
                <w:b/>
                <w:color w:val="1F4D78"/>
                <w:sz w:val="21"/>
              </w:rPr>
              <w:t>SDK boundary</w:t>
            </w:r>
            <w:r>
              <w:br/>
            </w:r>
            <w:r>
              <w:rPr>
                <w:color w:val="12202F"/>
                <w:sz w:val="20"/>
              </w:rPr>
              <w:t>SDKs provide shared contracts and infrastructure primitives. They should not contain Booking, Calendar, Notification, Location, Adviser, Identity, ACS, Client, SharePoint, or DevOps workflow business logic.</w:t>
            </w:r>
          </w:p>
        </w:tc>
      </w:tr>
    </w:tbl>
    <w:p>
      <w:pPr>
        <w:spacing w:after="40"/>
      </w:pPr>
    </w:p>
    <w:p>
      <w:pPr>
        <w:pStyle w:val="Heading1"/>
      </w:pPr>
      <w:r>
        <w:t>11. Security model</w:t>
      </w:r>
    </w:p>
    <w:p>
      <w:r>
        <w:t>AI actions should carry both the human principal and the AI principal. This allows AFH to answer who requested the work, which AI agent performed it, which service executed it, and which permission authorized it.</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E8EEF5"/>
            <w:vAlign w:val="center"/>
            <w:tcMar>
              <w:top w:w="100" w:type="dxa"/>
              <w:bottom w:w="100" w:type="dxa"/>
              <w:start w:w="100" w:type="dxa"/>
              <w:end w:w="100" w:type="dxa"/>
            </w:tcMar>
          </w:tcPr>
          <w:p>
            <w:pPr>
              <w:spacing w:after="0"/>
            </w:pPr>
            <w:r/>
            <w:r>
              <w:rPr>
                <w:rFonts w:ascii="Calibri" w:hAnsi="Calibri"/>
                <w:b/>
                <w:color w:val="12202F"/>
                <w:sz w:val="18"/>
              </w:rPr>
              <w:t>Security concern</w:t>
            </w:r>
          </w:p>
        </w:tc>
        <w:tc>
          <w:tcPr>
            <w:tcW w:type="dxa" w:w="6623"/>
            <w:shd w:fill="E8EEF5"/>
            <w:vAlign w:val="center"/>
            <w:tcMar>
              <w:top w:w="100" w:type="dxa"/>
              <w:bottom w:w="100" w:type="dxa"/>
              <w:start w:w="100" w:type="dxa"/>
              <w:end w:w="100" w:type="dxa"/>
            </w:tcMar>
          </w:tcPr>
          <w:p>
            <w:pPr>
              <w:spacing w:after="0"/>
            </w:pPr>
            <w:r/>
            <w:r>
              <w:rPr>
                <w:rFonts w:ascii="Calibri" w:hAnsi="Calibri"/>
                <w:b/>
                <w:color w:val="12202F"/>
                <w:sz w:val="18"/>
              </w:rPr>
              <w:t>Recommended approach</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Authentication</w:t>
            </w:r>
          </w:p>
        </w:tc>
        <w:tc>
          <w:tcPr>
            <w:tcW w:type="dxa" w:w="6623"/>
            <w:vAlign w:val="center"/>
            <w:tcMar>
              <w:top w:w="100" w:type="dxa"/>
              <w:bottom w:w="100" w:type="dxa"/>
              <w:start w:w="100" w:type="dxa"/>
              <w:end w:w="100" w:type="dxa"/>
            </w:tcMar>
          </w:tcPr>
          <w:p>
            <w:pPr>
              <w:spacing w:after="0"/>
            </w:pPr>
            <w:r/>
            <w:r>
              <w:rPr>
                <w:rFonts w:ascii="Calibri" w:hAnsi="Calibri"/>
                <w:b w:val="0"/>
                <w:sz w:val="17"/>
              </w:rPr>
              <w:t>Authenticate AI clients at the MCP Gateway using Entra ID where possible. Register AI agents as application identities.</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Authorization</w:t>
            </w:r>
          </w:p>
        </w:tc>
        <w:tc>
          <w:tcPr>
            <w:tcW w:type="dxa" w:w="6623"/>
            <w:vAlign w:val="center"/>
            <w:tcMar>
              <w:top w:w="100" w:type="dxa"/>
              <w:bottom w:w="100" w:type="dxa"/>
              <w:start w:w="100" w:type="dxa"/>
              <w:end w:w="100" w:type="dxa"/>
            </w:tcMar>
          </w:tcPr>
          <w:p>
            <w:pPr>
              <w:spacing w:after="0"/>
            </w:pPr>
            <w:r/>
            <w:r>
              <w:rPr>
                <w:rFonts w:ascii="Calibri" w:hAnsi="Calibri"/>
                <w:b w:val="0"/>
                <w:sz w:val="17"/>
              </w:rPr>
              <w:t>Use capability-based permissions such as booking.read, booking.rearrange, notification.requeue, devops.workitem.write, and sharepoint.requirements.read.</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Identity propagation</w:t>
            </w:r>
          </w:p>
        </w:tc>
        <w:tc>
          <w:tcPr>
            <w:tcW w:type="dxa" w:w="6623"/>
            <w:vAlign w:val="center"/>
            <w:tcMar>
              <w:top w:w="100" w:type="dxa"/>
              <w:bottom w:w="100" w:type="dxa"/>
              <w:start w:w="100" w:type="dxa"/>
              <w:end w:w="100" w:type="dxa"/>
            </w:tcMar>
          </w:tcPr>
          <w:p>
            <w:pPr>
              <w:spacing w:after="0"/>
            </w:pPr>
            <w:r/>
            <w:r>
              <w:rPr>
                <w:rFonts w:ascii="Calibri" w:hAnsi="Calibri"/>
                <w:b w:val="0"/>
                <w:sz w:val="17"/>
              </w:rPr>
              <w:t>Propagate actor user, actor email, AI agent ID, AI session ID, correlation ID, authorized permission, and approval ID to downstream services.</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Downstream enforcement</w:t>
            </w:r>
          </w:p>
        </w:tc>
        <w:tc>
          <w:tcPr>
            <w:tcW w:type="dxa" w:w="6623"/>
            <w:vAlign w:val="center"/>
            <w:tcMar>
              <w:top w:w="100" w:type="dxa"/>
              <w:bottom w:w="100" w:type="dxa"/>
              <w:start w:w="100" w:type="dxa"/>
              <w:end w:w="100" w:type="dxa"/>
            </w:tcMar>
          </w:tcPr>
          <w:p>
            <w:pPr>
              <w:spacing w:after="0"/>
            </w:pPr>
            <w:r/>
            <w:r>
              <w:rPr>
                <w:rFonts w:ascii="Calibri" w:hAnsi="Calibri"/>
                <w:b w:val="0"/>
                <w:sz w:val="17"/>
              </w:rPr>
              <w:t>Every business service must re-authorize operations. The gateway is an enforcing boundary, not the only enforcement point.</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Audit</w:t>
            </w:r>
          </w:p>
        </w:tc>
        <w:tc>
          <w:tcPr>
            <w:tcW w:type="dxa" w:w="6623"/>
            <w:vAlign w:val="center"/>
            <w:tcMar>
              <w:top w:w="100" w:type="dxa"/>
              <w:bottom w:w="100" w:type="dxa"/>
              <w:start w:w="100" w:type="dxa"/>
              <w:end w:w="100" w:type="dxa"/>
            </w:tcMar>
          </w:tcPr>
          <w:p>
            <w:pPr>
              <w:spacing w:after="0"/>
            </w:pPr>
            <w:r/>
            <w:r>
              <w:rPr>
                <w:rFonts w:ascii="Calibri" w:hAnsi="Calibri"/>
                <w:b w:val="0"/>
                <w:sz w:val="17"/>
              </w:rPr>
              <w:t>Log redacted input, request hash, tool name, side-effect level, actor, AI agent, target service, downstream operation, result, and latency.</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High-risk tools</w:t>
            </w:r>
          </w:p>
        </w:tc>
        <w:tc>
          <w:tcPr>
            <w:tcW w:type="dxa" w:w="6623"/>
            <w:vAlign w:val="center"/>
            <w:tcMar>
              <w:top w:w="100" w:type="dxa"/>
              <w:bottom w:w="100" w:type="dxa"/>
              <w:start w:w="100" w:type="dxa"/>
              <w:end w:w="100" w:type="dxa"/>
            </w:tcMar>
          </w:tcPr>
          <w:p>
            <w:pPr>
              <w:spacing w:after="0"/>
            </w:pPr>
            <w:r/>
            <w:r>
              <w:rPr>
                <w:rFonts w:ascii="Calibri" w:hAnsi="Calibri"/>
                <w:b w:val="0"/>
                <w:sz w:val="17"/>
              </w:rPr>
              <w:t>Require dry-run, approval, idempotency keys, and stronger audit for destructive or mutating operations.</w:t>
            </w:r>
          </w:p>
        </w:tc>
      </w:tr>
    </w:tbl>
    <w:p>
      <w:pPr>
        <w:spacing w:after="60"/>
      </w:pPr>
    </w:p>
    <w:p>
      <w:pPr>
        <w:pStyle w:val="Heading1"/>
      </w:pPr>
      <w:r>
        <w:t>12. Tool discovery</w:t>
      </w:r>
    </w:p>
    <w:p>
      <w:r>
        <w:t>Each service should publish an internal AI tool manifest. The MCP Gateway should discover manifests from configured service providers, cache them, validate them, and register tools dynamically.</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E8EEF5"/>
            <w:vAlign w:val="center"/>
            <w:tcMar>
              <w:top w:w="100" w:type="dxa"/>
              <w:bottom w:w="100" w:type="dxa"/>
              <w:start w:w="100" w:type="dxa"/>
              <w:end w:w="100" w:type="dxa"/>
            </w:tcMar>
          </w:tcPr>
          <w:p>
            <w:pPr>
              <w:spacing w:after="0"/>
            </w:pPr>
            <w:r/>
            <w:r>
              <w:rPr>
                <w:rFonts w:ascii="Calibri" w:hAnsi="Calibri"/>
                <w:b/>
                <w:color w:val="12202F"/>
                <w:sz w:val="18"/>
              </w:rPr>
              <w:t>Manifest field</w:t>
            </w:r>
          </w:p>
        </w:tc>
        <w:tc>
          <w:tcPr>
            <w:tcW w:type="dxa" w:w="6623"/>
            <w:shd w:fill="E8EEF5"/>
            <w:vAlign w:val="center"/>
            <w:tcMar>
              <w:top w:w="100" w:type="dxa"/>
              <w:bottom w:w="100" w:type="dxa"/>
              <w:start w:w="100" w:type="dxa"/>
              <w:end w:w="100" w:type="dxa"/>
            </w:tcMar>
          </w:tcPr>
          <w:p>
            <w:pPr>
              <w:spacing w:after="0"/>
            </w:pPr>
            <w:r/>
            <w:r>
              <w:rPr>
                <w:rFonts w:ascii="Calibri" w:hAnsi="Calibri"/>
                <w:b/>
                <w:color w:val="12202F"/>
                <w:sz w:val="18"/>
              </w:rPr>
              <w:t>Purpose</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Tool name</w:t>
            </w:r>
          </w:p>
        </w:tc>
        <w:tc>
          <w:tcPr>
            <w:tcW w:type="dxa" w:w="6623"/>
            <w:vAlign w:val="center"/>
            <w:tcMar>
              <w:top w:w="100" w:type="dxa"/>
              <w:bottom w:w="100" w:type="dxa"/>
              <w:start w:w="100" w:type="dxa"/>
              <w:end w:w="100" w:type="dxa"/>
            </w:tcMar>
          </w:tcPr>
          <w:p>
            <w:pPr>
              <w:spacing w:after="0"/>
            </w:pPr>
            <w:r/>
            <w:r>
              <w:rPr>
                <w:rFonts w:ascii="Calibri" w:hAnsi="Calibri"/>
                <w:b w:val="0"/>
                <w:sz w:val="17"/>
              </w:rPr>
              <w:t>Stable name such as booking.search or devops.create_user_story.</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Owner service</w:t>
            </w:r>
          </w:p>
        </w:tc>
        <w:tc>
          <w:tcPr>
            <w:tcW w:type="dxa" w:w="6623"/>
            <w:vAlign w:val="center"/>
            <w:tcMar>
              <w:top w:w="100" w:type="dxa"/>
              <w:bottom w:w="100" w:type="dxa"/>
              <w:start w:w="100" w:type="dxa"/>
              <w:end w:w="100" w:type="dxa"/>
            </w:tcMar>
          </w:tcPr>
          <w:p>
            <w:pPr>
              <w:spacing w:after="0"/>
            </w:pPr>
            <w:r/>
            <w:r>
              <w:rPr>
                <w:rFonts w:ascii="Calibri" w:hAnsi="Calibri"/>
                <w:b w:val="0"/>
                <w:sz w:val="17"/>
              </w:rPr>
              <w:t>The service responsible for the capability and downstream endpoint.</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Input/output schema</w:t>
            </w:r>
          </w:p>
        </w:tc>
        <w:tc>
          <w:tcPr>
            <w:tcW w:type="dxa" w:w="6623"/>
            <w:vAlign w:val="center"/>
            <w:tcMar>
              <w:top w:w="100" w:type="dxa"/>
              <w:bottom w:w="100" w:type="dxa"/>
              <w:start w:w="100" w:type="dxa"/>
              <w:end w:w="100" w:type="dxa"/>
            </w:tcMar>
          </w:tcPr>
          <w:p>
            <w:pPr>
              <w:spacing w:after="0"/>
            </w:pPr>
            <w:r/>
            <w:r>
              <w:rPr>
                <w:rFonts w:ascii="Calibri" w:hAnsi="Calibri"/>
                <w:b w:val="0"/>
                <w:sz w:val="17"/>
              </w:rPr>
              <w:t>Validation and AI client discoverability.</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Required permission</w:t>
            </w:r>
          </w:p>
        </w:tc>
        <w:tc>
          <w:tcPr>
            <w:tcW w:type="dxa" w:w="6623"/>
            <w:vAlign w:val="center"/>
            <w:tcMar>
              <w:top w:w="100" w:type="dxa"/>
              <w:bottom w:w="100" w:type="dxa"/>
              <w:start w:w="100" w:type="dxa"/>
              <w:end w:w="100" w:type="dxa"/>
            </w:tcMar>
          </w:tcPr>
          <w:p>
            <w:pPr>
              <w:spacing w:after="0"/>
            </w:pPr>
            <w:r/>
            <w:r>
              <w:rPr>
                <w:rFonts w:ascii="Calibri" w:hAnsi="Calibri"/>
                <w:b w:val="0"/>
                <w:sz w:val="17"/>
              </w:rPr>
              <w:t>Capability-based authorization.</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Side-effect level</w:t>
            </w:r>
          </w:p>
        </w:tc>
        <w:tc>
          <w:tcPr>
            <w:tcW w:type="dxa" w:w="6623"/>
            <w:vAlign w:val="center"/>
            <w:tcMar>
              <w:top w:w="100" w:type="dxa"/>
              <w:bottom w:w="100" w:type="dxa"/>
              <w:start w:w="100" w:type="dxa"/>
              <w:end w:w="100" w:type="dxa"/>
            </w:tcMar>
          </w:tcPr>
          <w:p>
            <w:pPr>
              <w:spacing w:after="0"/>
            </w:pPr>
            <w:r/>
            <w:r>
              <w:rPr>
                <w:rFonts w:ascii="Calibri" w:hAnsi="Calibri"/>
                <w:b w:val="0"/>
                <w:sz w:val="17"/>
              </w:rPr>
              <w:t>Read, write, or destructive.</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Approval requirement</w:t>
            </w:r>
          </w:p>
        </w:tc>
        <w:tc>
          <w:tcPr>
            <w:tcW w:type="dxa" w:w="6623"/>
            <w:vAlign w:val="center"/>
            <w:tcMar>
              <w:top w:w="100" w:type="dxa"/>
              <w:bottom w:w="100" w:type="dxa"/>
              <w:start w:w="100" w:type="dxa"/>
              <w:end w:w="100" w:type="dxa"/>
            </w:tcMar>
          </w:tcPr>
          <w:p>
            <w:pPr>
              <w:spacing w:after="0"/>
            </w:pPr>
            <w:r/>
            <w:r>
              <w:rPr>
                <w:rFonts w:ascii="Calibri" w:hAnsi="Calibri"/>
                <w:b w:val="0"/>
                <w:sz w:val="17"/>
              </w:rPr>
              <w:t>Whether a human approval token is required before invocation.</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Endpoint mapping</w:t>
            </w:r>
          </w:p>
        </w:tc>
        <w:tc>
          <w:tcPr>
            <w:tcW w:type="dxa" w:w="6623"/>
            <w:vAlign w:val="center"/>
            <w:tcMar>
              <w:top w:w="100" w:type="dxa"/>
              <w:bottom w:w="100" w:type="dxa"/>
              <w:start w:w="100" w:type="dxa"/>
              <w:end w:w="100" w:type="dxa"/>
            </w:tcMar>
          </w:tcPr>
          <w:p>
            <w:pPr>
              <w:spacing w:after="0"/>
            </w:pPr>
            <w:r/>
            <w:r>
              <w:rPr>
                <w:rFonts w:ascii="Calibri" w:hAnsi="Calibri"/>
                <w:b w:val="0"/>
                <w:sz w:val="17"/>
              </w:rPr>
              <w:t>The downstream HTTP route or asynchronous command target.</w:t>
            </w:r>
          </w:p>
        </w:tc>
      </w:tr>
      <w:tr>
        <w:tc>
          <w:tcPr>
            <w:tcW w:type="dxa" w:w="2592"/>
            <w:vAlign w:val="center"/>
            <w:tcMar>
              <w:top w:w="100" w:type="dxa"/>
              <w:bottom w:w="100" w:type="dxa"/>
              <w:start w:w="100" w:type="dxa"/>
              <w:end w:w="100" w:type="dxa"/>
            </w:tcMar>
          </w:tcPr>
          <w:p>
            <w:pPr>
              <w:spacing w:after="0"/>
            </w:pPr>
            <w:r/>
            <w:r>
              <w:rPr>
                <w:rFonts w:ascii="Calibri" w:hAnsi="Calibri"/>
                <w:b w:val="0"/>
                <w:sz w:val="17"/>
              </w:rPr>
              <w:t>Version/deprecation</w:t>
            </w:r>
          </w:p>
        </w:tc>
        <w:tc>
          <w:tcPr>
            <w:tcW w:type="dxa" w:w="6623"/>
            <w:vAlign w:val="center"/>
            <w:tcMar>
              <w:top w:w="100" w:type="dxa"/>
              <w:bottom w:w="100" w:type="dxa"/>
              <w:start w:w="100" w:type="dxa"/>
              <w:end w:w="100" w:type="dxa"/>
            </w:tcMar>
          </w:tcPr>
          <w:p>
            <w:pPr>
              <w:spacing w:after="0"/>
            </w:pPr>
            <w:r/>
            <w:r>
              <w:rPr>
                <w:rFonts w:ascii="Calibri" w:hAnsi="Calibri"/>
                <w:b w:val="0"/>
                <w:sz w:val="17"/>
              </w:rPr>
              <w:t>Safe evolution as service APIs change.</w:t>
            </w:r>
          </w:p>
        </w:tc>
      </w:tr>
    </w:tbl>
    <w:p>
      <w:pPr>
        <w:spacing w:after="60"/>
      </w:pPr>
    </w:p>
    <w:p>
      <w:pPr>
        <w:pStyle w:val="Heading1"/>
      </w:pPr>
      <w:r>
        <w:t>13. Future evolution</w:t>
      </w:r>
    </w:p>
    <w:p>
      <w:r>
        <w:t>At 30 or more services, the gateway must remain a routing and governance layer. Service-owned manifests, SDK contracts, and workflow services prevent it from becoming a bottleneck or God Service.</w:t>
      </w:r>
    </w:p>
    <w:p>
      <w:pPr>
        <w:pStyle w:val="ListNumber"/>
        <w:spacing w:after="80"/>
      </w:pPr>
      <w:r>
        <w:t>Start with read-only tools and explicit manifests for Booking, Calendar, Notification, Location, Adviser, Identity, ACS, and Client Integration.</w:t>
      </w:r>
    </w:p>
    <w:p>
      <w:pPr>
        <w:pStyle w:val="ListNumber"/>
        <w:spacing w:after="80"/>
      </w:pPr>
      <w:r>
        <w:t>Add mutating tools only after identity propagation, downstream authorization, audit logging, dry-run, and approval flows are in place.</w:t>
      </w:r>
    </w:p>
    <w:p>
      <w:pPr>
        <w:pStyle w:val="ListNumber"/>
        <w:spacing w:after="80"/>
      </w:pPr>
      <w:r>
        <w:t>Create DevOps Integration as the first workflow-specific service.</w:t>
      </w:r>
    </w:p>
    <w:p>
      <w:pPr>
        <w:pStyle w:val="ListNumber"/>
        <w:spacing w:after="80"/>
      </w:pPr>
      <w:r>
        <w:t>Add SharePoint or Document Intelligence as a separate service when requirement analysis grows beyond simple document retrieval.</w:t>
      </w:r>
    </w:p>
    <w:p>
      <w:pPr>
        <w:pStyle w:val="ListNumber"/>
        <w:spacing w:after="80"/>
      </w:pPr>
      <w:r>
        <w:t>Split the gateway into separate business, DevOps, and operations MCP gateways only if isolation, scaling, or risk justifies it.</w:t>
      </w:r>
    </w:p>
    <w:p>
      <w:pPr>
        <w:pStyle w:val="Heading1"/>
      </w:pPr>
      <w:r>
        <w:t>14. Proposed folder structure</w:t>
      </w:r>
    </w:p>
    <w:p>
      <w:pPr/>
      <w:r>
        <w:rPr>
          <w:rFonts w:ascii="Consolas" w:hAnsi="Consolas"/>
          <w:sz w:val="18"/>
        </w:rPr>
        <w:t>/services</w:t>
        <w:br/>
        <w:t xml:space="preserve">  /afh-ai-mcp-gateway-function-app</w:t>
        <w:br/>
        <w:t xml:space="preserve">    /src</w:t>
        <w:br/>
        <w:t xml:space="preserve">      /AFH.Ai.McpGateway.Contract</w:t>
        <w:br/>
        <w:t xml:space="preserve">      /AFH.Ai.McpGateway.Application</w:t>
        <w:br/>
        <w:t xml:space="preserve">      /AFH.Ai.McpGateway.Infrastructure</w:t>
        <w:br/>
        <w:t xml:space="preserve">      /AFH.Ai.McpGateway.Function</w:t>
        <w:br/>
        <w:t xml:space="preserve">    /tests</w:t>
        <w:br/>
        <w:t xml:space="preserve">      /AFH.Ai.McpGateway.Tests</w:t>
        <w:br/>
        <w:br/>
        <w:t xml:space="preserve">  /afh-devops-integration-function-app</w:t>
        <w:br/>
        <w:t xml:space="preserve">    /src</w:t>
        <w:br/>
        <w:t xml:space="preserve">      /AFH.DevOps.Integration.Contract</w:t>
        <w:br/>
        <w:t xml:space="preserve">      /AFH.DevOps.Integration.Application</w:t>
        <w:br/>
        <w:t xml:space="preserve">      /AFH.DevOps.Integration.Domain</w:t>
        <w:br/>
        <w:t xml:space="preserve">      /AFH.DevOps.Integration.Infrastructure</w:t>
        <w:br/>
        <w:t xml:space="preserve">      /AFH.DevOps.Integration.Function</w:t>
        <w:br/>
        <w:t xml:space="preserve">    /tests</w:t>
        <w:br/>
        <w:t xml:space="preserve">      /AFH.DevOps.Integration.Tests</w:t>
        <w:br/>
        <w:br/>
        <w:t>/sdk</w:t>
        <w:br/>
        <w:t xml:space="preserve">  /afh-common-ai</w:t>
        <w:br/>
        <w:t xml:space="preserve">  /afh-common-mcp</w:t>
        <w:br/>
        <w:t xml:space="preserve">  /afh-common-devops</w:t>
        <w:br/>
      </w:r>
    </w:p>
    <w:p>
      <w:pPr>
        <w:pStyle w:val="Heading1"/>
      </w:pPr>
      <w:r>
        <w:t>15. Final decision statement</w:t>
      </w:r>
    </w:p>
    <w:tbl>
      <w:tblPr>
        <w:tblStyle w:val="TableGrid"/>
        <w:tblW w:type="auto" w:w="0"/>
        <w:jc w:val="center"/>
        <w:tblLayout w:type="fixed"/>
        <w:tblLook w:firstColumn="1" w:firstRow="1" w:lastColumn="0" w:lastRow="0" w:noHBand="0" w:noVBand="1" w:val="04A0"/>
      </w:tblPr>
      <w:tblGrid>
        <w:gridCol w:w="9360"/>
      </w:tblGrid>
      <w:tr>
        <w:tc>
          <w:tcPr>
            <w:tcW w:type="dxa" w:w="9288"/>
            <w:tcMar>
              <w:top w:w="100" w:type="dxa"/>
              <w:bottom w:w="100" w:type="dxa"/>
              <w:start w:w="100" w:type="dxa"/>
              <w:end w:w="100" w:type="dxa"/>
            </w:tcMar>
            <w:shd w:fill="E8EEF5"/>
          </w:tcPr>
          <w:p>
            <w:pPr>
              <w:spacing w:before="60" w:after="60"/>
            </w:pPr>
            <w:r>
              <w:rPr>
                <w:b/>
                <w:color w:val="1F4D78"/>
                <w:sz w:val="21"/>
              </w:rPr>
              <w:t>Decision</w:t>
            </w:r>
            <w:r>
              <w:br/>
            </w:r>
            <w:r>
              <w:rPr>
                <w:color w:val="12202F"/>
                <w:sz w:val="20"/>
              </w:rPr>
              <w:t>Proceed with a central AFH MCP Gateway that discovers service-owned tool providers. Add a DevOps Integration Service for Azure DevOps workflows. Use SDKs for shared AI/MCP/DevOps contracts and infrastructure primitives. Keep business rules in the owning services.</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069"/>
        <w:sz w:val="17"/>
      </w:rPr>
      <w:t>AFH AI Platform Architecture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220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