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Arial" w:hAnsi="Arial" w:cs="Arial"/>
          <w:sz w:val="58"/>
          <w:sz-cs w:val="58"/>
          <w:b/>
          <w:spacing w:val="0"/>
          <w:color w:val="0E0E0E"/>
        </w:rPr>
        <w:t xml:space="preserve">JpGU Oral Presentation: Anticipated Q&amp;A</w:t>
      </w:r>
    </w:p>
    <w:p>
      <w:pPr>
        <w:spacing w:after="373"/>
      </w:pPr>
      <w:r>
        <w:rPr>
          <w:rFonts w:ascii="Arial" w:hAnsi="Arial" w:cs="Arial"/>
          <w:sz w:val="26"/>
          <w:sz-cs w:val="26"/>
          <w:spacing w:val="0"/>
          <w:color w:val="434343"/>
        </w:rPr>
        <w:t xml:space="preserve">Prepared for the AbyssEye presentation. Short-answer format for rehearsal and live Q&amp;A.</w:t>
      </w:r>
    </w:p>
    <w:p>
      <w:pPr>
        <w:spacing w:after="106"/>
      </w:pPr>
      <w:r>
        <w:rPr>
          <w:rFonts w:ascii="Arial" w:hAnsi="Arial" w:cs="Arial"/>
          <w:sz w:val="29"/>
          <w:sz-cs w:val="29"/>
          <w:b/>
          <w:spacing w:val="0"/>
          <w:color w:val="0E0E0E"/>
        </w:rPr>
        <w:t xml:space="preserve">1. What is the main novelty of this study?</w:t>
      </w:r>
    </w:p>
    <w:p>
      <w:pPr/>
      <w:r>
        <w:rPr>
          <w:rFonts w:ascii="Arial" w:hAnsi="Arial" w:cs="Arial"/>
          <w:sz w:val="29"/>
          <w:sz-cs w:val="29"/>
          <w:spacing w:val="0"/>
          <w:color w:val="0E0E0E"/>
        </w:rPr>
        <w:t xml:space="preserve">The novelty is not a new classifier itself. The main contribution is practical deployment: we implemented the previously developed ROI-based deep learning model into a usable observation workflow that integrates image ingestion, ROI extraction, ROI classification, DeepScan-based review, and human correction.</w:t>
      </w:r>
    </w:p>
    <w:p>
      <w:pPr>
        <w:spacing w:after="106"/>
      </w:pPr>
      <w:r>
        <w:rPr>
          <w:rFonts w:ascii="Arial" w:hAnsi="Arial" w:cs="Arial"/>
          <w:sz w:val="29"/>
          <w:sz-cs w:val="29"/>
          <w:b/>
          <w:spacing w:val="0"/>
          <w:color w:val="0E0E0E"/>
        </w:rPr>
        <w:t xml:space="preserve">2. Why is microbial detection in subseafloor sediment difficult?</w:t>
      </w:r>
    </w:p>
    <w:p>
      <w:pPr/>
      <w:r>
        <w:rPr>
          <w:rFonts w:ascii="Arial" w:hAnsi="Arial" w:cs="Arial"/>
          <w:sz w:val="29"/>
          <w:sz-cs w:val="29"/>
          <w:spacing w:val="0"/>
          <w:color w:val="0E0E0E"/>
        </w:rPr>
        <w:t xml:space="preserve">Subseafloor sediment contains abundant non-cellular particles, and microbial cells occupy only a very small fraction of the sediment volume. In fluorescence images, cells are mixed with mineral and organic particles, and non-specific dye adsorption or particle-derived fluorescence can generate pseudo-cellular signals.</w:t>
      </w:r>
    </w:p>
    <w:p>
      <w:pPr>
        <w:spacing w:after="106"/>
      </w:pPr>
      <w:r>
        <w:rPr>
          <w:rFonts w:ascii="Arial" w:hAnsi="Arial" w:cs="Arial"/>
          <w:sz w:val="29"/>
          <w:sz-cs w:val="29"/>
          <w:b/>
          <w:spacing w:val="0"/>
          <w:color w:val="0E0E0E"/>
        </w:rPr>
        <w:t xml:space="preserve">3. If SYBR-DiCE already improved discrimination, why is another method needed?</w:t>
      </w:r>
    </w:p>
    <w:p>
      <w:pPr/>
      <w:r>
        <w:rPr>
          <w:rFonts w:ascii="Arial" w:hAnsi="Arial" w:cs="Arial"/>
          <w:sz w:val="29"/>
          <w:sz-cs w:val="29"/>
          <w:spacing w:val="0"/>
          <w:color w:val="0E0E0E"/>
        </w:rPr>
        <w:t xml:space="preserve">SYBR-DiCE significantly improved cell-particle discrimination, but final identification still depended on trained specialists because some particles still showed microbe-like fluorescence. Our aim was to add an objective and operational layer on top of that improved staining-based detection workflow.</w:t>
      </w:r>
    </w:p>
    <w:p>
      <w:pPr>
        <w:spacing w:after="106"/>
      </w:pPr>
      <w:r>
        <w:rPr>
          <w:rFonts w:ascii="Arial" w:hAnsi="Arial" w:cs="Arial"/>
          <w:sz w:val="29"/>
          <w:sz-cs w:val="29"/>
          <w:b/>
          <w:spacing w:val="0"/>
          <w:color w:val="0E0E0E"/>
        </w:rPr>
        <w:t xml:space="preserve">4. How accurate was the previously developed deep learning model?</w:t>
      </w:r>
    </w:p>
    <w:p>
      <w:pPr/>
      <w:r>
        <w:rPr>
          <w:rFonts w:ascii="Arial" w:hAnsi="Arial" w:cs="Arial"/>
          <w:sz w:val="29"/>
          <w:sz-cs w:val="29"/>
          <w:spacing w:val="0"/>
          <w:color w:val="0E0E0E"/>
        </w:rPr>
        <w:t xml:space="preserve">According to Nishimura et al. (2025), the classifier achieved 94.1% accuracy for two-class classification and 88.8% accuracy for four-class classification. The reported two-class accuracy further improved to 96.6% when a confidence cutoff and focused-image pre-screening were applied.</w:t>
      </w:r>
    </w:p>
    <w:p>
      <w:pPr>
        <w:spacing w:after="106"/>
      </w:pPr>
      <w:r>
        <w:rPr>
          <w:rFonts w:ascii="Arial" w:hAnsi="Arial" w:cs="Arial"/>
          <w:sz w:val="29"/>
          <w:sz-cs w:val="29"/>
          <w:b/>
          <w:spacing w:val="0"/>
          <w:color w:val="0E0E0E"/>
        </w:rPr>
        <w:t xml:space="preserve">5. Why not use the model alone?</w:t>
      </w:r>
    </w:p>
    <w:p>
      <w:pPr/>
      <w:r>
        <w:rPr>
          <w:rFonts w:ascii="Arial" w:hAnsi="Arial" w:cs="Arial"/>
          <w:sz w:val="29"/>
          <w:sz-cs w:val="29"/>
          <w:spacing w:val="0"/>
          <w:color w:val="0E0E0E"/>
        </w:rPr>
        <w:t xml:space="preserve">The model alone can classify ROI patches, but practical observation requires more than inference. It also requires whole-image handling, ROI review in the original field context, human verification, manual correction, and operation with archived and real-time images. AbyssEye was built to connect these steps.</w:t>
      </w:r>
    </w:p>
    <w:p>
      <w:pPr>
        <w:spacing w:after="106"/>
      </w:pPr>
      <w:r>
        <w:rPr>
          <w:rFonts w:ascii="Arial" w:hAnsi="Arial" w:cs="Arial"/>
          <w:sz w:val="29"/>
          <w:sz-cs w:val="29"/>
          <w:b/>
          <w:spacing w:val="0"/>
          <w:color w:val="0E0E0E"/>
        </w:rPr>
        <w:t xml:space="preserve">6. Why is the system semi-automated rather than fully automated?</w:t>
      </w:r>
    </w:p>
    <w:p>
      <w:pPr/>
      <w:r>
        <w:rPr>
          <w:rFonts w:ascii="Arial" w:hAnsi="Arial" w:cs="Arial"/>
          <w:sz w:val="29"/>
          <w:sz-cs w:val="29"/>
          <w:spacing w:val="0"/>
          <w:color w:val="0E0E0E"/>
        </w:rPr>
        <w:t xml:space="preserve">Because ambiguous ROIs still exist, especially in particle-rich samples. In this application, full automation would overclaim reliability. A human-in-the-loop design is more defensible: AI narrows down candidates and supports classification, while the observer performs final verification when needed.</w:t>
      </w:r>
    </w:p>
    <w:p>
      <w:pPr>
        <w:spacing w:after="106"/>
      </w:pPr>
      <w:r>
        <w:rPr>
          <w:rFonts w:ascii="Arial" w:hAnsi="Arial" w:cs="Arial"/>
          <w:sz w:val="29"/>
          <w:sz-cs w:val="29"/>
          <w:b/>
          <w:spacing w:val="0"/>
          <w:color w:val="0E0E0E"/>
        </w:rPr>
        <w:t xml:space="preserve">7. What is the specific role of DeepScan?</w:t>
      </w:r>
    </w:p>
    <w:p>
      <w:pPr/>
      <w:r>
        <w:rPr>
          <w:rFonts w:ascii="Arial" w:hAnsi="Arial" w:cs="Arial"/>
          <w:sz w:val="29"/>
          <w:sz-cs w:val="29"/>
          <w:spacing w:val="0"/>
          <w:color w:val="0E0E0E"/>
        </w:rPr>
        <w:t xml:space="preserve">DeepScan allows ROI-level predictions to be reviewed together with their positions in the original microscopy field. This is important because the observer can check not only the predicted class but also the spatial context of each ROI, and can perform manual label correction or manual ROI addition when necessary.</w:t>
      </w:r>
    </w:p>
    <w:p>
      <w:pPr>
        <w:spacing w:after="106"/>
      </w:pPr>
      <w:r>
        <w:rPr>
          <w:rFonts w:ascii="Arial" w:hAnsi="Arial" w:cs="Arial"/>
          <w:sz w:val="29"/>
          <w:sz-cs w:val="29"/>
          <w:b/>
          <w:spacing w:val="0"/>
          <w:color w:val="0E0E0E"/>
        </w:rPr>
        <w:t xml:space="preserve">8. Why not use existing image-analysis tools such as ImageJ or MetaMorph?</w:t>
      </w:r>
    </w:p>
    <w:p>
      <w:pPr/>
      <w:r>
        <w:rPr>
          <w:rFonts w:ascii="Arial" w:hAnsi="Arial" w:cs="Arial"/>
          <w:sz w:val="29"/>
          <w:sz-cs w:val="29"/>
          <w:spacing w:val="0"/>
          <w:color w:val="0E0E0E"/>
        </w:rPr>
        <w:t xml:space="preserve">Existing image-analysis tools are useful for general image processing and measurement, but they do not natively provide this integrated workflow: ROI-based deep learning classification, field-position-aware review, human correction, and practical real-time operation in one observation platform.</w:t>
      </w:r>
    </w:p>
    <w:p>
      <w:pPr>
        <w:spacing w:after="106"/>
      </w:pPr>
      <w:r>
        <w:rPr>
          <w:rFonts w:ascii="Arial" w:hAnsi="Arial" w:cs="Arial"/>
          <w:sz w:val="29"/>
          <w:sz-cs w:val="29"/>
          <w:b/>
          <w:spacing w:val="0"/>
          <w:color w:val="0E0E0E"/>
        </w:rPr>
        <w:t xml:space="preserve">9. Why not use flow cytometry instead of microscopy-based analysis?</w:t>
      </w:r>
    </w:p>
    <w:p>
      <w:pPr/>
      <w:r>
        <w:rPr>
          <w:rFonts w:ascii="Arial" w:hAnsi="Arial" w:cs="Arial"/>
          <w:sz w:val="29"/>
          <w:sz-cs w:val="29"/>
          <w:spacing w:val="0"/>
          <w:color w:val="0E0E0E"/>
        </w:rPr>
        <w:t xml:space="preserve">Flow cytometry is a powerful method, but in subseafloor sediment samples abundant particles and non-specific signals still complicate reliable discrimination. Our study focuses on improving the microscopy-based workflow itself, where image context and ROI-level visual verification remain important.</w:t>
      </w:r>
    </w:p>
    <w:p>
      <w:pPr>
        <w:spacing w:after="106"/>
      </w:pPr>
      <w:r>
        <w:rPr>
          <w:rFonts w:ascii="Arial" w:hAnsi="Arial" w:cs="Arial"/>
          <w:sz w:val="29"/>
          <w:sz-cs w:val="29"/>
          <w:b/>
          <w:spacing w:val="0"/>
          <w:color w:val="0E0E0E"/>
        </w:rPr>
        <w:t xml:space="preserve">10. What was actually demonstrated in this study?</w:t>
      </w:r>
    </w:p>
    <w:p>
      <w:pPr/>
      <w:r>
        <w:rPr>
          <w:rFonts w:ascii="Arial" w:hAnsi="Arial" w:cs="Arial"/>
          <w:sz w:val="29"/>
          <w:sz-cs w:val="29"/>
          <w:spacing w:val="0"/>
          <w:color w:val="0E0E0E"/>
        </w:rPr>
        <w:t xml:space="preserve">We demonstrated that the previously developed model could be used within a practical workflow. AbyssEye supported ROI extraction, classification, and verification in a single workflow for both archived and real-time images, and DeepScan supported human-in-the-loop review and correction.</w:t>
      </w:r>
    </w:p>
    <w:p>
      <w:pPr>
        <w:spacing w:after="106"/>
      </w:pPr>
      <w:r>
        <w:rPr>
          <w:rFonts w:ascii="Arial" w:hAnsi="Arial" w:cs="Arial"/>
          <w:sz w:val="29"/>
          <w:sz-cs w:val="29"/>
          <w:b/>
          <w:spacing w:val="0"/>
          <w:color w:val="0E0E0E"/>
        </w:rPr>
        <w:t xml:space="preserve">11. What about retraining or MLOps?</w:t>
      </w:r>
    </w:p>
    <w:p>
      <w:pPr/>
      <w:r>
        <w:rPr>
          <w:rFonts w:ascii="Arial" w:hAnsi="Arial" w:cs="Arial"/>
          <w:sz w:val="29"/>
          <w:sz-cs w:val="29"/>
          <w:spacing w:val="0"/>
          <w:color w:val="0E0E0E"/>
        </w:rPr>
        <w:t xml:space="preserve">In this presentation, retraining is positioned as future work rather than a main result. The current focus is practical deployment of the model into an operational workflow. Integration of corrected annotations into a retraining workflow is the next step.</w:t>
      </w:r>
    </w:p>
    <w:p>
      <w:pPr>
        <w:spacing w:after="106"/>
      </w:pPr>
      <w:r>
        <w:rPr>
          <w:rFonts w:ascii="Arial" w:hAnsi="Arial" w:cs="Arial"/>
          <w:sz w:val="29"/>
          <w:sz-cs w:val="29"/>
          <w:b/>
          <w:spacing w:val="0"/>
          <w:color w:val="0E0E0E"/>
        </w:rPr>
        <w:t xml:space="preserve">12. Can AbyssEye be extended to other environmental samples?</w:t>
      </w:r>
    </w:p>
    <w:p>
      <w:pPr/>
      <w:r>
        <w:rPr>
          <w:rFonts w:ascii="Arial" w:hAnsi="Arial" w:cs="Arial"/>
          <w:sz w:val="29"/>
          <w:sz-cs w:val="29"/>
          <w:spacing w:val="0"/>
          <w:color w:val="0E0E0E"/>
        </w:rPr>
        <w:t xml:space="preserve">Potentially yes, but this requires validation. The current implementation was designed around subseafloor sediment images and their specific challenges, so extension to other particle-rich environmental samples should be treated as future work rather than assumed generalization.</w:t>
      </w:r>
    </w:p>
    <w:p>
      <w:pPr>
        <w:spacing w:after="160"/>
      </w:pPr>
      <w:r>
        <w:rPr>
          <w:rFonts w:ascii="Arial" w:hAnsi="Arial" w:cs="Arial"/>
          <w:sz w:val="37"/>
          <w:sz-cs w:val="37"/>
          <w:b/>
          <w:spacing w:val="0"/>
          <w:color w:val="0E0E0E"/>
        </w:rPr>
        <w:t xml:space="preserve">Short closing line for discussion</w:t>
      </w:r>
      <w:r>
        <w:rPr>
          <w:rFonts w:ascii="Arial" w:hAnsi="Arial" w:cs="Arial"/>
          <w:sz w:val="37"/>
          <w:sz-cs w:val="37"/>
          <w:b/>
          <w:spacing w:val="0"/>
        </w:rPr>
        <w:t xml:space="preserve"/>
      </w:r>
    </w:p>
    <w:p>
      <w:pPr>
        <w:spacing w:after="213"/>
      </w:pPr>
      <w:r>
        <w:rPr>
          <w:rFonts w:ascii="Arial" w:hAnsi="Arial" w:cs="Arial"/>
          <w:sz w:val="29"/>
          <w:sz-cs w:val="29"/>
          <w:spacing w:val="0"/>
          <w:color w:val="0E0E0E"/>
        </w:rPr>
        <w:t xml:space="preserve">If needed, the core message can be summarized as follows: AbyssEye does not claim full automation; it provides a practical human-in-the-loop platform that makes a previously developed deep learning model usable in real microscopy workflows.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