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b/>
          <w:bCs/>
          <w:sz w:val="32"/>
          <w:szCs w:val="32"/>
        </w:rPr>
        <w:t xml:space="preserve">Lab 02 — Malware Analysis Report</w:t>
      </w:r>
    </w:p>
    <w:p>
      <w:pPr>
        <w:spacing w:after="40"/>
        <w:jc w:val="center"/>
      </w:pPr>
      <w:r>
        <w:rPr>
          <w:sz w:val="22"/>
          <w:szCs w:val="22"/>
        </w:rPr>
        <w:t xml:space="preserve">Ikemuefuna Uzoh, xeo102</w:t>
      </w:r>
    </w:p>
    <w:p>
      <w:pPr>
        <w:spacing w:after="40"/>
        <w:jc w:val="center"/>
      </w:pPr>
      <w:r>
        <w:rPr>
          <w:sz w:val="22"/>
          <w:szCs w:val="22"/>
        </w:rPr>
        <w:t xml:space="preserve">IS-3523</w:t>
      </w:r>
    </w:p>
    <w:p>
      <w:pPr>
        <w:spacing w:after="400"/>
        <w:jc w:val="center"/>
      </w:pPr>
      <w:r>
        <w:rPr>
          <w:sz w:val="22"/>
          <w:szCs w:val="22"/>
        </w:rPr>
        <w:t xml:space="preserve">June 17, 2026</w:t>
      </w:r>
    </w:p>
    <w:p>
      <w:pPr>
        <w:pStyle w:val="Heading1"/>
        <w:spacing w:after="200" w:before="400"/>
      </w:pPr>
      <w:r>
        <w:rPr>
          <w:b/>
          <w:bCs/>
        </w:rPr>
        <w:t xml:space="preserve">Introduction</w:t>
      </w:r>
    </w:p>
    <w:p>
      <w:pPr>
        <w:spacing w:after="200"/>
      </w:pPr>
      <w:r>
        <w:rPr>
          <w:sz w:val="22"/>
          <w:szCs w:val="22"/>
        </w:rPr>
        <w:t xml:space="preserve">Organizations use information systems to carry out business processes and to communicate and store data. In today's ever-changing cyber threat landscape, organizations must be prepared to investigate and respond to security incidents quickly and effectively. This report discusses the investigation of a compromised Windows XP FTP server in the SimSpace environment. The investigation was triggered by notification from the Chief Information Security Officer (CISO) of an incident of suspected malware activity on a company's FTP server. The investigation was done to find indicators of compromise, determine how the system was compromised, find attacker tools and persistence mechanisms, and provide recommendations for remediation and prevention.</w:t>
      </w:r>
    </w:p>
    <w:p>
      <w:pPr>
        <w:spacing w:after="200"/>
      </w:pPr>
      <w:r>
        <w:rPr>
          <w:sz w:val="22"/>
          <w:szCs w:val="22"/>
        </w:rPr>
        <w:t xml:space="preserve">The suspect machine was named WIN-XP-17 and was on the ISCS-Security subnet with IP address 172.16.3.227. At first glance, investigators saw the machine showing a Windows XP login screen for the user account "Daniel Faraday." The investigators had no credentials and thus could not directly access the operating system. Further guidance showed that this was intentional and part of the incident. Hence, the study was based on network-based analysis techniques and the procurement of remote evidence.</w:t>
      </w:r>
    </w:p>
    <w:p>
      <w:pPr>
        <w:spacing w:after="200"/>
      </w:pPr>
      <w:r>
        <w:rPr>
          <w:sz w:val="22"/>
          <w:szCs w:val="22"/>
        </w:rPr>
        <w:t xml:space="preserve">The investigation involved network reconnaissance, service enumeration, FTP analysis, malware artifact analysis, and root cause analysis. All evidence was collected from the suspect machine in a manner that preserved the integrity of the system and did not alter any potential evidence.</w:t>
      </w:r>
    </w:p>
    <w:p>
      <w:pPr>
        <w:pStyle w:val="Heading1"/>
        <w:spacing w:after="200" w:before="400"/>
      </w:pPr>
      <w:r>
        <w:rPr>
          <w:b/>
          <w:bCs/>
        </w:rPr>
        <w:t xml:space="preserve">Initial Investigation and Network Reconnaissance</w:t>
      </w:r>
    </w:p>
    <w:p>
      <w:pPr>
        <w:spacing w:after="200"/>
      </w:pPr>
      <w:r>
        <w:rPr>
          <w:sz w:val="22"/>
          <w:szCs w:val="22"/>
        </w:rPr>
        <w:t xml:space="preserve">The initial phase of the investigation was to determine the target machine and to confirm network connectivity. The network setup was reviewed, and it was determined that the suspect system had an IP address of 172.16.3.227 on the ISCS-Security subnet. All investigative activities were performed from a separate analysis workstation, Win-Hunt-09. The VM details panel for win-xp-17 confirmed this dual-homed configuration: one interface on the Control subnet and a second on the ISCS-Security subnet carrying the 172.16.3.227 address used for all subsequent analysis.</w:t>
      </w:r>
    </w:p>
    <w:p>
      <w:pPr>
        <w:spacing w:after="100" w:before="200"/>
        <w:jc w:val="center"/>
      </w:pPr>
      <w:r>
        <w:drawing>
          <wp:inline distT="0" distB="0" distL="0" distR="0">
            <wp:extent cx="49530000000" cy="1619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0000" cy="16192500000"/>
                    </a:xfrm>
                    <a:prstGeom prst="rect">
                      <a:avLst/>
                    </a:prstGeom>
                  </pic:spPr>
                </pic:pic>
              </a:graphicData>
            </a:graphic>
          </wp:inline>
        </w:drawing>
      </w:r>
    </w:p>
    <w:p>
      <w:pPr>
        <w:spacing w:after="300"/>
        <w:jc w:val="center"/>
      </w:pPr>
      <w:r>
        <w:rPr>
          <w:i/>
          <w:iCs/>
          <w:color w:val="444444"/>
          <w:sz w:val="20"/>
          <w:szCs w:val="20"/>
        </w:rPr>
        <w:t xml:space="preserve">Figure 1. VM Details → Network tab for win-xp-17, showing two interfaces: Interface 1 on the Control subnet (10.10.0.231) used for lab management, and Interface 2 on the ISCS-Security subnet (172.16.3.227) — the address targeted throughout this investigation.</w:t>
      </w:r>
    </w:p>
    <w:p>
      <w:pPr>
        <w:spacing w:after="200"/>
      </w:pPr>
      <w:r>
        <w:rPr>
          <w:sz w:val="22"/>
          <w:szCs w:val="22"/>
        </w:rPr>
        <w:t xml:space="preserve">Investigators first opened a console session on win-xp-17 to visually confirm the state of the suspect host. Rather than a normal desktop, the machine displayed a locked Windows XP login screen for the user account "Daniel Faraday," with no credentials available to investigators. This immediately raised suspicion and shaped the investigation toward network-based, credential-less analysis techniques rather than direct host access.</w:t>
      </w:r>
    </w:p>
    <w:p>
      <w:pPr>
        <w:spacing w:after="100" w:before="200"/>
        <w:jc w:val="center"/>
      </w:pPr>
      <w:r>
        <w:drawing>
          <wp:inline distT="0" distB="0" distL="0" distR="0">
            <wp:extent cx="40005000000" cy="3048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0000" cy="30480000000"/>
                    </a:xfrm>
                    <a:prstGeom prst="rect">
                      <a:avLst/>
                    </a:prstGeom>
                  </pic:spPr>
                </pic:pic>
              </a:graphicData>
            </a:graphic>
          </wp:inline>
        </w:drawing>
      </w:r>
    </w:p>
    <w:p>
      <w:pPr>
        <w:spacing w:after="300"/>
        <w:jc w:val="center"/>
      </w:pPr>
      <w:r>
        <w:rPr>
          <w:i/>
          <w:iCs/>
          <w:color w:val="444444"/>
          <w:sz w:val="20"/>
          <w:szCs w:val="20"/>
        </w:rPr>
        <w:t xml:space="preserve">Figure 2. The suspect machine (win-xp-17) as viewed through the SimSpace console, showing a locked Windows XP login screen for user "Daniel Faraday." The presence of a locked screen with no available credentials was the first indicator that the workstation had been deliberately locked out from legitimate access, foreshadowing the lock.bat artifact discovered later in the investigation.</w:t>
      </w:r>
    </w:p>
    <w:p>
      <w:pPr>
        <w:spacing w:after="200"/>
      </w:pPr>
      <w:r>
        <w:rPr>
          <w:sz w:val="22"/>
          <w:szCs w:val="22"/>
        </w:rPr>
        <w:t xml:space="preserve">The ping utility was used to test network connectivity between the analysis workstation and the suspect host. Four ICMP echo requests were sent and four ICMP echo replies were received with 0% packet loss, confirming the host was accessible and reachable for remote analysis. Successful connectivity was a necessary prerequisite before further investigative techniques could be run against the target host.</w:t>
      </w:r>
    </w:p>
    <w:p>
      <w:pPr>
        <w:spacing w:after="100" w:before="200"/>
        <w:jc w:val="center"/>
      </w:pPr>
      <w:r>
        <w:drawing>
          <wp:inline distT="0" distB="0" distL="0" distR="0">
            <wp:extent cx="42862500000" cy="29527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0000" cy="29527500000"/>
                    </a:xfrm>
                    <a:prstGeom prst="rect">
                      <a:avLst/>
                    </a:prstGeom>
                  </pic:spPr>
                </pic:pic>
              </a:graphicData>
            </a:graphic>
          </wp:inline>
        </w:drawing>
      </w:r>
    </w:p>
    <w:p>
      <w:pPr>
        <w:spacing w:after="300"/>
        <w:jc w:val="center"/>
      </w:pPr>
      <w:r>
        <w:rPr>
          <w:i/>
          <w:iCs/>
          <w:color w:val="444444"/>
          <w:sz w:val="20"/>
          <w:szCs w:val="20"/>
        </w:rPr>
        <w:t xml:space="preserve">Figure 3. Ping test from the analysis workstation (Win-Hunt-09) to 172.16.3.227, showing 4 packets sent and 4 received with 0% loss and sub-2ms round-trip times. This confirmed the suspect host was live and reachable on the network before any service enumeration was attempted.</w:t>
      </w:r>
    </w:p>
    <w:p>
      <w:pPr>
        <w:spacing w:after="200"/>
      </w:pPr>
      <w:r>
        <w:rPr>
          <w:sz w:val="22"/>
          <w:szCs w:val="22"/>
        </w:rPr>
        <w:t xml:space="preserve">A service discovery scan was performed using Nmap to find open ports, running services, and possible attack vectors. The scan results showed numerous services exposed, including FTP (21), SMTP (25), HTTP (80), POP3 (110), Microsoft RPC (135), NetBIOS (139), HTTPS (443), Microsoft-DS/SMB (445), MySQL (3306), VNC (5900), IRC (6667), and an HTTP proxy (8080). The scan also fingerprinted the operating system as Microsoft Windows XP.</w:t>
      </w:r>
    </w:p>
    <w:p>
      <w:pPr>
        <w:spacing w:after="200"/>
      </w:pPr>
      <w:r>
        <w:rPr>
          <w:sz w:val="22"/>
          <w:szCs w:val="22"/>
        </w:rPr>
        <w:t xml:space="preserve">The large number of exposed services indicated poor system hardening and significantly increased the attack surface available to attackers. VNC and IRC services were of special concern, since attackers often use these for remote administration and command-and-control communications. The RPC service was also flagged as a probable attack vector, since older Windows XP systems were vulnerable to a number of critical RPC vulnerabilities. This Nmap scan was the first clue investigators had that an attacker may have compromised the machine and was remotely controlling it.</w:t>
      </w:r>
    </w:p>
    <w:p>
      <w:pPr>
        <w:spacing w:after="100" w:before="200"/>
        <w:jc w:val="center"/>
      </w:pPr>
      <w:r>
        <w:drawing>
          <wp:inline distT="0" distB="0" distL="0" distR="0">
            <wp:extent cx="49530000000" cy="21907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0000" cy="21907500000"/>
                    </a:xfrm>
                    <a:prstGeom prst="rect">
                      <a:avLst/>
                    </a:prstGeom>
                  </pic:spPr>
                </pic:pic>
              </a:graphicData>
            </a:graphic>
          </wp:inline>
        </w:drawing>
      </w:r>
    </w:p>
    <w:p>
      <w:pPr>
        <w:spacing w:after="300"/>
        <w:jc w:val="center"/>
      </w:pPr>
      <w:r>
        <w:rPr>
          <w:i/>
          <w:iCs/>
          <w:color w:val="444444"/>
          <w:sz w:val="20"/>
          <w:szCs w:val="20"/>
        </w:rPr>
        <w:t xml:space="preserve">Figure 4. Nmap service-version scan (-sV) against 172.16.3.227, enumerating open ports including ftp (21), smtp (25), http (80), microsoft-ds (445), vnc-http (5800), and vnc (5900) — with the VNC service specifically fingerprinted as RealVNC 4.0. OS detection identified the host as Windows XP, and the RTSP/HTTP option probes visible in the raw output reflect Nmap's service-version detection attempts against several of the unrecognized/ambiguous ports.</w:t>
      </w:r>
    </w:p>
    <w:p>
      <w:pPr>
        <w:pStyle w:val="Heading1"/>
        <w:spacing w:after="200" w:before="400"/>
      </w:pPr>
      <w:r>
        <w:rPr>
          <w:b/>
          <w:bCs/>
        </w:rPr>
        <w:t xml:space="preserve">Examination of the FTP Service</w:t>
      </w:r>
    </w:p>
    <w:p>
      <w:pPr>
        <w:spacing w:after="200"/>
      </w:pPr>
      <w:r>
        <w:rPr>
          <w:sz w:val="22"/>
          <w:szCs w:val="22"/>
        </w:rPr>
        <w:t xml:space="preserve">The system was running as an FTP server, and investigators concentrated on the FTP service on port 21. The analysis workstation's FTP client connected successfully, and the banner identified the service as the Microsoft FTP service.</w:t>
      </w:r>
    </w:p>
    <w:p>
      <w:pPr>
        <w:spacing w:after="200"/>
      </w:pPr>
      <w:r>
        <w:rPr>
          <w:sz w:val="22"/>
          <w:szCs w:val="22"/>
        </w:rPr>
        <w:t xml:space="preserve">Authentication tests revealed that anonymous FTP access was enabled, allowing users to access the FTP server without valid credentials. Anonymous FTP access is often considered a security risk, since it permits unauthorized users to access server resources and potentially upload or download files. This anonymous access was a significant security gap that could have directly contributed to the compromise.</w:t>
      </w:r>
    </w:p>
    <w:p>
      <w:pPr>
        <w:spacing w:after="200"/>
      </w:pPr>
      <w:r>
        <w:rPr>
          <w:sz w:val="22"/>
          <w:szCs w:val="22"/>
        </w:rPr>
        <w:t xml:space="preserve">A directory listing over the anonymous connection revealed several suspicious files: lock.bat, nc.exe, Razor.1911.IRC.nfo, runasspc.exe, and a VNC4 directory. Several of these file names are well known in attacker toolkits and remote administration contexts. The ability to browse and download these files anonymously demonstrated both the server's misconfiguration and the presence of sensitive attacker artifacts accessible without any authentication.</w:t>
      </w:r>
    </w:p>
    <w:p>
      <w:pPr>
        <w:spacing w:after="100" w:before="200"/>
        <w:jc w:val="center"/>
      </w:pPr>
      <w:r>
        <w:drawing>
          <wp:inline distT="0" distB="0" distL="0" distR="0">
            <wp:extent cx="40957500000" cy="2286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0000" cy="22860000000"/>
                    </a:xfrm>
                    <a:prstGeom prst="rect">
                      <a:avLst/>
                    </a:prstGeom>
                  </pic:spPr>
                </pic:pic>
              </a:graphicData>
            </a:graphic>
          </wp:inline>
        </w:drawing>
      </w:r>
    </w:p>
    <w:p>
      <w:pPr>
        <w:spacing w:after="300"/>
        <w:jc w:val="center"/>
      </w:pPr>
      <w:r>
        <w:rPr>
          <w:i/>
          <w:iCs/>
          <w:color w:val="444444"/>
          <w:sz w:val="20"/>
          <w:szCs w:val="20"/>
        </w:rPr>
        <w:t xml:space="preserve">Figure 5. Anonymous FTP session against 172.16.3.227, showing successful anonymous login ("230 Anonymous user logged in") followed by a directory listing revealing lock.bat, nc.exe, Razor.1911.IRC.nfo, runasspc.exe, and a VNC4 directory — all retrievable without authentication, confirming the FTP server itself was both a misconfiguration and a staging point for attacker tools.</w:t>
      </w:r>
    </w:p>
    <w:p>
      <w:pPr>
        <w:pStyle w:val="Heading1"/>
        <w:spacing w:after="200" w:before="400"/>
      </w:pPr>
      <w:r>
        <w:rPr>
          <w:b/>
          <w:bCs/>
        </w:rPr>
        <w:t xml:space="preserve">Analysis of Malware Artifacts</w:t>
      </w:r>
    </w:p>
    <w:p>
      <w:pPr>
        <w:spacing w:after="200"/>
      </w:pPr>
      <w:r>
        <w:rPr>
          <w:sz w:val="22"/>
          <w:szCs w:val="22"/>
        </w:rPr>
        <w:t xml:space="preserve">Several files downloaded from the FTP server exhibited obvious signs of compromise. The first file examined was nc.exe, identified as Netcat — a network utility used by both system administrators and attackers. Netcat can be used for file transfer, backdoor access, and remote shells, and while it has legitimate administrative uses, it is frequently seen in incident response investigations because attackers use it to maintain a backdoor into compromised systems.</w:t>
      </w:r>
    </w:p>
    <w:p>
      <w:pPr>
        <w:spacing w:after="200"/>
      </w:pPr>
      <w:r>
        <w:rPr>
          <w:sz w:val="22"/>
          <w:szCs w:val="22"/>
        </w:rPr>
        <w:t xml:space="preserve">Another suspicious file, runasspc.exe, was also discovered. The name implies some relation to the Microsoft Remote Procedure Call service — notable given that Windows XP machines have historically been subject to a number of RPC-related exploits. The presence of this utility suggests the attacker may have exploited RPC flaws to gain initial access or move laterally within the system.</w:t>
      </w:r>
    </w:p>
    <w:p>
      <w:pPr>
        <w:spacing w:after="200"/>
      </w:pPr>
      <w:r>
        <w:rPr>
          <w:sz w:val="22"/>
          <w:szCs w:val="22"/>
        </w:rPr>
        <w:t xml:space="preserve">The lock.bat script was analyzed directly and found to contain a single command invoking the LockWorkStation function of the Windows API: rundll32.exe user32.dll, LockWorkStation. This explains why investigators found a locked Windows XP login screen (Figure 2) when they first accessed the machine — the attacker had deliberately locked the workstation, likely to prevent legitimate users from noticing or interfering with the compromise.</w:t>
      </w:r>
    </w:p>
    <w:p>
      <w:pPr>
        <w:spacing w:after="100" w:before="200"/>
        <w:jc w:val="center"/>
      </w:pPr>
      <w:r>
        <w:drawing>
          <wp:inline distT="0" distB="0" distL="0" distR="0">
            <wp:extent cx="40005000000" cy="2667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0000" cy="26670000000"/>
                    </a:xfrm>
                    <a:prstGeom prst="rect">
                      <a:avLst/>
                    </a:prstGeom>
                  </pic:spPr>
                </pic:pic>
              </a:graphicData>
            </a:graphic>
          </wp:inline>
        </w:drawing>
      </w:r>
    </w:p>
    <w:p>
      <w:pPr>
        <w:spacing w:after="300"/>
        <w:jc w:val="center"/>
      </w:pPr>
      <w:r>
        <w:rPr>
          <w:i/>
          <w:iCs/>
          <w:color w:val="444444"/>
          <w:sz w:val="20"/>
          <w:szCs w:val="20"/>
        </w:rPr>
        <w:t xml:space="preserve">Figure 6. lock.bat opened in Notepad, showing the single command "rundll32.exe user32.dll, LockWorkStation." This directly explains the locked login screen observed in Figure 2 — the attacker used this script to lock the workstation and prevent the legitimate user from interfering with the compromise in progress.</w:t>
      </w:r>
    </w:p>
    <w:p>
      <w:pPr>
        <w:spacing w:after="200"/>
      </w:pPr>
      <w:r>
        <w:rPr>
          <w:sz w:val="22"/>
          <w:szCs w:val="22"/>
        </w:rPr>
        <w:t xml:space="preserve">Another important artifact was Razor.1911.IRC.nfo, which listed IRC servers, communication channels, and bot software instructions. The file explicitly directed readers to an IRC server on the 192.168.x.x network on port 6667, join channel #chat, and referenced an accompanying IRC bot ("mybotDCC"). This is a strong indicator that the infected machine was intended to become part of an IRC command-and-control (C2) network. This finding is corroborated by the earlier Nmap scan, which showed port 6667 (IRC) open on the host — the combination of an active IRC service and documentation for IRC bot functionality demonstrates the attacker's use of IRC as a remote-control channel.</w:t>
      </w:r>
    </w:p>
    <w:p>
      <w:pPr>
        <w:spacing w:after="100" w:before="200"/>
        <w:jc w:val="center"/>
      </w:pPr>
      <w:r>
        <w:drawing>
          <wp:inline distT="0" distB="0" distL="0" distR="0">
            <wp:extent cx="49530000000" cy="2762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0000" cy="27622500000"/>
                    </a:xfrm>
                    <a:prstGeom prst="rect">
                      <a:avLst/>
                    </a:prstGeom>
                  </pic:spPr>
                </pic:pic>
              </a:graphicData>
            </a:graphic>
          </wp:inline>
        </w:drawing>
      </w:r>
    </w:p>
    <w:p>
      <w:pPr>
        <w:spacing w:after="300"/>
        <w:jc w:val="center"/>
      </w:pPr>
      <w:r>
        <w:rPr>
          <w:i/>
          <w:iCs/>
          <w:color w:val="444444"/>
          <w:sz w:val="20"/>
          <w:szCs w:val="20"/>
        </w:rPr>
        <w:t xml:space="preserve">Figure 7. Razor.1911.IRC.nfo opened in Notepad, showing IRC server connection instructions ("CHECK US OUT AT OUR 192.168.xxx.xxx IRC SERVER IN CHANNEL #CHAT... PORT 6667") and a reference to an accompanying IRC bot. This file, combined with the open port 6667 identified in the Nmap scan (Figure 4), confirms the compromised host was configured to participate in an IRC-based command-and-control channel.</w:t>
      </w:r>
    </w:p>
    <w:p>
      <w:pPr>
        <w:pStyle w:val="Heading1"/>
        <w:spacing w:after="200" w:before="400"/>
      </w:pPr>
      <w:r>
        <w:rPr>
          <w:b/>
          <w:bCs/>
        </w:rPr>
        <w:t xml:space="preserve">Persistence Mechanisms and Attacker Activity</w:t>
      </w:r>
    </w:p>
    <w:p>
      <w:pPr>
        <w:spacing w:after="200"/>
      </w:pPr>
      <w:r>
        <w:rPr>
          <w:sz w:val="22"/>
          <w:szCs w:val="22"/>
        </w:rPr>
        <w:t xml:space="preserve">Further analysis revealed winvnc.exe, vnchooks.dll, winvnc.dat, logmessages.dll, and a realvncconfig.reg file, showing that the compromised host had RealVNC software installed. The realvncconfig.reg file was of particular interest, as it contained RealVNC configuration entries written directly into the Windows Registry under HKEY_CURRENT_USER\Software\RealVNC\WinVNC4, including SecurityTypes and ReverseSecurityTypes both set to "None" — meaning VNC connections would be accepted without any authentication challenge.</w:t>
      </w:r>
    </w:p>
    <w:p>
      <w:pPr>
        <w:spacing w:after="100" w:before="200"/>
        <w:jc w:val="center"/>
      </w:pPr>
      <w:r>
        <w:drawing>
          <wp:inline distT="0" distB="0" distL="0" distR="0">
            <wp:extent cx="50482500000" cy="2667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0000" cy="26670000000"/>
                    </a:xfrm>
                    <a:prstGeom prst="rect">
                      <a:avLst/>
                    </a:prstGeom>
                  </pic:spPr>
                </pic:pic>
              </a:graphicData>
            </a:graphic>
          </wp:inline>
        </w:drawing>
      </w:r>
    </w:p>
    <w:p>
      <w:pPr>
        <w:spacing w:after="300"/>
        <w:jc w:val="center"/>
      </w:pPr>
      <w:r>
        <w:rPr>
          <w:i/>
          <w:iCs/>
          <w:color w:val="444444"/>
          <w:sz w:val="20"/>
          <w:szCs w:val="20"/>
        </w:rPr>
        <w:t xml:space="preserve">Figure 8. realvncconfig.reg opened in Notepad, showing Windows Registry entries under HKEY_CURRENT_USER\Software\RealVNC\WinVNC4 with "SecurityTypes"="None" and "ReverseSecurityTypes"="None." These settings mean the RealVNC server was deliberately configured to accept remote desktop connections without requiring any authentication — a direct, unauthenticated persistence and remote-access mechanism installed by the attacker.</w:t>
      </w:r>
    </w:p>
    <w:p>
      <w:pPr>
        <w:spacing w:after="200"/>
      </w:pPr>
      <w:r>
        <w:rPr>
          <w:sz w:val="22"/>
          <w:szCs w:val="22"/>
        </w:rPr>
        <w:t xml:space="preserve">This registry finding directly ties back to the Nmap results, which identified a working VNC service listening on port 5900, fingerprinted specifically as RealVNC 4.0. Taken together, the VNC executables, the unauthenticated registry configuration, and the open, listening VNC port are strong indicators that the attacker established persistent, unauthenticated remote desktop access to the system.</w:t>
      </w:r>
    </w:p>
    <w:p>
      <w:pPr>
        <w:spacing w:after="200"/>
      </w:pPr>
      <w:r>
        <w:rPr>
          <w:sz w:val="22"/>
          <w:szCs w:val="22"/>
        </w:rPr>
        <w:t xml:space="preserve">Attackers value persistence because it provides a reliable means of maintaining access after the initial compromise. VNC configured without authentication allowed the attacker to view and control the system remotely at will. This technique, combined with Netcat and IRC-based command-and-control, gave the attacker multiple independent channels for remote access. The evidence indicates the attacker intentionally layered several persistence mechanisms so that if one method failed or was discovered, others remained available — behavior consistent with known attacker tradecraft and indicative of a deliberate attempt to maintain long-term access to the compromised host.</w:t>
      </w:r>
    </w:p>
    <w:p>
      <w:pPr>
        <w:pStyle w:val="Heading1"/>
        <w:spacing w:after="200" w:before="400"/>
      </w:pPr>
      <w:r>
        <w:rPr>
          <w:b/>
          <w:bCs/>
        </w:rPr>
        <w:t xml:space="preserve">Root Cause Analysis</w:t>
      </w:r>
    </w:p>
    <w:p>
      <w:pPr>
        <w:spacing w:after="200"/>
      </w:pPr>
      <w:r>
        <w:rPr>
          <w:sz w:val="22"/>
          <w:szCs w:val="22"/>
        </w:rPr>
        <w:t xml:space="preserve">The investigation determined that the most likely cause of the incident, based on the evidence obtained, was the exploitation of a vulnerability in the unpatched Microsoft Windows XP Remote Procedure Call service. This conclusion is supported by the presence of runasspc.exe and its implied RPC-related functionality. Windows XP is an end-of-life operating system that no longer receives security updates from Microsoft, and many public exploits targeting XP-era RPC services remain well documented — most notably the RPC buffer overflow described in Microsoft Security Bulletin MS03-026, which allows remote code execution and has historically been used by attackers to gain initial access and install malware.</w:t>
      </w:r>
    </w:p>
    <w:p>
      <w:pPr>
        <w:spacing w:after="200"/>
      </w:pPr>
      <w:r>
        <w:rPr>
          <w:sz w:val="22"/>
          <w:szCs w:val="22"/>
        </w:rPr>
        <w:t xml:space="preserve">Once inside, the evidence suggests the attacker uploaded a toolkit via the FTP service. Tools deployed included Netcat for remote shell access, RealVNC for unauthenticated graphical remote administration, and IRC bot materials for command-and-control communications. The attacker then configured VNC persistence, set up IRC communications, and executed lock.bat so that the legitimate user could not log back onto the workstation.</w:t>
      </w:r>
    </w:p>
    <w:p>
      <w:pPr>
        <w:spacing w:after="200"/>
      </w:pPr>
      <w:r>
        <w:rPr>
          <w:sz w:val="22"/>
          <w:szCs w:val="22"/>
        </w:rPr>
        <w:t xml:space="preserve">Anonymous FTP access, combined with the unusually large number of exposed services identified during reconnaissance, significantly increased the system's attack surface and likely contributed directly to the success of the compromise. These weaknesses together created favorable conditions for the attacker to gain entry, deploy malware, and maintain long-term control over the system.</w:t>
      </w:r>
    </w:p>
    <w:p>
      <w:pPr>
        <w:pStyle w:val="Heading1"/>
        <w:spacing w:after="200" w:before="400"/>
      </w:pPr>
      <w:r>
        <w:rPr>
          <w:b/>
          <w:bCs/>
        </w:rPr>
        <w:t xml:space="preserve">Conclusion and Recommendations</w:t>
      </w:r>
    </w:p>
    <w:p>
      <w:pPr>
        <w:spacing w:after="200"/>
      </w:pPr>
      <w:r>
        <w:rPr>
          <w:sz w:val="22"/>
          <w:szCs w:val="22"/>
        </w:rPr>
        <w:t xml:space="preserve">Several security weaknesses were discovered during the investigation which led to this compromise. Prompt corrective action is recommended to prevent recurrence:</w:t>
      </w:r>
    </w:p>
    <w:p>
      <w:pPr>
        <w:pStyle w:val="ListParagraph"/>
        <w:numPr>
          <w:ilvl w:val="0"/>
          <w:numId w:val="1"/>
        </w:numPr>
        <w:spacing w:after="100"/>
      </w:pPr>
      <w:r>
        <w:rPr>
          <w:sz w:val="22"/>
          <w:szCs w:val="22"/>
        </w:rPr>
        <w:t xml:space="preserve">Remove all malicious files and unauthorized software from the system, including Netcat, RealVNC, IRC bot components, and any associated attacker tools.</w:t>
      </w:r>
    </w:p>
    <w:p>
      <w:pPr>
        <w:pStyle w:val="ListParagraph"/>
        <w:numPr>
          <w:ilvl w:val="0"/>
          <w:numId w:val="1"/>
        </w:numPr>
        <w:spacing w:after="100"/>
      </w:pPr>
      <w:r>
        <w:rPr>
          <w:sz w:val="22"/>
          <w:szCs w:val="22"/>
        </w:rPr>
        <w:t xml:space="preserve">Disable anonymous FTP access and enforce authenticated, access-controlled file transfer.</w:t>
      </w:r>
    </w:p>
    <w:p>
      <w:pPr>
        <w:pStyle w:val="ListParagraph"/>
        <w:numPr>
          <w:ilvl w:val="0"/>
          <w:numId w:val="1"/>
        </w:numPr>
        <w:spacing w:after="100"/>
      </w:pPr>
      <w:r>
        <w:rPr>
          <w:sz w:val="22"/>
          <w:szCs w:val="22"/>
        </w:rPr>
        <w:t xml:space="preserve">Retire all remaining Windows XP systems and migrate to supported operating systems that receive active security updates.</w:t>
      </w:r>
    </w:p>
    <w:p>
      <w:pPr>
        <w:pStyle w:val="ListParagraph"/>
        <w:numPr>
          <w:ilvl w:val="0"/>
          <w:numId w:val="1"/>
        </w:numPr>
        <w:spacing w:after="100"/>
      </w:pPr>
      <w:r>
        <w:rPr>
          <w:sz w:val="22"/>
          <w:szCs w:val="22"/>
        </w:rPr>
        <w:t xml:space="preserve">Implement network segmentation to limit lateral movement between subnets.</w:t>
      </w:r>
    </w:p>
    <w:p>
      <w:pPr>
        <w:pStyle w:val="ListParagraph"/>
        <w:numPr>
          <w:ilvl w:val="0"/>
          <w:numId w:val="1"/>
        </w:numPr>
        <w:spacing w:after="100"/>
      </w:pPr>
      <w:r>
        <w:rPr>
          <w:sz w:val="22"/>
          <w:szCs w:val="22"/>
        </w:rPr>
        <w:t xml:space="preserve">Disable unused and unnecessary exposed services identified during the Nmap scan.</w:t>
      </w:r>
    </w:p>
    <w:p>
      <w:pPr>
        <w:pStyle w:val="ListParagraph"/>
        <w:numPr>
          <w:ilvl w:val="0"/>
          <w:numId w:val="1"/>
        </w:numPr>
        <w:spacing w:after="100"/>
      </w:pPr>
      <w:r>
        <w:rPr>
          <w:sz w:val="22"/>
          <w:szCs w:val="22"/>
        </w:rPr>
        <w:t xml:space="preserve">Block outbound IRC traffic (port 6667) at the network perimeter.</w:t>
      </w:r>
    </w:p>
    <w:p>
      <w:pPr>
        <w:pStyle w:val="ListParagraph"/>
        <w:numPr>
          <w:ilvl w:val="0"/>
          <w:numId w:val="1"/>
        </w:numPr>
        <w:spacing w:after="100"/>
      </w:pPr>
      <w:r>
        <w:rPr>
          <w:sz w:val="22"/>
          <w:szCs w:val="22"/>
        </w:rPr>
        <w:t xml:space="preserve">Deploy endpoint detection and response (EDR) tooling and conduct regular vulnerability assessments.</w:t>
      </w:r>
    </w:p>
    <w:p>
      <w:pPr>
        <w:pStyle w:val="ListParagraph"/>
        <w:numPr>
          <w:ilvl w:val="0"/>
          <w:numId w:val="1"/>
        </w:numPr>
        <w:spacing w:after="100"/>
      </w:pPr>
      <w:r>
        <w:rPr>
          <w:sz w:val="22"/>
          <w:szCs w:val="22"/>
        </w:rPr>
        <w:t xml:space="preserve">Enforce strong password policies and centralized logging to improve visibility and reduce the risk of future compromise.</w:t>
      </w:r>
    </w:p>
    <w:p>
      <w:pPr>
        <w:spacing w:after="200"/>
      </w:pPr>
      <w:r>
        <w:rPr>
          <w:sz w:val="22"/>
          <w:szCs w:val="22"/>
        </w:rPr>
        <w:t xml:space="preserve">The investigation revealed that the Windows XP FTP server was compromised and became a system under the attacker's control. The host contained Netcat, RealVNC components, IRC bot artifacts, a workstation-locking script, and RPC-related exploitation tools. The attacker used RealVNC for persistence, IRC for command-and-control, and a workstation locking script to restrict legitimate access. The root cause was most likely the exploitation of a vulnerable Windows XP RPC service, compounded by poor security practices such as anonymous FTP access and an unnecessarily large number of exposed services. These findings underscore the importance of secure system configuration, prompt patch management, and continuous monitoring to protect organizational assets from compromise.</w:t>
      </w:r>
    </w:p>
    <w:p>
      <w:pPr>
        <w:pStyle w:val="Heading1"/>
        <w:spacing w:after="200" w:before="400"/>
      </w:pPr>
      <w:r>
        <w:rPr>
          <w:b/>
          <w:bCs/>
        </w:rPr>
        <w:t xml:space="preserve">References</w:t>
      </w:r>
    </w:p>
    <w:p>
      <w:pPr>
        <w:spacing w:after="200"/>
      </w:pPr>
      <w:r>
        <w:rPr>
          <w:sz w:val="22"/>
          <w:szCs w:val="22"/>
        </w:rPr>
        <w:t xml:space="preserve">Microsoft Corporation. (2003). MS03-026: Buffer Overrun in RPC Interface Could Allow Code Execution.</w:t>
      </w:r>
    </w:p>
    <w:p>
      <w:pPr>
        <w:spacing w:after="200"/>
      </w:pPr>
      <w:r>
        <w:rPr>
          <w:sz w:val="22"/>
          <w:szCs w:val="22"/>
        </w:rPr>
        <w:t xml:space="preserve">Nmap Project. Nmap Network Scanning Guide. https://nmap.org</w:t>
      </w:r>
    </w:p>
    <w:p>
      <w:pPr>
        <w:spacing w:after="200"/>
      </w:pPr>
      <w:r>
        <w:rPr>
          <w:sz w:val="22"/>
          <w:szCs w:val="22"/>
        </w:rPr>
        <w:t xml:space="preserve">Bejtlich, R. (2013). The Practice of Network Security Monitoring. No Starch Press.</w:t>
      </w:r>
    </w:p>
    <w:p>
      <w:pPr>
        <w:spacing w:after="200"/>
      </w:pPr>
      <w:r>
        <w:rPr>
          <w:sz w:val="22"/>
          <w:szCs w:val="22"/>
        </w:rPr>
        <w:t xml:space="preserve">Scarfone, K., &amp; Mell, P. National Institute of Standards and Technology (NIST). Guide to Intrusion Detection and Prevention Systems (IDPS).</w:t>
      </w:r>
    </w:p>
    <w:p>
      <w:pPr>
        <w:spacing w:after="200"/>
      </w:pPr>
      <w:r>
        <w:rPr>
          <w:sz w:val="22"/>
          <w:szCs w:val="22"/>
        </w:rPr>
        <w:t xml:space="preserve">Skoudis, E., &amp; Zeltser, L. (2004). Malware: Fighting Malicious Code. Prentice Hall.</w:t>
      </w:r>
    </w:p>
    <w:p>
      <w:pPr>
        <w:spacing w:after="200"/>
      </w:pPr>
      <w:r>
        <w:rPr>
          <w:sz w:val="22"/>
          <w:szCs w:val="22"/>
        </w:rPr>
        <w:t xml:space="preserve">Mandia, K., Prosise, C., &amp; Pepe, M. (2014). Incident Response and Computer Forensics. McGraw-Hill.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Uzoh, xeo102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9dd6139b5f42de0130f3f635d58589786d2fb.png"/><Relationship Id="rId10" Type="http://schemas.openxmlformats.org/officeDocument/2006/relationships/image" Target="media/16cea6dc8a6f488a289eb105b323bb0632e868c1.png"/><Relationship Id="rId11" Type="http://schemas.openxmlformats.org/officeDocument/2006/relationships/image" Target="media/c53a525d319823075375ad8f3a2ac70b7f3de707.png"/><Relationship Id="rId12" Type="http://schemas.openxmlformats.org/officeDocument/2006/relationships/image" Target="media/e4fdbd88a33c9ae2a3477facd01b5c36fb51a958.png"/><Relationship Id="rId13" Type="http://schemas.openxmlformats.org/officeDocument/2006/relationships/image" Target="media/9919d2706bb822cd9ce3ac3cb49976333cee1818.png"/><Relationship Id="rId14" Type="http://schemas.openxmlformats.org/officeDocument/2006/relationships/image" Target="media/ad6620a4aae662c05f1578f97035fae150ab4724.png"/><Relationship Id="rId15" Type="http://schemas.openxmlformats.org/officeDocument/2006/relationships/image" Target="media/48bd4208596b1b3c1237dffe41a5d51bacaeb31a.png"/><Relationship Id="rId16" Type="http://schemas.openxmlformats.org/officeDocument/2006/relationships/image" Target="media/c25821adaec68a9b7ed7de00436ddde198bb4be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2026-07-24T04:42:28.115Z</dcterms:created>
  <dcterms:modified xsi:type="dcterms:W3CDTF">2026-07-24T04:42:28.125Z</dcterms:modified>
</cp:coreProperties>
</file>

<file path=docProps/custom.xml><?xml version="1.0" encoding="utf-8"?>
<Properties xmlns="http://schemas.openxmlformats.org/officeDocument/2006/custom-properties" xmlns:vt="http://schemas.openxmlformats.org/officeDocument/2006/docPropsVTypes"/>
</file>