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AI Risk &amp; Governance Assessment</w:t>
      </w:r>
    </w:p>
    <w:p>
      <w:pPr>
        <w:spacing w:after="60"/>
      </w:pPr>
      <w:r>
        <w:rPr>
          <w:color w:val="44546A"/>
          <w:sz w:val="26"/>
          <w:szCs w:val="26"/>
        </w:rPr>
        <w:t xml:space="preserve">CVS Health — AI Use Case Review Against NIST AI RMF, ISO/IEC 42001, and EU AI Act Principles</w:t>
      </w:r>
    </w:p>
    <w:p>
      <w:pPr>
        <w:spacing w:after="300"/>
      </w:pPr>
      <w:r>
        <w:rPr>
          <w:i/>
          <w:iCs/>
          <w:color w:val="666666"/>
          <w:sz w:val="20"/>
          <w:szCs w:val="20"/>
        </w:rPr>
        <w:t xml:space="preserve">Prepared by Ikemuefuna Uzoh  |  GRC / AI Governance Portfolio Project  |  August 2026</w:t>
      </w:r>
    </w:p>
    <w:p>
      <w:pPr>
        <w:pBdr>
          <w:bottom w:val="single" w:color="999999" w:sz="6" w:space="1"/>
        </w:pBdr>
        <w:spacing w:after="200"/>
      </w:pPr>
    </w:p>
    <w:p>
      <w:pPr>
        <w:pStyle w:val="Heading1"/>
        <w:spacing w:after="150" w:before="300"/>
      </w:pPr>
      <w:r>
        <w:t xml:space="preserve">Executive Summary</w:t>
      </w:r>
    </w:p>
    <w:p>
      <w:pPr>
        <w:spacing w:after="120"/>
      </w:pPr>
      <w:r>
        <w:t xml:space="preserve">This report presents an independent AI governance and risk assessment of CVS Health's publicly disclosed artificial intelligence use cases, evaluated against three leading frameworks: the NIST AI Risk Management Framework (AI RMF), ISO/IEC 42001 (AI Management Systems), and the transparency and oversight principles of the EU AI Act.</w:t>
      </w:r>
    </w:p>
    <w:p>
      <w:pPr>
        <w:spacing w:after="120"/>
      </w:pPr>
      <w:r>
        <w:t xml:space="preserve">The assessment identifies five active AI use cases spanning consumer engagement, pharmacy operations, clinical documentation, and patient behavior modeling. While CVS Health has been publicly transparent about where it applies AI and has received industry recognition for measurable patient-safety outcomes, several governance elements — including a public AI governance policy, published risk/bias testing metrics, and documented human-override rights — are not evident in public disclosures. These gaps do not necessarily indicate the controls are absent internally, but their absence from public reporting represents a transparency and assurance gap worth flagging.</w:t>
      </w:r>
    </w:p>
    <w:p>
      <w:pPr>
        <w:spacing w:after="120"/>
      </w:pPr>
      <w:r>
        <w:rPr>
          <w:i/>
          <w:iCs/>
          <w:color w:val="555555"/>
        </w:rPr>
        <w:t xml:space="preserve">This assessment was conducted using only publicly available information (company press releases, executive statements, industry trade press, and award recognitions). No internal CVS Health data, employees, or systems were accessed. It is intended as a portfolio demonstration of GRC / AI governance assessment methodology, not an official or authorized audit of CVS Health.</w:t>
      </w:r>
    </w:p>
    <w:p>
      <w:pPr>
        <w:pStyle w:val="Heading1"/>
        <w:spacing w:after="150" w:before="300"/>
      </w:pPr>
      <w:r>
        <w:t xml:space="preserve">1. Scope of Assessment</w:t>
      </w:r>
    </w:p>
    <w:p>
      <w:pPr>
        <w:pStyle w:val="Heading2"/>
        <w:spacing w:after="120" w:before="240"/>
      </w:pPr>
      <w:r>
        <w:t xml:space="preserve">1.1 Assessment Boundaries</w:t>
      </w:r>
    </w:p>
    <w:p>
      <w:pPr>
        <w:pStyle w:val="ListParagraph"/>
        <w:numPr>
          <w:ilvl w:val="0"/>
          <w:numId w:val="2"/>
        </w:numPr>
        <w:spacing w:after="60"/>
      </w:pPr>
      <w:r>
        <w:rPr>
          <w:b w:val="false"/>
          <w:bCs w:val="false"/>
        </w:rPr>
        <w:t xml:space="preserve">Organization assessed: CVS Health (Retail Pharmacy, Aetna, Caremark PBM segments)</w:t>
      </w:r>
    </w:p>
    <w:p>
      <w:pPr>
        <w:pStyle w:val="ListParagraph"/>
        <w:numPr>
          <w:ilvl w:val="0"/>
          <w:numId w:val="2"/>
        </w:numPr>
        <w:spacing w:after="60"/>
      </w:pPr>
      <w:r>
        <w:rPr>
          <w:b w:val="false"/>
          <w:bCs w:val="false"/>
        </w:rPr>
        <w:t xml:space="preserve">Scope: Both internal/clinical AI use and customer-facing AI use, based on public disclosures</w:t>
      </w:r>
    </w:p>
    <w:p>
      <w:pPr>
        <w:pStyle w:val="ListParagraph"/>
        <w:numPr>
          <w:ilvl w:val="0"/>
          <w:numId w:val="2"/>
        </w:numPr>
        <w:spacing w:after="60"/>
      </w:pPr>
      <w:r>
        <w:rPr>
          <w:b w:val="false"/>
          <w:bCs w:val="false"/>
        </w:rPr>
        <w:t xml:space="preserve">Timeframe: Current state as of 2026, drawn from disclosures dated late 2025 through mid-2026</w:t>
      </w:r>
    </w:p>
    <w:p>
      <w:pPr>
        <w:pStyle w:val="ListParagraph"/>
        <w:numPr>
          <w:ilvl w:val="0"/>
          <w:numId w:val="2"/>
        </w:numPr>
        <w:spacing w:after="60"/>
      </w:pPr>
      <w:r>
        <w:rPr>
          <w:b w:val="false"/>
          <w:bCs w:val="false"/>
        </w:rPr>
        <w:t xml:space="preserve">In scope: The five AI tools identified through public reporting (Section 1.2)</w:t>
      </w:r>
    </w:p>
    <w:p>
      <w:pPr>
        <w:pStyle w:val="ListParagraph"/>
        <w:numPr>
          <w:ilvl w:val="0"/>
          <w:numId w:val="2"/>
        </w:numPr>
        <w:spacing w:after="60"/>
      </w:pPr>
      <w:r>
        <w:rPr>
          <w:b w:val="false"/>
          <w:bCs w:val="false"/>
        </w:rPr>
        <w:t xml:space="preserve">Out of scope: Any undisclosed internal AI systems; non-AI IT infrastructure</w:t>
      </w:r>
    </w:p>
    <w:p>
      <w:pPr>
        <w:pStyle w:val="Heading2"/>
        <w:spacing w:after="120" w:before="240"/>
      </w:pPr>
      <w:r>
        <w:t xml:space="preserve">1.2 AI Use Case Inventory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200"/>
        <w:gridCol w:w="21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Tool</w:t>
            </w:r>
          </w:p>
        </w:tc>
        <w:tc>
          <w:tcPr>
            <w:tcW w:type="dxa" w:w="2900"/>
            <w:shd w:fill="1F3864" w:val="clear"/>
            <w:tcMar>
              <w:top w:type="dxa" w:w="80"/>
              <w:left w:type="dxa" w:w="100"/>
              <w:bottom w:type="dxa" w:w="80"/>
              <w:right w:type="dxa" w:w="100"/>
            </w:tcMar>
            <w:vAlign w:val="center"/>
          </w:tcPr>
          <w:p>
            <w:r>
              <w:rPr>
                <w:b/>
                <w:bCs/>
                <w:color w:val="FFFFFF"/>
                <w:sz w:val="18"/>
                <w:szCs w:val="18"/>
              </w:rPr>
              <w:t xml:space="preserve">Purpose</w:t>
            </w:r>
          </w:p>
        </w:tc>
        <w:tc>
          <w:tcPr>
            <w:tcW w:type="dxa" w:w="2200"/>
            <w:shd w:fill="1F3864" w:val="clear"/>
            <w:tcMar>
              <w:top w:type="dxa" w:w="80"/>
              <w:left w:type="dxa" w:w="100"/>
              <w:bottom w:type="dxa" w:w="80"/>
              <w:right w:type="dxa" w:w="100"/>
            </w:tcMar>
            <w:vAlign w:val="center"/>
          </w:tcPr>
          <w:p>
            <w:r>
              <w:rPr>
                <w:b/>
                <w:bCs/>
                <w:color w:val="FFFFFF"/>
                <w:sz w:val="18"/>
                <w:szCs w:val="18"/>
              </w:rPr>
              <w:t xml:space="preserve">Data Used</w:t>
            </w:r>
          </w:p>
        </w:tc>
        <w:tc>
          <w:tcPr>
            <w:tcW w:type="dxa" w:w="2100"/>
            <w:shd w:fill="1F3864" w:val="clear"/>
            <w:tcMar>
              <w:top w:type="dxa" w:w="80"/>
              <w:left w:type="dxa" w:w="100"/>
              <w:bottom w:type="dxa" w:w="80"/>
              <w:right w:type="dxa" w:w="100"/>
            </w:tcMar>
            <w:vAlign w:val="center"/>
          </w:tcPr>
          <w:p>
            <w:r>
              <w:rPr>
                <w:b/>
                <w:bCs/>
                <w:color w:val="FFFFFF"/>
                <w:sz w:val="18"/>
                <w:szCs w:val="18"/>
              </w:rPr>
              <w:t xml:space="preserve">Human Review</w:t>
            </w:r>
          </w:p>
        </w:tc>
      </w:tr>
      <w:tr>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Health100 Consumer Platform (with Google)</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Agentic AI for navigating prescriptions, benefits, and care</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Consumer health/benefits data</w:t>
            </w:r>
          </w:p>
        </w:tc>
        <w:tc>
          <w:tcPr>
            <w:tcW w:type="dxa" w:w="2100"/>
            <w:shd w:fill="F2F2F2" w:val="clear"/>
            <w:tcMar>
              <w:top w:type="dxa" w:w="80"/>
              <w:left w:type="dxa" w:w="100"/>
              <w:bottom w:type="dxa" w:w="80"/>
              <w:right w:type="dxa" w:w="100"/>
            </w:tcMar>
            <w:vAlign w:val="center"/>
          </w:tcPr>
          <w:p>
            <w:r>
              <w:rPr>
                <w:b w:val="false"/>
                <w:bCs w:val="false"/>
                <w:color w:val="000000"/>
                <w:sz w:val="18"/>
                <w:szCs w:val="18"/>
              </w:rPr>
              <w:t xml:space="preserve">Not specified publicly</w:t>
            </w:r>
          </w:p>
        </w:tc>
      </w:tr>
      <w:tr>
        <w:tc>
          <w:tcPr>
            <w:tcW w:type="dxa" w:w="2600"/>
            <w:shd w:fill="FFFFFF" w:val="clear"/>
            <w:tcMar>
              <w:top w:type="dxa" w:w="80"/>
              <w:left w:type="dxa" w:w="100"/>
              <w:bottom w:type="dxa" w:w="80"/>
              <w:right w:type="dxa" w:w="100"/>
            </w:tcMar>
            <w:vAlign w:val="center"/>
          </w:tcPr>
          <w:p>
            <w:r>
              <w:rPr>
                <w:b w:val="false"/>
                <w:bCs w:val="false"/>
                <w:color w:val="000000"/>
                <w:sz w:val="18"/>
                <w:szCs w:val="18"/>
              </w:rPr>
              <w:t xml:space="preserve">AI Prescription Interpretation (LLM-based)</w:t>
            </w:r>
          </w:p>
        </w:tc>
        <w:tc>
          <w:tcPr>
            <w:tcW w:type="dxa" w:w="2900"/>
            <w:shd w:fill="FFFFFF" w:val="clear"/>
            <w:tcMar>
              <w:top w:type="dxa" w:w="80"/>
              <w:left w:type="dxa" w:w="100"/>
              <w:bottom w:type="dxa" w:w="80"/>
              <w:right w:type="dxa" w:w="100"/>
            </w:tcMar>
            <w:vAlign w:val="center"/>
          </w:tcPr>
          <w:p>
            <w:r>
              <w:rPr>
                <w:b w:val="false"/>
                <w:bCs w:val="false"/>
                <w:color w:val="000000"/>
                <w:sz w:val="18"/>
                <w:szCs w:val="18"/>
              </w:rPr>
              <w:t xml:space="preserve">Interprets e-prescription directions, calculates dosage/supply</w:t>
            </w:r>
          </w:p>
        </w:tc>
        <w:tc>
          <w:tcPr>
            <w:tcW w:type="dxa" w:w="2200"/>
            <w:shd w:fill="FFFFFF" w:val="clear"/>
            <w:tcMar>
              <w:top w:type="dxa" w:w="80"/>
              <w:left w:type="dxa" w:w="100"/>
              <w:bottom w:type="dxa" w:w="80"/>
              <w:right w:type="dxa" w:w="100"/>
            </w:tcMar>
            <w:vAlign w:val="center"/>
          </w:tcPr>
          <w:p>
            <w:r>
              <w:rPr>
                <w:b w:val="false"/>
                <w:bCs w:val="false"/>
                <w:color w:val="000000"/>
                <w:sz w:val="18"/>
                <w:szCs w:val="18"/>
              </w:rPr>
              <w:t xml:space="preserve">Prescription/dosage data</w:t>
            </w:r>
          </w:p>
        </w:tc>
        <w:tc>
          <w:tcPr>
            <w:tcW w:type="dxa" w:w="2100"/>
            <w:shd w:fill="FFFFFF" w:val="clear"/>
            <w:tcMar>
              <w:top w:type="dxa" w:w="80"/>
              <w:left w:type="dxa" w:w="100"/>
              <w:bottom w:type="dxa" w:w="80"/>
              <w:right w:type="dxa" w:w="100"/>
            </w:tcMar>
            <w:vAlign w:val="center"/>
          </w:tcPr>
          <w:p>
            <w:r>
              <w:rPr>
                <w:b w:val="false"/>
                <w:bCs w:val="false"/>
                <w:color w:val="000000"/>
                <w:sz w:val="18"/>
                <w:szCs w:val="18"/>
              </w:rPr>
              <w:t xml:space="preserve">Pharmacist oversight implied</w:t>
            </w:r>
          </w:p>
        </w:tc>
      </w:tr>
      <w:tr>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AI Adherence &amp; Outreach (Databricks/Azure)</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Predicts patient behavior, personalizes refill outreach</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Patient behavior, prescription history</w:t>
            </w:r>
          </w:p>
        </w:tc>
        <w:tc>
          <w:tcPr>
            <w:tcW w:type="dxa" w:w="2100"/>
            <w:shd w:fill="F2F2F2" w:val="clear"/>
            <w:tcMar>
              <w:top w:type="dxa" w:w="80"/>
              <w:left w:type="dxa" w:w="100"/>
              <w:bottom w:type="dxa" w:w="80"/>
              <w:right w:type="dxa" w:w="100"/>
            </w:tcMar>
            <w:vAlign w:val="center"/>
          </w:tcPr>
          <w:p>
            <w:r>
              <w:rPr>
                <w:b w:val="false"/>
                <w:bCs w:val="false"/>
                <w:color w:val="000000"/>
                <w:sz w:val="18"/>
                <w:szCs w:val="18"/>
              </w:rPr>
              <w:t xml:space="preserve">Not specified publicly</w:t>
            </w:r>
          </w:p>
        </w:tc>
      </w:tr>
      <w:tr>
        <w:tc>
          <w:tcPr>
            <w:tcW w:type="dxa" w:w="2600"/>
            <w:shd w:fill="FFFFFF" w:val="clear"/>
            <w:tcMar>
              <w:top w:type="dxa" w:w="80"/>
              <w:left w:type="dxa" w:w="100"/>
              <w:bottom w:type="dxa" w:w="80"/>
              <w:right w:type="dxa" w:w="100"/>
            </w:tcMar>
            <w:vAlign w:val="center"/>
          </w:tcPr>
          <w:p>
            <w:r>
              <w:rPr>
                <w:b w:val="false"/>
                <w:bCs w:val="false"/>
                <w:color w:val="000000"/>
                <w:sz w:val="18"/>
                <w:szCs w:val="18"/>
              </w:rPr>
              <w:t xml:space="preserve">Ambient AI Clinical Documentation</w:t>
            </w:r>
          </w:p>
        </w:tc>
        <w:tc>
          <w:tcPr>
            <w:tcW w:type="dxa" w:w="2900"/>
            <w:shd w:fill="FFFFFF" w:val="clear"/>
            <w:tcMar>
              <w:top w:type="dxa" w:w="80"/>
              <w:left w:type="dxa" w:w="100"/>
              <w:bottom w:type="dxa" w:w="80"/>
              <w:right w:type="dxa" w:w="100"/>
            </w:tcMar>
            <w:vAlign w:val="center"/>
          </w:tcPr>
          <w:p>
            <w:r>
              <w:rPr>
                <w:b w:val="false"/>
                <w:bCs w:val="false"/>
                <w:color w:val="000000"/>
                <w:sz w:val="18"/>
                <w:szCs w:val="18"/>
              </w:rPr>
              <w:t xml:space="preserve">Assists clinicians with documentation during care</w:t>
            </w:r>
          </w:p>
        </w:tc>
        <w:tc>
          <w:tcPr>
            <w:tcW w:type="dxa" w:w="2200"/>
            <w:shd w:fill="FFFFFF" w:val="clear"/>
            <w:tcMar>
              <w:top w:type="dxa" w:w="80"/>
              <w:left w:type="dxa" w:w="100"/>
              <w:bottom w:type="dxa" w:w="80"/>
              <w:right w:type="dxa" w:w="100"/>
            </w:tcMar>
            <w:vAlign w:val="center"/>
          </w:tcPr>
          <w:p>
            <w:r>
              <w:rPr>
                <w:b w:val="false"/>
                <w:bCs w:val="false"/>
                <w:color w:val="000000"/>
                <w:sz w:val="18"/>
                <w:szCs w:val="18"/>
              </w:rPr>
              <w:t xml:space="preserve">Clinical encounter data (PHI)</w:t>
            </w:r>
          </w:p>
        </w:tc>
        <w:tc>
          <w:tcPr>
            <w:tcW w:type="dxa" w:w="2100"/>
            <w:shd w:fill="FFFFFF" w:val="clear"/>
            <w:tcMar>
              <w:top w:type="dxa" w:w="80"/>
              <w:left w:type="dxa" w:w="100"/>
              <w:bottom w:type="dxa" w:w="80"/>
              <w:right w:type="dxa" w:w="100"/>
            </w:tcMar>
            <w:vAlign w:val="center"/>
          </w:tcPr>
          <w:p>
            <w:r>
              <w:rPr>
                <w:b w:val="false"/>
                <w:bCs w:val="false"/>
                <w:color w:val="000000"/>
                <w:sz w:val="18"/>
                <w:szCs w:val="18"/>
              </w:rPr>
              <w:t xml:space="preserve">Clinician-facing, assumed reviewed</w:t>
            </w:r>
          </w:p>
        </w:tc>
      </w:tr>
      <w:tr>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Generative Agent Patient Simulations</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Simulates patient groups to test communications pre-rollout</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Synthetic/simulated behavior data</w:t>
            </w:r>
          </w:p>
        </w:tc>
        <w:tc>
          <w:tcPr>
            <w:tcW w:type="dxa" w:w="2100"/>
            <w:shd w:fill="F2F2F2" w:val="clear"/>
            <w:tcMar>
              <w:top w:type="dxa" w:w="80"/>
              <w:left w:type="dxa" w:w="100"/>
              <w:bottom w:type="dxa" w:w="80"/>
              <w:right w:type="dxa" w:w="100"/>
            </w:tcMar>
            <w:vAlign w:val="center"/>
          </w:tcPr>
          <w:p>
            <w:r>
              <w:rPr>
                <w:b w:val="false"/>
                <w:bCs w:val="false"/>
                <w:color w:val="000000"/>
                <w:sz w:val="18"/>
                <w:szCs w:val="18"/>
              </w:rPr>
              <w:t xml:space="preserve">N/A — pre-rollout testing only</w:t>
            </w:r>
          </w:p>
        </w:tc>
      </w:tr>
    </w:tbl>
    <w:p>
      <w:pPr>
        <w:spacing w:after="200"/>
      </w:pPr>
    </w:p>
    <w:p>
      <w:pPr>
        <w:pStyle w:val="Heading2"/>
        <w:spacing w:after="120" w:before="240"/>
      </w:pPr>
      <w:r>
        <w:t xml:space="preserve">1.3 Evidence Sources</w:t>
      </w:r>
    </w:p>
    <w:p>
      <w:pPr>
        <w:spacing w:after="120"/>
      </w:pPr>
      <w:r>
        <w:t xml:space="preserve">Company press releases and CVS Health newsroom; Forbes coverage of the Google/Health100 partnership; Databricks case study; Newsweek 2026 AI Impact Award recognition; industry trade press (Chain Store Age, Drug Store News, FirstWord HealthTech).</w:t>
      </w:r>
    </w:p>
    <w:p>
      <w:pPr>
        <w:pStyle w:val="Heading1"/>
        <w:spacing w:after="150" w:before="300"/>
      </w:pPr>
      <w:r>
        <w:t xml:space="preserve">2. Framework Assessment: NIST AI RMF &amp; ISO/IEC 42001</w:t>
      </w:r>
    </w:p>
    <w:p>
      <w:pPr>
        <w:spacing w:after="120"/>
      </w:pPr>
      <w:r>
        <w:rPr>
          <w:i/>
          <w:iCs/>
          <w:color w:val="555555"/>
        </w:rPr>
        <w:t xml:space="preserve">Note: because this assessment relies on public information only, several "Partial" or "Not Met" ratings reflect a lack of public disclosure rather than confirmed absence of the control.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300"/>
        <w:gridCol w:w="3200"/>
      </w:tblGrid>
      <w:tr>
        <w:trPr>
          <w:tblHeader/>
        </w:trPr>
        <w:tc>
          <w:tcPr>
            <w:tcW w:type="dxa" w:w="2400"/>
            <w:shd w:fill="1F3864" w:val="clear"/>
            <w:tcMar>
              <w:top w:type="dxa" w:w="80"/>
              <w:left w:type="dxa" w:w="100"/>
              <w:bottom w:type="dxa" w:w="80"/>
              <w:right w:type="dxa" w:w="100"/>
            </w:tcMar>
            <w:vAlign w:val="center"/>
          </w:tcPr>
          <w:p>
            <w:r>
              <w:rPr>
                <w:b/>
                <w:bCs/>
                <w:color w:val="FFFFFF"/>
                <w:sz w:val="18"/>
                <w:szCs w:val="18"/>
              </w:rPr>
              <w:t xml:space="preserve">Area</w:t>
            </w:r>
          </w:p>
        </w:tc>
        <w:tc>
          <w:tcPr>
            <w:tcW w:type="dxa" w:w="1900"/>
            <w:shd w:fill="1F3864" w:val="clear"/>
            <w:tcMar>
              <w:top w:type="dxa" w:w="80"/>
              <w:left w:type="dxa" w:w="100"/>
              <w:bottom w:type="dxa" w:w="80"/>
              <w:right w:type="dxa" w:w="100"/>
            </w:tcMar>
            <w:vAlign w:val="center"/>
          </w:tcPr>
          <w:p>
            <w:r>
              <w:rPr>
                <w:b/>
                <w:bCs/>
                <w:color w:val="FFFFFF"/>
                <w:sz w:val="18"/>
                <w:szCs w:val="18"/>
              </w:rPr>
              <w:t xml:space="preserve">Framework</w:t>
            </w:r>
          </w:p>
        </w:tc>
        <w:tc>
          <w:tcPr>
            <w:tcW w:type="dxa" w:w="1300"/>
            <w:shd w:fill="1F3864" w:val="clear"/>
            <w:tcMar>
              <w:top w:type="dxa" w:w="80"/>
              <w:left w:type="dxa" w:w="100"/>
              <w:bottom w:type="dxa" w:w="80"/>
              <w:right w:type="dxa" w:w="100"/>
            </w:tcMar>
            <w:vAlign w:val="center"/>
          </w:tcPr>
          <w:p>
            <w:r>
              <w:rPr>
                <w:b/>
                <w:bCs/>
                <w:color w:val="FFFFFF"/>
                <w:sz w:val="18"/>
                <w:szCs w:val="18"/>
              </w:rPr>
              <w:t xml:space="preserve">Status</w:t>
            </w:r>
          </w:p>
        </w:tc>
        <w:tc>
          <w:tcPr>
            <w:tcW w:type="dxa" w:w="3200"/>
            <w:shd w:fill="1F3864" w:val="clear"/>
            <w:tcMar>
              <w:top w:type="dxa" w:w="80"/>
              <w:left w:type="dxa" w:w="100"/>
              <w:bottom w:type="dxa" w:w="80"/>
              <w:right w:type="dxa" w:w="100"/>
            </w:tcMar>
            <w:vAlign w:val="center"/>
          </w:tcPr>
          <w:p>
            <w:r>
              <w:rPr>
                <w:b/>
                <w:bCs/>
                <w:color w:val="FFFFFF"/>
                <w:sz w:val="18"/>
                <w:szCs w:val="18"/>
              </w:rPr>
              <w:t xml:space="preserve">Notes</w:t>
            </w:r>
          </w:p>
        </w:tc>
      </w:tr>
      <w:tr>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AI governance ownership</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NIST — Govern</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Partial</w:t>
            </w:r>
          </w:p>
        </w:tc>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Named executive (Ambrozie) but no public AI governance policy</w:t>
            </w:r>
          </w:p>
        </w:tc>
      </w:tr>
      <w:tr>
        <w:tc>
          <w:tcPr>
            <w:tcW w:type="dxa" w:w="2400"/>
            <w:shd w:fill="FFFFFF" w:val="clear"/>
            <w:tcMar>
              <w:top w:type="dxa" w:w="80"/>
              <w:left w:type="dxa" w:w="100"/>
              <w:bottom w:type="dxa" w:w="80"/>
              <w:right w:type="dxa" w:w="100"/>
            </w:tcMar>
            <w:vAlign w:val="center"/>
          </w:tcPr>
          <w:p>
            <w:r>
              <w:rPr>
                <w:b w:val="false"/>
                <w:bCs w:val="false"/>
                <w:color w:val="000000"/>
                <w:sz w:val="18"/>
                <w:szCs w:val="18"/>
              </w:rPr>
              <w:t xml:space="preserve">AI use-case inventory</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NIST — Map</w:t>
            </w:r>
          </w:p>
        </w:tc>
        <w:tc>
          <w:tcPr>
            <w:tcW w:type="dxa" w:w="1300"/>
            <w:shd w:fill="FFFFFF" w:val="clear"/>
            <w:tcMar>
              <w:top w:type="dxa" w:w="80"/>
              <w:left w:type="dxa" w:w="100"/>
              <w:bottom w:type="dxa" w:w="80"/>
              <w:right w:type="dxa" w:w="100"/>
            </w:tcMar>
            <w:vAlign w:val="center"/>
          </w:tcPr>
          <w:p>
            <w:r>
              <w:rPr>
                <w:b w:val="false"/>
                <w:bCs w:val="false"/>
                <w:color w:val="000000"/>
                <w:sz w:val="18"/>
                <w:szCs w:val="18"/>
              </w:rPr>
              <w:t xml:space="preserve">Met</w:t>
            </w:r>
          </w:p>
        </w:tc>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Well-documented publicly across pharmacy/clinical/consumer</w:t>
            </w:r>
          </w:p>
        </w:tc>
      </w:tr>
      <w:tr>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Risk/bias testing metrics</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NIST — Measure</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Not Met</w:t>
            </w:r>
          </w:p>
        </w:tc>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No public risk or bias testing data found</w:t>
            </w:r>
          </w:p>
        </w:tc>
      </w:tr>
      <w:tr>
        <w:tc>
          <w:tcPr>
            <w:tcW w:type="dxa" w:w="2400"/>
            <w:shd w:fill="FFFFFF" w:val="clear"/>
            <w:tcMar>
              <w:top w:type="dxa" w:w="80"/>
              <w:left w:type="dxa" w:w="100"/>
              <w:bottom w:type="dxa" w:w="80"/>
              <w:right w:type="dxa" w:w="100"/>
            </w:tcMar>
            <w:vAlign w:val="center"/>
          </w:tcPr>
          <w:p>
            <w:r>
              <w:rPr>
                <w:b w:val="false"/>
                <w:bCs w:val="false"/>
                <w:color w:val="000000"/>
                <w:sz w:val="18"/>
                <w:szCs w:val="18"/>
              </w:rPr>
              <w:t xml:space="preserve">AI incident response plan</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NIST — Manage</w:t>
            </w:r>
          </w:p>
        </w:tc>
        <w:tc>
          <w:tcPr>
            <w:tcW w:type="dxa" w:w="1300"/>
            <w:shd w:fill="FFFFFF" w:val="clear"/>
            <w:tcMar>
              <w:top w:type="dxa" w:w="80"/>
              <w:left w:type="dxa" w:w="100"/>
              <w:bottom w:type="dxa" w:w="80"/>
              <w:right w:type="dxa" w:w="100"/>
            </w:tcMar>
            <w:vAlign w:val="center"/>
          </w:tcPr>
          <w:p>
            <w:r>
              <w:rPr>
                <w:b w:val="false"/>
                <w:bCs w:val="false"/>
                <w:color w:val="000000"/>
                <w:sz w:val="18"/>
                <w:szCs w:val="18"/>
              </w:rPr>
              <w:t xml:space="preserve">Not Met</w:t>
            </w:r>
          </w:p>
        </w:tc>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No public disclosure found</w:t>
            </w:r>
          </w:p>
        </w:tc>
      </w:tr>
      <w:tr>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Formal accountability structure</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ISO/IEC 42001</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Not Met</w:t>
            </w:r>
          </w:p>
        </w:tc>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No named AI governance body found</w:t>
            </w:r>
          </w:p>
        </w:tc>
      </w:tr>
      <w:tr>
        <w:tc>
          <w:tcPr>
            <w:tcW w:type="dxa" w:w="2400"/>
            <w:shd w:fill="FFFFFF" w:val="clear"/>
            <w:tcMar>
              <w:top w:type="dxa" w:w="80"/>
              <w:left w:type="dxa" w:w="100"/>
              <w:bottom w:type="dxa" w:w="80"/>
              <w:right w:type="dxa" w:w="100"/>
            </w:tcMar>
            <w:vAlign w:val="center"/>
          </w:tcPr>
          <w:p>
            <w:r>
              <w:rPr>
                <w:b w:val="false"/>
                <w:bCs w:val="false"/>
                <w:color w:val="000000"/>
                <w:sz w:val="18"/>
                <w:szCs w:val="18"/>
              </w:rPr>
              <w:t xml:space="preserve">Human oversight controls</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ISO/IEC 42001</w:t>
            </w:r>
          </w:p>
        </w:tc>
        <w:tc>
          <w:tcPr>
            <w:tcW w:type="dxa" w:w="1300"/>
            <w:shd w:fill="FFFFFF" w:val="clear"/>
            <w:tcMar>
              <w:top w:type="dxa" w:w="80"/>
              <w:left w:type="dxa" w:w="100"/>
              <w:bottom w:type="dxa" w:w="80"/>
              <w:right w:type="dxa" w:w="100"/>
            </w:tcMar>
            <w:vAlign w:val="center"/>
          </w:tcPr>
          <w:p>
            <w:r>
              <w:rPr>
                <w:b w:val="false"/>
                <w:bCs w:val="false"/>
                <w:color w:val="000000"/>
                <w:sz w:val="18"/>
                <w:szCs w:val="18"/>
              </w:rPr>
              <w:t xml:space="preserve">Partial</w:t>
            </w:r>
          </w:p>
        </w:tc>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Implied via pharmacist/clinician-facing design, not detailed</w:t>
            </w:r>
          </w:p>
        </w:tc>
      </w:tr>
      <w:tr>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Pre-deployment testing</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ISO/IEC 42001</w:t>
            </w:r>
          </w:p>
        </w:tc>
        <w:tc>
          <w:tcPr>
            <w:tcW w:type="dxa" w:w="1300"/>
            <w:shd w:fill="F2F2F2" w:val="clear"/>
            <w:tcMar>
              <w:top w:type="dxa" w:w="80"/>
              <w:left w:type="dxa" w:w="100"/>
              <w:bottom w:type="dxa" w:w="80"/>
              <w:right w:type="dxa" w:w="100"/>
            </w:tcMar>
            <w:vAlign w:val="center"/>
          </w:tcPr>
          <w:p>
            <w:r>
              <w:rPr>
                <w:b w:val="false"/>
                <w:bCs w:val="false"/>
                <w:color w:val="000000"/>
                <w:sz w:val="18"/>
                <w:szCs w:val="18"/>
              </w:rPr>
              <w:t xml:space="preserve">Met</w:t>
            </w:r>
          </w:p>
        </w:tc>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Generative agent patient simulations serve this function</w:t>
            </w:r>
          </w:p>
        </w:tc>
      </w:tr>
    </w:tbl>
    <w:p>
      <w:pPr>
        <w:spacing w:after="200"/>
      </w:pPr>
    </w:p>
    <w:p>
      <w:pPr>
        <w:pStyle w:val="Heading1"/>
        <w:spacing w:after="150" w:before="300"/>
      </w:pPr>
      <w:r>
        <w:t xml:space="preserve">3. EU AI Act Principle Review</w:t>
      </w:r>
    </w:p>
    <w:p>
      <w:pPr>
        <w:spacing w:after="120"/>
      </w:pPr>
      <w:r>
        <w:rPr>
          <w:i/>
          <w:iCs/>
          <w:color w:val="555555"/>
        </w:rPr>
        <w:t xml:space="preserve">CVS Health is a US company and is not directly bound by the EU AI Act. This section applies the Act's risk-tiering and transparency principles as a best-practice lens, a common approach in GRC assessments to benchmark against a rigorous external standard even outside its jurisdiction.</w:t>
      </w:r>
    </w:p>
    <w:p>
      <w:pPr>
        <w:pStyle w:val="Heading2"/>
        <w:spacing w:after="120" w:before="240"/>
      </w:pPr>
      <w:r>
        <w:t xml:space="preserve">3.1 Risk Screening by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200"/>
        <w:gridCol w:w="2400"/>
      </w:tblGrid>
      <w:tr>
        <w:trPr>
          <w:tblHeader/>
        </w:trPr>
        <w:tc>
          <w:tcPr>
            <w:tcW w:type="dxa" w:w="2700"/>
            <w:shd w:fill="1F3864" w:val="clear"/>
            <w:tcMar>
              <w:top w:type="dxa" w:w="80"/>
              <w:left w:type="dxa" w:w="100"/>
              <w:bottom w:type="dxa" w:w="80"/>
              <w:right w:type="dxa" w:w="100"/>
            </w:tcMar>
            <w:vAlign w:val="center"/>
          </w:tcPr>
          <w:p>
            <w:r>
              <w:rPr>
                <w:b/>
                <w:bCs/>
                <w:color w:val="FFFFFF"/>
                <w:sz w:val="18"/>
                <w:szCs w:val="18"/>
              </w:rPr>
              <w:t xml:space="preserve">Tool</w:t>
            </w:r>
          </w:p>
        </w:tc>
        <w:tc>
          <w:tcPr>
            <w:tcW w:type="dxa" w:w="1700"/>
            <w:shd w:fill="1F3864" w:val="clear"/>
            <w:tcMar>
              <w:top w:type="dxa" w:w="80"/>
              <w:left w:type="dxa" w:w="100"/>
              <w:bottom w:type="dxa" w:w="80"/>
              <w:right w:type="dxa" w:w="100"/>
            </w:tcMar>
            <w:vAlign w:val="center"/>
          </w:tcPr>
          <w:p>
            <w:r>
              <w:rPr>
                <w:b/>
                <w:bCs/>
                <w:color w:val="FFFFFF"/>
                <w:sz w:val="18"/>
                <w:szCs w:val="18"/>
              </w:rPr>
              <w:t xml:space="preserve">Likely Risk Tier</w:t>
            </w:r>
          </w:p>
        </w:tc>
        <w:tc>
          <w:tcPr>
            <w:tcW w:type="dxa" w:w="2200"/>
            <w:shd w:fill="1F3864" w:val="clear"/>
            <w:tcMar>
              <w:top w:type="dxa" w:w="80"/>
              <w:left w:type="dxa" w:w="100"/>
              <w:bottom w:type="dxa" w:w="80"/>
              <w:right w:type="dxa" w:w="100"/>
            </w:tcMar>
            <w:vAlign w:val="center"/>
          </w:tcPr>
          <w:p>
            <w:r>
              <w:rPr>
                <w:b/>
                <w:bCs/>
                <w:color w:val="FFFFFF"/>
                <w:sz w:val="18"/>
                <w:szCs w:val="18"/>
              </w:rPr>
              <w:t xml:space="preserve">Who's Affected</w:t>
            </w:r>
          </w:p>
        </w:tc>
        <w:tc>
          <w:tcPr>
            <w:tcW w:type="dxa" w:w="2400"/>
            <w:shd w:fill="1F3864" w:val="clear"/>
            <w:tcMar>
              <w:top w:type="dxa" w:w="80"/>
              <w:left w:type="dxa" w:w="100"/>
              <w:bottom w:type="dxa" w:w="80"/>
              <w:right w:type="dxa" w:w="100"/>
            </w:tcMar>
            <w:vAlign w:val="center"/>
          </w:tcPr>
          <w:p>
            <w:r>
              <w:rPr>
                <w:b/>
                <w:bCs/>
                <w:color w:val="FFFFFF"/>
                <w:sz w:val="18"/>
                <w:szCs w:val="18"/>
              </w:rPr>
              <w:t xml:space="preserve">Transparency/Oversight Needed</w:t>
            </w:r>
          </w:p>
        </w:tc>
      </w:tr>
      <w:tr>
        <w:tc>
          <w:tcPr>
            <w:tcW w:type="dxa" w:w="2700"/>
            <w:shd w:fill="F2F2F2" w:val="clear"/>
            <w:tcMar>
              <w:top w:type="dxa" w:w="80"/>
              <w:left w:type="dxa" w:w="100"/>
              <w:bottom w:type="dxa" w:w="80"/>
              <w:right w:type="dxa" w:w="100"/>
            </w:tcMar>
            <w:vAlign w:val="center"/>
          </w:tcPr>
          <w:p>
            <w:r>
              <w:rPr>
                <w:b w:val="false"/>
                <w:bCs w:val="false"/>
                <w:color w:val="000000"/>
                <w:sz w:val="18"/>
                <w:szCs w:val="18"/>
              </w:rPr>
              <w:t xml:space="preserve">Health100 Consumer Platform</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Limited-risk</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Patients/consumers</w:t>
            </w:r>
          </w:p>
        </w:tc>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Yes — users should know AI is involved</w:t>
            </w:r>
          </w:p>
        </w:tc>
      </w:tr>
      <w:tr>
        <w:tc>
          <w:tcPr>
            <w:tcW w:type="dxa" w:w="2700"/>
            <w:shd w:fill="FFFFFF" w:val="clear"/>
            <w:tcMar>
              <w:top w:type="dxa" w:w="80"/>
              <w:left w:type="dxa" w:w="100"/>
              <w:bottom w:type="dxa" w:w="80"/>
              <w:right w:type="dxa" w:w="100"/>
            </w:tcMar>
            <w:vAlign w:val="center"/>
          </w:tcPr>
          <w:p>
            <w:r>
              <w:rPr>
                <w:b w:val="false"/>
                <w:bCs w:val="false"/>
                <w:color w:val="000000"/>
                <w:sz w:val="18"/>
                <w:szCs w:val="18"/>
              </w:rPr>
              <w:t xml:space="preserve">AI Prescription Interpretation</w:t>
            </w:r>
          </w:p>
        </w:tc>
        <w:tc>
          <w:tcPr>
            <w:tcW w:type="dxa" w:w="1700"/>
            <w:shd w:fill="FFFFFF" w:val="clear"/>
            <w:tcMar>
              <w:top w:type="dxa" w:w="80"/>
              <w:left w:type="dxa" w:w="100"/>
              <w:bottom w:type="dxa" w:w="80"/>
              <w:right w:type="dxa" w:w="100"/>
            </w:tcMar>
            <w:vAlign w:val="center"/>
          </w:tcPr>
          <w:p>
            <w:r>
              <w:rPr>
                <w:b w:val="false"/>
                <w:bCs w:val="false"/>
                <w:color w:val="000000"/>
                <w:sz w:val="18"/>
                <w:szCs w:val="18"/>
              </w:rPr>
              <w:t xml:space="preserve">High-risk</w:t>
            </w:r>
          </w:p>
        </w:tc>
        <w:tc>
          <w:tcPr>
            <w:tcW w:type="dxa" w:w="2200"/>
            <w:shd w:fill="FFFFFF" w:val="clear"/>
            <w:tcMar>
              <w:top w:type="dxa" w:w="80"/>
              <w:left w:type="dxa" w:w="100"/>
              <w:bottom w:type="dxa" w:w="80"/>
              <w:right w:type="dxa" w:w="100"/>
            </w:tcMar>
            <w:vAlign w:val="center"/>
          </w:tcPr>
          <w:p>
            <w:r>
              <w:rPr>
                <w:b w:val="false"/>
                <w:bCs w:val="false"/>
                <w:color w:val="000000"/>
                <w:sz w:val="18"/>
                <w:szCs w:val="18"/>
              </w:rPr>
              <w:t xml:space="preserve">Patients receiving prescriptions</w:t>
            </w:r>
          </w:p>
        </w:tc>
        <w:tc>
          <w:tcPr>
            <w:tcW w:type="dxa" w:w="2400"/>
            <w:shd w:fill="FFFFFF" w:val="clear"/>
            <w:tcMar>
              <w:top w:type="dxa" w:w="80"/>
              <w:left w:type="dxa" w:w="100"/>
              <w:bottom w:type="dxa" w:w="80"/>
              <w:right w:type="dxa" w:w="100"/>
            </w:tcMar>
            <w:vAlign w:val="center"/>
          </w:tcPr>
          <w:p>
            <w:r>
              <w:rPr>
                <w:b w:val="false"/>
                <w:bCs w:val="false"/>
                <w:color w:val="000000"/>
                <w:sz w:val="18"/>
                <w:szCs w:val="18"/>
              </w:rPr>
              <w:t xml:space="preserve">Yes — high stakes if misinterpreted</w:t>
            </w:r>
          </w:p>
        </w:tc>
      </w:tr>
      <w:tr>
        <w:tc>
          <w:tcPr>
            <w:tcW w:type="dxa" w:w="2700"/>
            <w:shd w:fill="F2F2F2" w:val="clear"/>
            <w:tcMar>
              <w:top w:type="dxa" w:w="80"/>
              <w:left w:type="dxa" w:w="100"/>
              <w:bottom w:type="dxa" w:w="80"/>
              <w:right w:type="dxa" w:w="100"/>
            </w:tcMar>
            <w:vAlign w:val="center"/>
          </w:tcPr>
          <w:p>
            <w:r>
              <w:rPr>
                <w:b w:val="false"/>
                <w:bCs w:val="false"/>
                <w:color w:val="000000"/>
                <w:sz w:val="18"/>
                <w:szCs w:val="18"/>
              </w:rPr>
              <w:t xml:space="preserve">AI Adherence &amp; Outreach</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Limited-risk</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Patients with chronic conditions</w:t>
            </w:r>
          </w:p>
        </w:tc>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Moderate — behavioral profiling</w:t>
            </w:r>
          </w:p>
        </w:tc>
      </w:tr>
      <w:tr>
        <w:tc>
          <w:tcPr>
            <w:tcW w:type="dxa" w:w="2700"/>
            <w:shd w:fill="FFFFFF" w:val="clear"/>
            <w:tcMar>
              <w:top w:type="dxa" w:w="80"/>
              <w:left w:type="dxa" w:w="100"/>
              <w:bottom w:type="dxa" w:w="80"/>
              <w:right w:type="dxa" w:w="100"/>
            </w:tcMar>
            <w:vAlign w:val="center"/>
          </w:tcPr>
          <w:p>
            <w:r>
              <w:rPr>
                <w:b w:val="false"/>
                <w:bCs w:val="false"/>
                <w:color w:val="000000"/>
                <w:sz w:val="18"/>
                <w:szCs w:val="18"/>
              </w:rPr>
              <w:t xml:space="preserve">Ambient Clinical Documentation</w:t>
            </w:r>
          </w:p>
        </w:tc>
        <w:tc>
          <w:tcPr>
            <w:tcW w:type="dxa" w:w="1700"/>
            <w:shd w:fill="FFFFFF" w:val="clear"/>
            <w:tcMar>
              <w:top w:type="dxa" w:w="80"/>
              <w:left w:type="dxa" w:w="100"/>
              <w:bottom w:type="dxa" w:w="80"/>
              <w:right w:type="dxa" w:w="100"/>
            </w:tcMar>
            <w:vAlign w:val="center"/>
          </w:tcPr>
          <w:p>
            <w:r>
              <w:rPr>
                <w:b w:val="false"/>
                <w:bCs w:val="false"/>
                <w:color w:val="000000"/>
                <w:sz w:val="18"/>
                <w:szCs w:val="18"/>
              </w:rPr>
              <w:t xml:space="preserve">High-risk</w:t>
            </w:r>
          </w:p>
        </w:tc>
        <w:tc>
          <w:tcPr>
            <w:tcW w:type="dxa" w:w="2200"/>
            <w:shd w:fill="FFFFFF" w:val="clear"/>
            <w:tcMar>
              <w:top w:type="dxa" w:w="80"/>
              <w:left w:type="dxa" w:w="100"/>
              <w:bottom w:type="dxa" w:w="80"/>
              <w:right w:type="dxa" w:w="100"/>
            </w:tcMar>
            <w:vAlign w:val="center"/>
          </w:tcPr>
          <w:p>
            <w:r>
              <w:rPr>
                <w:b w:val="false"/>
                <w:bCs w:val="false"/>
                <w:color w:val="000000"/>
                <w:sz w:val="18"/>
                <w:szCs w:val="18"/>
              </w:rPr>
              <w:t xml:space="preserve">Patients, via clinical record</w:t>
            </w:r>
          </w:p>
        </w:tc>
        <w:tc>
          <w:tcPr>
            <w:tcW w:type="dxa" w:w="2400"/>
            <w:shd w:fill="FFFFFF" w:val="clear"/>
            <w:tcMar>
              <w:top w:type="dxa" w:w="80"/>
              <w:left w:type="dxa" w:w="100"/>
              <w:bottom w:type="dxa" w:w="80"/>
              <w:right w:type="dxa" w:w="100"/>
            </w:tcMar>
            <w:vAlign w:val="center"/>
          </w:tcPr>
          <w:p>
            <w:r>
              <w:rPr>
                <w:b w:val="false"/>
                <w:bCs w:val="false"/>
                <w:color w:val="000000"/>
                <w:sz w:val="18"/>
                <w:szCs w:val="18"/>
              </w:rPr>
              <w:t xml:space="preserve">Yes — accuracy affects care records</w:t>
            </w:r>
          </w:p>
        </w:tc>
      </w:tr>
      <w:tr>
        <w:tc>
          <w:tcPr>
            <w:tcW w:type="dxa" w:w="2700"/>
            <w:shd w:fill="F2F2F2" w:val="clear"/>
            <w:tcMar>
              <w:top w:type="dxa" w:w="80"/>
              <w:left w:type="dxa" w:w="100"/>
              <w:bottom w:type="dxa" w:w="80"/>
              <w:right w:type="dxa" w:w="100"/>
            </w:tcMar>
            <w:vAlign w:val="center"/>
          </w:tcPr>
          <w:p>
            <w:r>
              <w:rPr>
                <w:b w:val="false"/>
                <w:bCs w:val="false"/>
                <w:color w:val="000000"/>
                <w:sz w:val="18"/>
                <w:szCs w:val="18"/>
              </w:rPr>
              <w:t xml:space="preserve">Generative Patient Simulations</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Minimal-risk</w:t>
            </w:r>
          </w:p>
        </w:tc>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No real patients directly</w:t>
            </w:r>
          </w:p>
        </w:tc>
        <w:tc>
          <w:tcPr>
            <w:tcW w:type="dxa" w:w="2400"/>
            <w:shd w:fill="F2F2F2" w:val="clear"/>
            <w:tcMar>
              <w:top w:type="dxa" w:w="80"/>
              <w:left w:type="dxa" w:w="100"/>
              <w:bottom w:type="dxa" w:w="80"/>
              <w:right w:type="dxa" w:w="100"/>
            </w:tcMar>
            <w:vAlign w:val="center"/>
          </w:tcPr>
          <w:p>
            <w:r>
              <w:rPr>
                <w:b w:val="false"/>
                <w:bCs w:val="false"/>
                <w:color w:val="000000"/>
                <w:sz w:val="18"/>
                <w:szCs w:val="18"/>
              </w:rPr>
              <w:t xml:space="preserve">Low — confirm no real data leakage</w:t>
            </w:r>
          </w:p>
        </w:tc>
      </w:tr>
    </w:tbl>
    <w:p>
      <w:pPr>
        <w:spacing w:after="200"/>
      </w:pPr>
    </w:p>
    <w:p>
      <w:pPr>
        <w:pStyle w:val="Heading2"/>
        <w:spacing w:after="120" w:before="240"/>
      </w:pPr>
      <w:r>
        <w:t xml:space="preserve">3.2 Key Gaps Against EU AI Act Principles</w:t>
      </w:r>
    </w:p>
    <w:p>
      <w:pPr>
        <w:pStyle w:val="ListParagraph"/>
        <w:numPr>
          <w:ilvl w:val="0"/>
          <w:numId w:val="2"/>
        </w:numPr>
        <w:spacing w:after="60"/>
      </w:pPr>
      <w:r>
        <w:rPr>
          <w:b w:val="false"/>
          <w:bCs w:val="false"/>
        </w:rPr>
        <w:t xml:space="preserve">Transparency to users: not clearly disclosed whether patients are told they are interacting with AI (chatbot, Health100)</w:t>
      </w:r>
    </w:p>
    <w:p>
      <w:pPr>
        <w:pStyle w:val="ListParagraph"/>
        <w:numPr>
          <w:ilvl w:val="0"/>
          <w:numId w:val="2"/>
        </w:numPr>
        <w:spacing w:after="60"/>
      </w:pPr>
      <w:r>
        <w:rPr>
          <w:b w:val="false"/>
          <w:bCs w:val="false"/>
        </w:rPr>
        <w:t xml:space="preserve">Human oversight/escalation: implied for pharmacy and clinical documentation, but not explicit for consumer chatbot interactions</w:t>
      </w:r>
    </w:p>
    <w:p>
      <w:pPr>
        <w:pStyle w:val="ListParagraph"/>
        <w:numPr>
          <w:ilvl w:val="0"/>
          <w:numId w:val="2"/>
        </w:numPr>
        <w:spacing w:after="60"/>
      </w:pPr>
      <w:r>
        <w:rPr>
          <w:b w:val="false"/>
          <w:bCs w:val="false"/>
        </w:rPr>
        <w:t xml:space="preserve">Data quality/governance: real patient behavior data is used (Databricks partnership); no public detail on data quality controls</w:t>
      </w:r>
    </w:p>
    <w:p>
      <w:pPr>
        <w:pStyle w:val="ListParagraph"/>
        <w:numPr>
          <w:ilvl w:val="0"/>
          <w:numId w:val="2"/>
        </w:numPr>
        <w:spacing w:after="60"/>
      </w:pPr>
      <w:r>
        <w:rPr>
          <w:b w:val="false"/>
          <w:bCs w:val="false"/>
        </w:rPr>
        <w:t xml:space="preserve">Accuracy/robustness: external validation exists for the prescription tool (Newsweek award); not seen for other tools</w:t>
      </w:r>
    </w:p>
    <w:p>
      <w:pPr>
        <w:pStyle w:val="ListParagraph"/>
        <w:numPr>
          <w:ilvl w:val="0"/>
          <w:numId w:val="2"/>
        </w:numPr>
        <w:spacing w:after="60"/>
      </w:pPr>
      <w:r>
        <w:rPr>
          <w:b w:val="false"/>
          <w:bCs w:val="false"/>
        </w:rPr>
        <w:t xml:space="preserve">Record-keeping and accountability: no public documentation practices disclosed; only one named executive across all tools</w:t>
      </w:r>
    </w:p>
    <w:p>
      <w:pPr>
        <w:pStyle w:val="Heading1"/>
        <w:spacing w:after="150" w:before="300"/>
      </w:pPr>
      <w:r>
        <w:t xml:space="preserve">4. Identified Gaps &amp; Risk Ratings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900"/>
        <w:gridCol w:w="1700"/>
      </w:tblGrid>
      <w:tr>
        <w:trPr>
          <w:tblHeader/>
        </w:trPr>
        <w:tc>
          <w:tcPr>
            <w:tcW w:type="dxa" w:w="3400"/>
            <w:shd w:fill="1F3864" w:val="clear"/>
            <w:tcMar>
              <w:top w:type="dxa" w:w="80"/>
              <w:left w:type="dxa" w:w="100"/>
              <w:bottom w:type="dxa" w:w="80"/>
              <w:right w:type="dxa" w:w="100"/>
            </w:tcMar>
            <w:vAlign w:val="center"/>
          </w:tcPr>
          <w:p>
            <w:r>
              <w:rPr>
                <w:b/>
                <w:bCs/>
                <w:color w:val="FFFFFF"/>
                <w:sz w:val="18"/>
                <w:szCs w:val="18"/>
              </w:rPr>
              <w:t xml:space="preserve">Gap</w:t>
            </w:r>
          </w:p>
        </w:tc>
        <w:tc>
          <w:tcPr>
            <w:tcW w:type="dxa" w:w="2000"/>
            <w:shd w:fill="1F3864" w:val="clear"/>
            <w:tcMar>
              <w:top w:type="dxa" w:w="80"/>
              <w:left w:type="dxa" w:w="100"/>
              <w:bottom w:type="dxa" w:w="80"/>
              <w:right w:type="dxa" w:w="100"/>
            </w:tcMar>
            <w:vAlign w:val="center"/>
          </w:tcPr>
          <w:p>
            <w:r>
              <w:rPr>
                <w:b/>
                <w:bCs/>
                <w:color w:val="FFFFFF"/>
                <w:sz w:val="18"/>
                <w:szCs w:val="18"/>
              </w:rPr>
              <w:t xml:space="preserve">Framework/Principle</w:t>
            </w:r>
          </w:p>
        </w:tc>
        <w:tc>
          <w:tcPr>
            <w:tcW w:type="dxa" w:w="2900"/>
            <w:shd w:fill="1F3864" w:val="clear"/>
            <w:tcMar>
              <w:top w:type="dxa" w:w="80"/>
              <w:left w:type="dxa" w:w="100"/>
              <w:bottom w:type="dxa" w:w="80"/>
              <w:right w:type="dxa" w:w="100"/>
            </w:tcMar>
            <w:vAlign w:val="center"/>
          </w:tcPr>
          <w:p>
            <w:r>
              <w:rPr>
                <w:b/>
                <w:bCs/>
                <w:color w:val="FFFFFF"/>
                <w:sz w:val="18"/>
                <w:szCs w:val="18"/>
              </w:rPr>
              <w:t xml:space="preserve">Impact</w:t>
            </w:r>
          </w:p>
        </w:tc>
        <w:tc>
          <w:tcPr>
            <w:tcW w:type="dxa" w:w="1700"/>
            <w:shd w:fill="1F3864" w:val="clear"/>
            <w:tcMar>
              <w:top w:type="dxa" w:w="80"/>
              <w:left w:type="dxa" w:w="100"/>
              <w:bottom w:type="dxa" w:w="80"/>
              <w:right w:type="dxa" w:w="100"/>
            </w:tcMar>
            <w:vAlign w:val="center"/>
          </w:tcPr>
          <w:p>
            <w:r>
              <w:rPr>
                <w:b/>
                <w:bCs/>
                <w:color w:val="FFFFFF"/>
                <w:sz w:val="18"/>
                <w:szCs w:val="18"/>
              </w:rPr>
              <w:t xml:space="preserve">Severity</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No public AI governance policy or ethics board</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NIST Govern / ISO 42001</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Unclear accountability if an AI tool causes harm</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High</w:t>
            </w:r>
          </w:p>
        </w:tc>
      </w:tr>
      <w:tr>
        <w:tc>
          <w:tcPr>
            <w:tcW w:type="dxa" w:w="3400"/>
            <w:shd w:fill="FFFFFF" w:val="clear"/>
            <w:tcMar>
              <w:top w:type="dxa" w:w="80"/>
              <w:left w:type="dxa" w:w="100"/>
              <w:bottom w:type="dxa" w:w="80"/>
              <w:right w:type="dxa" w:w="100"/>
            </w:tcMar>
            <w:vAlign w:val="center"/>
          </w:tcPr>
          <w:p>
            <w:r>
              <w:rPr>
                <w:b w:val="false"/>
                <w:bCs w:val="false"/>
                <w:color w:val="000000"/>
                <w:sz w:val="18"/>
                <w:szCs w:val="18"/>
              </w:rPr>
              <w:t xml:space="preserve">No public risk/bias testing metrics</w:t>
            </w:r>
          </w:p>
        </w:tc>
        <w:tc>
          <w:tcPr>
            <w:tcW w:type="dxa" w:w="2000"/>
            <w:shd w:fill="FFFFFF" w:val="clear"/>
            <w:tcMar>
              <w:top w:type="dxa" w:w="80"/>
              <w:left w:type="dxa" w:w="100"/>
              <w:bottom w:type="dxa" w:w="80"/>
              <w:right w:type="dxa" w:w="100"/>
            </w:tcMar>
            <w:vAlign w:val="center"/>
          </w:tcPr>
          <w:p>
            <w:r>
              <w:rPr>
                <w:b w:val="false"/>
                <w:bCs w:val="false"/>
                <w:color w:val="000000"/>
                <w:sz w:val="18"/>
                <w:szCs w:val="18"/>
              </w:rPr>
              <w:t xml:space="preserve">NIST Measure</w:t>
            </w:r>
          </w:p>
        </w:tc>
        <w:tc>
          <w:tcPr>
            <w:tcW w:type="dxa" w:w="2900"/>
            <w:shd w:fill="FFFFFF" w:val="clear"/>
            <w:tcMar>
              <w:top w:type="dxa" w:w="80"/>
              <w:left w:type="dxa" w:w="100"/>
              <w:bottom w:type="dxa" w:w="80"/>
              <w:right w:type="dxa" w:w="100"/>
            </w:tcMar>
            <w:vAlign w:val="center"/>
          </w:tcPr>
          <w:p>
            <w:r>
              <w:rPr>
                <w:b w:val="false"/>
                <w:bCs w:val="false"/>
                <w:color w:val="000000"/>
                <w:sz w:val="18"/>
                <w:szCs w:val="18"/>
              </w:rPr>
              <w:t xml:space="preserve">Cannot verify tools are tested across patient demographics</w:t>
            </w:r>
          </w:p>
        </w:tc>
        <w:tc>
          <w:tcPr>
            <w:tcW w:type="dxa" w:w="1700"/>
            <w:shd w:fill="FFFFFF" w:val="clear"/>
            <w:tcMar>
              <w:top w:type="dxa" w:w="80"/>
              <w:left w:type="dxa" w:w="100"/>
              <w:bottom w:type="dxa" w:w="80"/>
              <w:right w:type="dxa" w:w="100"/>
            </w:tcMar>
            <w:vAlign w:val="center"/>
          </w:tcPr>
          <w:p>
            <w:r>
              <w:rPr>
                <w:b w:val="false"/>
                <w:bCs w:val="false"/>
                <w:color w:val="000000"/>
                <w:sz w:val="18"/>
                <w:szCs w:val="18"/>
              </w:rPr>
              <w:t xml:space="preserve">High</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No public AI incident response plan</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NIST Manage</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Unclear response process for an AI failure</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High</w:t>
            </w:r>
          </w:p>
        </w:tc>
      </w:tr>
      <w:tr>
        <w:tc>
          <w:tcPr>
            <w:tcW w:type="dxa" w:w="3400"/>
            <w:shd w:fill="FFFFFF" w:val="clear"/>
            <w:tcMar>
              <w:top w:type="dxa" w:w="80"/>
              <w:left w:type="dxa" w:w="100"/>
              <w:bottom w:type="dxa" w:w="80"/>
              <w:right w:type="dxa" w:w="100"/>
            </w:tcMar>
            <w:vAlign w:val="center"/>
          </w:tcPr>
          <w:p>
            <w:r>
              <w:rPr>
                <w:b w:val="false"/>
                <w:bCs w:val="false"/>
                <w:color w:val="000000"/>
                <w:sz w:val="18"/>
                <w:szCs w:val="18"/>
              </w:rPr>
              <w:t xml:space="preserve">Unclear consumer transparency about AI interactions</w:t>
            </w:r>
          </w:p>
        </w:tc>
        <w:tc>
          <w:tcPr>
            <w:tcW w:type="dxa" w:w="2000"/>
            <w:shd w:fill="FFFFFF" w:val="clear"/>
            <w:tcMar>
              <w:top w:type="dxa" w:w="80"/>
              <w:left w:type="dxa" w:w="100"/>
              <w:bottom w:type="dxa" w:w="80"/>
              <w:right w:type="dxa" w:w="100"/>
            </w:tcMar>
            <w:vAlign w:val="center"/>
          </w:tcPr>
          <w:p>
            <w:r>
              <w:rPr>
                <w:b w:val="false"/>
                <w:bCs w:val="false"/>
                <w:color w:val="000000"/>
                <w:sz w:val="18"/>
                <w:szCs w:val="18"/>
              </w:rPr>
              <w:t xml:space="preserve">EU AI Act</w:t>
            </w:r>
          </w:p>
        </w:tc>
        <w:tc>
          <w:tcPr>
            <w:tcW w:type="dxa" w:w="2900"/>
            <w:shd w:fill="FFFFFF" w:val="clear"/>
            <w:tcMar>
              <w:top w:type="dxa" w:w="80"/>
              <w:left w:type="dxa" w:w="100"/>
              <w:bottom w:type="dxa" w:w="80"/>
              <w:right w:type="dxa" w:w="100"/>
            </w:tcMar>
            <w:vAlign w:val="center"/>
          </w:tcPr>
          <w:p>
            <w:r>
              <w:rPr>
                <w:b w:val="false"/>
                <w:bCs w:val="false"/>
                <w:color w:val="000000"/>
                <w:sz w:val="18"/>
                <w:szCs w:val="18"/>
              </w:rPr>
              <w:t xml:space="preserve">Patients may not know they're engaging with AI</w:t>
            </w:r>
          </w:p>
        </w:tc>
        <w:tc>
          <w:tcPr>
            <w:tcW w:type="dxa" w:w="1700"/>
            <w:shd w:fill="FFFFFF" w:val="clear"/>
            <w:tcMar>
              <w:top w:type="dxa" w:w="80"/>
              <w:left w:type="dxa" w:w="100"/>
              <w:bottom w:type="dxa" w:w="80"/>
              <w:right w:type="dxa" w:w="100"/>
            </w:tcMar>
            <w:vAlign w:val="center"/>
          </w:tcPr>
          <w:p>
            <w:r>
              <w:rPr>
                <w:b w:val="false"/>
                <w:bCs w:val="false"/>
                <w:color w:val="000000"/>
                <w:sz w:val="18"/>
                <w:szCs w:val="18"/>
              </w:rPr>
              <w:t xml:space="preserve">Medium</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No named accountability owner per tool</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ISO 42001 / EU AI Act</w:t>
            </w:r>
          </w:p>
        </w:tc>
        <w:tc>
          <w:tcPr>
            <w:tcW w:type="dxa" w:w="2900"/>
            <w:shd w:fill="F2F2F2" w:val="clear"/>
            <w:tcMar>
              <w:top w:type="dxa" w:w="80"/>
              <w:left w:type="dxa" w:w="100"/>
              <w:bottom w:type="dxa" w:w="80"/>
              <w:right w:type="dxa" w:w="100"/>
            </w:tcMar>
            <w:vAlign w:val="center"/>
          </w:tcPr>
          <w:p>
            <w:r>
              <w:rPr>
                <w:b w:val="false"/>
                <w:bCs w:val="false"/>
                <w:color w:val="000000"/>
                <w:sz w:val="18"/>
                <w:szCs w:val="18"/>
              </w:rPr>
              <w:t xml:space="preserve">Diffuse responsibility across five distinct tools</w:t>
            </w:r>
          </w:p>
        </w:tc>
        <w:tc>
          <w:tcPr>
            <w:tcW w:type="dxa" w:w="1700"/>
            <w:shd w:fill="F2F2F2" w:val="clear"/>
            <w:tcMar>
              <w:top w:type="dxa" w:w="80"/>
              <w:left w:type="dxa" w:w="100"/>
              <w:bottom w:type="dxa" w:w="80"/>
              <w:right w:type="dxa" w:w="100"/>
            </w:tcMar>
            <w:vAlign w:val="center"/>
          </w:tcPr>
          <w:p>
            <w:r>
              <w:rPr>
                <w:b w:val="false"/>
                <w:bCs w:val="false"/>
                <w:color w:val="000000"/>
                <w:sz w:val="18"/>
                <w:szCs w:val="18"/>
              </w:rPr>
              <w:t xml:space="preserve">Medium</w:t>
            </w:r>
          </w:p>
        </w:tc>
      </w:tr>
      <w:tr>
        <w:tc>
          <w:tcPr>
            <w:tcW w:type="dxa" w:w="3400"/>
            <w:shd w:fill="FFFFFF" w:val="clear"/>
            <w:tcMar>
              <w:top w:type="dxa" w:w="80"/>
              <w:left w:type="dxa" w:w="100"/>
              <w:bottom w:type="dxa" w:w="80"/>
              <w:right w:type="dxa" w:w="100"/>
            </w:tcMar>
            <w:vAlign w:val="center"/>
          </w:tcPr>
          <w:p>
            <w:r>
              <w:rPr>
                <w:b w:val="false"/>
                <w:bCs w:val="false"/>
                <w:color w:val="000000"/>
                <w:sz w:val="18"/>
                <w:szCs w:val="18"/>
              </w:rPr>
              <w:t xml:space="preserve">No documented human-override rights for high-risk tools</w:t>
            </w:r>
          </w:p>
        </w:tc>
        <w:tc>
          <w:tcPr>
            <w:tcW w:type="dxa" w:w="2000"/>
            <w:shd w:fill="FFFFFF" w:val="clear"/>
            <w:tcMar>
              <w:top w:type="dxa" w:w="80"/>
              <w:left w:type="dxa" w:w="100"/>
              <w:bottom w:type="dxa" w:w="80"/>
              <w:right w:type="dxa" w:w="100"/>
            </w:tcMar>
            <w:vAlign w:val="center"/>
          </w:tcPr>
          <w:p>
            <w:r>
              <w:rPr>
                <w:b w:val="false"/>
                <w:bCs w:val="false"/>
                <w:color w:val="000000"/>
                <w:sz w:val="18"/>
                <w:szCs w:val="18"/>
              </w:rPr>
              <w:t xml:space="preserve">EU AI Act</w:t>
            </w:r>
          </w:p>
        </w:tc>
        <w:tc>
          <w:tcPr>
            <w:tcW w:type="dxa" w:w="2900"/>
            <w:shd w:fill="FFFFFF" w:val="clear"/>
            <w:tcMar>
              <w:top w:type="dxa" w:w="80"/>
              <w:left w:type="dxa" w:w="100"/>
              <w:bottom w:type="dxa" w:w="80"/>
              <w:right w:type="dxa" w:w="100"/>
            </w:tcMar>
            <w:vAlign w:val="center"/>
          </w:tcPr>
          <w:p>
            <w:r>
              <w:rPr>
                <w:b w:val="false"/>
                <w:bCs w:val="false"/>
                <w:color w:val="000000"/>
                <w:sz w:val="18"/>
                <w:szCs w:val="18"/>
              </w:rPr>
              <w:t xml:space="preserve">Cannot confirm override rights are guaranteed, not just assumed</w:t>
            </w:r>
          </w:p>
        </w:tc>
        <w:tc>
          <w:tcPr>
            <w:tcW w:type="dxa" w:w="1700"/>
            <w:shd w:fill="FFFFFF" w:val="clear"/>
            <w:tcMar>
              <w:top w:type="dxa" w:w="80"/>
              <w:left w:type="dxa" w:w="100"/>
              <w:bottom w:type="dxa" w:w="80"/>
              <w:right w:type="dxa" w:w="100"/>
            </w:tcMar>
            <w:vAlign w:val="center"/>
          </w:tcPr>
          <w:p>
            <w:r>
              <w:rPr>
                <w:b w:val="false"/>
                <w:bCs w:val="false"/>
                <w:color w:val="000000"/>
                <w:sz w:val="18"/>
                <w:szCs w:val="18"/>
              </w:rPr>
              <w:t xml:space="preserve">Medium</w:t>
            </w:r>
          </w:p>
        </w:tc>
      </w:tr>
    </w:tbl>
    <w:p>
      <w:pPr>
        <w:spacing w:after="200"/>
      </w:pPr>
    </w:p>
    <w:p>
      <w:pPr>
        <w:pStyle w:val="Heading1"/>
        <w:spacing w:after="150" w:before="300"/>
      </w:pPr>
      <w:r>
        <w:t xml:space="preserve">5. Governance Improvement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1900"/>
        <w:gridCol w:w="2600"/>
      </w:tblGrid>
      <w:tr>
        <w:trPr>
          <w:tblHeader/>
        </w:trPr>
        <w:tc>
          <w:tcPr>
            <w:tcW w:type="dxa" w:w="3200"/>
            <w:shd w:fill="1F3864" w:val="clear"/>
            <w:tcMar>
              <w:top w:type="dxa" w:w="80"/>
              <w:left w:type="dxa" w:w="100"/>
              <w:bottom w:type="dxa" w:w="80"/>
              <w:right w:type="dxa" w:w="100"/>
            </w:tcMar>
            <w:vAlign w:val="center"/>
          </w:tcPr>
          <w:p>
            <w:r>
              <w:rPr>
                <w:b/>
                <w:bCs/>
                <w:color w:val="FFFFFF"/>
                <w:sz w:val="18"/>
                <w:szCs w:val="18"/>
              </w:rPr>
              <w:t xml:space="preserve">Action</w:t>
            </w:r>
          </w:p>
        </w:tc>
        <w:tc>
          <w:tcPr>
            <w:tcW w:type="dxa" w:w="2300"/>
            <w:shd w:fill="1F3864" w:val="clear"/>
            <w:tcMar>
              <w:top w:type="dxa" w:w="80"/>
              <w:left w:type="dxa" w:w="100"/>
              <w:bottom w:type="dxa" w:w="80"/>
              <w:right w:type="dxa" w:w="100"/>
            </w:tcMar>
            <w:vAlign w:val="center"/>
          </w:tcPr>
          <w:p>
            <w:r>
              <w:rPr>
                <w:b/>
                <w:bCs/>
                <w:color w:val="FFFFFF"/>
                <w:sz w:val="18"/>
                <w:szCs w:val="18"/>
              </w:rPr>
              <w:t xml:space="preserve">Owner</w:t>
            </w:r>
          </w:p>
        </w:tc>
        <w:tc>
          <w:tcPr>
            <w:tcW w:type="dxa" w:w="1900"/>
            <w:shd w:fill="1F3864" w:val="clear"/>
            <w:tcMar>
              <w:top w:type="dxa" w:w="80"/>
              <w:left w:type="dxa" w:w="100"/>
              <w:bottom w:type="dxa" w:w="80"/>
              <w:right w:type="dxa" w:w="100"/>
            </w:tcMar>
            <w:vAlign w:val="center"/>
          </w:tcPr>
          <w:p>
            <w:r>
              <w:rPr>
                <w:b/>
                <w:bCs/>
                <w:color w:val="FFFFFF"/>
                <w:sz w:val="18"/>
                <w:szCs w:val="18"/>
              </w:rPr>
              <w:t xml:space="preserve">Target</w:t>
            </w:r>
          </w:p>
        </w:tc>
        <w:tc>
          <w:tcPr>
            <w:tcW w:type="dxa" w:w="2600"/>
            <w:shd w:fill="1F3864" w:val="clear"/>
            <w:tcMar>
              <w:top w:type="dxa" w:w="80"/>
              <w:left w:type="dxa" w:w="100"/>
              <w:bottom w:type="dxa" w:w="80"/>
              <w:right w:type="dxa" w:w="100"/>
            </w:tcMar>
            <w:vAlign w:val="center"/>
          </w:tcPr>
          <w:p>
            <w:r>
              <w:rPr>
                <w:b/>
                <w:bCs/>
                <w:color w:val="FFFFFF"/>
                <w:sz w:val="18"/>
                <w:szCs w:val="18"/>
              </w:rPr>
              <w:t xml:space="preserve">Success Measure</w:t>
            </w:r>
          </w:p>
        </w:tc>
      </w:tr>
      <w:tr>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Publish an AI governance policy / establish AI ethics board</w:t>
            </w:r>
          </w:p>
        </w:tc>
        <w:tc>
          <w:tcPr>
            <w:tcW w:type="dxa" w:w="2300"/>
            <w:shd w:fill="F2F2F2" w:val="clear"/>
            <w:tcMar>
              <w:top w:type="dxa" w:w="80"/>
              <w:left w:type="dxa" w:w="100"/>
              <w:bottom w:type="dxa" w:w="80"/>
              <w:right w:type="dxa" w:w="100"/>
            </w:tcMar>
            <w:vAlign w:val="center"/>
          </w:tcPr>
          <w:p>
            <w:r>
              <w:rPr>
                <w:b w:val="false"/>
                <w:bCs w:val="false"/>
                <w:color w:val="000000"/>
                <w:sz w:val="18"/>
                <w:szCs w:val="18"/>
              </w:rPr>
              <w:t xml:space="preserve">Chief Digital &amp; Technology Office</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Next fiscal quarter</w:t>
            </w:r>
          </w:p>
        </w:tc>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Policy published; board convenes quarterly</w:t>
            </w:r>
          </w:p>
        </w:tc>
      </w:tr>
      <w:tr>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Establish and publish bias/accuracy testing metrics per tool</w:t>
            </w:r>
          </w:p>
        </w:tc>
        <w:tc>
          <w:tcPr>
            <w:tcW w:type="dxa" w:w="2300"/>
            <w:shd w:fill="FFFFFF" w:val="clear"/>
            <w:tcMar>
              <w:top w:type="dxa" w:w="80"/>
              <w:left w:type="dxa" w:w="100"/>
              <w:bottom w:type="dxa" w:w="80"/>
              <w:right w:type="dxa" w:w="100"/>
            </w:tcMar>
            <w:vAlign w:val="center"/>
          </w:tcPr>
          <w:p>
            <w:r>
              <w:rPr>
                <w:b w:val="false"/>
                <w:bCs w:val="false"/>
                <w:color w:val="000000"/>
                <w:sz w:val="18"/>
                <w:szCs w:val="18"/>
              </w:rPr>
              <w:t xml:space="preserve">Data Science + Compliance</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Ongoing, starting with high-risk tools</w:t>
            </w:r>
          </w:p>
        </w:tc>
        <w:tc>
          <w:tcPr>
            <w:tcW w:type="dxa" w:w="2600"/>
            <w:shd w:fill="FFFFFF" w:val="clear"/>
            <w:tcMar>
              <w:top w:type="dxa" w:w="80"/>
              <w:left w:type="dxa" w:w="100"/>
              <w:bottom w:type="dxa" w:w="80"/>
              <w:right w:type="dxa" w:w="100"/>
            </w:tcMar>
            <w:vAlign w:val="center"/>
          </w:tcPr>
          <w:p>
            <w:r>
              <w:rPr>
                <w:b w:val="false"/>
                <w:bCs w:val="false"/>
                <w:color w:val="000000"/>
                <w:sz w:val="18"/>
                <w:szCs w:val="18"/>
              </w:rPr>
              <w:t xml:space="preserve">Testing report published annually</w:t>
            </w:r>
          </w:p>
        </w:tc>
      </w:tr>
      <w:tr>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Build an AI-specific incident response plan</w:t>
            </w:r>
          </w:p>
        </w:tc>
        <w:tc>
          <w:tcPr>
            <w:tcW w:type="dxa" w:w="2300"/>
            <w:shd w:fill="F2F2F2" w:val="clear"/>
            <w:tcMar>
              <w:top w:type="dxa" w:w="80"/>
              <w:left w:type="dxa" w:w="100"/>
              <w:bottom w:type="dxa" w:w="80"/>
              <w:right w:type="dxa" w:w="100"/>
            </w:tcMar>
            <w:vAlign w:val="center"/>
          </w:tcPr>
          <w:p>
            <w:r>
              <w:rPr>
                <w:b w:val="false"/>
                <w:bCs w:val="false"/>
                <w:color w:val="000000"/>
                <w:sz w:val="18"/>
                <w:szCs w:val="18"/>
              </w:rPr>
              <w:t xml:space="preserve">IT Security + Risk</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Within 6 months</w:t>
            </w:r>
          </w:p>
        </w:tc>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Plan documented and tested via drill</w:t>
            </w:r>
          </w:p>
        </w:tc>
      </w:tr>
      <w:tr>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Add clear AI-disclosure language to consumer touchpoints</w:t>
            </w:r>
          </w:p>
        </w:tc>
        <w:tc>
          <w:tcPr>
            <w:tcW w:type="dxa" w:w="2300"/>
            <w:shd w:fill="FFFFFF" w:val="clear"/>
            <w:tcMar>
              <w:top w:type="dxa" w:w="80"/>
              <w:left w:type="dxa" w:w="100"/>
              <w:bottom w:type="dxa" w:w="80"/>
              <w:right w:type="dxa" w:w="100"/>
            </w:tcMar>
            <w:vAlign w:val="center"/>
          </w:tcPr>
          <w:p>
            <w:r>
              <w:rPr>
                <w:b w:val="false"/>
                <w:bCs w:val="false"/>
                <w:color w:val="000000"/>
                <w:sz w:val="18"/>
                <w:szCs w:val="18"/>
              </w:rPr>
              <w:t xml:space="preserve">Product/UX + Legal</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Within 3 months</w:t>
            </w:r>
          </w:p>
        </w:tc>
        <w:tc>
          <w:tcPr>
            <w:tcW w:type="dxa" w:w="2600"/>
            <w:shd w:fill="FFFFFF" w:val="clear"/>
            <w:tcMar>
              <w:top w:type="dxa" w:w="80"/>
              <w:left w:type="dxa" w:w="100"/>
              <w:bottom w:type="dxa" w:w="80"/>
              <w:right w:type="dxa" w:w="100"/>
            </w:tcMar>
            <w:vAlign w:val="center"/>
          </w:tcPr>
          <w:p>
            <w:r>
              <w:rPr>
                <w:b w:val="false"/>
                <w:bCs w:val="false"/>
                <w:color w:val="000000"/>
                <w:sz w:val="18"/>
                <w:szCs w:val="18"/>
              </w:rPr>
              <w:t xml:space="preserve">Disclosure visible in chatbot/Health100 UI</w:t>
            </w:r>
          </w:p>
        </w:tc>
      </w:tr>
      <w:tr>
        <w:tc>
          <w:tcPr>
            <w:tcW w:type="dxa" w:w="3200"/>
            <w:shd w:fill="F2F2F2" w:val="clear"/>
            <w:tcMar>
              <w:top w:type="dxa" w:w="80"/>
              <w:left w:type="dxa" w:w="100"/>
              <w:bottom w:type="dxa" w:w="80"/>
              <w:right w:type="dxa" w:w="100"/>
            </w:tcMar>
            <w:vAlign w:val="center"/>
          </w:tcPr>
          <w:p>
            <w:r>
              <w:rPr>
                <w:b w:val="false"/>
                <w:bCs w:val="false"/>
                <w:color w:val="000000"/>
                <w:sz w:val="18"/>
                <w:szCs w:val="18"/>
              </w:rPr>
              <w:t xml:space="preserve">Assign named owners per AI tool</w:t>
            </w:r>
          </w:p>
        </w:tc>
        <w:tc>
          <w:tcPr>
            <w:tcW w:type="dxa" w:w="2300"/>
            <w:shd w:fill="F2F2F2" w:val="clear"/>
            <w:tcMar>
              <w:top w:type="dxa" w:w="80"/>
              <w:left w:type="dxa" w:w="100"/>
              <w:bottom w:type="dxa" w:w="80"/>
              <w:right w:type="dxa" w:w="100"/>
            </w:tcMar>
            <w:vAlign w:val="center"/>
          </w:tcPr>
          <w:p>
            <w:r>
              <w:rPr>
                <w:b w:val="false"/>
                <w:bCs w:val="false"/>
                <w:color w:val="000000"/>
                <w:sz w:val="18"/>
                <w:szCs w:val="18"/>
              </w:rPr>
              <w:t xml:space="preserve">Compliance/Risk</w:t>
            </w:r>
          </w:p>
        </w:tc>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Within 3 months</w:t>
            </w:r>
          </w:p>
        </w:tc>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Each tool has one accountable owner documented</w:t>
            </w:r>
          </w:p>
        </w:tc>
      </w:tr>
      <w:tr>
        <w:tc>
          <w:tcPr>
            <w:tcW w:type="dxa" w:w="3200"/>
            <w:shd w:fill="FFFFFF" w:val="clear"/>
            <w:tcMar>
              <w:top w:type="dxa" w:w="80"/>
              <w:left w:type="dxa" w:w="100"/>
              <w:bottom w:type="dxa" w:w="80"/>
              <w:right w:type="dxa" w:w="100"/>
            </w:tcMar>
            <w:vAlign w:val="center"/>
          </w:tcPr>
          <w:p>
            <w:r>
              <w:rPr>
                <w:b w:val="false"/>
                <w:bCs w:val="false"/>
                <w:color w:val="000000"/>
                <w:sz w:val="18"/>
                <w:szCs w:val="18"/>
              </w:rPr>
              <w:t xml:space="preserve">Document human-override rights for high-risk tools</w:t>
            </w:r>
          </w:p>
        </w:tc>
        <w:tc>
          <w:tcPr>
            <w:tcW w:type="dxa" w:w="2300"/>
            <w:shd w:fill="FFFFFF" w:val="clear"/>
            <w:tcMar>
              <w:top w:type="dxa" w:w="80"/>
              <w:left w:type="dxa" w:w="100"/>
              <w:bottom w:type="dxa" w:w="80"/>
              <w:right w:type="dxa" w:w="100"/>
            </w:tcMar>
            <w:vAlign w:val="center"/>
          </w:tcPr>
          <w:p>
            <w:r>
              <w:rPr>
                <w:b w:val="false"/>
                <w:bCs w:val="false"/>
                <w:color w:val="000000"/>
                <w:sz w:val="18"/>
                <w:szCs w:val="18"/>
              </w:rPr>
              <w:t xml:space="preserve">Clinical Ops + Compliance</w:t>
            </w:r>
          </w:p>
        </w:tc>
        <w:tc>
          <w:tcPr>
            <w:tcW w:type="dxa" w:w="1900"/>
            <w:shd w:fill="FFFFFF" w:val="clear"/>
            <w:tcMar>
              <w:top w:type="dxa" w:w="80"/>
              <w:left w:type="dxa" w:w="100"/>
              <w:bottom w:type="dxa" w:w="80"/>
              <w:right w:type="dxa" w:w="100"/>
            </w:tcMar>
            <w:vAlign w:val="center"/>
          </w:tcPr>
          <w:p>
            <w:r>
              <w:rPr>
                <w:b w:val="false"/>
                <w:bCs w:val="false"/>
                <w:color w:val="000000"/>
                <w:sz w:val="18"/>
                <w:szCs w:val="18"/>
              </w:rPr>
              <w:t xml:space="preserve">Within 6 months</w:t>
            </w:r>
          </w:p>
        </w:tc>
        <w:tc>
          <w:tcPr>
            <w:tcW w:type="dxa" w:w="2600"/>
            <w:shd w:fill="FFFFFF" w:val="clear"/>
            <w:tcMar>
              <w:top w:type="dxa" w:w="80"/>
              <w:left w:type="dxa" w:w="100"/>
              <w:bottom w:type="dxa" w:w="80"/>
              <w:right w:type="dxa" w:w="100"/>
            </w:tcMar>
            <w:vAlign w:val="center"/>
          </w:tcPr>
          <w:p>
            <w:r>
              <w:rPr>
                <w:b w:val="false"/>
                <w:bCs w:val="false"/>
                <w:color w:val="000000"/>
                <w:sz w:val="18"/>
                <w:szCs w:val="18"/>
              </w:rPr>
              <w:t xml:space="preserve">Override process documented and trained on</w:t>
            </w:r>
          </w:p>
        </w:tc>
      </w:tr>
    </w:tbl>
    <w:p>
      <w:pPr>
        <w:spacing w:after="200"/>
      </w:pPr>
    </w:p>
    <w:p>
      <w:pPr>
        <w:pStyle w:val="Heading1"/>
        <w:spacing w:after="150" w:before="300"/>
      </w:pPr>
      <w:r>
        <w:t xml:space="preserve">6. Conclusion</w:t>
      </w:r>
    </w:p>
    <w:p>
      <w:pPr>
        <w:spacing w:after="120"/>
      </w:pPr>
      <w:r>
        <w:t xml:space="preserve">CVS Health has been publicly forthcoming about where it deploys AI and has demonstrated measurable, externally validated outcomes in at least one high-risk use case (prescription interpretation). However, based on publicly available information, the company has not disclosed a formal AI governance policy, published bias or risk testing metrics, or documented human-override protections for its highest-risk AI applications.</w:t>
      </w:r>
    </w:p>
    <w:p>
      <w:pPr>
        <w:spacing w:after="120"/>
      </w:pPr>
      <w:r>
        <w:t xml:space="preserve">Closing these transparency and governance gaps — even where the underlying controls may already exist internally — would strengthen CVS Health's public accountability posture and align its AI program more closely with NIST AI RMF, ISO/IEC 42001, and EU AI Act best practices.</w:t>
      </w:r>
    </w:p>
    <w:p>
      <w:pPr>
        <w:pBdr>
          <w:bottom w:val="single" w:color="999999" w:sz="6" w:space="1"/>
        </w:pBdr>
        <w:spacing w:after="200"/>
      </w:pPr>
    </w:p>
    <w:p>
      <w:pPr>
        <w:spacing w:after="120"/>
      </w:pPr>
      <w:r>
        <w:rPr>
          <w:i/>
          <w:iCs/>
          <w:color w:val="777777"/>
          <w:sz w:val="18"/>
          <w:szCs w:val="18"/>
        </w:rPr>
        <w:t xml:space="preserve">Methodology note: This is a portfolio project completed using only publicly available sources. It demonstrates GRC assessment methodology (framework mapping, gap analysis, and remediation planning) and does not represent an authorized or comprehensive audit of CVS Health's actual internal AI governance program.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2026-08-18T05:22:06.444Z</dcterms:created>
  <dcterms:modified xsi:type="dcterms:W3CDTF">2026-08-18T05:22:06.465Z</dcterms:modified>
</cp:coreProperties>
</file>

<file path=docProps/custom.xml><?xml version="1.0" encoding="utf-8"?>
<Properties xmlns="http://schemas.openxmlformats.org/officeDocument/2006/custom-properties" xmlns:vt="http://schemas.openxmlformats.org/officeDocument/2006/docPropsVTypes"/>
</file>