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
    <w:p>
      <w:pPr>
        <w:pStyle w:val="Heading1"/>
      </w:pPr>
      <w:r>
        <w:t xml:space="preserve">Chapter 1</w:t>
      </w:r>
    </w:p>
    <w:bookmarkEnd w:id="20"/>
    <w:bookmarkStart w:id="29" w:name="introduction"/>
    <w:p>
      <w:pPr>
        <w:pStyle w:val="Heading1"/>
      </w:pPr>
      <w:r>
        <w:t xml:space="preserve">Introduction</w:t>
      </w:r>
    </w:p>
    <w:bookmarkStart w:id="21" w:name="background-and-context"/>
    <w:p>
      <w:pPr>
        <w:pStyle w:val="Heading2"/>
      </w:pPr>
      <w:r>
        <w:t xml:space="preserve">1.1 Background and Context</w:t>
      </w:r>
    </w:p>
    <w:p>
      <w:pPr>
        <w:pStyle w:val="FirstParagraph"/>
      </w:pPr>
      <w:r>
        <w:t xml:space="preserve">Nigeria is Africa’s largest oil producer. The country has participated in global petroleum markets since crude oil was first discovered in commercial quantities at Oloibiri, Bayelsa State, in 1956. It joined the Organization of the Petroleum Exporting Countries (OPEC) in 1971, and by 2005 had reached an all-time production high of approximately 2.5 million barrels per day (OPEC, 2006). For over six decades, international oil companies, principally Shell, ExxonMobil, Chevron, Total, and Eni, built and operated the upstream infrastructure that sustained this output: wells, flowstations, gathering systems, trunk lines, and export terminals, all spread across the onshore and shallow-water Niger Delta. In deeper waters offshore, the same companies operated floating production, storage, and offloading vessels under a separate contractual agreement with the Nigerian Government.</w:t>
      </w:r>
    </w:p>
    <w:p>
      <w:pPr>
        <w:pStyle w:val="BodyText"/>
      </w:pPr>
      <w:r>
        <w:t xml:space="preserve">These onshore and shallow-water operations were organized under joint venture agreements in which the Nigerian National Petroleum Corporation (NNPC) held the majority participating interest, typically 55 to 60 percent, while the international oil company held the remainder and served as technical operator. Deepwater operations were structured differently, under Production Sharing Contracts with distinct fiscal terms, and are not part of the divestment wave examined in this thesis. Under the joint venture arrangement, the IOCs supplied the engineering personnel, the management systems, the health, safety, and environment protocols, and the organizational processes used to explore, produce, and export crude oil. That operating environment was marked by mangrove terrain, armed militancy, crude oil theft, pipeline vandalism, and overlapping community, state, and federal jurisdictional claims. The physical assets belonged to the joint venture. Whether and how the operational capability required to run those assets would transfer to a new operator when the IOCs departed was a question that the institutional design of the sector left unaddressed.</w:t>
      </w:r>
    </w:p>
    <w:p>
      <w:pPr>
        <w:pStyle w:val="BodyText"/>
      </w:pPr>
      <w:r>
        <w:t xml:space="preserve">From around 2010 onward, and at an accelerating pace through 2024, the major IOCs initiated a systematic program of divesting their onshore and shallow-water assets in Nigeria. Shell, the operator of the SPDC joint venture in which the NNPC held the majority interest alongside Total and Eni (Agip) as co-venturers on several blocks, sold participating interests in Oil Mining Leases 4, 18, 24, 25, 29, 30, 38, 40, 41, and 42. Shell then sold its entire onshore subsidiary (Shell Petroleum Development Company of Nigeria, SPDC) to a consortium called Renaissance in 2024. ExxonMobil sold Mobil Producing Nigeria to Seplat Energy. Total and Eni entered similar divestment processes. The buyers were predominantly Nigerian domestic oil companies (also referred to as indigenous oil companies in Nigerian legislation and industry practice). This pattern was driven in part by the Nigerian Oil and Gas Industry Content Development Act (NOGICD) of 2010, which legislated preference for indigenous firms in all upstream asset transactions (NOGICD, 2010). In 2021, the Petroleum Industry Act (PIA) restructured the fiscal and regulatory architecture of the upstream sector and established the Nigerian Upstream Petroleum Regulatory Commission (NUPRC), replacing the former Department of Petroleum Resources (DPR), as the lead regulatory agency. However, neither piece of legislation addressed the question of whether operational capability would survive these transactions.</w:t>
      </w:r>
    </w:p>
    <w:p>
      <w:pPr>
        <w:pStyle w:val="BodyText"/>
      </w:pPr>
      <w:r>
        <w:t xml:space="preserve">The drivers of this divestment wave were well documented (SDN, 2022; Gaughran et al., 2024). The IOCs cited the rising costs of onshore operations, the security threats to personnel and infrastructure, the escalation of oil theft and pipeline vandalism. They also cited the increasing likelihood of litigation for environmental pollution, and the global pressure to decarbonize and shift investment toward deepwater and liquefied natural gas. These factors made the Nigerian onshore portfolio increasingly unattractive relative to the IOCs’ global alternatives.</w:t>
      </w:r>
    </w:p>
    <w:bookmarkEnd w:id="21"/>
    <w:bookmarkStart w:id="22" w:name="the-problem"/>
    <w:p>
      <w:pPr>
        <w:pStyle w:val="Heading2"/>
      </w:pPr>
      <w:r>
        <w:t xml:space="preserve">1.2 The Problem</w:t>
      </w:r>
    </w:p>
    <w:p>
      <w:pPr>
        <w:pStyle w:val="FirstParagraph"/>
      </w:pPr>
      <w:r>
        <w:t xml:space="preserve">Between 2010 and 2024, at least 26 Oil Mining Leases changed hands from international to domestic operators, representing transactions valued at over $21 billion. For the first time in the history of Nigeria’s petroleum industry, domestic companies controlled a larger share of onshore production than international operators.</w:t>
      </w:r>
    </w:p>
    <w:p>
      <w:pPr>
        <w:pStyle w:val="BodyText"/>
      </w:pPr>
      <w:r>
        <w:t xml:space="preserve">The Nigeria Extractive Industries Transparency Initiative (NEITI) announced in 2024 that it would conduct a review of all 26 divestments (NEITI, 2024).</w:t>
      </w:r>
    </w:p>
    <w:p>
      <w:pPr>
        <w:pStyle w:val="BodyText"/>
      </w:pPr>
      <w:r>
        <w:t xml:space="preserve">The operational outcomes of these transactions, measured along two dimensions, production performance and operational integrity (the latter spanning safety records, environmental compliance, and organizational sustainability), were not uniform. They were sharply differentiated, and the pattern of differentiation is the empirical puzzle that motivates this thesis.</w:t>
      </w:r>
    </w:p>
    <w:p>
      <w:pPr>
        <w:pStyle w:val="BodyText"/>
      </w:pPr>
      <w:r>
        <w:t xml:space="preserve">Some acquirers experienced significant operational failures. Aiteo Eastern Exploration and Production acquired a 45 percent interest in OML 29 from the SPDC joint venture in 2015 for $1.7 billion, or $2.562 billion including the Nembe Creek Trunk Line, and grew production substantially in its first two years. In November 2021, an uncontrolled blowout occurred at the Santa Barbara Well 1, a well that had been non-producing since 2015 and was neither decommissioned by Shell before the sale nor by Aiteo after it. The blowout spilled an estimated 200,000 barrels over 33 days and affected 41 communities (SDN, 2022). The National Oil Spill Detection and Response Agency (NOSDRA) stated that the incident exceeded Aiteo’s internal capacity (NOSDRA, 2021). The well had experienced prior spill incidents in 2018 and 2019, neither of which had been remediated.</w:t>
      </w:r>
    </w:p>
    <w:p>
      <w:pPr>
        <w:pStyle w:val="BodyText"/>
      </w:pPr>
      <w:r>
        <w:t xml:space="preserve">Eroton Exploration and Production acquired OML 18 from the SPDC joint venture in 2015, grew production substantially in its early years, and was recognized by the Nigerian National Petroleum Corporation as one of two operators with the lowest technical cost per barrel (Wood Mackenzie, 2026). By the fourth quarter of 2021, Eroton’s production had fallen to zero, driven by the unavailability of the Nembe Creek Trunk Line (operated by Aiteo on OML 29) and by internal governance failures that a subsequent NNPC forensic audit identified (Nairametrics, 2023). The JV funding had been maintained throughout the period.</w:t>
      </w:r>
    </w:p>
    <w:p>
      <w:pPr>
        <w:pStyle w:val="BodyText"/>
      </w:pPr>
      <w:r>
        <w:t xml:space="preserve">The case of OML 26 exposed a different failure mode. First Hydrocarbon Nigeria, a special purpose vehicle created by Afren Plc, a FTSE 250 company valued at $2.6 billion at its peak, acquired a 45 percent interest from the SPDC joint venture in 2011. Afren’s CEO and COO were subsequently convicted by the UK Serious Fraud Office for fraud and money laundering (UK Serious Fraud Office, 2017). Afren entered administration in July 2015. No regulatory mechanism had assessed the fitness of the buyer at the point of transfer.</w:t>
      </w:r>
    </w:p>
    <w:p>
      <w:pPr>
        <w:pStyle w:val="BodyText"/>
      </w:pPr>
      <w:r>
        <w:t xml:space="preserve">These were not isolated incidents. In 2022, a nearly 50-year-old floating production vessel operated by Shebah Exploration and Production exploded, killing at least 10 crew members; most major trading companies had reportedly abandoned the vessel years earlier. The Stakeholder Democracy Network cited the incident as part of a broader concern that some domestic operators were running aging infrastructure with weak integrity controls (SDN, 2022).</w:t>
      </w:r>
    </w:p>
    <w:p>
      <w:pPr>
        <w:pStyle w:val="BodyText"/>
      </w:pPr>
      <w:r>
        <w:t xml:space="preserve">Other acquirers achieved markedly different results. Seplat Energy acquired OMLs 4, 38, and 41 from the SPDC joint venture in 2010. It sustained production growth across its portfolio, nearly doubled its reserves, accumulated two million man-hours without a recordable safety incident, and won the AfriSAFE Energy Company of the Year award in 2024 (Seplat Energy, 2024). Seplat’s founding team brought decades of industry experience, its partnership with Maurel et Prom (a French exploration and production company) provided international technical capacity, and its dual listing on the London and Nigerian Stock Exchanges imposed governance discipline. The reviewed record shows no structured capability-transfer provisions in the 2010 transaction.</w:t>
      </w:r>
    </w:p>
    <w:p>
      <w:pPr>
        <w:pStyle w:val="BodyText"/>
      </w:pPr>
      <w:r>
        <w:t xml:space="preserve">Shoreline Natural Resources acquired a 45 percent interest in OML 30 from the SPDC joint venture in 2012. The Nigerian Petroleum Development Company (NPDC), the government’s own exploration and production subsidiary, held 55 percent and initially operated the asset. In 2017, the government approved the transfer of operatorship to Heritage Energy Operational Services Limited (HEOSL), the technical partner. HEOSL embarked on a rehabilitation program that included pressure vessel inspection, wellhead and pipeline inspection, gas compressor installation, and well optimization. Gross production recovered under the new operator. The same asset, under the same regulatory regime and fiscal environment, produced different results under different operators.</w:t>
      </w:r>
    </w:p>
    <w:p>
      <w:pPr>
        <w:pStyle w:val="BodyText"/>
      </w:pPr>
      <w:r>
        <w:t xml:space="preserve">In 2024, a consortium called Renaissance agreed to acquire 100 percent of Shell’s onshore subsidiary for $2.4 billion, a transaction that completed in 2025 (Shell, 2024). Renaissance’s leadership, comprised of former Shell staff (Shell, 2024; BusinessDay, 2025), had studied why previous acquirers of IOC assets had seen production decline after acquisition and had deliberately chosen staff retention over the typical approach of replacing IOC workers (BusinessDay, 2025). Shell committed to preserving the full range of SPDC’s operating capabilities, including technical expertise, management systems, and processes (Shell, 2024). By April 2025, Renaissance reported production above 200,000 barrels per day with pipelines operational, an early continuity signal rather than proof of medium-term integrity. The Africa Oil and Gas Report noted that this capability-preservation commitment was the first of its kind in 15 years of IOC divestments in Nigeria (Africa Oil and Gas Report, 2024).</w:t>
      </w:r>
    </w:p>
    <w:p>
      <w:pPr>
        <w:pStyle w:val="BodyText"/>
      </w:pPr>
      <w:r>
        <w:t xml:space="preserve">The government’s own entity followed a different trajectory. NPDC, holding 55 percent equity in eight or more Shell-divested OMLs, targeted production growth from 180,000 to 500,000 barrels per day by 2020 (Vanguard, 2017). It did not achieve the target. An academic study measured NPDC’s technical efficiency at 23 percent, the lowest of all operator categories (Adekunle et al., 2019). In July 2020, an explosion at the Benin River Valve Station on OML 40, operated by NPDC, killed seven contractor workers during a ladder installation (NNPC, 2020).</w:t>
      </w:r>
    </w:p>
    <w:p>
      <w:pPr>
        <w:pStyle w:val="BodyText"/>
      </w:pPr>
      <w:r>
        <w:t xml:space="preserve">This pattern of differentiated outcomes was not new. A decade before the IOC divestment wave, the Federal Government of Nigeria had conducted a marginal field bid round in 2003, awarding 24 fields to 31 indigenous companies with the stated objective of building indigenous technical capacity in the upstream sector (DPR, 2003). By the early 2020s, many of the awarded fields had still not reached production, and eleven operators had lost their licenses for failure to meet government criteria (NUPRC, 2022). The program contributed just two percent to national oil and gas reserves (Sweet Crude Reports, 2020). The Department of Petroleum Resources acknowledged that Nigeria had not benefited from the 2003 round (Sweet Crude Reports, 2020). The marginal field experience constitutes a decade-old precedent for the same structural condition that characterized the subsequent IOC divestments. The comparable failure rate across two different transfer mechanisms (government licensing and bilateral IOC sale) suggests that the pattern is institutional rather than peculiar to any single transaction type. That this precedent did not produce institutional learning, despite the marginal field record, is itself evidence of the design gap examined here.</w:t>
      </w:r>
    </w:p>
    <w:p>
      <w:pPr>
        <w:pStyle w:val="BodyText"/>
      </w:pPr>
      <w:r>
        <w:t xml:space="preserve">At the national level, total crude oil production across all operators declined from its all-time high of approximately 2.5 million barrels per day in 2005 to a low near one million barrels per day in 2022, recovering to roughly 1.5 million by 2024, still short of the 2 million target (OPEC, 2022; NUPRC, 2024). This national total is distinct from the divested-operator subset this thesis examines, whose aggregate output rose even as the national figure fell. The country repeatedly failed to meet its OPEC production quota. At the sector level, NEITI reported outstanding government receivables from oil and gas operations exceeding $6 billion (NEITI, 2024). Population-level data showed that indigenous operators recorded 35 percent more oil spills than IOCs (Stakeholder Democracy Network, 2022), flared ten times more gas per barrel of oil produced (Stakeholder Democracy Network, 2022). They scored 44 percent on safety awareness assessments compared with higher scores for IOC-operated facilities (Anumadu et al., 2014). A peer-reviewed quantitative study of 314 Nigerian oilfields using panel data spanning 2006 to 2016 found that divestment to indigenous operators was associated with a 33 percent increase in oil production. The same divestment brought 10 percent more oil spills attributable to operational failure and 41 percent more gas flaring (Rexer, 2025).</w:t>
      </w:r>
    </w:p>
    <w:p>
      <w:pPr>
        <w:pStyle w:val="BodyText"/>
      </w:pPr>
      <w:r>
        <w:t xml:space="preserve">The costs of these operational failures did not fall on the transacting parties. The IOCs had exited. The acquiring companies that failed bore financial losses, but the environmental damage, the safety incidents and fatalities, and the lost production revenue were absorbed by host communities and the Nigerian state (SDN, 2022; Gaughran et al., 2024; SOMO, 2024; Steiner, 2023). The costs landed on the 41 communities affected by the Aiteo spill, the families of the workers killed at the Benin River Valve Station and on the Shebah FPSO, and the Federation budget that lost billions in unrealized production revenue. None of these groups stood inside the divestment transactions that produced these outcomes.</w:t>
      </w:r>
    </w:p>
    <w:p>
      <w:pPr>
        <w:pStyle w:val="BodyText"/>
      </w:pPr>
      <w:r>
        <w:t xml:space="preserve">The pattern is not simply that some operators failed and others succeeded. It is that the failures appeared where operating capability had to be exercised, not merely where assets had to be owned. The coexistence of rising production and declining operational quality across the oilfield population, the sharp divergence in outcomes among individual operators, the marginal field precedent, and the national production decline together constitute an empirical pattern. That pattern raises a central question: what explains this systematic differentiation in post-divestment outcomes? The answer has direct policy consequences: it determines whether the appropriate intervention is improved financing, fiscal reform, regulatory enforcement, institutional redesign of the divestment process, or some combination of these. The competing explanations have not been systematically tested against the available evidence.</w:t>
      </w:r>
    </w:p>
    <w:bookmarkEnd w:id="22"/>
    <w:bookmarkStart w:id="23" w:name="research-gap"/>
    <w:p>
      <w:pPr>
        <w:pStyle w:val="Heading2"/>
      </w:pPr>
      <w:r>
        <w:t xml:space="preserve">1.3 Research Gap</w:t>
      </w:r>
    </w:p>
    <w:p>
      <w:pPr>
        <w:pStyle w:val="FirstParagraph"/>
      </w:pPr>
      <w:r>
        <w:t xml:space="preserve">Several explanations have been proposed for post-divestment operational challenges in Nigeria’s upstream sector, but none has been systematically tested against the full range of observed outcomes. The pattern they must account for is demanding: well-funded operators such as Aiteo and Eroton grew production after acquisition and then suffered severe operational failures. A $2.6 billion company, Afren, collapsed entirely, and operators working under the same regulatory and fiscal terms diverged sharply in outcome.</w:t>
      </w:r>
    </w:p>
    <w:p>
      <w:pPr>
        <w:pStyle w:val="BodyText"/>
      </w:pPr>
      <w:r>
        <w:t xml:space="preserve">Five candidate explanations recur in the literature and the public record: capital constraints, fiscal regime effects from the Petroleum Industry Act of 2021, weak regulatory enforcement, political economy, and capability-related factors. This last factor is the operational knowledge embedded in decades of IOC practice that may not transfer with the physical assets. The theoretical foundation (Chapter 2) develops each one, with its testable predictions and the conditions under which the evidence would reject it. Two features of the existing accounts define the gap this thesis addresses: none has been tested head-to-head against case-level evidence in a design built to discriminate among them, and none has been paired with an institutional remedy for the failure it identifies.</w:t>
      </w:r>
    </w:p>
    <w:p>
      <w:pPr>
        <w:pStyle w:val="BodyText"/>
      </w:pPr>
      <w:r>
        <w:t xml:space="preserve">Every unsuccessful divestment involves coordination failures of some kind: poorly managed transitions, delayed contractor mobilization, inadequate interface management. Coordination failure is not a sixth competing root-cause explanation. Coordination failure is an observable outcome across all unsuccessful cases and therefore does not discriminate between explanations on its own. The analytical question is not whether coordination failed but why it failed. It failed either because the operator lacked financial resources to coordinate effectively (capital constraints), because the regulatory framework did not require coordination (regulatory inadequacy), or because the knowledge being coordinated did not exist on the buyer’s side regardless of coordination quality (capability-related factors). The empirical analysis evaluates the evidence on this distinction through a persistence test: coordination failures that are independently caused should self-correct as the operator gains experience, while failures rooted in absent knowledge should persist or worsen over time. The test is indicative rather than decisive, because organizational learning curves vary and the timeline for self-correction is not universal. Persistence weakens coordination failure as an independent explanation but does not eliminate it; late-stage governance decay or operator complacency could also account for the persistence pattern.</w:t>
      </w:r>
    </w:p>
    <w:p>
      <w:pPr>
        <w:pStyle w:val="BodyText"/>
      </w:pPr>
      <w:r>
        <w:t xml:space="preserve">The closest existing study to this thesis is Rexer (2025), whose quantitative analysis of 314 oilfields in the American Economic Review establishes that divestment to indigenous operators is associated with measurable declines in operational quality even as production increases. However, Rexer’s study measures the aggregate statistical effect without testing the competing explanations against case-level evidence and without proposing an institutional framework to address the pattern. The inter-organizational knowledge transfer literature addresses facility handovers in general terms (Ferreira et al., 2024), and the absorptive capacity literature addresses the conditions under which receiving organizations can assimilate new knowledge (Cohen and Levinthal, 1990). Neither body of work has been applied to the specific institutional context of IOC-to-DOC asset transfers in a petroleum-producing developing country.</w:t>
      </w:r>
    </w:p>
    <w:p>
      <w:pPr>
        <w:pStyle w:val="BodyText"/>
      </w:pPr>
      <w:r>
        <w:t xml:space="preserve">The evidence base for the study consists of two tiers. Observable outcomes, documentary records, regulatory framework texts, corporate disclosures, court filings, production data, spill records, and independently compiled datasets constitute the primary evidence layer. These sources are sufficient to evaluate competing explanations at the pattern level, including falsification of inconsistent explanations and identification of the most consistent explanation. Semi-structured interviews with industry participants, where obtainable, constitute a second tier of evidence that provides additional insight into mechanisms that are not fully observable from documentary sources. Specifically, participant testimony can upgrade the analysis in two ways: it can resolve whether coordination failure in a given case was independently caused or structurally produced (a distinction that documentary evidence can narrow but not always close). It can also trace the specific channels through which capability-related factors operated, a level of mechanism detail that strengthens the finding. Without interviews, the verdicts stand at the pattern level: which explanations are falsified, which are consistent, and which is most consistent. With interviews, specific verdicts can be upgraded from</w:t>
      </w:r>
      <w:r>
        <w:t xml:space="preserve"> </w:t>
      </w:r>
      <w:r>
        <w:t xml:space="preserve">“</w:t>
      </w:r>
      <w:r>
        <w:t xml:space="preserve">consistent with the evidence</w:t>
      </w:r>
      <w:r>
        <w:t xml:space="preserve">”</w:t>
      </w:r>
      <w:r>
        <w:t xml:space="preserve"> </w:t>
      </w:r>
      <w:r>
        <w:t xml:space="preserve">to</w:t>
      </w:r>
      <w:r>
        <w:t xml:space="preserve"> </w:t>
      </w:r>
      <w:r>
        <w:t xml:space="preserve">“</w:t>
      </w:r>
      <w:r>
        <w:t xml:space="preserve">supported by converging testimony and documentary evidence,</w:t>
      </w:r>
      <w:r>
        <w:t xml:space="preserve">”</w:t>
      </w:r>
      <w:r>
        <w:t xml:space="preserve"> </w:t>
      </w:r>
      <w:r>
        <w:t xml:space="preserve">and can specify the mechanism through which the most consistent explanation operated. The analytical conclusions do not change; the confidence level and mechanism resolution increase.</w:t>
      </w:r>
    </w:p>
    <w:p>
      <w:pPr>
        <w:pStyle w:val="BodyText"/>
      </w:pPr>
      <w:r>
        <w:t xml:space="preserve">This investigation asks whether the differentiated outcomes reflect a system-theoretic failure in the institutional design of the divestment process, including but not limited to the absence of mandatory mechanisms for sociotechnical capability transfer. It also asks whether such a systems-perspective explanation accounts for the observed pattern more fully than the alternatives. The evidence may instead support one of the competing explanations, a combination of factors, or a mechanism not yet identified. This thesis goes beyond Rexer’s quantitative finding by examining the mechanisms at the operator level through case analysis and, if the findings warrant it, by proposing a mitigation framework grounded in the empirical results.</w:t>
      </w:r>
    </w:p>
    <w:bookmarkEnd w:id="23"/>
    <w:bookmarkStart w:id="24" w:name="research-objectives"/>
    <w:p>
      <w:pPr>
        <w:pStyle w:val="Heading2"/>
      </w:pPr>
      <w:r>
        <w:t xml:space="preserve">1.4 Research Objectives</w:t>
      </w:r>
    </w:p>
    <w:p>
      <w:pPr>
        <w:pStyle w:val="FirstParagraph"/>
      </w:pPr>
      <w:r>
        <w:t xml:space="preserve">This thesis pursues three objectives:</w:t>
      </w:r>
    </w:p>
    <w:p>
      <w:pPr>
        <w:pStyle w:val="BodyText"/>
      </w:pPr>
      <w:r>
        <w:t xml:space="preserve">First, to test competing explanations (capital constraints, fiscal regime effects, regulatory inadequacy, political economy, and capability-related factors) for differentiated post-divestment outcomes against observable evidence drawn from multiple operator cases. The test determines which are contradicted by the evidence, which are insufficient on their own, and which are most consistent with the observed pattern.</w:t>
      </w:r>
    </w:p>
    <w:p>
      <w:pPr>
        <w:pStyle w:val="BodyText"/>
      </w:pPr>
      <w:r>
        <w:t xml:space="preserve">Second, to investigate what primarily drove the differentiated operational outcomes observed following IOC asset divestments in Nigeria’s upstream petroleum sector between 2010 and 2024. This examines whether the binding constraint is best located in capability-related factors, in another of the proposed explanations, or in an interaction among them at the level of the divestment as a sociotechnical system.</w:t>
      </w:r>
    </w:p>
    <w:p>
      <w:pPr>
        <w:pStyle w:val="BodyText"/>
      </w:pPr>
      <w:r>
        <w:t xml:space="preserve">Third, to develop, if the findings indicate that institutional design plays a significant role in shaping outcomes, a framework specifying obligations for the seller, readiness requirements for the buyer, and verification responsibilities for the regulator, calibrated to the institutional context of petroleum-producing developing countries.</w:t>
      </w:r>
    </w:p>
    <w:bookmarkEnd w:id="24"/>
    <w:bookmarkStart w:id="25" w:name="research-questions"/>
    <w:p>
      <w:pPr>
        <w:pStyle w:val="Heading2"/>
      </w:pPr>
      <w:r>
        <w:t xml:space="preserve">1.5 Research Questions</w:t>
      </w:r>
    </w:p>
    <w:p>
      <w:pPr>
        <w:pStyle w:val="FirstParagraph"/>
      </w:pPr>
      <w:r>
        <w:t xml:space="preserve">The following research questions guide the investigation:</w:t>
      </w:r>
    </w:p>
    <w:p>
      <w:pPr>
        <w:numPr>
          <w:ilvl w:val="0"/>
          <w:numId w:val="1001"/>
        </w:numPr>
      </w:pPr>
      <w:r>
        <w:t xml:space="preserve">What explains the differentiated operational outcomes observed across acquiring operators following IOC asset divestments in Nigeria, and which competing explanations are most consistent with the observable evidence?</w:t>
      </w:r>
    </w:p>
    <w:p>
      <w:pPr>
        <w:numPr>
          <w:ilvl w:val="0"/>
          <w:numId w:val="1001"/>
        </w:numPr>
      </w:pPr>
      <w:r>
        <w:t xml:space="preserve">Which of the competing explanations, capital constraints, fiscal regime effects, regulatory inadequacy, political economy, and capability-related factors, does the evidence contradict, which are insufficient on their own, and which are jointly necessary?</w:t>
      </w:r>
    </w:p>
    <w:p>
      <w:pPr>
        <w:numPr>
          <w:ilvl w:val="0"/>
          <w:numId w:val="1001"/>
        </w:numPr>
      </w:pPr>
      <w:r>
        <w:t xml:space="preserve">If the findings indicate that institutional design plays a significant role in shaping outcomes, what framework design would address the identified deficiencies, and how should responsibilities be allocated across the seller, the buyer, and the regulator?</w:t>
      </w:r>
    </w:p>
    <w:p>
      <w:pPr>
        <w:pStyle w:val="FirstParagraph"/>
      </w:pPr>
      <w:r>
        <w:t xml:space="preserve">Each question admits genuine alternative answers. The first could be answered by any of the competing explanations or by a combination. Where explanations cannot be distinguished, the thesis reports the ambiguity. The second could find that any single explanation is sufficient, that several are individually insufficient but jointly necessary, or that the evidence contradicts explanations that initially appeared plausible. The third could produce a voluntary rather than mandatory framework, or no framework at all, if the evidence showed that market forces or existing regulation were sufficient. Each possibility is tested against the evidence.</w:t>
      </w:r>
    </w:p>
    <w:bookmarkEnd w:id="25"/>
    <w:bookmarkStart w:id="26" w:name="research-approach"/>
    <w:p>
      <w:pPr>
        <w:pStyle w:val="Heading2"/>
      </w:pPr>
      <w:r>
        <w:t xml:space="preserve">1.6 Research Approach</w:t>
      </w:r>
    </w:p>
    <w:p>
      <w:pPr>
        <w:pStyle w:val="FirstParagraph"/>
      </w:pPr>
      <w:r>
        <w:t xml:space="preserve">The study uses a critical experiment case study design with cross-case validation, designed to be supplemented, where obtainable, by participant testimony through interviews or structured surveys, and grounded in sociotechnical systems theory.</w:t>
      </w:r>
    </w:p>
    <w:p>
      <w:pPr>
        <w:pStyle w:val="BodyText"/>
      </w:pPr>
      <w:r>
        <w:t xml:space="preserve">The critical experiment is conducted on Aiteo’s acquisition and operation of OML 29. This case was selected because its observable trajectory, which includes both sustained production growth and a subsequent prolonged crisis failure, creates conditions for discriminating between the competing explanations. Those explanations generate distinct predictions about whether and how these two outcomes can co-occur in the same operator over the same period. The specific predictions and their confrontation with the evidence are presented in the empirical analysis. The case was selected on its analytical discriminating power between theories, not on personal familiarity or evidence availability.</w:t>
      </w:r>
    </w:p>
    <w:p>
      <w:pPr>
        <w:pStyle w:val="BodyText"/>
      </w:pPr>
      <w:r>
        <w:t xml:space="preserve">Cross-case validation extends the critical experiment’s findings to additional operator outcomes using replication logic (Yin, 2009). Literal replications test whether the pattern established by the Aiteo case holds in other cases with similar characteristics: Eroton (production growth followed by operational collapse despite maintained funding) and First Hydrocarbon (acquisition by a buyer whose fitness was never assessed). Theoretical replications test whether outcomes differ in cases where the conditions are different. These are Seplat (buyer with prior industry experience and international technical partnership), Shoreline/HEOSL (indigenous technical operator taking over from NPDC on the same asset), and NPDC (government entity with political connections but limited operational capability, testing the pattern beyond commercial acquirers). The Shoreline/HEOSL case on OML 30 provides a within-OML comparison that holds regulatory and fiscal variables constant, isolating operator-level factors as the source of variation.</w:t>
      </w:r>
    </w:p>
    <w:p>
      <w:pPr>
        <w:pStyle w:val="BodyText"/>
      </w:pPr>
      <w:r>
        <w:t xml:space="preserve">The marginal field program (2003 to 2020) is a parallel case: an earlier instance of a similar institutional pattern, occurring through a different mechanism (government licensing rather than bilateral IOC sale) but producing a comparable outcome (majority failure among operators awarded upstream assets).</w:t>
      </w:r>
    </w:p>
    <w:p>
      <w:pPr>
        <w:pStyle w:val="BodyText"/>
      </w:pPr>
      <w:r>
        <w:t xml:space="preserve">The Renaissance transaction (2024) provides a design contrast, not a formal case analyzed through the full decision sequence. Its analytical role is specific: it demonstrates what a capability-preserving transaction design looks like in practice, providing a natural contrast with earlier transactions where no such structure existed. Because the Renaissance deal closed recently and its long-term operational trajectory is not yet established, it is not equivalent evidence to the primary and validation cases. It is examined as a real-world instance of the proposed framework design.</w:t>
      </w:r>
    </w:p>
    <w:p>
      <w:pPr>
        <w:pStyle w:val="BodyText"/>
      </w:pPr>
      <w:r>
        <w:t xml:space="preserve">Semi-structured interviews with industry participants span three groups: IOC technical staff involved in pre-divestment operations, DOC operators and managers who took over the assets, and regulatory officials responsible for divestment oversight. The interview protocol received a human-subjects exemption (COUHES Protocol E-7658); the full research design is specified in Chapter 3.</w:t>
      </w:r>
    </w:p>
    <w:p>
      <w:pPr>
        <w:pStyle w:val="BodyText"/>
      </w:pPr>
      <w:r>
        <w:t xml:space="preserve">A limitation inherent in this research design is that the internal organizational decisions made during and after divestment transactions are not fully observable from outside the organization. The study relies primarily on inference from observable indicators, with participant testimony used where obtainable to contextualize and triangulate documentary findings. These observability constraints, and the validity safeguards employed to manage them, are addressed in Chapter 3.</w:t>
      </w:r>
    </w:p>
    <w:p>
      <w:pPr>
        <w:pStyle w:val="BodyText"/>
      </w:pPr>
      <w:r>
        <w:t xml:space="preserve">The theoretical grounding draws on three bodies of literature: sociotechnical systems theory, which holds that operational knowledge is embedded in the interaction between people, processes, and organizational structures (Baxter and Sommerville, 2011). The second is organizational capability as combinative knowledge (Kogut and Zander, 1992). The third is the absorptive capacity framework, which posits that the ability to recognize, assimilate, and apply new knowledge depends on prior related knowledge (Cohen and Levinthal, 1990). The methodology provides the full justification for the research design.</w:t>
      </w:r>
    </w:p>
    <w:bookmarkEnd w:id="26"/>
    <w:bookmarkStart w:id="27" w:name="thesis-structure"/>
    <w:p>
      <w:pPr>
        <w:pStyle w:val="Heading2"/>
      </w:pPr>
      <w:r>
        <w:t xml:space="preserve">1.7 Thesis Structure</w:t>
      </w:r>
    </w:p>
    <w:p>
      <w:pPr>
        <w:pStyle w:val="FirstParagraph"/>
      </w:pPr>
      <w:r>
        <w:t xml:space="preserve">The thesis is organized in six chapters, each building on the preceding chapter and enabling the analysis that follows.</w:t>
      </w:r>
    </w:p>
    <w:p>
      <w:pPr>
        <w:pStyle w:val="BodyText"/>
      </w:pPr>
      <w:r>
        <w:t xml:space="preserve">This chapter has established the context of the Nigerian IOC divestment wave, documented the differentiated outcomes that constitute the empirical puzzle, identified the competing explanations that have been proposed, and stated the research objectives, questions, and approach.</w:t>
      </w:r>
    </w:p>
    <w:p>
      <w:pPr>
        <w:pStyle w:val="BodyText"/>
      </w:pPr>
      <w:r>
        <w:t xml:space="preserve">The analytical framework is constructed (Chapter 2): operational capability in upstream petroleum is defined, the components that transfer through standard commercial terms are distinguished from those that do not, and the five competing explanations are cast as testable predictions with falsification conditions. Coordination failure is treated separately, observable in every unsuccessful case but not discriminating among the explanations on its own, and two cross-cutting conditions, information asymmetry and absorptive capacity, shape how the explanations interact.</w:t>
      </w:r>
    </w:p>
    <w:p>
      <w:pPr>
        <w:pStyle w:val="BodyText"/>
      </w:pPr>
      <w:r>
        <w:t xml:space="preserve">The research methodology is set out (Chapter 3): the critical-experiment design, the case-selection criteria, the cross-case validation logic, the evidence tiers ordered by observability, and the validity and reliability safeguards, with the methodological limits stated directly.</w:t>
      </w:r>
    </w:p>
    <w:p>
      <w:pPr>
        <w:pStyle w:val="BodyText"/>
      </w:pPr>
      <w:r>
        <w:t xml:space="preserve">The empirical analysis is carried out (Chapter 4): the critical experiment is run on Aiteo and OML 29, each explanation is tested against the documentary evidence, and the pattern is examined across the replication cases and the marginal-field program. The data pattern expected under each explanation is specified in advance and checked against what the record shows.</w:t>
      </w:r>
    </w:p>
    <w:p>
      <w:pPr>
        <w:pStyle w:val="BodyText"/>
      </w:pPr>
      <w:r>
        <w:t xml:space="preserve">The policy implications are drawn in Chapter 5. If capability-related factors are found to be the explanation most consistent with the evidence, a three-actor capability assurance framework follows: disclosure obligations for the seller, readiness requirements for the buyer, and verification responsibilities for the regulator. Each component is grounded in a documented failure pattern and calibrated against the NUPRC’s 2024 framework, the Renaissance design, and the UK North Sea Transition Authority’s capability requirement.</w:t>
      </w:r>
    </w:p>
    <w:p>
      <w:pPr>
        <w:pStyle w:val="BodyText"/>
      </w:pPr>
      <w:r>
        <w:t xml:space="preserve">The conclusions, limitations, and directions for future research are presented (Chapter 6), calibrated to what the evidence supports and bounded in their generalizability.</w:t>
      </w:r>
    </w:p>
    <w:bookmarkEnd w:id="27"/>
    <w:bookmarkStart w:id="28" w:name="personal-motivation"/>
    <w:p>
      <w:pPr>
        <w:pStyle w:val="Heading2"/>
      </w:pPr>
      <w:r>
        <w:t xml:space="preserve">1.8 Personal Motivation</w:t>
      </w:r>
    </w:p>
    <w:p>
      <w:pPr>
        <w:pStyle w:val="FirstParagraph"/>
      </w:pPr>
      <w:r>
        <w:t xml:space="preserve">I am an Engineering Manager at Chevron Nigeria with direct professional experience in upstream operations in the Niger Delta. This proximity to the phenomenon under investigation provides domain expertise in the technical, organizational, and institutional dimensions of IOC operations that would be difficult to acquire through secondary research alone. It also creates an obligation of transparency: the research design, case selection, and analytical conclusions in this thesis stand on their own merits, independent of my professional position or employer.</w:t>
      </w:r>
    </w:p>
    <w:p>
      <w:pPr>
        <w:pStyle w:val="BodyText"/>
      </w:pPr>
      <w:r>
        <w:t xml:space="preserve">I was motivated to pursue this thesis by observing the consequences of the divestment wave at close range. I watched acquiring companies struggle with well integrity management systems their technical teams had not been trained on. I saw environmental incidents follow transfers where the buyer had inherited the hardware but not the institutional knowledge to maintain it. And I recognized that no mechanism existed to ensure that the sociotechnical capability embedded in decades of IOC operations would survive the transition. The System Design and Management program at MIT, with its emphasis on sociotechnical systems analysis and the interaction between organizational design and engineering outcomes, provided the lens to investigate these observations as a question of institutional design rather than individual operator performance.</w:t>
      </w:r>
    </w:p>
    <w:p>
      <w:pPr>
        <w:pStyle w:val="BodyText"/>
      </w:pPr>
      <w:r>
        <w:t xml:space="preserve">This thesis is not sponsored by, reviewed by, or subject to approval by Chevron or any other oil company. The views expressed are my own.</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2026-06-22T17:23:13Z</dcterms:created>
  <dcterms:modified xsi:type="dcterms:W3CDTF">2026-06-22T17:23:13Z</dcterms:modified>
</cp:coreProperties>
</file>

<file path=docProps/custom.xml><?xml version="1.0" encoding="utf-8"?>
<Properties xmlns="http://schemas.openxmlformats.org/officeDocument/2006/custom-properties" xmlns:vt="http://schemas.openxmlformats.org/officeDocument/2006/docPropsVTypes"/>
</file>