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hapter-4-empirical-analysis"/>
    <w:p>
      <w:pPr>
        <w:pStyle w:val="Heading1"/>
      </w:pPr>
      <w:r>
        <w:t xml:space="preserve">Chapter 4: Empirical Analysis</w:t>
      </w:r>
    </w:p>
    <w:bookmarkStart w:id="20" w:name="introduction"/>
    <w:p>
      <w:pPr>
        <w:pStyle w:val="Heading2"/>
      </w:pPr>
      <w:r>
        <w:t xml:space="preserve">4.1 Introduction</w:t>
      </w:r>
    </w:p>
    <w:p>
      <w:pPr>
        <w:pStyle w:val="FirstParagraph"/>
      </w:pPr>
      <w:r>
        <w:t xml:space="preserve">The five competing explanations specified in the preceding chapters (Chapters 2 and 3) are tested here against the documentary evidence: capital constraints, fiscal regime effects, regulatory inadequacy, political economy, and capability-related factors. Coordination failure accompanies them as an observable feature of all unsuccessful cases, a symptom the analysis tracks among the outcomes the five explanations must account for. Support accrues to an explanation only when the evidence matches its own pre-specified predictions; the elimination of its rivals lies outside that standard. The presentation of evidence in each case precedes and grounds the verdict on it, and a single observable pattern can bear on more than one explanation at once. The six operations proceed in order: the outcomes first, then a test of which explanations apply, then each explanation’s falsification conditions. Then come a weighing of the survivors, then discrimination among those that jointly survive where the evidence permits, and finally an assessment of substitutability and externality.</w:t>
      </w:r>
    </w:p>
    <w:p>
      <w:pPr>
        <w:pStyle w:val="BodyText"/>
      </w:pPr>
      <w:r>
        <w:t xml:space="preserve">The two outcome dimensions, production performance and operational integrity, come from a descriptive account of the differentiated outcomes (Section 4.2). The order of the analytical cases then follows their discriminating power. The critical experiment, Aiteo on OML 29, supplies the primary discrimination: the case where the five explanations generate divergent predictions that the evidence can adjudicate (Section 4.3). Eroton on OML 18 comes next as a test of whether that pattern recurs in another operator, a partial replication complicated by its dependence on a trunk line that Aiteo operated (Section 4.4). First Hydrocarbon on OML 26 follows as a screening case, since executive fraud dominates its trajectory and the case bears on the regulatory screening gap. Three theoretical replications, Seplat on OMLs 4, 38, and 41, Shoreline and HEOSL on OML 30, and NPDC across multiple licenses, test whether operators who differ on knowledge inheritance produce different outcomes under comparable conditions (Section 4.5). The marginal field program then provides a structural precedent, an earlier and independent transfer that used government licensing in place of a bilateral sale (Section 4.6).</w:t>
      </w:r>
    </w:p>
    <w:p>
      <w:pPr>
        <w:pStyle w:val="BodyText"/>
      </w:pPr>
      <w:r>
        <w:t xml:space="preserve">Because every primary divestment case originates in the Shell divestment wave, the cross-case synthesis also draws on three non-Shell transactions, Oando and ConocoPhillips, Oando and Eni, and Seplat and ExxonMobil, as seller-independence checks (Section 4.7). That synthesis renders a verdict on each explanation and discriminates among those that jointly survive. It then weighs the substitutability and externality conditions that bear on the third research question, where the Renaissance transaction offers a design contrast. The unresolved ambiguities come last (Section 4.8).</w:t>
      </w:r>
    </w:p>
    <w:p>
      <w:pPr>
        <w:pStyle w:val="BodyText"/>
      </w:pPr>
      <w:r>
        <w:t xml:space="preserve">Documentary evidence grounds the verdicts. Production figures come from audited and regulatory records, principally NEITI annual audits and NUPRC reports. The Wood Mackenzie Nigeria Upstream Summary (2026), a commercial modeled series, provides a consistent panel for the five formal case licenses, where comparable license-level series are available, over 2016 to 2025. The two series appear together where they overlap and stay separate where they diverge, with the reason given. Flare intensity from NEITI audits, spill records via NOSDRA and the SDN environmental index, corporate disclosures, statutory texts, regulatory statements, and court records complete the evidence base, weighted by source quality (Section 3.3). Spill records enter mainly for discrete, undisputed events, since operator-level spill comparison is unreliable across sources (Section 4.2). Where participant testimony was obtained, it appears within the relevant case analysis, with documentary evidence taking precedence.</w:t>
      </w:r>
    </w:p>
    <w:p>
      <w:pPr>
        <w:pStyle w:val="BodyText"/>
      </w:pPr>
      <w:r>
        <w:t xml:space="preserve">The resulting claim matches what the design can support. Identifying which explanation is most consistent with the observable evidence, after every explanation has faced its own falsification conditions, is pattern consistency under pre-specified discrimination, a standard weaker than causal proof, and it generalizes to theoretical propositions through analytic generalization (Yin, 2009). The evidence may point to a single explanation, to several that are jointly necessary, or to distinctions that stay open, in which case the ambiguity is the finding. Each explanation receives, for each case and in a consolidated verdict across the cases, the strongest verdict the evidence permits among the categories specified in Chapter 2. These categories are: most consistent with the evidence, consistent but not decisive, an enabling condition insufficient on its own, rejected as sufficient, or rejected for specific cases. Where a case lacks the observable implication needed to test an explanation, that explanation carries the status not tested or not applicable for the case.</w:t>
      </w:r>
    </w:p>
    <w:bookmarkEnd w:id="20"/>
    <w:bookmarkStart w:id="24" w:name="outcome-differentiation"/>
    <w:p>
      <w:pPr>
        <w:pStyle w:val="Heading2"/>
      </w:pPr>
      <w:r>
        <w:t xml:space="preserve">4.2 Outcome Differentiation</w:t>
      </w:r>
    </w:p>
    <w:p>
      <w:pPr>
        <w:pStyle w:val="FirstParagraph"/>
      </w:pPr>
      <w:r>
        <w:t xml:space="preserve">The operators that acquired the divested assets fared differently; their outcomes diverged across two dimensions, set out here before any explanation is weighed. Production performance covers sustained output, peak, and trajectory; operational integrity covers well-control events, spills, flaring, and safety. The two dimensions stay separate because they move independently: a population study of the divestment wave found output and spills rising together (Rexer, 2025).</w:t>
      </w:r>
    </w:p>
    <w:p>
      <w:pPr>
        <w:pStyle w:val="BodyText"/>
      </w:pPr>
      <w:r>
        <w:t xml:space="preserve">Absolute production figures come from the audited and regulatory record, the NEITI annual audits and the NUPRC reports. The Wood Mackenzie Nigeria Upstream Summary (2026), a commercial modeled series, supplies a consistent panel for the five formal case licenses, Aiteo, Eroton, Seplat, HEOSL, and First Hydrocarbon, over 2016 to 2025. NPDC and the marginal fields fall outside this panel; their figures come from NEITI, NUPRC, and Adekunle et al. (2019). These series follow the measurement-basis rule set out in Section 3.3: they are reported separately, and where they diverge the audited figure governs.</w:t>
      </w:r>
    </w:p>
    <w:p>
      <w:pPr>
        <w:pStyle w:val="BodyText"/>
      </w:pPr>
      <w:r>
        <w:t xml:space="preserve">Against the long national decline set out in Chapter 1, the 2 million barrels per day target went unmet (NUPRC, 2024). At the population level, the Stakeholder Democracy Network’s 2018 index reported that indigenous operators emitted more per barrel than the majors, subject to the inconsistencies the index itself notes across reporting agencies (SDN, 2020). Rexer (2025), an observational panel of 314 oilfields from 2006 to 2016 with limited ability to isolate operator-level causal effects, associated divestment to indigenous operators with a 33 percent rise in production and 10 percent more spills. Both are population means the worst performers may dominate. Whether the same pairing of rising output with rising integrity problems holds within an individual operator, and which explanation accounts for it, is tested in the case analysis. These figures are population context, and the case-level evidence comes from the operators examined below.</w:t>
      </w:r>
    </w:p>
    <w:p>
      <w:pPr>
        <w:pStyle w:val="BodyText"/>
      </w:pPr>
      <w:r>
        <w:t xml:space="preserve">The operator-level trajectories diverge sharply from the mid-2010s onward, from sustained growth to post-acquisition collapse, and Table 4.1 records each operator’s production figures with Figure 4.1 plotting the modeled series against the audited points. Where the modeled and audited series diverge, the audited record governs. Aiteo’s 2024 regulatory figure reflects a June 2024 pipeline leak that shut the field for most of the year, and the modeled 2024 and 2025 recovery for Aiteo and Eroton runs above the audited record as a modeling artifact, marked in Figure 4.1.</w:t>
      </w:r>
    </w:p>
    <w:p>
      <w:pPr>
        <w:pStyle w:val="BodyText"/>
      </w:pPr>
      <w:r>
        <w:t xml:space="preserve">Operational-integrity indicators also vary widely across operators, though each carries a caveat. Flaring, the share of an operator’s produced gas that was flared, ran from 49.5 percent for Aiteo and 35.2 percent for Eroton down to 11.4 percent for the Seplat joint venture in 2021. Chevron and NAOC, both with full gas-evacuation infrastructure, stayed under 5 percent (NEITI, 2021). Gas infrastructure confounds the comparison directly, since the OB3 pipeline serving the western fields has been delayed since 2012, so the cross-operator figures are indicative and carry little decisive weight. The recorded spill counts differ across NOSDRA, NNPC, and the regulator for the same year, so any operator-level spill comparison rests on figures that disagree. The integrity evidence therefore rests on the discrete, undisputed events set out in Section 1.2 and recorded in Table 4.1: three negative, the Santa Barbara blowout, the 74 percent metering error in Aiteo’s 2022 audited return against a 6.9 percent norm, and the July 2020 Benin River Valve Station explosion; and one positive, Seplat’s record of more than 11 million man-hours without a lost-time injury.</w:t>
      </w:r>
    </w:p>
    <w:p>
      <w:pPr>
        <w:pStyle w:val="BodyText"/>
      </w:pPr>
      <w:r>
        <w:t xml:space="preserve">Setting the explanations aside for a moment, the six formal cases fall into four groups, and the marginal field program forms a fifth. The classification turns on each operator’s later production as a share of its post-acquisition peak. The operators that declined bottomed below 15 percent of peak, and the operators that held stayed above 70 percent. Among the cases classified as sustained growth or deterioration, every one falls either below 30 percent or above 70 percent, so the cutoffs used here, 70 percent for sustained and 30 percent for deterioration, sit inside an empty band. The classification holds regardless of their exact placement. Aiteo fell to 4,900 metered in 2022, 12 percent of its 41,000 peak (700 fiscalized, after a 74 percent metering-error deduction). Eroton’s delivered output fell to near zero, about 600 fiscalized in 2022, below 2 percent of its 32,000 peak (the wellhead crude metered near 9,000 but stranded short of the terminal). Seplat held at 39,000 in 2025, 74 percent of its 53,000 peak, and HEOSL at 35,000, 100 percent. The comparator differs by operator because the usable record does. The two declining operators are measured at their 2022 audited trough: Aiteo on metered output, since its fiscalized figure is depressed by a 74 percent metering-error adjustment, and Eroton on delivered volume, since its metered crude was stranded short of the terminal. The two operators that held are measured at their 2025 modeled level, the only figure available for that year. Because those cases fall outside the 30-to-70 band on any of these bases, the classification is descriptive and insensitive to the choice among them.</w:t>
      </w:r>
    </w:p>
    <w:p>
      <w:pPr>
        <w:pStyle w:val="BodyText"/>
        <w:sectPr>
          <w:pgSz w:w="12240" w:h="15840"/>
          <w:pgMar w:top="1440" w:bottom="1440" w:left="1800" w:right="1800" w:header="720" w:footer="720" w:gutter="0"/>
        </w:sectPr>
      </w:pPr>
      <w:r>
        <w:t xml:space="preserve">Sustained growth covers Seplat and the HEOSL-operated OML 30. Growth then deterioration covers Aiteo and Eroton, the latter a deterioration of delivered output whose attribution is tested in Section 4.4. Low-level survival covers First Hydrocarbon. Underperformance against mandate covers NPDC, which set 500,000 barrels per day for 2020 and recorded the lowest technical efficiency of any operator category at 23 percent, on a basis that differs from the OML-level production series (Adekunle et al., 2019). Non-development covers the marginal field cohort. The classification establishes that the outcomes are heterogeneous, spanning sustained growth, deterioration, low-level survival, underperformance against mandate, and non-development. The reasons behind them come from the case analysis.</w:t>
      </w:r>
    </w:p>
    <w:p>
      <w:pPr>
        <w:pStyle w:val="BodyText"/>
      </w:pPr>
      <w:r>
        <w:rPr>
          <w:bCs/>
          <w:b/>
        </w:rPr>
        <w:t xml:space="preserve">Table 4.1. Post-divestment outcomes across the formal cases, operators that acquired assets under broadly similar sectoral conditions but differ in transfer mechanism, operator structure, and asset history.</w:t>
      </w:r>
    </w:p>
    <w:tbl>
      <w:tblPr>
        <w:tblW w:type="auto" w:w="0"/>
        <w:tblLook w:firstColumn="1" w:firstRow="1" w:lastColumn="0" w:lastRow="0" w:noHBand="0" w:noVBand="1" w:val="04A0"/>
        <w:tblLayout w:type="fixed"/>
        <w:tblW w:type="dxa" w:w="12240"/>
      </w:tblPr>
      <w:tblGrid>
        <w:gridCol w:w="1705"/>
        <w:gridCol w:w="923"/>
        <w:gridCol w:w="1152"/>
        <w:gridCol w:w="1913"/>
        <w:gridCol w:w="2393"/>
        <w:gridCol w:w="2233"/>
        <w:gridCol w:w="1921"/>
      </w:tblGrid>
      <w:tr>
        <w:tc>
          <w:tcPr>
            <w:tcW w:type="dxa" w:w="1234"/>
            <w:tcW w:type="dxa" w:w="1705"/>
            <w:tcBorders>
              <w:left w:val="nil"/>
              <w:right w:val="nil"/>
              <w:top w:val="single" w:sz="8" w:space="0" w:color="000000"/>
              <w:bottom w:val="single" w:sz="4" w:space="0" w:color="000000"/>
            </w:tcBorders>
          </w:tcPr>
          <w:p>
            <w:pPr>
              <w:spacing w:before="40" w:after="40" w:line="240" w:lineRule="auto"/>
            </w:pPr>
            <w:r>
              <w:rPr>
                <w:b/>
                <w:sz w:val="16"/>
              </w:rPr>
              <w:t>Operator (asset)</w:t>
            </w:r>
          </w:p>
        </w:tc>
        <w:tc>
          <w:tcPr>
            <w:tcW w:type="dxa" w:w="1234"/>
            <w:tcW w:type="dxa" w:w="923"/>
            <w:tcBorders>
              <w:left w:val="nil"/>
              <w:right w:val="nil"/>
              <w:top w:val="single" w:sz="8" w:space="0" w:color="000000"/>
              <w:bottom w:val="single" w:sz="4" w:space="0" w:color="000000"/>
            </w:tcBorders>
          </w:tcPr>
          <w:p>
            <w:pPr>
              <w:spacing w:before="40" w:after="40" w:line="240" w:lineRule="auto"/>
            </w:pPr>
            <w:r>
              <w:rPr>
                <w:b/>
                <w:sz w:val="16"/>
              </w:rPr>
              <w:t>Acquired</w:t>
            </w:r>
          </w:p>
        </w:tc>
        <w:tc>
          <w:tcPr>
            <w:tcW w:type="dxa" w:w="1234"/>
            <w:tcW w:type="dxa" w:w="1152"/>
            <w:tcBorders>
              <w:left w:val="nil"/>
              <w:right w:val="nil"/>
              <w:top w:val="single" w:sz="8" w:space="0" w:color="000000"/>
              <w:bottom w:val="single" w:sz="4" w:space="0" w:color="000000"/>
            </w:tcBorders>
          </w:tcPr>
          <w:p>
            <w:pPr>
              <w:spacing w:before="40" w:after="40" w:line="240" w:lineRule="auto"/>
            </w:pPr>
            <w:r>
              <w:rPr>
                <w:b/>
                <w:sz w:val="16"/>
              </w:rPr>
              <w:t>Seller</w:t>
            </w:r>
          </w:p>
        </w:tc>
        <w:tc>
          <w:tcPr>
            <w:tcW w:type="dxa" w:w="1234"/>
            <w:tcW w:type="dxa" w:w="1913"/>
            <w:tcBorders>
              <w:left w:val="nil"/>
              <w:right w:val="nil"/>
              <w:top w:val="single" w:sz="8" w:space="0" w:color="000000"/>
              <w:bottom w:val="single" w:sz="4" w:space="0" w:color="000000"/>
            </w:tcBorders>
          </w:tcPr>
          <w:p>
            <w:pPr>
              <w:spacing w:before="40" w:after="40" w:line="240" w:lineRule="auto"/>
            </w:pPr>
            <w:r>
              <w:rPr>
                <w:b/>
                <w:sz w:val="16"/>
              </w:rPr>
              <w:t>Acquisition cost</w:t>
            </w:r>
          </w:p>
        </w:tc>
        <w:tc>
          <w:tcPr>
            <w:tcW w:type="dxa" w:w="1234"/>
            <w:tcW w:type="dxa" w:w="2393"/>
            <w:tcBorders>
              <w:left w:val="nil"/>
              <w:right w:val="nil"/>
              <w:top w:val="single" w:sz="8" w:space="0" w:color="000000"/>
              <w:bottom w:val="single" w:sz="4" w:space="0" w:color="000000"/>
            </w:tcBorders>
          </w:tcPr>
          <w:p>
            <w:pPr>
              <w:spacing w:before="40" w:after="40" w:line="240" w:lineRule="auto"/>
            </w:pPr>
            <w:r>
              <w:rPr>
                <w:b/>
                <w:sz w:val="16"/>
              </w:rPr>
              <w:t>Production performance outcome</w:t>
            </w:r>
          </w:p>
        </w:tc>
        <w:tc>
          <w:tcPr>
            <w:tcW w:type="dxa" w:w="1234"/>
            <w:tcW w:type="dxa" w:w="2233"/>
            <w:tcBorders>
              <w:left w:val="nil"/>
              <w:right w:val="nil"/>
              <w:top w:val="single" w:sz="8" w:space="0" w:color="000000"/>
              <w:bottom w:val="single" w:sz="4" w:space="0" w:color="000000"/>
            </w:tcBorders>
          </w:tcPr>
          <w:p>
            <w:pPr>
              <w:spacing w:before="40" w:after="40" w:line="240" w:lineRule="auto"/>
            </w:pPr>
            <w:r>
              <w:rPr>
                <w:b/>
                <w:sz w:val="16"/>
              </w:rPr>
              <w:t>Operational integrity outcome</w:t>
            </w:r>
          </w:p>
        </w:tc>
        <w:tc>
          <w:tcPr>
            <w:tcW w:type="dxa" w:w="1234"/>
            <w:tcW w:type="dxa" w:w="1921"/>
            <w:tcBorders>
              <w:left w:val="nil"/>
              <w:right w:val="nil"/>
              <w:top w:val="single" w:sz="8" w:space="0" w:color="000000"/>
              <w:bottom w:val="single" w:sz="4" w:space="0" w:color="000000"/>
            </w:tcBorders>
          </w:tcPr>
          <w:p>
            <w:pPr>
              <w:spacing w:before="40" w:after="40" w:line="240" w:lineRule="auto"/>
            </w:pPr>
            <w:r>
              <w:rPr>
                <w:b/>
                <w:sz w:val="16"/>
              </w:rPr>
              <w:t>Trajectory class</w:t>
            </w:r>
          </w:p>
        </w:tc>
      </w:tr>
      <w:tr>
        <w:tc>
          <w:tcPr>
            <w:tcW w:type="dxa" w:w="1234"/>
            <w:tcW w:type="dxa" w:w="1705"/>
            <w:tcBorders>
              <w:left w:val="nil"/>
              <w:right w:val="nil"/>
              <w:top w:val="nil"/>
              <w:bottom w:val="nil"/>
            </w:tcBorders>
          </w:tcPr>
          <w:p>
            <w:pPr>
              <w:spacing w:before="40" w:after="40" w:line="240" w:lineRule="auto"/>
            </w:pPr>
            <w:r>
              <w:rPr>
                <w:sz w:val="16"/>
              </w:rPr>
              <w:t>Aiteo (OML 29)</w:t>
            </w:r>
          </w:p>
        </w:tc>
        <w:tc>
          <w:tcPr>
            <w:tcW w:type="dxa" w:w="1234"/>
            <w:tcW w:type="dxa" w:w="923"/>
            <w:tcBorders>
              <w:left w:val="nil"/>
              <w:right w:val="nil"/>
              <w:top w:val="nil"/>
              <w:bottom w:val="nil"/>
            </w:tcBorders>
          </w:tcPr>
          <w:p>
            <w:pPr>
              <w:spacing w:before="40" w:after="40" w:line="240" w:lineRule="auto"/>
            </w:pPr>
            <w:r>
              <w:rPr>
                <w:sz w:val="16"/>
              </w:rPr>
              <w:t>2015</w:t>
            </w:r>
          </w:p>
        </w:tc>
        <w:tc>
          <w:tcPr>
            <w:tcW w:type="dxa" w:w="1234"/>
            <w:tcW w:type="dxa" w:w="1152"/>
            <w:tcBorders>
              <w:left w:val="nil"/>
              <w:right w:val="nil"/>
              <w:top w:val="nil"/>
              <w:bottom w:val="nil"/>
            </w:tcBorders>
          </w:tcPr>
          <w:p>
            <w:pPr>
              <w:spacing w:before="40" w:after="40" w:line="240" w:lineRule="auto"/>
            </w:pPr>
            <w:r>
              <w:rPr>
                <w:sz w:val="16"/>
              </w:rPr>
              <w:t>Shell</w:t>
            </w:r>
          </w:p>
        </w:tc>
        <w:tc>
          <w:tcPr>
            <w:tcW w:type="dxa" w:w="1234"/>
            <w:tcW w:type="dxa" w:w="1913"/>
            <w:tcBorders>
              <w:left w:val="nil"/>
              <w:right w:val="nil"/>
              <w:top w:val="nil"/>
              <w:bottom w:val="nil"/>
            </w:tcBorders>
          </w:tcPr>
          <w:p>
            <w:pPr>
              <w:spacing w:before="40" w:after="40" w:line="240" w:lineRule="auto"/>
            </w:pPr>
            <w:r>
              <w:rPr>
                <w:sz w:val="16"/>
              </w:rPr>
              <w:t>$1.7B (OML 29 stake); $2.562B with the NCTL</w:t>
            </w:r>
          </w:p>
        </w:tc>
        <w:tc>
          <w:tcPr>
            <w:tcW w:type="dxa" w:w="1234"/>
            <w:tcW w:type="dxa" w:w="2393"/>
            <w:tcBorders>
              <w:left w:val="nil"/>
              <w:right w:val="nil"/>
              <w:top w:val="nil"/>
              <w:bottom w:val="nil"/>
            </w:tcBorders>
          </w:tcPr>
          <w:p>
            <w:pPr>
              <w:spacing w:before="40" w:after="40" w:line="240" w:lineRule="auto"/>
            </w:pPr>
            <w:r>
              <w:rPr>
                <w:sz w:val="16"/>
              </w:rPr>
              <w:t>Modeled peak ~41 kb/d (Wood Mackenzie, 2026); audited metered 38.2k (NEITI, 2021); 4.9k metered / 0.7k fiscalized (2022); 7.4k annual (NUPRC 2024, mid-year shut-in). Reported corporate peak 90k (Mar 2017), unsupported.</w:t>
            </w:r>
          </w:p>
        </w:tc>
        <w:tc>
          <w:tcPr>
            <w:tcW w:type="dxa" w:w="1234"/>
            <w:tcW w:type="dxa" w:w="2233"/>
            <w:tcBorders>
              <w:left w:val="nil"/>
              <w:right w:val="nil"/>
              <w:top w:val="nil"/>
              <w:bottom w:val="nil"/>
            </w:tcBorders>
          </w:tcPr>
          <w:p>
            <w:pPr>
              <w:spacing w:before="40" w:after="40" w:line="240" w:lineRule="auto"/>
            </w:pPr>
            <w:r>
              <w:rPr>
                <w:sz w:val="16"/>
              </w:rPr>
              <w:t>Santa Barbara blowout Nov 2021 (~200,000 bbl, 33 days, 41 communities); 74% metering error in 2022; flared 49.5% of produced gas (2021)</w:t>
            </w:r>
          </w:p>
        </w:tc>
        <w:tc>
          <w:tcPr>
            <w:tcW w:type="dxa" w:w="1234"/>
            <w:tcW w:type="dxa" w:w="1921"/>
            <w:tcBorders>
              <w:left w:val="nil"/>
              <w:right w:val="nil"/>
              <w:top w:val="nil"/>
              <w:bottom w:val="nil"/>
            </w:tcBorders>
          </w:tcPr>
          <w:p>
            <w:pPr>
              <w:spacing w:before="40" w:after="40" w:line="240" w:lineRule="auto"/>
            </w:pPr>
            <w:r>
              <w:rPr>
                <w:sz w:val="16"/>
              </w:rPr>
              <w:t>Growth then deterioration</w:t>
            </w:r>
          </w:p>
        </w:tc>
      </w:tr>
      <w:tr>
        <w:tc>
          <w:tcPr>
            <w:tcW w:type="dxa" w:w="1234"/>
            <w:tcW w:type="dxa" w:w="1705"/>
            <w:tcBorders>
              <w:left w:val="nil"/>
              <w:right w:val="nil"/>
              <w:top w:val="nil"/>
              <w:bottom w:val="nil"/>
            </w:tcBorders>
          </w:tcPr>
          <w:p>
            <w:pPr>
              <w:spacing w:before="40" w:after="40" w:line="240" w:lineRule="auto"/>
            </w:pPr>
            <w:r>
              <w:rPr>
                <w:sz w:val="16"/>
              </w:rPr>
              <w:t>Eroton (OML 18)</w:t>
            </w:r>
          </w:p>
        </w:tc>
        <w:tc>
          <w:tcPr>
            <w:tcW w:type="dxa" w:w="1234"/>
            <w:tcW w:type="dxa" w:w="923"/>
            <w:tcBorders>
              <w:left w:val="nil"/>
              <w:right w:val="nil"/>
              <w:top w:val="nil"/>
              <w:bottom w:val="nil"/>
            </w:tcBorders>
          </w:tcPr>
          <w:p>
            <w:pPr>
              <w:spacing w:before="40" w:after="40" w:line="240" w:lineRule="auto"/>
            </w:pPr>
            <w:r>
              <w:rPr>
                <w:sz w:val="16"/>
              </w:rPr>
              <w:t>2015</w:t>
            </w:r>
          </w:p>
        </w:tc>
        <w:tc>
          <w:tcPr>
            <w:tcW w:type="dxa" w:w="1234"/>
            <w:tcW w:type="dxa" w:w="1152"/>
            <w:tcBorders>
              <w:left w:val="nil"/>
              <w:right w:val="nil"/>
              <w:top w:val="nil"/>
              <w:bottom w:val="nil"/>
            </w:tcBorders>
          </w:tcPr>
          <w:p>
            <w:pPr>
              <w:spacing w:before="40" w:after="40" w:line="240" w:lineRule="auto"/>
            </w:pPr>
            <w:r>
              <w:rPr>
                <w:sz w:val="16"/>
              </w:rPr>
              <w:t>Shell, Total, Eni</w:t>
            </w:r>
          </w:p>
        </w:tc>
        <w:tc>
          <w:tcPr>
            <w:tcW w:type="dxa" w:w="1234"/>
            <w:tcW w:type="dxa" w:w="1913"/>
            <w:tcBorders>
              <w:left w:val="nil"/>
              <w:right w:val="nil"/>
              <w:top w:val="nil"/>
              <w:bottom w:val="nil"/>
            </w:tcBorders>
          </w:tcPr>
          <w:p>
            <w:pPr>
              <w:spacing w:before="40" w:after="40" w:line="240" w:lineRule="auto"/>
            </w:pPr>
            <w:r>
              <w:rPr>
                <w:sz w:val="16"/>
              </w:rPr>
              <w:t>$1.2B (45% interest)</w:t>
            </w:r>
          </w:p>
        </w:tc>
        <w:tc>
          <w:tcPr>
            <w:tcW w:type="dxa" w:w="1234"/>
            <w:tcW w:type="dxa" w:w="2393"/>
            <w:tcBorders>
              <w:left w:val="nil"/>
              <w:right w:val="nil"/>
              <w:top w:val="nil"/>
              <w:bottom w:val="nil"/>
            </w:tcBorders>
          </w:tcPr>
          <w:p>
            <w:pPr>
              <w:spacing w:before="40" w:after="40" w:line="240" w:lineRule="auto"/>
            </w:pPr>
            <w:r>
              <w:rPr>
                <w:sz w:val="16"/>
              </w:rPr>
              <w:t>Modeled peak ~32 kb/d (Wood Mackenzie, 2026); audited metered 19.3k (NEITI, 2021; delivered volumes far lower, the NCTL trunk line unavailable); 9.0k metered / ~0.6k fiscalized trough (2022); 13.6k gross (NUPRC, 2024). Reported corporate peak 50k.</w:t>
            </w:r>
          </w:p>
        </w:tc>
        <w:tc>
          <w:tcPr>
            <w:tcW w:type="dxa" w:w="1234"/>
            <w:tcW w:type="dxa" w:w="2233"/>
            <w:tcBorders>
              <w:left w:val="nil"/>
              <w:right w:val="nil"/>
              <w:top w:val="nil"/>
              <w:bottom w:val="nil"/>
            </w:tcBorders>
          </w:tcPr>
          <w:p>
            <w:pPr>
              <w:spacing w:before="40" w:after="40" w:line="240" w:lineRule="auto"/>
            </w:pPr>
            <w:r>
              <w:rPr>
                <w:sz w:val="16"/>
              </w:rPr>
              <w:t>Output stranded by evacuation failure; flared 35.2% of produced gas (2021)</w:t>
            </w:r>
          </w:p>
        </w:tc>
        <w:tc>
          <w:tcPr>
            <w:tcW w:type="dxa" w:w="1234"/>
            <w:tcW w:type="dxa" w:w="1921"/>
            <w:tcBorders>
              <w:left w:val="nil"/>
              <w:right w:val="nil"/>
              <w:top w:val="nil"/>
              <w:bottom w:val="nil"/>
            </w:tcBorders>
          </w:tcPr>
          <w:p>
            <w:pPr>
              <w:spacing w:before="40" w:after="40" w:line="240" w:lineRule="auto"/>
            </w:pPr>
            <w:r>
              <w:rPr>
                <w:sz w:val="16"/>
              </w:rPr>
              <w:t>Growth then delivered-output deterioration</w:t>
            </w:r>
          </w:p>
        </w:tc>
      </w:tr>
      <w:tr>
        <w:tc>
          <w:tcPr>
            <w:tcW w:type="dxa" w:w="1234"/>
            <w:tcW w:type="dxa" w:w="1705"/>
            <w:tcBorders>
              <w:left w:val="nil"/>
              <w:right w:val="nil"/>
              <w:top w:val="nil"/>
              <w:bottom w:val="nil"/>
            </w:tcBorders>
          </w:tcPr>
          <w:p>
            <w:pPr>
              <w:spacing w:before="40" w:after="40" w:line="240" w:lineRule="auto"/>
            </w:pPr>
            <w:r>
              <w:rPr>
                <w:sz w:val="16"/>
              </w:rPr>
              <w:t>First Hydrocarbon (OML 26, via Afren)</w:t>
            </w:r>
          </w:p>
        </w:tc>
        <w:tc>
          <w:tcPr>
            <w:tcW w:type="dxa" w:w="1234"/>
            <w:tcW w:type="dxa" w:w="923"/>
            <w:tcBorders>
              <w:left w:val="nil"/>
              <w:right w:val="nil"/>
              <w:top w:val="nil"/>
              <w:bottom w:val="nil"/>
            </w:tcBorders>
          </w:tcPr>
          <w:p>
            <w:pPr>
              <w:spacing w:before="40" w:after="40" w:line="240" w:lineRule="auto"/>
            </w:pPr>
            <w:r>
              <w:rPr>
                <w:sz w:val="16"/>
              </w:rPr>
              <w:t>2011</w:t>
            </w:r>
          </w:p>
        </w:tc>
        <w:tc>
          <w:tcPr>
            <w:tcW w:type="dxa" w:w="1234"/>
            <w:tcW w:type="dxa" w:w="1152"/>
            <w:tcBorders>
              <w:left w:val="nil"/>
              <w:right w:val="nil"/>
              <w:top w:val="nil"/>
              <w:bottom w:val="nil"/>
            </w:tcBorders>
          </w:tcPr>
          <w:p>
            <w:pPr>
              <w:spacing w:before="40" w:after="40" w:line="240" w:lineRule="auto"/>
            </w:pPr>
            <w:r>
              <w:rPr>
                <w:sz w:val="16"/>
              </w:rPr>
              <w:t>Shell, Total, Eni</w:t>
            </w:r>
          </w:p>
        </w:tc>
        <w:tc>
          <w:tcPr>
            <w:tcW w:type="dxa" w:w="1234"/>
            <w:tcW w:type="dxa" w:w="1913"/>
            <w:tcBorders>
              <w:left w:val="nil"/>
              <w:right w:val="nil"/>
              <w:top w:val="nil"/>
              <w:bottom w:val="nil"/>
            </w:tcBorders>
          </w:tcPr>
          <w:p>
            <w:pPr>
              <w:spacing w:before="40" w:after="40" w:line="240" w:lineRule="auto"/>
            </w:pPr>
            <w:r>
              <w:rPr>
                <w:sz w:val="16"/>
              </w:rPr>
              <w:t>45% interest (Shell 30%, Total 10%, Eni 5%); ~$98M reported, likely the Shell portion</w:t>
            </w:r>
          </w:p>
        </w:tc>
        <w:tc>
          <w:tcPr>
            <w:tcW w:type="dxa" w:w="1234"/>
            <w:tcW w:type="dxa" w:w="2393"/>
            <w:tcBorders>
              <w:left w:val="nil"/>
              <w:right w:val="nil"/>
              <w:top w:val="nil"/>
              <w:bottom w:val="nil"/>
            </w:tcBorders>
          </w:tcPr>
          <w:p>
            <w:pPr>
              <w:spacing w:before="40" w:after="40" w:line="240" w:lineRule="auto"/>
            </w:pPr>
            <w:r>
              <w:rPr>
                <w:sz w:val="16"/>
              </w:rPr>
              <w:t>~2 to ~15 kb/d modeled (WoodMac); audited metered 8.8k (NEITI, 2021), low base</w:t>
            </w:r>
          </w:p>
        </w:tc>
        <w:tc>
          <w:tcPr>
            <w:tcW w:type="dxa" w:w="1234"/>
            <w:tcW w:type="dxa" w:w="2233"/>
            <w:tcBorders>
              <w:left w:val="nil"/>
              <w:right w:val="nil"/>
              <w:top w:val="nil"/>
              <w:bottom w:val="nil"/>
            </w:tcBorders>
          </w:tcPr>
          <w:p>
            <w:pPr>
              <w:spacing w:before="40" w:after="40" w:line="240" w:lineRule="auto"/>
            </w:pPr>
            <w:r>
              <w:rPr>
                <w:sz w:val="16"/>
              </w:rPr>
              <w:t>Insufficient data to assess operational integrity. Sponsor Afren entered administration July 2015; executives convicted of fraud; ~$185M bank losses</w:t>
            </w:r>
          </w:p>
        </w:tc>
        <w:tc>
          <w:tcPr>
            <w:tcW w:type="dxa" w:w="1234"/>
            <w:tcW w:type="dxa" w:w="1921"/>
            <w:tcBorders>
              <w:left w:val="nil"/>
              <w:right w:val="nil"/>
              <w:top w:val="nil"/>
              <w:bottom w:val="nil"/>
            </w:tcBorders>
          </w:tcPr>
          <w:p>
            <w:pPr>
              <w:spacing w:before="40" w:after="40" w:line="240" w:lineRule="auto"/>
            </w:pPr>
            <w:r>
              <w:rPr>
                <w:sz w:val="16"/>
              </w:rPr>
              <w:t>Low-level survival</w:t>
            </w:r>
          </w:p>
        </w:tc>
      </w:tr>
      <w:tr>
        <w:tc>
          <w:tcPr>
            <w:tcW w:type="dxa" w:w="1234"/>
            <w:tcW w:type="dxa" w:w="1705"/>
            <w:tcBorders>
              <w:left w:val="nil"/>
              <w:right w:val="nil"/>
              <w:top w:val="nil"/>
              <w:bottom w:val="nil"/>
            </w:tcBorders>
          </w:tcPr>
          <w:p>
            <w:pPr>
              <w:spacing w:before="40" w:after="40" w:line="240" w:lineRule="auto"/>
            </w:pPr>
            <w:r>
              <w:rPr>
                <w:sz w:val="16"/>
              </w:rPr>
              <w:t>Seplat (OMLs 4, 38, 41)</w:t>
            </w:r>
          </w:p>
        </w:tc>
        <w:tc>
          <w:tcPr>
            <w:tcW w:type="dxa" w:w="1234"/>
            <w:tcW w:type="dxa" w:w="923"/>
            <w:tcBorders>
              <w:left w:val="nil"/>
              <w:right w:val="nil"/>
              <w:top w:val="nil"/>
              <w:bottom w:val="nil"/>
            </w:tcBorders>
          </w:tcPr>
          <w:p>
            <w:pPr>
              <w:spacing w:before="40" w:after="40" w:line="240" w:lineRule="auto"/>
            </w:pPr>
            <w:r>
              <w:rPr>
                <w:sz w:val="16"/>
              </w:rPr>
              <w:t>2010</w:t>
            </w:r>
          </w:p>
        </w:tc>
        <w:tc>
          <w:tcPr>
            <w:tcW w:type="dxa" w:w="1234"/>
            <w:tcW w:type="dxa" w:w="1152"/>
            <w:tcBorders>
              <w:left w:val="nil"/>
              <w:right w:val="nil"/>
              <w:top w:val="nil"/>
              <w:bottom w:val="nil"/>
            </w:tcBorders>
          </w:tcPr>
          <w:p>
            <w:pPr>
              <w:spacing w:before="40" w:after="40" w:line="240" w:lineRule="auto"/>
            </w:pPr>
            <w:r>
              <w:rPr>
                <w:sz w:val="16"/>
              </w:rPr>
              <w:t>Shell</w:t>
            </w:r>
          </w:p>
        </w:tc>
        <w:tc>
          <w:tcPr>
            <w:tcW w:type="dxa" w:w="1234"/>
            <w:tcW w:type="dxa" w:w="1913"/>
            <w:tcBorders>
              <w:left w:val="nil"/>
              <w:right w:val="nil"/>
              <w:top w:val="nil"/>
              <w:bottom w:val="nil"/>
            </w:tcBorders>
          </w:tcPr>
          <w:p>
            <w:pPr>
              <w:spacing w:before="40" w:after="40" w:line="240" w:lineRule="auto"/>
            </w:pPr>
            <w:r>
              <w:rPr>
                <w:sz w:val="16"/>
              </w:rPr>
              <w:t>$340M (45%, from a $610M valuation)</w:t>
            </w:r>
          </w:p>
        </w:tc>
        <w:tc>
          <w:tcPr>
            <w:tcW w:type="dxa" w:w="1234"/>
            <w:tcW w:type="dxa" w:w="2393"/>
            <w:tcBorders>
              <w:left w:val="nil"/>
              <w:right w:val="nil"/>
              <w:top w:val="nil"/>
              <w:bottom w:val="nil"/>
            </w:tcBorders>
          </w:tcPr>
          <w:p>
            <w:pPr>
              <w:spacing w:before="40" w:after="40" w:line="240" w:lineRule="auto"/>
            </w:pPr>
            <w:r>
              <w:rPr>
                <w:sz w:val="16"/>
              </w:rPr>
              <w:t>Modeled peak ~53 kb/d for the three OMLs (Wood Mackenzie, 2026); audited metered 42.3k (NEITI, 2021); company-wide peak 85.2k</w:t>
            </w:r>
          </w:p>
        </w:tc>
        <w:tc>
          <w:tcPr>
            <w:tcW w:type="dxa" w:w="1234"/>
            <w:tcW w:type="dxa" w:w="2233"/>
            <w:tcBorders>
              <w:left w:val="nil"/>
              <w:right w:val="nil"/>
              <w:top w:val="nil"/>
              <w:bottom w:val="nil"/>
            </w:tcBorders>
          </w:tcPr>
          <w:p>
            <w:pPr>
              <w:spacing w:before="40" w:after="40" w:line="240" w:lineRule="auto"/>
            </w:pPr>
            <w:r>
              <w:rPr>
                <w:sz w:val="16"/>
              </w:rPr>
              <w:t>11M+ man-hours without a lost-time injury; AfriSAFE Energy Company of the Year 2024; flared 11.4% (JV, OB3-confounded)</w:t>
            </w:r>
          </w:p>
        </w:tc>
        <w:tc>
          <w:tcPr>
            <w:tcW w:type="dxa" w:w="1234"/>
            <w:tcW w:type="dxa" w:w="1921"/>
            <w:tcBorders>
              <w:left w:val="nil"/>
              <w:right w:val="nil"/>
              <w:top w:val="nil"/>
              <w:bottom w:val="nil"/>
            </w:tcBorders>
          </w:tcPr>
          <w:p>
            <w:pPr>
              <w:spacing w:before="40" w:after="40" w:line="240" w:lineRule="auto"/>
            </w:pPr>
            <w:r>
              <w:rPr>
                <w:sz w:val="16"/>
              </w:rPr>
              <w:t>Sustained growth</w:t>
            </w:r>
          </w:p>
        </w:tc>
      </w:tr>
      <w:tr>
        <w:tc>
          <w:tcPr>
            <w:tcW w:type="dxa" w:w="1234"/>
            <w:tcW w:type="dxa" w:w="1705"/>
            <w:tcBorders>
              <w:left w:val="nil"/>
              <w:right w:val="nil"/>
              <w:top w:val="nil"/>
              <w:bottom w:val="nil"/>
            </w:tcBorders>
          </w:tcPr>
          <w:p>
            <w:pPr>
              <w:spacing w:before="40" w:after="40" w:line="240" w:lineRule="auto"/>
            </w:pPr>
            <w:r>
              <w:rPr>
                <w:sz w:val="16"/>
              </w:rPr>
              <w:t>Shoreline / HEOSL-operated (OML 30)</w:t>
            </w:r>
          </w:p>
        </w:tc>
        <w:tc>
          <w:tcPr>
            <w:tcW w:type="dxa" w:w="1234"/>
            <w:tcW w:type="dxa" w:w="923"/>
            <w:tcBorders>
              <w:left w:val="nil"/>
              <w:right w:val="nil"/>
              <w:top w:val="nil"/>
              <w:bottom w:val="nil"/>
            </w:tcBorders>
          </w:tcPr>
          <w:p>
            <w:pPr>
              <w:spacing w:before="40" w:after="40" w:line="240" w:lineRule="auto"/>
            </w:pPr>
            <w:r>
              <w:rPr>
                <w:sz w:val="16"/>
              </w:rPr>
              <w:t>2012</w:t>
            </w:r>
          </w:p>
        </w:tc>
        <w:tc>
          <w:tcPr>
            <w:tcW w:type="dxa" w:w="1234"/>
            <w:tcW w:type="dxa" w:w="1152"/>
            <w:tcBorders>
              <w:left w:val="nil"/>
              <w:right w:val="nil"/>
              <w:top w:val="nil"/>
              <w:bottom w:val="nil"/>
            </w:tcBorders>
          </w:tcPr>
          <w:p>
            <w:pPr>
              <w:spacing w:before="40" w:after="40" w:line="240" w:lineRule="auto"/>
            </w:pPr>
            <w:r>
              <w:rPr>
                <w:sz w:val="16"/>
              </w:rPr>
              <w:t>Shell, Total, Eni</w:t>
            </w:r>
          </w:p>
        </w:tc>
        <w:tc>
          <w:tcPr>
            <w:tcW w:type="dxa" w:w="1234"/>
            <w:tcW w:type="dxa" w:w="1913"/>
            <w:tcBorders>
              <w:left w:val="nil"/>
              <w:right w:val="nil"/>
              <w:top w:val="nil"/>
              <w:bottom w:val="nil"/>
            </w:tcBorders>
          </w:tcPr>
          <w:p>
            <w:pPr>
              <w:spacing w:before="40" w:after="40" w:line="240" w:lineRule="auto"/>
            </w:pPr>
            <w:r>
              <w:rPr>
                <w:sz w:val="16"/>
              </w:rPr>
              <w:t>$850M (45% interest)</w:t>
            </w:r>
          </w:p>
        </w:tc>
        <w:tc>
          <w:tcPr>
            <w:tcW w:type="dxa" w:w="1234"/>
            <w:tcW w:type="dxa" w:w="2393"/>
            <w:tcBorders>
              <w:left w:val="nil"/>
              <w:right w:val="nil"/>
              <w:top w:val="nil"/>
              <w:bottom w:val="nil"/>
            </w:tcBorders>
          </w:tcPr>
          <w:p>
            <w:pPr>
              <w:spacing w:before="40" w:after="40" w:line="240" w:lineRule="auto"/>
            </w:pPr>
            <w:r>
              <w:rPr>
                <w:sz w:val="16"/>
              </w:rPr>
              <w:t>Modeled peak ~35 kb/d (Wood Mackenzie, 2026); audited metered ~24k (NEITI, 2021) and ~30k (2022); grew from ~4k after the 2017 operatorship change to an operator-reported peak near 67k by 2025; an earlier 80k gross claim is set aside.</w:t>
            </w:r>
          </w:p>
        </w:tc>
        <w:tc>
          <w:tcPr>
            <w:tcW w:type="dxa" w:w="1234"/>
            <w:tcW w:type="dxa" w:w="2233"/>
            <w:tcBorders>
              <w:left w:val="nil"/>
              <w:right w:val="nil"/>
              <w:top w:val="nil"/>
              <w:bottom w:val="nil"/>
            </w:tcBorders>
          </w:tcPr>
          <w:p>
            <w:pPr>
              <w:spacing w:before="40" w:after="40" w:line="240" w:lineRule="auto"/>
            </w:pPr>
            <w:r>
              <w:rPr>
                <w:sz w:val="16"/>
              </w:rPr>
              <w:t>Rehabilitation of vessels, wellheads, and compression; clear of major safety or environmental incident in the documentary record surveyed; flaring reported only in aggregate for OML 30 in the NEITI 2021 audit</w:t>
            </w:r>
          </w:p>
        </w:tc>
        <w:tc>
          <w:tcPr>
            <w:tcW w:type="dxa" w:w="1234"/>
            <w:tcW w:type="dxa" w:w="1921"/>
            <w:tcBorders>
              <w:left w:val="nil"/>
              <w:right w:val="nil"/>
              <w:top w:val="nil"/>
              <w:bottom w:val="nil"/>
            </w:tcBorders>
          </w:tcPr>
          <w:p>
            <w:pPr>
              <w:spacing w:before="40" w:after="40" w:line="240" w:lineRule="auto"/>
            </w:pPr>
            <w:r>
              <w:rPr>
                <w:sz w:val="16"/>
              </w:rPr>
              <w:t>Sustained growth</w:t>
            </w:r>
          </w:p>
        </w:tc>
      </w:tr>
      <w:tr>
        <w:tc>
          <w:tcPr>
            <w:tcW w:type="dxa" w:w="1234"/>
            <w:tcW w:type="dxa" w:w="1705"/>
            <w:tcBorders>
              <w:left w:val="nil"/>
              <w:right w:val="nil"/>
              <w:top w:val="nil"/>
              <w:bottom w:val="single" w:sz="8" w:space="0" w:color="000000"/>
            </w:tcBorders>
          </w:tcPr>
          <w:p>
            <w:pPr>
              <w:spacing w:before="40" w:after="40" w:line="240" w:lineRule="auto"/>
            </w:pPr>
            <w:r>
              <w:rPr>
                <w:sz w:val="16"/>
              </w:rPr>
              <w:t>NPDC (multiple OMLs)</w:t>
            </w:r>
          </w:p>
        </w:tc>
        <w:tc>
          <w:tcPr>
            <w:tcW w:type="dxa" w:w="1234"/>
            <w:tcW w:type="dxa" w:w="923"/>
            <w:tcBorders>
              <w:left w:val="nil"/>
              <w:right w:val="nil"/>
              <w:top w:val="nil"/>
              <w:bottom w:val="single" w:sz="8" w:space="0" w:color="000000"/>
            </w:tcBorders>
          </w:tcPr>
          <w:p>
            <w:pPr>
              <w:spacing w:before="40" w:after="40" w:line="240" w:lineRule="auto"/>
            </w:pPr>
            <w:r>
              <w:rPr>
                <w:sz w:val="16"/>
              </w:rPr>
              <w:t>2010 on</w:t>
            </w:r>
          </w:p>
        </w:tc>
        <w:tc>
          <w:tcPr>
            <w:tcW w:type="dxa" w:w="1234"/>
            <w:tcW w:type="dxa" w:w="1152"/>
            <w:tcBorders>
              <w:left w:val="nil"/>
              <w:right w:val="nil"/>
              <w:top w:val="nil"/>
              <w:bottom w:val="single" w:sz="8" w:space="0" w:color="000000"/>
            </w:tcBorders>
          </w:tcPr>
          <w:p>
            <w:pPr>
              <w:spacing w:before="40" w:after="40" w:line="240" w:lineRule="auto"/>
            </w:pPr>
            <w:r>
              <w:rPr>
                <w:sz w:val="16"/>
              </w:rPr>
              <w:t>Shell equity via NNPC transfer</w:t>
            </w:r>
          </w:p>
        </w:tc>
        <w:tc>
          <w:tcPr>
            <w:tcW w:type="dxa" w:w="1234"/>
            <w:tcW w:type="dxa" w:w="1913"/>
            <w:tcBorders>
              <w:left w:val="nil"/>
              <w:right w:val="nil"/>
              <w:top w:val="nil"/>
              <w:bottom w:val="single" w:sz="8" w:space="0" w:color="000000"/>
            </w:tcBorders>
          </w:tcPr>
          <w:p>
            <w:pPr>
              <w:spacing w:before="40" w:after="40" w:line="240" w:lineRule="auto"/>
            </w:pPr>
            <w:r>
              <w:rPr>
                <w:sz w:val="16"/>
              </w:rPr>
              <w:t>Equity holdings, without a transaction cost</w:t>
            </w:r>
          </w:p>
        </w:tc>
        <w:tc>
          <w:tcPr>
            <w:tcW w:type="dxa" w:w="1234"/>
            <w:tcW w:type="dxa" w:w="2393"/>
            <w:tcBorders>
              <w:left w:val="nil"/>
              <w:right w:val="nil"/>
              <w:top w:val="nil"/>
              <w:bottom w:val="single" w:sz="8" w:space="0" w:color="000000"/>
            </w:tcBorders>
          </w:tcPr>
          <w:p>
            <w:pPr>
              <w:spacing w:before="40" w:after="40" w:line="240" w:lineRule="auto"/>
            </w:pPr>
            <w:r>
              <w:rPr>
                <w:sz w:val="16"/>
              </w:rPr>
              <w:t>Target 500k by 2020 unmet; 23% technical efficiency, lowest of operator categories; production basis differs from the OML series</w:t>
            </w:r>
          </w:p>
        </w:tc>
        <w:tc>
          <w:tcPr>
            <w:tcW w:type="dxa" w:w="1234"/>
            <w:tcW w:type="dxa" w:w="2233"/>
            <w:tcBorders>
              <w:left w:val="nil"/>
              <w:right w:val="nil"/>
              <w:top w:val="nil"/>
              <w:bottom w:val="single" w:sz="8" w:space="0" w:color="000000"/>
            </w:tcBorders>
          </w:tcPr>
          <w:p>
            <w:pPr>
              <w:spacing w:before="40" w:after="40" w:line="240" w:lineRule="auto"/>
            </w:pPr>
            <w:r>
              <w:rPr>
                <w:sz w:val="16"/>
              </w:rPr>
              <w:t>Benin River Valve Station explosion July 2020, seven contractor workers killed</w:t>
            </w:r>
          </w:p>
        </w:tc>
        <w:tc>
          <w:tcPr>
            <w:tcW w:type="dxa" w:w="1234"/>
            <w:tcW w:type="dxa" w:w="1921"/>
            <w:tcBorders>
              <w:left w:val="nil"/>
              <w:right w:val="nil"/>
              <w:top w:val="nil"/>
              <w:bottom w:val="single" w:sz="8" w:space="0" w:color="000000"/>
            </w:tcBorders>
          </w:tcPr>
          <w:p>
            <w:pPr>
              <w:spacing w:before="40" w:after="40" w:line="240" w:lineRule="auto"/>
            </w:pPr>
            <w:r>
              <w:rPr>
                <w:sz w:val="16"/>
              </w:rPr>
              <w:t>Underperformance against mandate</w:t>
            </w:r>
          </w:p>
        </w:tc>
      </w:tr>
    </w:tbl>
    <w:p>
      <w:pPr>
        <w:sectPr>
          <w:pgSz w:w="15840" w:h="12240" w:orient="landscape"/>
          <w:pgMar w:top="1440" w:bottom="1440" w:left="1800" w:right="1800" w:header="720" w:footer="720" w:gutter="0"/>
        </w:sectPr>
      </w:pPr>
    </w:p>
    <w:p>
      <w:pPr>
        <w:pStyle w:val="BodyText"/>
      </w:pPr>
      <w:r>
        <w:t xml:space="preserve">Audited = NEITI metered or fiscalized and NUPRC figures; modeled = Wood Mackenzie. Fiscalized production is production after metering losses and theft are deducted; the Wood Mackenzie series is modeled field liquids on a license-level basis. NUPRC figures are reported by company, so for multi-OML operators they span assets beyond the case licenses; NEITI 2021 metered figures are by license. Acquisition costs: Items in the source list and corporate filings.</w:t>
      </w:r>
    </w:p>
    <w:p>
      <w:pPr>
        <w:pStyle w:val="BodyText"/>
      </w:pPr>
      <w:r>
        <w:t xml:space="preserve">Three further transactions inform the analysis at a lower evidentiary weight, their data limited or non-comparable: an earlier transfer mechanism that supplies a structural precedent, and two recent acquisitions whose deliberate structure offers a design contrast. Table 4.2 records them.</w:t>
      </w:r>
    </w:p>
    <w:p>
      <w:pPr>
        <w:pStyle w:val="BodyText"/>
      </w:pPr>
      <w:r>
        <w:rPr>
          <w:bCs/>
          <w:b/>
        </w:rPr>
        <w:t xml:space="preserve">Table 4.2. Structural precedent and design contrasts, weighted below the formal cases because the data are limited or non-comparable.</w:t>
      </w:r>
    </w:p>
    <w:tbl>
      <w:tblPr>
        <w:tblW w:type="auto" w:w="0"/>
        <w:tblLook w:firstColumn="1" w:firstRow="1" w:lastColumn="0" w:lastRow="0" w:noHBand="0" w:noVBand="1" w:val="04A0"/>
        <w:tblLayout w:type="fixed"/>
        <w:tblW w:type="dxa" w:w="8640"/>
      </w:tblPr>
      <w:tblGrid>
        <w:gridCol w:w="1654"/>
        <w:gridCol w:w="2302"/>
        <w:gridCol w:w="2249"/>
        <w:gridCol w:w="2435"/>
      </w:tblGrid>
      <w:tr>
        <w:tc>
          <w:tcPr>
            <w:tcW w:type="dxa" w:w="2160"/>
            <w:tcW w:type="dxa" w:w="1654"/>
            <w:tcBorders>
              <w:left w:val="nil"/>
              <w:right w:val="nil"/>
              <w:top w:val="single" w:sz="8" w:space="0" w:color="000000"/>
              <w:bottom w:val="single" w:sz="4" w:space="0" w:color="000000"/>
            </w:tcBorders>
          </w:tcPr>
          <w:p>
            <w:pPr>
              <w:spacing w:before="40" w:after="40" w:line="240" w:lineRule="auto"/>
            </w:pPr>
            <w:r>
              <w:rPr>
                <w:b/>
                <w:sz w:val="18"/>
              </w:rPr>
              <w:t>Item</w:t>
            </w:r>
          </w:p>
        </w:tc>
        <w:tc>
          <w:tcPr>
            <w:tcW w:type="dxa" w:w="2160"/>
            <w:tcW w:type="dxa" w:w="2302"/>
            <w:tcBorders>
              <w:left w:val="nil"/>
              <w:right w:val="nil"/>
              <w:top w:val="single" w:sz="8" w:space="0" w:color="000000"/>
              <w:bottom w:val="single" w:sz="4" w:space="0" w:color="000000"/>
            </w:tcBorders>
          </w:tcPr>
          <w:p>
            <w:pPr>
              <w:spacing w:before="40" w:after="40" w:line="240" w:lineRule="auto"/>
            </w:pPr>
            <w:r>
              <w:rPr>
                <w:b/>
                <w:sz w:val="18"/>
              </w:rPr>
              <w:t>Transaction</w:t>
            </w:r>
          </w:p>
        </w:tc>
        <w:tc>
          <w:tcPr>
            <w:tcW w:type="dxa" w:w="2160"/>
            <w:tcW w:type="dxa" w:w="2249"/>
            <w:tcBorders>
              <w:left w:val="nil"/>
              <w:right w:val="nil"/>
              <w:top w:val="single" w:sz="8" w:space="0" w:color="000000"/>
              <w:bottom w:val="single" w:sz="4" w:space="0" w:color="000000"/>
            </w:tcBorders>
          </w:tcPr>
          <w:p>
            <w:pPr>
              <w:spacing w:before="40" w:after="40" w:line="240" w:lineRule="auto"/>
            </w:pPr>
            <w:r>
              <w:rPr>
                <w:b/>
                <w:sz w:val="18"/>
              </w:rPr>
              <w:t>Role</w:t>
            </w:r>
          </w:p>
        </w:tc>
        <w:tc>
          <w:tcPr>
            <w:tcW w:type="dxa" w:w="2160"/>
            <w:tcW w:type="dxa" w:w="2435"/>
            <w:tcBorders>
              <w:left w:val="nil"/>
              <w:right w:val="nil"/>
              <w:top w:val="single" w:sz="8" w:space="0" w:color="000000"/>
              <w:bottom w:val="single" w:sz="4" w:space="0" w:color="000000"/>
            </w:tcBorders>
          </w:tcPr>
          <w:p>
            <w:pPr>
              <w:spacing w:before="40" w:after="40" w:line="240" w:lineRule="auto"/>
            </w:pPr>
            <w:r>
              <w:rPr>
                <w:b/>
                <w:sz w:val="18"/>
              </w:rPr>
              <w:t>Status / data</w:t>
            </w:r>
          </w:p>
        </w:tc>
      </w:tr>
      <w:tr>
        <w:tc>
          <w:tcPr>
            <w:tcW w:type="dxa" w:w="2160"/>
            <w:tcW w:type="dxa" w:w="1654"/>
            <w:tcBorders>
              <w:left w:val="nil"/>
              <w:right w:val="nil"/>
              <w:top w:val="nil"/>
              <w:bottom w:val="nil"/>
            </w:tcBorders>
          </w:tcPr>
          <w:p>
            <w:pPr>
              <w:spacing w:before="40" w:after="40" w:line="240" w:lineRule="auto"/>
            </w:pPr>
            <w:r>
              <w:rPr>
                <w:sz w:val="18"/>
              </w:rPr>
              <w:t>Marginal field program (2003 round)</w:t>
            </w:r>
          </w:p>
        </w:tc>
        <w:tc>
          <w:tcPr>
            <w:tcW w:type="dxa" w:w="2160"/>
            <w:tcW w:type="dxa" w:w="2302"/>
            <w:tcBorders>
              <w:left w:val="nil"/>
              <w:right w:val="nil"/>
              <w:top w:val="nil"/>
              <w:bottom w:val="nil"/>
            </w:tcBorders>
          </w:tcPr>
          <w:p>
            <w:pPr>
              <w:spacing w:before="40" w:after="40" w:line="240" w:lineRule="auto"/>
            </w:pPr>
            <w:r>
              <w:rPr>
                <w:sz w:val="18"/>
              </w:rPr>
              <w:t>Government licensing of fields to indigenous companies</w:t>
            </w:r>
          </w:p>
        </w:tc>
        <w:tc>
          <w:tcPr>
            <w:tcW w:type="dxa" w:w="2160"/>
            <w:tcW w:type="dxa" w:w="2249"/>
            <w:tcBorders>
              <w:left w:val="nil"/>
              <w:right w:val="nil"/>
              <w:top w:val="nil"/>
              <w:bottom w:val="nil"/>
            </w:tcBorders>
          </w:tcPr>
          <w:p>
            <w:pPr>
              <w:spacing w:before="40" w:after="40" w:line="240" w:lineRule="auto"/>
            </w:pPr>
            <w:r>
              <w:rPr>
                <w:sz w:val="18"/>
              </w:rPr>
              <w:t>Structural precedent (a different transfer mechanism)</w:t>
            </w:r>
          </w:p>
        </w:tc>
        <w:tc>
          <w:tcPr>
            <w:tcW w:type="dxa" w:w="2160"/>
            <w:tcW w:type="dxa" w:w="2435"/>
            <w:tcBorders>
              <w:left w:val="nil"/>
              <w:right w:val="nil"/>
              <w:top w:val="nil"/>
              <w:bottom w:val="nil"/>
            </w:tcBorders>
          </w:tcPr>
          <w:p>
            <w:pPr>
              <w:spacing w:before="40" w:after="40" w:line="240" w:lineRule="auto"/>
            </w:pPr>
            <w:r>
              <w:rPr>
                <w:sz w:val="18"/>
              </w:rPr>
              <w:t>7 of 24 producing at ten years; 17 of 30 onstream by 2022; 11 licenses revoked over the program’s life; near 2% of national reserves; regulator judged the benefit to Nigeria minimal</w:t>
            </w:r>
          </w:p>
        </w:tc>
      </w:tr>
      <w:tr>
        <w:tc>
          <w:tcPr>
            <w:tcW w:type="dxa" w:w="2160"/>
            <w:tcW w:type="dxa" w:w="1654"/>
            <w:tcBorders>
              <w:left w:val="nil"/>
              <w:right w:val="nil"/>
              <w:top w:val="nil"/>
              <w:bottom w:val="nil"/>
            </w:tcBorders>
          </w:tcPr>
          <w:p>
            <w:pPr>
              <w:spacing w:before="40" w:after="40" w:line="240" w:lineRule="auto"/>
            </w:pPr>
            <w:r>
              <w:rPr>
                <w:sz w:val="18"/>
              </w:rPr>
              <w:t>Renaissance (SPDC onshore)</w:t>
            </w:r>
          </w:p>
        </w:tc>
        <w:tc>
          <w:tcPr>
            <w:tcW w:type="dxa" w:w="2160"/>
            <w:tcW w:type="dxa" w:w="2302"/>
            <w:tcBorders>
              <w:left w:val="nil"/>
              <w:right w:val="nil"/>
              <w:top w:val="nil"/>
              <w:bottom w:val="nil"/>
            </w:tcBorders>
          </w:tcPr>
          <w:p>
            <w:pPr>
              <w:spacing w:before="40" w:after="40" w:line="240" w:lineRule="auto"/>
            </w:pPr>
            <w:r>
              <w:rPr>
                <w:sz w:val="18"/>
              </w:rPr>
              <w:t>2024 acquisition of Shell’s onshore subsidiary; $2.4B</w:t>
            </w:r>
          </w:p>
        </w:tc>
        <w:tc>
          <w:tcPr>
            <w:tcW w:type="dxa" w:w="2160"/>
            <w:tcW w:type="dxa" w:w="2249"/>
            <w:tcBorders>
              <w:left w:val="nil"/>
              <w:right w:val="nil"/>
              <w:top w:val="nil"/>
              <w:bottom w:val="nil"/>
            </w:tcBorders>
          </w:tcPr>
          <w:p>
            <w:pPr>
              <w:spacing w:before="40" w:after="40" w:line="240" w:lineRule="auto"/>
            </w:pPr>
            <w:r>
              <w:rPr>
                <w:sz w:val="18"/>
              </w:rPr>
              <w:t>Design contrast (capability preservation structured into the transaction)</w:t>
            </w:r>
          </w:p>
        </w:tc>
        <w:tc>
          <w:tcPr>
            <w:tcW w:type="dxa" w:w="2160"/>
            <w:tcW w:type="dxa" w:w="2435"/>
            <w:tcBorders>
              <w:left w:val="nil"/>
              <w:right w:val="nil"/>
              <w:top w:val="nil"/>
              <w:bottom w:val="nil"/>
            </w:tcBorders>
          </w:tcPr>
          <w:p>
            <w:pPr>
              <w:spacing w:before="40" w:after="40" w:line="240" w:lineRule="auto"/>
            </w:pPr>
            <w:r>
              <w:rPr>
                <w:sz w:val="18"/>
              </w:rPr>
              <w:t>200,000+ bpd by April 2025; limited post-transfer data</w:t>
            </w:r>
          </w:p>
        </w:tc>
      </w:tr>
      <w:tr>
        <w:tc>
          <w:tcPr>
            <w:tcW w:type="dxa" w:w="2160"/>
            <w:tcW w:type="dxa" w:w="1654"/>
            <w:tcBorders>
              <w:left w:val="nil"/>
              <w:right w:val="nil"/>
              <w:top w:val="nil"/>
              <w:bottom w:val="single" w:sz="8" w:space="0" w:color="000000"/>
            </w:tcBorders>
          </w:tcPr>
          <w:p>
            <w:pPr>
              <w:spacing w:before="40" w:after="40" w:line="240" w:lineRule="auto"/>
            </w:pPr>
            <w:r>
              <w:rPr>
                <w:sz w:val="18"/>
              </w:rPr>
              <w:t>Seplat / MPNU</w:t>
            </w:r>
          </w:p>
        </w:tc>
        <w:tc>
          <w:tcPr>
            <w:tcW w:type="dxa" w:w="2160"/>
            <w:tcW w:type="dxa" w:w="2302"/>
            <w:tcBorders>
              <w:left w:val="nil"/>
              <w:right w:val="nil"/>
              <w:top w:val="nil"/>
              <w:bottom w:val="single" w:sz="8" w:space="0" w:color="000000"/>
            </w:tcBorders>
          </w:tcPr>
          <w:p>
            <w:pPr>
              <w:spacing w:before="40" w:after="40" w:line="240" w:lineRule="auto"/>
            </w:pPr>
            <w:r>
              <w:rPr>
                <w:sz w:val="18"/>
              </w:rPr>
              <w:t>2024 acquisition of ExxonMobil’s Mobil Producing Nigeria; $800M; 40% operated</w:t>
            </w:r>
          </w:p>
        </w:tc>
        <w:tc>
          <w:tcPr>
            <w:tcW w:type="dxa" w:w="2160"/>
            <w:tcW w:type="dxa" w:w="2249"/>
            <w:tcBorders>
              <w:left w:val="nil"/>
              <w:right w:val="nil"/>
              <w:top w:val="nil"/>
              <w:bottom w:val="single" w:sz="8" w:space="0" w:color="000000"/>
            </w:tcBorders>
          </w:tcPr>
          <w:p>
            <w:pPr>
              <w:spacing w:before="40" w:after="40" w:line="240" w:lineRule="auto"/>
            </w:pPr>
            <w:r>
              <w:rPr>
                <w:sz w:val="18"/>
              </w:rPr>
              <w:t>Design contrast (a capable buyer integrating from a different seller)</w:t>
            </w:r>
          </w:p>
        </w:tc>
        <w:tc>
          <w:tcPr>
            <w:tcW w:type="dxa" w:w="2160"/>
            <w:tcW w:type="dxa" w:w="2435"/>
            <w:tcBorders>
              <w:left w:val="nil"/>
              <w:right w:val="nil"/>
              <w:top w:val="nil"/>
              <w:bottom w:val="single" w:sz="8" w:space="0" w:color="000000"/>
            </w:tcBorders>
          </w:tcPr>
          <w:p>
            <w:pPr>
              <w:spacing w:before="40" w:after="40" w:line="240" w:lineRule="auto"/>
            </w:pPr>
            <w:r>
              <w:rPr>
                <w:sz w:val="18"/>
              </w:rPr>
              <w:t>Months of post-transfer data; FY2025 group production roughly doubled</w:t>
            </w:r>
          </w:p>
        </w:tc>
      </w:tr>
    </w:tbl>
    <w:p>
      <w:pPr>
        <w:pStyle w:val="BodyText"/>
      </w:pPr>
      <w:r>
        <w:drawing>
          <wp:inline>
            <wp:extent cx="5486400" cy="3124654"/>
            <wp:effectExtent b="0" l="0" r="0" t="0"/>
            <wp:docPr descr="" title="" id="22" name="Picture"/>
            <a:graphic>
              <a:graphicData uri="http://schemas.openxmlformats.org/drawingml/2006/picture">
                <pic:pic>
                  <pic:nvPicPr>
                    <pic:cNvPr descr="Figure_4_1_production_trajectories.png" id="23" name="Picture"/>
                    <pic:cNvPicPr>
                      <a:picLocks noChangeArrowheads="1" noChangeAspect="1"/>
                    </pic:cNvPicPr>
                  </pic:nvPicPr>
                  <pic:blipFill>
                    <a:blip r:embed="rId21"/>
                    <a:stretch>
                      <a:fillRect/>
                    </a:stretch>
                  </pic:blipFill>
                  <pic:spPr bwMode="auto">
                    <a:xfrm>
                      <a:off x="0" y="0"/>
                      <a:ext cx="5486400" cy="3124654"/>
                    </a:xfrm>
                    <a:prstGeom prst="rect">
                      <a:avLst/>
                    </a:prstGeom>
                    <a:noFill/>
                    <a:ln w="9525">
                      <a:noFill/>
                      <a:headEnd/>
                      <a:tailEnd/>
                    </a:ln>
                  </pic:spPr>
                </pic:pic>
              </a:graphicData>
            </a:graphic>
          </wp:inline>
        </w:drawing>
      </w:r>
    </w:p>
    <w:p>
      <w:pPr>
        <w:pStyle w:val="BodyText"/>
      </w:pPr>
      <w:r>
        <w:rPr>
          <w:iCs/>
          <w:i/>
        </w:rPr>
        <w:t xml:space="preserve">Figure 4.1. Post-divestment production trajectories of the formal case OMLs. Lines show Wood Mackenzie (2026) modeled field liquids by license, on a sales basis after estimated theft; the Aiteo and Eroton lines stop at 2023, before a later modeled recovery the audited record does not support. Stars mark the audited or regulatory figures that govern in the disrupted years and fall well below the modeled lines. Where the two measurement bases diverge, the audited record governs. NPDC, the marginal cohort, and the design contrasts are omitted for want of a comparable license-level series.</w:t>
      </w:r>
    </w:p>
    <w:bookmarkEnd w:id="24"/>
    <w:bookmarkStart w:id="31" w:name="the-critical-experiment-aiteo-on-oml-29"/>
    <w:p>
      <w:pPr>
        <w:pStyle w:val="Heading2"/>
      </w:pPr>
      <w:r>
        <w:t xml:space="preserve">4.3 The Critical Experiment: Aiteo on OML 29</w:t>
      </w:r>
    </w:p>
    <w:p>
      <w:pPr>
        <w:pStyle w:val="FirstParagraph"/>
      </w:pPr>
      <w:r>
        <w:t xml:space="preserve">Aiteo is the case where the competing explanations generate the most divergent predictions. It is the operator that funded production growth and then failed in a crisis beyond its capacity to contain, on an asset acquired six years before the Petroleum Industry Act. Four of the five explanations are tested here through their divergent predictions about whether and how those two outcomes can co-occur in the same operator; fiscal regime effects are eliminated separately by timing (Section 4.3.2). The documentary record adjudicates several of these differences and bounds the rest. The positive case for capability-related factors is built first, from the shape of the failure, before each competing explanation is tested against its own falsification conditions; the consolidated verdict for the case comes last (Section 4.3.6).</w:t>
      </w:r>
    </w:p>
    <w:bookmarkStart w:id="25" w:name="the-selective-failure-pattern"/>
    <w:p>
      <w:pPr>
        <w:pStyle w:val="Heading3"/>
      </w:pPr>
      <w:r>
        <w:t xml:space="preserve">4.3.1 The Selective Failure Pattern</w:t>
      </w:r>
    </w:p>
    <w:p>
      <w:pPr>
        <w:pStyle w:val="FirstParagraph"/>
      </w:pPr>
      <w:r>
        <w:t xml:space="preserve">Capability-related factors predict a particular shape of failure: the knowledge-intensive parts of the operation fail while the routine parts succeed. Routine production can often be sustained through established procedures, contractor support, maintenance spending, and documented operating knowledge, so an operator that inherited assets without the embedded tacit knowledge to run them could still sustain output. The same operator would falter when an event demanded the tacit judgment and practiced routines that crisis response and well control require. Aiteo’s record is consistent with that shape.</w:t>
      </w:r>
    </w:p>
    <w:p>
      <w:pPr>
        <w:pStyle w:val="BodyText"/>
      </w:pPr>
      <w:r>
        <w:t xml:space="preserve">On the routine side, production grew. The Wood Mackenzie modeled series shows output on OML 29 rising over the post-acquisition years, from about 30,000 barrels per day in 2016 to a peak near 41,000 in 2020. Audited metered production reached 38,200 in 2021, the year before the blowout (Wood Mackenzie, 2026; NEITI, 2021). Aiteo’s announcement of a 90,000 barrel-per-day peak in March 2017 is a reported corporate figure that sits well above the audited volumes. Part of the divergence between reported peaks and audited volumes on the Bonny system reflects wellhead potential measured before the pipeline-loss allocation that separates gross from delivered crude. The gap here also exceeds what that mechanism alone explains, and the argument holds without the figure. In the crisis-response domain, the operation failed conspicuously. In November 2021 the Santa Barbara Well 1 blew out and flowed uncontrolled into the surrounding creeks until it was secured on December 8, roughly 33 days later. The joint investigation conducted by NOSDRA, the NUPRC, the Bayelsa State Ministry of Environment, community representatives, and well-control consultants attributed the blowout to third-party interference. The affected community and the Bayelsa State Government insisted that the cause was equipment failure (NOSDRA Joint Investigation Visit, 2021; NOSDRA and NUPRC via Vanguard, 2021). The cause is therefore contested, and the capability finding holds independently of it. What the record establishes is a containment failure. Aiteo assembled its well-control response after the fact, engaging external specialists only once the blowout had occurred, including Halliburton’s Boots and Coots working with a local resource. NOSDRA separately engaged Kenyon International for spill response, and the well was secured only after about a month (Upstream Online, 2021; Vanguard, 2021). The director-general of NOSDRA attributed the prolonged failure to a capacity deficit, observing that operators forced to import foreign well-control expertise lose critical time. He contrasted it with the embedded arrangements an international operator carried, noting that Shell had contained the 2011 Bonga spill quickly through a standing worldwide spill-response subscription (NOSDRA via BusinessDay, 2021). The investigation left the quantity spilled unsettled; independent estimates put it near 200,000 barrels across some 41 communities, and Aiteo disputed higher figures (NOSDRA Joint Investigation Visit, 2021; SweetcrudeReports, 2021).</w:t>
      </w:r>
    </w:p>
    <w:p>
      <w:pPr>
        <w:pStyle w:val="BodyText"/>
      </w:pPr>
      <w:r>
        <w:t xml:space="preserve">The well was a latent exposure well before it failed. Santa Barbara Well 1 had been non-producing since the 2015 acquisition; both Shell and Aiteo left it undecommissioned, and it lay isolated, unplugged and unmonitored, with further spills recorded in the area in 2018 and 2019. Whether the blowout was triggered by tampering, as the official investigation found, or by equipment failure, as the community alleged, an idle well left in that state for six years was a standing hazard that a fully resourced operator would have retired or kept under watch. The capability reading turns on the containment failure that followed, leaving the trigger aside.</w:t>
      </w:r>
    </w:p>
    <w:p>
      <w:pPr>
        <w:pStyle w:val="BodyText"/>
      </w:pPr>
      <w:r>
        <w:t xml:space="preserve">Two inferences follow, and they rest on different evidence. First, the funded production growth weakens capital constraints as the binding explanation, in the sense of a single factor that alone accounts for the outcome. The operator paid about $2.562 billion for the 45 percent interest in OML 29 and the Nembe Creek Trunk Line (HOMEF, 2021; Nairametrics, 2015), and then funded sustained production growth demonstrably had capital available for production-directed major operational spending. That alone leaves open how Aiteo allocated funds internally, so the failure turns on whether crisis readiness was unavailable through financial scarcity or absent because the organization had yet to put it in place. Second, and separately, the failure points toward capability-related factors. That reading rests on the operational evidence concentrated in the crisis-response domain, with the funded growth bearing only on capital. That evidence is the absence of a contingency plan, the absence of a standing well-control contract, the dependence on contractors engaged after the fact, and the well left undecommissioned and unmonitored. The reviewed record for the OML 29 transaction shows no structured provision for retaining Shell operating staff, well-control routines, or crisis-response systems.</w:t>
      </w:r>
    </w:p>
    <w:p>
      <w:pPr>
        <w:pStyle w:val="BodyText"/>
      </w:pPr>
      <w:r>
        <w:t xml:space="preserve">The competing reading treats that operational evidence as a budgeting choice: an operator with capital for production growth might simply have declined to fund crisis readiness. The distinction matters, because a choice to leave a known requirement unfunded is a management decision while the absence of the readiness system altogether is a capability gap, and both stand apart from capital constraints. The observable evidence favors the capability reading over a pure financial-scarcity reading. A standing well-control arrangement is a small commitment relative to the cost of an uncontrolled blowout response, so a funds shortage accounts poorly for its absence. The three weeks of improvised response, in place of an executed plan, point the same way: to an organization that had yet to institutionalize crisis readiness before the event. Capital constraints are rejected as sufficient regardless of which reading holds, because the funds for production growth demonstrably existed.</w:t>
      </w:r>
    </w:p>
    <w:p>
      <w:pPr>
        <w:pStyle w:val="BodyText"/>
      </w:pPr>
      <w:r>
        <w:t xml:space="preserve">The leadership’s background helps make the capability reading plausible, though on its own it leaves unproven that the gap caused the failure. Aiteo’s founder and chief executive, Benedict Peters, holds a degree in geography and regional planning and built his career in downstream petroleum, in trading, storage, and fuel distribution, his upstream exploration and production experience beginning only with the acquisition of OML 29. The downstream-only background carries less than proof on its own; it is a mechanism-consistency indicator, since the failure fell in the upstream well-control domain that lay outside that experience. The operational record is the evidence that the gap operated in practice.</w:t>
      </w:r>
    </w:p>
    <w:bookmarkEnd w:id="25"/>
    <w:bookmarkStart w:id="26" w:name="fiscal-regime-effects"/>
    <w:p>
      <w:pPr>
        <w:pStyle w:val="Heading3"/>
      </w:pPr>
      <w:r>
        <w:t xml:space="preserve">4.3.2 Fiscal Regime Effects</w:t>
      </w:r>
    </w:p>
    <w:p>
      <w:pPr>
        <w:pStyle w:val="FirstParagraph"/>
      </w:pPr>
      <w:r>
        <w:t xml:space="preserve">Fiscal regime effects fail on timing. Aiteo acquired OML 29 in 2015, and the Petroleum Industry Act was enacted on August 16, 2021, six years later. The conditions that produced the failure were in place well before that date: the suspended well had been left undecommissioned since 2015, and the unremediated spills date from 2018 and 2019. A cause must precede its effect. The blowout itself came in November 2021, three months after the Act, but the conditions it exposed, the absent well-control capability, the missing contingency plan, and the prior unmanaged incidents, all predated the Act. Fiscal regime effects are therefore rejected for this case as the primary explanation for the observed failure.</w:t>
      </w:r>
    </w:p>
    <w:bookmarkEnd w:id="26"/>
    <w:bookmarkStart w:id="27" w:name="regulatory-inadequacy"/>
    <w:p>
      <w:pPr>
        <w:pStyle w:val="Heading3"/>
      </w:pPr>
      <w:r>
        <w:t xml:space="preserve">4.3.3 Regulatory Inadequacy</w:t>
      </w:r>
    </w:p>
    <w:p>
      <w:pPr>
        <w:pStyle w:val="FirstParagraph"/>
      </w:pPr>
      <w:r>
        <w:t xml:space="preserve">The regulatory framework in force at the time of the Aiteo transaction left operational capability outside its screen. Section 29 of the Petroleum Act required ministerial consent to assign an Oil Mining Lease but stopped there, leaving the buyer’s ability to run the asset untested. On the necessary-condition test, the framework indeed omitted a capability requirement.</w:t>
      </w:r>
    </w:p>
    <w:p>
      <w:pPr>
        <w:pStyle w:val="BodyText"/>
      </w:pPr>
      <w:r>
        <w:t xml:space="preserve">What the regulator did next points to a gap in the framework’s content. The rules were applied as written; what they required was too little. In 2024 the NUPRC introduced a seven-pillar divestment framework that it described as the first of its kind in the sixty-eight-year history of Nigerian exploration and production. Its first pillar, technical capacity, appeared for the first time, with the Petroleum Act, internal guidelines, and practice all silent on it before. That the NUPRC created a capability criterion is strong evidence that the criterion was new, and the new framework produced operational consequences beyond a statement of intent. A divestment was initially withheld pending assessment, and decommissioning escrow exceeding $400 million was secured across the 2024 transactions. Post-divestment failures contributed to the timing of the reform, but the content of the reform, a specific technical-capacity test new to the framework, is the mark of a recognized design failure.</w:t>
      </w:r>
    </w:p>
    <w:p>
      <w:pPr>
        <w:pStyle w:val="BodyText"/>
      </w:pPr>
      <w:r>
        <w:t xml:space="preserve">The gap’s existence, on its own, sits below proof that it caused the Aiteo failure. Causation would require that a capability gap was identifiable at the point of transfer and non-compensable through the market afterward. The first, identifiability at the point of transfer, is directly supported. NOSDRA’s account that containing the blowout exceeded the operator’s available capacity, the after-the-fact engagement of external specialists, and the absent contingency plan all concern well-control capability, which is assessable before a transfer. An audit at the point of transaction could have tested for well-control protocols, crisis-response arrangements, and blowout contingency planning. The second, non-compensability through the market afterward, is suggested by the persistence of the gap across six years of operation and is tested across the cases that follow (Sections 4.4 and 4.7). And the same pre-2024 regulatory framework, the Petroleum Act and DPR oversight, governed Seplat, HEOSL, Aiteo, and NPDC; as the cases that follow show, their outcomes diverged, so the framework permitted the failure while leaving open which operators would fail. For the single case, then, regulatory inadequacy is consistent with the design-gap interpretation: an enabling condition that permitted the failure while leaving unexplained, on its own, why Aiteo failed where others held. Whether the absence of capability screening is necessary across the population is a question the cross-case synthesis takes up (Section 4.7).</w:t>
      </w:r>
    </w:p>
    <w:bookmarkEnd w:id="27"/>
    <w:bookmarkStart w:id="28" w:name="political-economy-at-the-case-level"/>
    <w:p>
      <w:pPr>
        <w:pStyle w:val="Heading3"/>
      </w:pPr>
      <w:r>
        <w:t xml:space="preserve">4.3.4 Political Economy at the Case Level</w:t>
      </w:r>
    </w:p>
    <w:p>
      <w:pPr>
        <w:pStyle w:val="FirstParagraph"/>
      </w:pPr>
      <w:r>
        <w:t xml:space="preserve">The political-economy explanation is tested here for Aiteo specifically, through observable case-level indicators. The population-level association reported by Rexer (2025) supplies context, and the test here draws on the case record. The relevant indicators are board composition, shareholding, and any change in the theft rate on OML 29 around the transfer. For Aiteo, the available record supports only a weak test of those indicators: corporate registry detail on board composition and shareholding is incomplete, and the search recovered no operator-specific theft-rate series around the transfer. The test here is therefore narrower, whether political access, even if present, could explain the non-substitutable well-control failure.</w:t>
      </w:r>
    </w:p>
    <w:p>
      <w:pPr>
        <w:pStyle w:val="BodyText"/>
      </w:pPr>
      <w:r>
        <w:t xml:space="preserve">The decisive consideration is where political access substitutes for capability and where it reaches its limit. Connections can plausibly reduce certain exposures, oil theft, or community friction managed through elite-mediated access, the substitutable dimensions. Well control and blowout contingency rest on experiential knowledge, and on this non-substitutable dimension the outcome turns on what an operator actually holds. The Aiteo record splits along exactly that line. Whatever connections may have done for theft or community access on OML 29, preventing or containing the Santa Barbara blowout turned on well-control capability, which only operating experience supplies. Political economy is therefore rejected as sufficient for operational quality on the non-substitutable dimension. It may help account for commercial survival, since Aiteo continued operating after the blowout, while the onset of the blowout and the operator’s inability to contain it lie outside its reach. The positive form of the test, whether connections sustain commercial viability while operational quality stays poor, is developed on NPDC (Section 4.5.3).</w:t>
      </w:r>
    </w:p>
    <w:bookmarkEnd w:id="28"/>
    <w:bookmarkStart w:id="29" w:name="coordination-failure"/>
    <w:p>
      <w:pPr>
        <w:pStyle w:val="Heading3"/>
      </w:pPr>
      <w:r>
        <w:t xml:space="preserve">4.3.5 Coordination Failure</w:t>
      </w:r>
    </w:p>
    <w:p>
      <w:pPr>
        <w:pStyle w:val="FirstParagraph"/>
      </w:pPr>
      <w:r>
        <w:t xml:space="preserve">Coordination failure, treated throughout as an observable feature of unsuccessful cases and a symptom of deeper causes, is tested here against persistence and failure type. The blowout occurred in November 2021, six years after the 2015 acquisition, well beyond a short transition period. If coordination failure were merely a transition problem, it should appear early and ease as the operator stabilizes. Aiteo’s pattern points the other way: specific knowledge-intensive functions failed while routine production grew, and the failure persisted for six years. The unresolved spills of 2018 and 2019 show the exposure persisting years before the blowout, present at year three and still unaddressed at year six.</w:t>
      </w:r>
    </w:p>
    <w:p>
      <w:pPr>
        <w:pStyle w:val="BodyText"/>
      </w:pPr>
      <w:r>
        <w:t xml:space="preserve">A failure of this duration and this shape runs counter to a coordination problem that self-corrects through operational learning, so coordination failure is rejected as an independent cause for this case. Its persistence and domain-specificity are consistent instead with a structural absence of knowledge.</w:t>
      </w:r>
    </w:p>
    <w:bookmarkEnd w:id="29"/>
    <w:bookmarkStart w:id="30" w:name="the-aiteo-verdict"/>
    <w:p>
      <w:pPr>
        <w:pStyle w:val="Heading3"/>
      </w:pPr>
      <w:r>
        <w:t xml:space="preserve">4.3.6 The Aiteo Verdict</w:t>
      </w:r>
    </w:p>
    <w:p>
      <w:pPr>
        <w:pStyle w:val="FirstParagraph"/>
      </w:pPr>
      <w:r>
        <w:t xml:space="preserve">The five explanations, and the coordination feature that accompanies them, resolve as follows for the Aiteo case. The verdicts use the categories specified in Chapter 2 (Section 2.6), and each rests on the explanation’s own evidence, with the elimination of rivals set aside.</w:t>
      </w:r>
    </w:p>
    <w:p>
      <w:pPr>
        <w:pStyle w:val="BodyText"/>
      </w:pPr>
      <w:r>
        <w:rPr>
          <w:bCs/>
          <w:b/>
        </w:rPr>
        <w:t xml:space="preserve">Table 4.3. Verdicts for the Aiteo case on OML 29, the critical experiment, where funded production growth alongside an uncontained blowout rejects the capital, fiscal, and political-economy explanations as sufficient for the integrity failure and leaves capability-related factors most consistent with the evidence.</w:t>
      </w:r>
    </w:p>
    <w:tbl>
      <w:tblPr>
        <w:tblW w:type="auto" w:w="0"/>
        <w:tblLook w:firstColumn="1" w:firstRow="1" w:lastColumn="0" w:lastRow="0" w:noHBand="0" w:noVBand="1" w:val="04A0"/>
        <w:tblLayout w:type="fixed"/>
        <w:tblW w:type="dxa" w:w="8640"/>
      </w:tblPr>
      <w:tblGrid>
        <w:gridCol w:w="1961"/>
        <w:gridCol w:w="2256"/>
        <w:gridCol w:w="2346"/>
        <w:gridCol w:w="2077"/>
      </w:tblGrid>
      <w:tr>
        <w:tc>
          <w:tcPr>
            <w:tcW w:type="dxa" w:w="2160"/>
            <w:tcW w:type="dxa" w:w="1961"/>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160"/>
            <w:tcW w:type="dxa" w:w="2256"/>
            <w:tcBorders>
              <w:left w:val="nil"/>
              <w:right w:val="nil"/>
              <w:top w:val="single" w:sz="8" w:space="0" w:color="000000"/>
              <w:bottom w:val="single" w:sz="4" w:space="0" w:color="000000"/>
            </w:tcBorders>
          </w:tcPr>
          <w:p>
            <w:pPr>
              <w:spacing w:before="40" w:after="40" w:line="240" w:lineRule="auto"/>
            </w:pPr>
            <w:r>
              <w:rPr>
                <w:b/>
                <w:sz w:val="18"/>
              </w:rPr>
              <w:t>Verdict</w:t>
            </w:r>
          </w:p>
        </w:tc>
        <w:tc>
          <w:tcPr>
            <w:tcW w:type="dxa" w:w="2160"/>
            <w:tcW w:type="dxa" w:w="2346"/>
            <w:tcBorders>
              <w:left w:val="nil"/>
              <w:right w:val="nil"/>
              <w:top w:val="single" w:sz="8" w:space="0" w:color="000000"/>
              <w:bottom w:val="single" w:sz="4" w:space="0" w:color="000000"/>
            </w:tcBorders>
          </w:tcPr>
          <w:p>
            <w:pPr>
              <w:spacing w:before="40" w:after="40" w:line="240" w:lineRule="auto"/>
            </w:pPr>
            <w:r>
              <w:rPr>
                <w:b/>
                <w:sz w:val="18"/>
              </w:rPr>
              <w:t>Evidence anchor</w:t>
            </w:r>
          </w:p>
        </w:tc>
        <w:tc>
          <w:tcPr>
            <w:tcW w:type="dxa" w:w="2160"/>
            <w:tcW w:type="dxa" w:w="2077"/>
            <w:tcBorders>
              <w:left w:val="nil"/>
              <w:right w:val="nil"/>
              <w:top w:val="single" w:sz="8" w:space="0" w:color="000000"/>
              <w:bottom w:val="single" w:sz="4" w:space="0" w:color="000000"/>
            </w:tcBorders>
          </w:tcPr>
          <w:p>
            <w:pPr>
              <w:spacing w:before="40" w:after="40" w:line="240" w:lineRule="auto"/>
            </w:pPr>
            <w:r>
              <w:rPr>
                <w:b/>
                <w:sz w:val="18"/>
              </w:rPr>
              <w:t>What would change this verdict</w:t>
            </w:r>
          </w:p>
        </w:tc>
      </w:tr>
      <w:tr>
        <w:tc>
          <w:tcPr>
            <w:tcW w:type="dxa" w:w="2160"/>
            <w:tcW w:type="dxa" w:w="1961"/>
            <w:tcBorders>
              <w:left w:val="nil"/>
              <w:right w:val="nil"/>
              <w:top w:val="nil"/>
              <w:bottom w:val="nil"/>
            </w:tcBorders>
          </w:tcPr>
          <w:p>
            <w:pPr>
              <w:spacing w:before="40" w:after="40" w:line="240" w:lineRule="auto"/>
            </w:pPr>
            <w:r>
              <w:rPr>
                <w:sz w:val="18"/>
              </w:rPr>
              <w:t>Capital constraints</w:t>
            </w:r>
          </w:p>
        </w:tc>
        <w:tc>
          <w:tcPr>
            <w:tcW w:type="dxa" w:w="2160"/>
            <w:tcW w:type="dxa" w:w="2256"/>
            <w:tcBorders>
              <w:left w:val="nil"/>
              <w:right w:val="nil"/>
              <w:top w:val="nil"/>
              <w:bottom w:val="nil"/>
            </w:tcBorders>
          </w:tcPr>
          <w:p>
            <w:pPr>
              <w:spacing w:before="40" w:after="40" w:line="240" w:lineRule="auto"/>
            </w:pPr>
            <w:r>
              <w:rPr>
                <w:sz w:val="18"/>
              </w:rPr>
              <w:t>Rejected as sufficient</w:t>
            </w:r>
          </w:p>
        </w:tc>
        <w:tc>
          <w:tcPr>
            <w:tcW w:type="dxa" w:w="2160"/>
            <w:tcW w:type="dxa" w:w="2346"/>
            <w:tcBorders>
              <w:left w:val="nil"/>
              <w:right w:val="nil"/>
              <w:top w:val="nil"/>
              <w:bottom w:val="nil"/>
            </w:tcBorders>
          </w:tcPr>
          <w:p>
            <w:pPr>
              <w:spacing w:before="40" w:after="40" w:line="240" w:lineRule="auto"/>
            </w:pPr>
            <w:r>
              <w:rPr>
                <w:sz w:val="18"/>
              </w:rPr>
              <w:t>~$2.562B acquisition, 45% interest plus the Nembe Creek Trunk Line (HOMEF, 2021; Nairametrics, 2015); audited metered growth to 38.2 kb/d (2021) alongside the crisis failure, modeled peak near 41 kb/d; capital demonstrably available for production-directed major operational spending</w:t>
            </w:r>
          </w:p>
        </w:tc>
        <w:tc>
          <w:tcPr>
            <w:tcW w:type="dxa" w:w="2160"/>
            <w:tcW w:type="dxa" w:w="2077"/>
            <w:tcBorders>
              <w:left w:val="nil"/>
              <w:right w:val="nil"/>
              <w:top w:val="nil"/>
              <w:bottom w:val="nil"/>
            </w:tcBorders>
          </w:tcPr>
          <w:p>
            <w:pPr>
              <w:spacing w:before="40" w:after="40" w:line="240" w:lineRule="auto"/>
            </w:pPr>
            <w:r>
              <w:rPr>
                <w:sz w:val="18"/>
              </w:rPr>
              <w:t>Evidence that crisis-readiness funding was cut for financial reasons</w:t>
            </w:r>
          </w:p>
        </w:tc>
      </w:tr>
      <w:tr>
        <w:tc>
          <w:tcPr>
            <w:tcW w:type="dxa" w:w="2160"/>
            <w:tcW w:type="dxa" w:w="1961"/>
            <w:tcBorders>
              <w:left w:val="nil"/>
              <w:right w:val="nil"/>
              <w:top w:val="nil"/>
              <w:bottom w:val="nil"/>
            </w:tcBorders>
          </w:tcPr>
          <w:p>
            <w:pPr>
              <w:spacing w:before="40" w:after="40" w:line="240" w:lineRule="auto"/>
            </w:pPr>
            <w:r>
              <w:rPr>
                <w:sz w:val="18"/>
              </w:rPr>
              <w:t>Fiscal regime effects</w:t>
            </w:r>
          </w:p>
        </w:tc>
        <w:tc>
          <w:tcPr>
            <w:tcW w:type="dxa" w:w="2160"/>
            <w:tcW w:type="dxa" w:w="2256"/>
            <w:tcBorders>
              <w:left w:val="nil"/>
              <w:right w:val="nil"/>
              <w:top w:val="nil"/>
              <w:bottom w:val="nil"/>
            </w:tcBorders>
          </w:tcPr>
          <w:p>
            <w:pPr>
              <w:spacing w:before="40" w:after="40" w:line="240" w:lineRule="auto"/>
            </w:pPr>
            <w:r>
              <w:rPr>
                <w:sz w:val="18"/>
              </w:rPr>
              <w:t>Rejected for this case</w:t>
            </w:r>
          </w:p>
        </w:tc>
        <w:tc>
          <w:tcPr>
            <w:tcW w:type="dxa" w:w="2160"/>
            <w:tcW w:type="dxa" w:w="2346"/>
            <w:tcBorders>
              <w:left w:val="nil"/>
              <w:right w:val="nil"/>
              <w:top w:val="nil"/>
              <w:bottom w:val="nil"/>
            </w:tcBorders>
          </w:tcPr>
          <w:p>
            <w:pPr>
              <w:spacing w:before="40" w:after="40" w:line="240" w:lineRule="auto"/>
            </w:pPr>
            <w:r>
              <w:rPr>
                <w:sz w:val="18"/>
              </w:rPr>
              <w:t>Transaction closed 2015; PIA enacted August 2021; the capability gap predates the Act</w:t>
            </w:r>
          </w:p>
        </w:tc>
        <w:tc>
          <w:tcPr>
            <w:tcW w:type="dxa" w:w="2160"/>
            <w:tcW w:type="dxa" w:w="2077"/>
            <w:tcBorders>
              <w:left w:val="nil"/>
              <w:right w:val="nil"/>
              <w:top w:val="nil"/>
              <w:bottom w:val="nil"/>
            </w:tcBorders>
          </w:tcPr>
          <w:p>
            <w:pPr>
              <w:spacing w:before="40" w:after="40" w:line="240" w:lineRule="auto"/>
            </w:pPr>
            <w:r>
              <w:rPr>
                <w:sz w:val="18"/>
              </w:rPr>
              <w:t>None; the timing is arithmetic</w:t>
            </w:r>
          </w:p>
        </w:tc>
      </w:tr>
      <w:tr>
        <w:tc>
          <w:tcPr>
            <w:tcW w:type="dxa" w:w="2160"/>
            <w:tcW w:type="dxa" w:w="1961"/>
            <w:tcBorders>
              <w:left w:val="nil"/>
              <w:right w:val="nil"/>
              <w:top w:val="nil"/>
              <w:bottom w:val="nil"/>
            </w:tcBorders>
          </w:tcPr>
          <w:p>
            <w:pPr>
              <w:spacing w:before="40" w:after="40" w:line="240" w:lineRule="auto"/>
            </w:pPr>
            <w:r>
              <w:rPr>
                <w:sz w:val="18"/>
              </w:rPr>
              <w:t>Regulatory inadequacy</w:t>
            </w:r>
          </w:p>
        </w:tc>
        <w:tc>
          <w:tcPr>
            <w:tcW w:type="dxa" w:w="2160"/>
            <w:tcW w:type="dxa" w:w="2256"/>
            <w:tcBorders>
              <w:left w:val="nil"/>
              <w:right w:val="nil"/>
              <w:top w:val="nil"/>
              <w:bottom w:val="nil"/>
            </w:tcBorders>
          </w:tcPr>
          <w:p>
            <w:pPr>
              <w:spacing w:before="40" w:after="40" w:line="240" w:lineRule="auto"/>
            </w:pPr>
            <w:r>
              <w:rPr>
                <w:sz w:val="18"/>
              </w:rPr>
              <w:t>An enabling condition insufficient on its own; system-level role tested in the cross-case synthesis (4.7)</w:t>
            </w:r>
          </w:p>
        </w:tc>
        <w:tc>
          <w:tcPr>
            <w:tcW w:type="dxa" w:w="2160"/>
            <w:tcW w:type="dxa" w:w="2346"/>
            <w:tcBorders>
              <w:left w:val="nil"/>
              <w:right w:val="nil"/>
              <w:top w:val="nil"/>
              <w:bottom w:val="nil"/>
            </w:tcBorders>
          </w:tcPr>
          <w:p>
            <w:pPr>
              <w:spacing w:before="40" w:after="40" w:line="240" w:lineRule="auto"/>
            </w:pPr>
            <w:r>
              <w:rPr>
                <w:sz w:val="18"/>
              </w:rPr>
              <w:t>Section 29 lacked capability criteria; the NUPRC created them in 2024; the same pre-2024 framework produced different outcomes across operators, developed in the cases that follow</w:t>
            </w:r>
          </w:p>
        </w:tc>
        <w:tc>
          <w:tcPr>
            <w:tcW w:type="dxa" w:w="2160"/>
            <w:tcW w:type="dxa" w:w="2077"/>
            <w:tcBorders>
              <w:left w:val="nil"/>
              <w:right w:val="nil"/>
              <w:top w:val="nil"/>
              <w:bottom w:val="nil"/>
            </w:tcBorders>
          </w:tcPr>
          <w:p>
            <w:pPr>
              <w:spacing w:before="40" w:after="40" w:line="240" w:lineRule="auto"/>
            </w:pPr>
            <w:r>
              <w:rPr>
                <w:sz w:val="18"/>
              </w:rPr>
              <w:t>Evidence that the framework screened for capability and that Aiteo passed</w:t>
            </w:r>
          </w:p>
        </w:tc>
      </w:tr>
      <w:tr>
        <w:tc>
          <w:tcPr>
            <w:tcW w:type="dxa" w:w="2160"/>
            <w:tcW w:type="dxa" w:w="1961"/>
            <w:tcBorders>
              <w:left w:val="nil"/>
              <w:right w:val="nil"/>
              <w:top w:val="nil"/>
              <w:bottom w:val="nil"/>
            </w:tcBorders>
          </w:tcPr>
          <w:p>
            <w:pPr>
              <w:spacing w:before="40" w:after="40" w:line="240" w:lineRule="auto"/>
            </w:pPr>
            <w:r>
              <w:rPr>
                <w:sz w:val="18"/>
              </w:rPr>
              <w:t>Political economy</w:t>
            </w:r>
          </w:p>
        </w:tc>
        <w:tc>
          <w:tcPr>
            <w:tcW w:type="dxa" w:w="2160"/>
            <w:tcW w:type="dxa" w:w="2256"/>
            <w:tcBorders>
              <w:left w:val="nil"/>
              <w:right w:val="nil"/>
              <w:top w:val="nil"/>
              <w:bottom w:val="nil"/>
            </w:tcBorders>
          </w:tcPr>
          <w:p>
            <w:pPr>
              <w:spacing w:before="40" w:after="40" w:line="240" w:lineRule="auto"/>
            </w:pPr>
            <w:r>
              <w:rPr>
                <w:sz w:val="18"/>
              </w:rPr>
              <w:t>Rejected as sufficient for operational quality (non-substitutable dimension)</w:t>
            </w:r>
          </w:p>
        </w:tc>
        <w:tc>
          <w:tcPr>
            <w:tcW w:type="dxa" w:w="2160"/>
            <w:tcW w:type="dxa" w:w="2346"/>
            <w:tcBorders>
              <w:left w:val="nil"/>
              <w:right w:val="nil"/>
              <w:top w:val="nil"/>
              <w:bottom w:val="nil"/>
            </w:tcBorders>
          </w:tcPr>
          <w:p>
            <w:pPr>
              <w:spacing w:before="40" w:after="40" w:line="240" w:lineRule="auto"/>
            </w:pPr>
            <w:r>
              <w:rPr>
                <w:sz w:val="18"/>
              </w:rPr>
              <w:t>Preventing or containing the blowout required well-control capability beyond the reach of connections</w:t>
            </w:r>
          </w:p>
        </w:tc>
        <w:tc>
          <w:tcPr>
            <w:tcW w:type="dxa" w:w="2160"/>
            <w:tcW w:type="dxa" w:w="2077"/>
            <w:tcBorders>
              <w:left w:val="nil"/>
              <w:right w:val="nil"/>
              <w:top w:val="nil"/>
              <w:bottom w:val="nil"/>
            </w:tcBorders>
          </w:tcPr>
          <w:p>
            <w:pPr>
              <w:spacing w:before="40" w:after="40" w:line="240" w:lineRule="auto"/>
            </w:pPr>
            <w:r>
              <w:rPr>
                <w:sz w:val="18"/>
              </w:rPr>
              <w:t>Evidence that political interference directly caused the operational failure, beyond enabling commercial survival</w:t>
            </w:r>
          </w:p>
        </w:tc>
      </w:tr>
      <w:tr>
        <w:tc>
          <w:tcPr>
            <w:tcW w:type="dxa" w:w="2160"/>
            <w:tcW w:type="dxa" w:w="1961"/>
            <w:tcBorders>
              <w:left w:val="nil"/>
              <w:right w:val="nil"/>
              <w:top w:val="nil"/>
              <w:bottom w:val="nil"/>
            </w:tcBorders>
          </w:tcPr>
          <w:p>
            <w:pPr>
              <w:spacing w:before="40" w:after="40" w:line="240" w:lineRule="auto"/>
            </w:pPr>
            <w:r>
              <w:rPr>
                <w:sz w:val="18"/>
              </w:rPr>
              <w:t>Coordination failure</w:t>
            </w:r>
          </w:p>
        </w:tc>
        <w:tc>
          <w:tcPr>
            <w:tcW w:type="dxa" w:w="2160"/>
            <w:tcW w:type="dxa" w:w="2256"/>
            <w:tcBorders>
              <w:left w:val="nil"/>
              <w:right w:val="nil"/>
              <w:top w:val="nil"/>
              <w:bottom w:val="nil"/>
            </w:tcBorders>
          </w:tcPr>
          <w:p>
            <w:pPr>
              <w:spacing w:before="40" w:after="40" w:line="240" w:lineRule="auto"/>
            </w:pPr>
            <w:r>
              <w:rPr>
                <w:sz w:val="18"/>
              </w:rPr>
              <w:t>Rejected as independently caused; an observable feature of the unsuccessful cases</w:t>
            </w:r>
          </w:p>
        </w:tc>
        <w:tc>
          <w:tcPr>
            <w:tcW w:type="dxa" w:w="2160"/>
            <w:tcW w:type="dxa" w:w="2346"/>
            <w:tcBorders>
              <w:left w:val="nil"/>
              <w:right w:val="nil"/>
              <w:top w:val="nil"/>
              <w:bottom w:val="nil"/>
            </w:tcBorders>
          </w:tcPr>
          <w:p>
            <w:pPr>
              <w:spacing w:before="40" w:after="40" w:line="240" w:lineRule="auto"/>
            </w:pPr>
            <w:r>
              <w:rPr>
                <w:sz w:val="18"/>
              </w:rPr>
              <w:t>Persistence at six years; domain-specific failure; unremediated prior incidents</w:t>
            </w:r>
          </w:p>
        </w:tc>
        <w:tc>
          <w:tcPr>
            <w:tcW w:type="dxa" w:w="2160"/>
            <w:tcW w:type="dxa" w:w="2077"/>
            <w:tcBorders>
              <w:left w:val="nil"/>
              <w:right w:val="nil"/>
              <w:top w:val="nil"/>
              <w:bottom w:val="nil"/>
            </w:tcBorders>
          </w:tcPr>
          <w:p>
            <w:pPr>
              <w:spacing w:before="40" w:after="40" w:line="240" w:lineRule="auto"/>
            </w:pPr>
            <w:r>
              <w:rPr>
                <w:sz w:val="18"/>
              </w:rPr>
              <w:t>Evidence of a specific coordination breakdown independent of knowledge absence</w:t>
            </w:r>
          </w:p>
        </w:tc>
      </w:tr>
      <w:tr>
        <w:tc>
          <w:tcPr>
            <w:tcW w:type="dxa" w:w="2160"/>
            <w:tcW w:type="dxa" w:w="1961"/>
            <w:tcBorders>
              <w:left w:val="nil"/>
              <w:right w:val="nil"/>
              <w:top w:val="nil"/>
              <w:bottom w:val="single" w:sz="8" w:space="0" w:color="000000"/>
            </w:tcBorders>
          </w:tcPr>
          <w:p>
            <w:pPr>
              <w:spacing w:before="40" w:after="40" w:line="240" w:lineRule="auto"/>
            </w:pPr>
            <w:r>
              <w:rPr>
                <w:sz w:val="18"/>
              </w:rPr>
              <w:t>Capability-related factors</w:t>
            </w:r>
          </w:p>
        </w:tc>
        <w:tc>
          <w:tcPr>
            <w:tcW w:type="dxa" w:w="2160"/>
            <w:tcW w:type="dxa" w:w="2256"/>
            <w:tcBorders>
              <w:left w:val="nil"/>
              <w:right w:val="nil"/>
              <w:top w:val="nil"/>
              <w:bottom w:val="single" w:sz="8" w:space="0" w:color="000000"/>
            </w:tcBorders>
          </w:tcPr>
          <w:p>
            <w:pPr>
              <w:spacing w:before="40" w:after="40" w:line="240" w:lineRule="auto"/>
            </w:pPr>
            <w:r>
              <w:rPr>
                <w:sz w:val="18"/>
              </w:rPr>
              <w:t>Most consistent with the evidence for this case</w:t>
            </w:r>
          </w:p>
        </w:tc>
        <w:tc>
          <w:tcPr>
            <w:tcW w:type="dxa" w:w="2160"/>
            <w:tcW w:type="dxa" w:w="2346"/>
            <w:tcBorders>
              <w:left w:val="nil"/>
              <w:right w:val="nil"/>
              <w:top w:val="nil"/>
              <w:bottom w:val="single" w:sz="8" w:space="0" w:color="000000"/>
            </w:tcBorders>
          </w:tcPr>
          <w:p>
            <w:pPr>
              <w:spacing w:before="40" w:after="40" w:line="240" w:lineRule="auto"/>
            </w:pPr>
            <w:r>
              <w:rPr>
                <w:sz w:val="18"/>
              </w:rPr>
              <w:t>Selective failure signature; containment failure lasting about a month, which NOSDRA attributed to a capacity deficit; after-the-fact reliance on external well-control specialists against absent embedded crisis-response arrangements; six-year persistence; the documents reviewed silent on any structured knowledge-transfer provision in the transaction</w:t>
            </w:r>
          </w:p>
        </w:tc>
        <w:tc>
          <w:tcPr>
            <w:tcW w:type="dxa" w:w="2160"/>
            <w:tcW w:type="dxa" w:w="2077"/>
            <w:tcBorders>
              <w:left w:val="nil"/>
              <w:right w:val="nil"/>
              <w:top w:val="nil"/>
              <w:bottom w:val="single" w:sz="8" w:space="0" w:color="000000"/>
            </w:tcBorders>
          </w:tcPr>
          <w:p>
            <w:pPr>
              <w:spacing w:before="40" w:after="40" w:line="240" w:lineRule="auto"/>
            </w:pPr>
            <w:r>
              <w:rPr>
                <w:sz w:val="18"/>
              </w:rPr>
              <w:t>An operator without inherited upstream knowledge handling a comparable crisis successfully</w:t>
            </w:r>
          </w:p>
        </w:tc>
      </w:tr>
    </w:tbl>
    <w:p>
      <w:pPr>
        <w:pStyle w:val="BodyText"/>
      </w:pPr>
      <w:r>
        <w:t xml:space="preserve">Across the two outcome dimensions, the diagnostic split is clean for the period the critical experiment turns on. In the years before the blowout, commercial production grew while crisis-readiness stayed absent, and the explanation most consistent with that split is one that bears on integrity, with funding set aside, since binding capital constraints would have suppressed production too. Output then fell sharply after the blowout, to about 4,900 barrels per day metered in 2022, 700 fiscalized (NEITI, 2022), so the capability failure spread to both dimensions; that loss came after the blowout, so the capital-constraints explanation stays closed. In the terms of Chapter 2 (Section 2.2), this is a failure of the asset as a sociotechnical system. The transaction moved the wells but not the operating organization that had run them, and when the well reached a crisis the well-control capability, the standing contracts, and the practiced crisis response that the operating organization carried were not present to contain it. This verdict reflects pattern consistency for a single case.</w:t>
      </w:r>
    </w:p>
    <w:p>
      <w:pPr>
        <w:pStyle w:val="BodyText"/>
      </w:pPr>
      <w:r>
        <w:t xml:space="preserve">Appendix E reproduces this verdict matrix for every case, recording the evidence, confidence level, and falsification condition behind each verdict; the analyses that follow state their verdicts in prose and refer to that appendix for the full matrices.</w:t>
      </w:r>
    </w:p>
    <w:bookmarkEnd w:id="30"/>
    <w:bookmarkEnd w:id="31"/>
    <w:bookmarkStart w:id="34" w:name="X441892be491ebce289780abb640f7a930dfbea6"/>
    <w:p>
      <w:pPr>
        <w:pStyle w:val="Heading2"/>
      </w:pPr>
      <w:r>
        <w:t xml:space="preserve">4.4 Cross-Case Validation: Failure Replication and Regulatory Screening</w:t>
      </w:r>
    </w:p>
    <w:p>
      <w:pPr>
        <w:pStyle w:val="FirstParagraph"/>
      </w:pPr>
      <w:r>
        <w:t xml:space="preserve">The Aiteo verdict rests on a single case. Two further operators test whether it holds. Eroton acquired OML 18 from the same seller in the same divestment round and, like Aiteo, grew production before losing it, which makes it a replication candidate. Its collapse, however, ran partly through a shared export line whose chronic, theft-driven downtime lay largely outside Eroton’s control, so the case is a partial replication, complicated by the shared line (Section 4.4.1). First Hydrocarbon acquired OML 26 through a buyer whose executives were later convicted of fraud, which interrupts any reading of its operational capability but bears directly on whether the approval process screened buyers at all (Section 4.4.2).</w:t>
      </w:r>
    </w:p>
    <w:bookmarkStart w:id="32" w:name="Xf41a3cc91d4c4a2da5376548969ff41b550ef30"/>
    <w:p>
      <w:pPr>
        <w:pStyle w:val="Heading3"/>
      </w:pPr>
      <w:r>
        <w:t xml:space="preserve">4.4.1 Eroton on OML 18: A Partial Replication Complicated by a Shared Trunk Line</w:t>
      </w:r>
    </w:p>
    <w:p>
      <w:pPr>
        <w:pStyle w:val="FirstParagraph"/>
      </w:pPr>
      <w:r>
        <w:t xml:space="preserve">Eroton’s early trajectory mirrored Aiteo’s: acquisition from the same 2015 Shell divestment, rapid production growth, and a later collapse. A consortium led by Midwestern Oil and Gas, with the Canadian-listed Mart Resources and Suntrust Oil and Gas, acquired a 45 percent interest in OML 18 from Shell, Total, and Eni in March 2015 for about $1.2 billion. NNPC held the remaining 55 percent, and Eroton was the designated operator (Mart Resources, 2015; Templars, 2015). Production then grew from a low base, and two independent sources agree on its scale and trajectory once measurement basis is held constant. Wood Mackenzie’s modeled series puts the field near 32,000 barrels per day at its 2019 peak. The operator’s own disclosures, released through its listed financier San Leon, report full-field gross output before pipeline losses of roughly 39,000 to 45,000 barrels per day across 2017 to 2019, about 50,000 on a producing-day basis. Delivered sales after downtime and allocated losses came to roughly 26,000 to 31,000 (Wood Mackenzie, 2026; San Leon Energy, 2017; 2019; 2020). The spread between these figures follows from the measurement bases: the difference between wellhead potential, annual gross, and the volume that survived a pipeline-loss wedge running between 26 and 35 percent in these years. The crude-reconciliation mechanism Wood Mackenzie documents for the entire Bonny system and that Eroton addressed by installing custody-transfer metering in 2018 (San Leon Energy, 2019; Wood Mackenzie, 2026). On production and technical cost, Eroton looked competent for several years, and NNPC recognized it as one of two operators with the lowest technical cost per barrel (Wood Mackenzie, 2026). That initial competence separates Eroton from Aiteo, where the well-integrity exposure later implicated in the blowout existed from acquisition, and it is the first reason to treat Eroton as a partial replication, short of a literal one.</w:t>
      </w:r>
    </w:p>
    <w:p>
      <w:pPr>
        <w:pStyle w:val="BodyText"/>
      </w:pPr>
      <w:r>
        <w:t xml:space="preserve">The composition of the acquiring consortium is a secondary, mechanism-consistency indicator, set out here because the verdict that follows relies on it. Financial and business-development principals assembled Eroton, in place of former international-oil-company operators. Its lead figure, Onajite Okoloko of Midwestern Oil and Gas, holds a degree in economics and a Harvard management qualification and built his career in corporate finance and oilfield services. He was managing director of Oando Energy Services, then in a marginal field through Midwestern and in fertilizers through Notore, his career falling outside well engineering and reservoir management (Africa Oil &amp; Gas Report, 2013; 2015). The contrast with Seplat guards against an easy objection. Okoloko had operated a marginal field, Midwestern’s Umusadege at about 13,000 barrels per day, just as Seplat’s Austin Avuru had run Platform Petroleum, so marginal-field experience was common to both. What differed was that Avuru carried three decades of hands-on petroleum engineering and reservoir management that scale to a complex asset, where a business-development background scales less readily. Marginal-field success was a necessary condition for a major lease, one step on a longer path. The consortium that took OML 18 held the financial and commercial capability to fund and acquire the asset, while the inherited upstream operating depth to improvise under stress lay beyond it. The background falls below proof that this gap caused the failure; the internal record does that work.</w:t>
      </w:r>
    </w:p>
    <w:p>
      <w:pPr>
        <w:pStyle w:val="BodyText"/>
      </w:pPr>
      <w:r>
        <w:t xml:space="preserve">Then delivered output fell to almost nothing. Export volumes collapsed through 2020 and 2021, and by the time NNPC removed Eroton as operator in March 2023 the asset had delivered near-zero export volumes for roughly two years (NNPC via BusinessDay, 2023). The NEITI-audited figure for 2021 had already fallen to about 19,300 barrels per day. Wood Mackenzie’s throughput record for the Bonny system shows the OML 18 evacuation fields, Cawthorne Channel and the OML 18 portion of Awoba among them, dropping to zero from 2021, which corroborates the delivery collapse from a source independent of the operator (NEITI, 2021; Wood Mackenzie, 2026). The 2022 audit makes the split explicit: OML 18 metered about 9,000 barrels per day at the flow station but fiscalized only 600 after a terminal adjustment of 1.6 million barrels, the wellhead-to-delivered gap that defines evacuation stranding (NEITI, 2022). The collapse ran through two distinct pathways, and separating them is the work of this case.</w:t>
      </w:r>
    </w:p>
    <w:p>
      <w:pPr>
        <w:pStyle w:val="BodyText"/>
      </w:pPr>
      <w:r>
        <w:t xml:space="preserve">The first pathway is external, and it lay largely outside Eroton’s control. The Nembe Creek Trunk Line, the export route for OML 18 crude, went into force majeure from the fourth quarter of 2021, and every operator that depended on it went without deliveries (San Leon Energy, 2022; 2023). The line’s unavailability extended well beyond that quarter. Wood Mackenzie records the Nembe Creek Trunk Line as frequently targeted by vandals and militant groups, with downtime that can reach 60 percent, and notes that the $1.1 billion line Shell rebuilt in 2010 specifically to deter theft proved similarly ineffective against it. Terminal force majeure on the Bonny system, the same source observes, follows generically from vandalism or sabotage against the trunk pipelines, a system-wide hazard that falls on every operator on the line alike (Wood Mackenzie, 2026). The vulnerability was therefore structural to the asset and the region, it predated Eroton and Aiteo alike, and it transferred with the hardware from Shell, which had itself repeatedly shut the line to remove theft points. Eroton kept producing at the wellhead through the force majeure, reporting on its own account about 500,000 barrels in November 2021, an interested-source figure of roughly 16,700 barrels per day for the month. The crude meanwhile stayed short of the Bonny terminal (San Leon Energy, 2023). The gap between metered wellhead volume and delivered volume is the signature of evacuation stranding: the crude is produced and metered, then held before it can be delivered.</w:t>
      </w:r>
    </w:p>
    <w:p>
      <w:pPr>
        <w:pStyle w:val="BodyText"/>
      </w:pPr>
      <w:r>
        <w:t xml:space="preserve">The line that stranded Eroton’s crude was operated by Aiteo on OML 29, a link of shared exposure to the same line. The official joint investigation into the contemporaneous Santa Barbara incident attributed it to third-party interference (Section 4.3), and the trunk-line force majeures recur on the same third-party-sabotage pattern across operators and across the periods before and after Aiteo took the line. The available record leaves any Aiteo maintenance or surveillance failure on the line inseparable from the regional theft and sabotage that afflict it. The evacuation shock therefore reads best as the common environment that every Bonny-system operator faced, a feature of the asset more than of either operator’s capability. A community suit now before the Federal High Court alleges that Aiteo’s trunk-line spills reflected operational negligence and a failure to replace corroded pipelines, which, if established, would reopen that reading. As of this writing the suit is pending, with a finding yet to be made (Opu Nembe Kingdom v Aiteo, FHC/YN/CS/284/2024).</w:t>
      </w:r>
    </w:p>
    <w:p>
      <w:pPr>
        <w:pStyle w:val="BodyText"/>
      </w:pPr>
      <w:r>
        <w:t xml:space="preserve">The second pathway is internal and concerns whether Eroton could mount an organizational response to that shock. The Federal Inland Revenue Service sealed the company’s head office for more than twelve months over unpaid taxes; the EFCC and NUPRC opened investigations; and an NNPC forensic audit identified governance failures (NNPC via BusinessDay, 2023; NNPC via Leadership, 2023). Most directly, an alternative barge evacuation route won approval, and Eroton left it unexecuted, so the crude beyond the trunk line’s reach stayed stranded under the sanctioned workaround as well (San Leon via Energy Voice, 2019, 2022a, 2022b). These are organizational-performance failures, and they fall in the part of the operation that Chapter 2 treats as organizational capability: managing a regulator, sustaining joint-venture governance, and executing a complex logistics alternative under stress are capability tasks, the organizational work that sits above the wellhead. They are consistent with an organizational-capability gap. The documentary record alone, however, leaves that reading entangled with governance, liquidity, or political dynamics, and participant testimony is the evidence that would distinguish them.</w:t>
      </w:r>
    </w:p>
    <w:p>
      <w:pPr>
        <w:pStyle w:val="BodyText"/>
      </w:pPr>
      <w:r>
        <w:t xml:space="preserve">The two pathways resist clean separation, and the case is weaker for it. The external shock alone could have stranded a capable operator; the internal failures alone could have sunk production even with the trunk line intact. In the event both occurred together, and the documentary record can only partly apportion how much of the two-year collapse each contributed. That is the honest limit of the case, and it is why Eroton corroborates the Aiteo pattern while leaving it unconfirmed.</w:t>
      </w:r>
    </w:p>
    <w:p>
      <w:pPr>
        <w:pStyle w:val="BodyText"/>
      </w:pPr>
      <w:r>
        <w:t xml:space="preserve">Within that limit, the explanation tests run as follows. Capital constraints are rejected as sufficient. The growth to a modeled 32,000 barrels per day, corroborated by the operator’s reported gross output, demonstrates that capital was available for production-directed major operational spending. An operator that funded that growth held the funds to run the asset (Wood Mackenzie, 2026; San Leon Energy, 2019). NNPC separately stated that the joint-venture partners met their funding obligations through the decline. That statement carries a caveat, because NNPC made it while removing Eroton as operator, a context in which it had an interest in placing the failure on the operator over joint-venture underfunding. The inference against capital constraints therefore rests more securely on the documented production growth than on the statement. The unpaid-tax evidence may indicate liquidity stress or governance failure, though on its own it leaves open whether the joint venture held the capital to sustain production or to execute the evacuation alternatives, so the verdict stands. Eroton’s own rebuttal accepted that funding was maintained; it attributed the collapse to the trunk-line force majeure (Eroton via Petroleum Africa, 2023). Fiscal regime effects are rejected for this case. The production deterioration began before the Petroleum Industry Act, and the acquisition, capability, and evacuation-dependence conditions that produced it were all established under the pre-Act regime. The Act, enacted in August 2021, postdates the conditions that produced the collapse and stays outside the primary explanation, even though the removal of the operator ran into 2023. The regulatory framework in force at the 2015 acquisition left operational and organizational capability outside its screen, the same design gap documented for Aiteo. It permitted Eroton’s acquisition while, applying alike to every operator, leaving unexplained why Eroton specifically collapsed, and it functions here as an enabling condition shared across operators, short of a differentiating cause. Coordination failure is rejected as independently caused: the collapse came six to eight years after acquisition, well beyond a short transition period, and a transition problem should appear early and ease as the operator settles. Here, by contrast, the operator demonstrated routine operational competence for several years before the collapse.</w:t>
      </w:r>
    </w:p>
    <w:p>
      <w:pPr>
        <w:pStyle w:val="BodyText"/>
      </w:pPr>
      <w:r>
        <w:t xml:space="preserve">The political-economy and capability readings are harder to separate here than at Aiteo, and the evidence is thinner. Corporate registry detail on Eroton’s board composition and shareholding is incomplete, so the question is carried by the non-substitutability logic, the registry record being too incomplete for a direct case-level test. Political economy remains live for the case as a whole; it could plausibly bear on the unpaid taxes, the regulatory treatment, or access to approvals. It is rejected only as a sufficient explanation for the operational-capability tasks at issue, in particular executing the approved barge alternative, which lay beyond political access. The capability reading is consistent with the internal pathway but not decisive for the case, because the external trunk-line shock confounds the attribution. The consortium’s business-development composition, established above, supports the reading only as a secondary indicator: it is consistent with an organization that ran routine production well while struggling to improvise an operational response under stress. The background indicates the gap without establishing it as the cause; the operational record in each case establishes the link.</w:t>
      </w:r>
    </w:p>
    <w:p>
      <w:pPr>
        <w:pStyle w:val="BodyText"/>
      </w:pPr>
      <w:r>
        <w:t xml:space="preserve">Eroton therefore replicates the Aiteo pattern in part. An operator without inherited upstream technical depth grew routine production and then faltered when conditions deteriorated, which matches the Aiteo trajectory. The collapse, however, mixed an external evacuation shock with internal governance failure, and the evidence attributes it to capability with less confidence than the Aiteo case permits. The verdict reflects that ambiguity.</w:t>
      </w:r>
    </w:p>
    <w:p>
      <w:pPr>
        <w:pStyle w:val="BodyText"/>
      </w:pPr>
      <w:r>
        <w:t xml:space="preserve">Appendix E records the full verdict matrix for the case, with the evidence and the falsification condition behind each verdict.</w:t>
      </w:r>
    </w:p>
    <w:p>
      <w:pPr>
        <w:pStyle w:val="BodyText"/>
      </w:pPr>
      <w:r>
        <w:t xml:space="preserve">The case adds two findings without amounting to a second proof. It rejects capital constraints and fiscal timing on the same logic as Aiteo, and it shows the funded-growth-then-failure pattern recurring in a second operator assembled without inherited upstream depth. The evacuation shock that might have supplied a second, independent line of evidence instead confounds the capability attribution: it ran through the trunk line as the common environment every Bonny-system operator faced, structurally theft-driven and inherited from the seller. Whether the pattern holds where the conditions differ on knowledge inheritance is what the theoretical replications test, against operators facing the same evacuation environment (Section 4.5).</w:t>
      </w:r>
    </w:p>
    <w:bookmarkEnd w:id="32"/>
    <w:bookmarkStart w:id="33" w:name="X4c71c6afe207d5d2dbd66902cf3527856f9c030"/>
    <w:p>
      <w:pPr>
        <w:pStyle w:val="Heading3"/>
      </w:pPr>
      <w:r>
        <w:t xml:space="preserve">4.4.2 First Hydrocarbon on OML 26: A Test of Regulatory Screening</w:t>
      </w:r>
    </w:p>
    <w:p>
      <w:pPr>
        <w:pStyle w:val="FirstParagraph"/>
      </w:pPr>
      <w:r>
        <w:t xml:space="preserve">First Hydrocarbon Nigeria acquired a 45 percent interest in OML 26, in the western Niger Delta, from the Shell joint venture in 2011, completing an agreement struck in October 2010. The interest combined the holdings of Shell at 30 percent, Total at 10 percent, and Eni at 5 percent, with the state company NPDC holding the remaining 55 percent (First Hydrocarbon Nigeria, 2011; Wood Mackenzie, 2026). Two features set the case apart from Aiteo and Eroton. First Hydrocarbon Nigeria was a special-purpose vehicle created by the London-listed Afren plc to hold Nigerian upstream assets, and Afren held 45 percent of it at completion, rising to 70 percent by the time the company failed (Upstream Nigeria, 2018). And First Hydrocarbon Nigeria never operated OML 26: NPDC asserted operatorship under a first-refusal clause in the joint operating agreement and ran the asset throughout, with a joint asset-management team formed only in 2016 (Africa Oil and Gas Report, 2012; Acha et al., 2019). The buyer was a non-operating financial partner whose sponsor collapsed through fraud, a corporate failure that played out entirely away from the asset’s operations. For both reasons the case lies outside a test of the buyer’s operational capability, and it enters here as a screening case. What it tests is whether the approval framework assessed buyer fitness, and it provides the cleanest rejection of capital constraints in the case set.</w:t>
      </w:r>
    </w:p>
    <w:p>
      <w:pPr>
        <w:pStyle w:val="BodyText"/>
      </w:pPr>
      <w:r>
        <w:t xml:space="preserve">The screening question turns on the statute, and the statute is explicit. Section 29 of the Petroleum Act required ministerial consent to assign the lease while leaving the acquirer’s fitness, capability, and governance untested, the same statutory void documented for the Aiteo transfer (Section 4.3.3). The buyer commanded ample capital and corporate standing: Afren was a FTSE 250 company that peaked near $2.6 billion in market value. First Hydrocarbon Nigeria funded the acquisition and its initial development share through $280 million of facilities (First Hydrocarbon Nigeria, 2011; UK Serious Fraud Office, 2018). The acquiring entity’s gap lay in corporate governance integrity, a dimension that the approval framework reviewed here left outside any party’s remit, at approval and through any ongoing post-transfer fitness test. Within four years of completion, Afren had collapsed into administration, in July 2015. Its two most senior executives, the chief executive Osman Shahenshah and the chief operating officer Shahid Ullah, were convicted in 2018 of fraud and money laundering for a scheme they ran while leading the company. They diverted roughly $45 million from a $300 million transaction with another Nigerian partner into a Caribbean or Bermudan shell company they controlled (UK Serious Fraud Office, 2018). The convictions stood when the Court of Appeal refused permission to appeal in 2019, and a confiscation order of £5.45 million followed in 2020 (Court of Appeal, 2019; Energy Voice, 2020). The case leaves open whether a Nigerian regulator would necessarily have discovered the fraud in 2010 or 2011; it shows that the approval framework lacked any explicit buyer-fitness or governance-integrity screen capable of making that question part of the approval decision. The cost of the collapse reached beyond Afren’s shareholders: Nigerian banks that had lent into the structure lost an estimated $185 million when the company failed (Vanguard, 2015).</w:t>
      </w:r>
    </w:p>
    <w:p>
      <w:pPr>
        <w:pStyle w:val="BodyText"/>
      </w:pPr>
      <w:r>
        <w:t xml:space="preserve">Capital constraints are rejected as sufficient. The binding-constraint version of the capital explanation requires that a shortage of funds prevented the acquirer or the venture from running or developing the asset. Here the acquirer commanded the resources of a multi-billion-dollar listed company and dedicated financing facilities, and the venture failed regardless, through a governance fraud that stood apart from funding scarcity. Capital abundance left both the failure and the asset’s performance untouched.</w:t>
      </w:r>
    </w:p>
    <w:p>
      <w:pPr>
        <w:pStyle w:val="BodyText"/>
      </w:pPr>
      <w:r>
        <w:t xml:space="preserve">Appendix E records the case’s verdicts, including the dimensions it leaves not tested, with the evidence and the falsification condition for each.</w:t>
      </w:r>
    </w:p>
    <w:p>
      <w:pPr>
        <w:pStyle w:val="BodyText"/>
      </w:pPr>
      <w:r>
        <w:t xml:space="preserve">Because NPDC operated OML 26, the asset’s production reflects the state operator’s performance, the buyer’s role aside. The modeled and audited records agree that OML 26 produced only two to three thousand barrels per day through the mid-2010s and reached roughly eight to ten thousand around 2020 to 2021. The audited record then shows output slipping back, well below the asset’s developed capacity throughout (Wood Mackenzie, 2026; NEITI, 2020, 2022). That trajectory bears on NPDC’s operatorship, taken up in Section 4.5.3, with the buyer’s inherited capability set aside.</w:t>
      </w:r>
    </w:p>
    <w:p>
      <w:pPr>
        <w:pStyle w:val="BodyText"/>
      </w:pPr>
      <w:r>
        <w:t xml:space="preserve">The case adds a dimension that neither Aiteo nor Eroton supplies. At Aiteo the screening gap permitted an operator that proved unable to contain a crisis. Here the same statutory gap permitted an acquirer whose leadership was later convicted of serious fraud committed while running the company, on an asset where the buyer never took operational control. The two cases together show that the pre-2024 framework left acquirers unscreened for both operational capability and governance integrity, the void the NUPRC moved to close in 2024 (Section 4.3.3). And the case rejects capital constraints in their starkest form, since here the buyer held every financial advantage and failed anyway. Whether the capability pattern that the critical experiment identified holds where a capable operator inherits and runs the asset is the question the theoretical replications take up next (Section 4.5).</w:t>
      </w:r>
    </w:p>
    <w:bookmarkEnd w:id="33"/>
    <w:bookmarkEnd w:id="34"/>
    <w:bookmarkStart w:id="38" w:name="X72a04ca6480f4410f13bb6fecd226808bdea8f7"/>
    <w:p>
      <w:pPr>
        <w:pStyle w:val="Heading2"/>
      </w:pPr>
      <w:r>
        <w:t xml:space="preserve">4.5 Theoretical Replication: Operators That Differed on Capability</w:t>
      </w:r>
    </w:p>
    <w:p>
      <w:pPr>
        <w:pStyle w:val="FirstParagraph"/>
      </w:pPr>
      <w:r>
        <w:t xml:space="preserve">The critical experiment identified a capability-related failure at Aiteo, and the partial replication at Eroton showed a similar funded-growth-then-collapse pattern, though there the attribution was confounded by an external evacuation failure the documentary record leaves entangled with internal governance (Section 4.4.1). Literal replication predicts the same outcome where the same condition holds; theoretical replication predicts a contrasting outcome where the condition differs, and for a reason the theory names (Yin, 2009). The three cases here differ from Aiteo and Eroton on capability. Seplat acquired its leases with an experienced founding team and a technical partner, and the capability account predicts sustained production and integrity (Section 4.5.1). OML 30 supplies a within-asset comparison in which the asset, owners, regulatory regime, and fiscal terms held constant while operatorship passed from the state company to an indigenous operator with technical capability, which isolates operator capability more sharply than any cross-operator comparison can (Section 4.5.2). NPDC operated its acreage as a state company and underperformed while surviving commercially, which tests political economy in the positive form left open earlier (Section 4.5.3). All three operated under the same pre-2024 regulatory regime as the failure cases, NPDC as a state entity under, if anything, weaker external discipline, so the contrast among them also tests whether regulatory inadequacy, common to every operator, can account for outcomes that diverge.</w:t>
      </w:r>
    </w:p>
    <w:bookmarkStart w:id="35" w:name="X1b4a1652c6404698dc7f55491f32993f1ee2596"/>
    <w:p>
      <w:pPr>
        <w:pStyle w:val="Heading3"/>
      </w:pPr>
      <w:r>
        <w:t xml:space="preserve">4.5.1 Seplat on OMLs 4, 38, and 41: A Founding Team’s Technical Depth</w:t>
      </w:r>
    </w:p>
    <w:p>
      <w:pPr>
        <w:pStyle w:val="FirstParagraph"/>
      </w:pPr>
      <w:r>
        <w:t xml:space="preserve">Seplat entered upstream operations with the technical depth the failure cases lacked, and it sustained both production and operational integrity, the outcome the capability account predicts for a capable operator. The case is the first theoretical replication.</w:t>
      </w:r>
    </w:p>
    <w:p>
      <w:pPr>
        <w:pStyle w:val="BodyText"/>
      </w:pPr>
      <w:r>
        <w:t xml:space="preserve">Seplat Petroleum Development Company acquired a 45 percent interest in OMLs 4, 38, and 41 from the Shell joint venture in 2010 for about $340 million (Seplat, 2014). The depth originated with the buyer. The reviewed record for the 2010 transaction shows no structured capability-transfer provisions, and the knowledge that ran the assets came from the founding team’s own prior careers. Austin Avuru, the founding chief executive, had spent more than three decades in Nigerian petroleum engineering and reservoir management, beginning at NNPC as a wellsite geologist and reservoir engineer and later running the marginal-field operator Platform Petroleum. Basil Omiyi, who had led Shell’s Nigerian operations, joined the board after the founding (Seplat, 2014). Where Eroton’s principals brought a business-development background, Seplat’s brought operating depth, and the company paired it with a technical partnership with Maurel et Prom, an established international operator (Seplat, 2014). The founding team and the partnership together gave Seplat the absorptive capacity to run the assets, the buyer-side condition specified in Chapter 2; capability was present at the buyer from the start, brought by the founding team itself.</w:t>
      </w:r>
    </w:p>
    <w:p>
      <w:pPr>
        <w:pStyle w:val="BodyText"/>
      </w:pPr>
      <w:r>
        <w:t xml:space="preserve">Production grew and held. The Wood Mackenzie modeled series puts the three leases near a combined 53,000 barrels per day at their 2018 peak, and the audited record shows metered production of 42,300 in 2021 and 43,100 in 2020. The modeled series holds the leases near 39,000 in 2025, about 74 percent of peak and inside the sustained band (Wood Mackenzie, 2026; NEITI, 2020, 2021). Where Aiteo and Eroton fell to small fractions of their post-acquisition peaks (Section 4.2), Seplat held above 70 percent of its own.</w:t>
      </w:r>
    </w:p>
    <w:p>
      <w:pPr>
        <w:pStyle w:val="BodyText"/>
      </w:pPr>
      <w:r>
        <w:t xml:space="preserve">The available integrity indicators point in the same direction, though they rest on different measurement bases. Seplat reported more than 11 million man-hours without a lost-time injury and was named AfriSAFE Energy Company of the Year in 2024, and its joint-venture flaring ran below the indigenous-operator figures in the 2021 audit (NEITI, 2021; Seplat Energy, 2024). The flaring comparison is confounded by gas-evacuation infrastructure and carries little decisive weight, and the award is a form of recognition, carrying less evidentiary weight than the audited regulatory data, so the indicators support the reading jointly, as a set. Set against Aiteo’s uncontrolled blowout and the weaker integrity indicators in the failure cases, Seplat’s safety record points in the expected direction and is consistent with the capability account.</w:t>
      </w:r>
    </w:p>
    <w:p>
      <w:pPr>
        <w:pStyle w:val="BodyText"/>
      </w:pPr>
      <w:r>
        <w:t xml:space="preserve">A later seller-independence check points the same way and is developed in the cross-case synthesis (Section 4.7). In 2024 Seplat acquired Mobil Producing Nigeria Unlimited from ExxonMobil and integrated a producing asset from a different seller (Seplat Energy, 2024, 2026). Because that transaction is only months old, it stands outside the historical evidence here; the absorptive-capacity reading rests on the fifteen-year record of the 2010 leases, and the MPNU integration enters as a design contrast, short of a second case.</w:t>
      </w:r>
    </w:p>
    <w:p>
      <w:pPr>
        <w:pStyle w:val="BodyText"/>
      </w:pPr>
      <w:r>
        <w:t xml:space="preserve">The case establishes that a buyer with inherited technical depth, under the same regulatory and fiscal regime as the failure cases, sustained the outcomes that eluded the failure cases. The case leaves open which capability element, the founding team or the Maurel et Prom partnership, was decisive, since both were present throughout. The three leases also differ in asset characteristics from OML 29, so the comparison is one of operator type under common institutional conditions, a contrast short of a matched-asset experiment.</w:t>
      </w:r>
    </w:p>
    <w:p>
      <w:pPr>
        <w:pStyle w:val="BodyText"/>
      </w:pPr>
      <w:r>
        <w:t xml:space="preserve">The full verdicts for this case are in Appendix E. The question for the alternatives is whether any of them accounts for why Seplat succeeded where capability-poor operators failed.</w:t>
      </w:r>
    </w:p>
    <w:p>
      <w:pPr>
        <w:pStyle w:val="BodyText"/>
      </w:pPr>
      <w:r>
        <w:t xml:space="preserve">Seplat’s outcome matches the capability prediction. An operator that brought the technical depth Aiteo and Eroton lacked produced the sustained production and operational integrity that eluded them, under the same regime that governed them all.</w:t>
      </w:r>
    </w:p>
    <w:bookmarkEnd w:id="35"/>
    <w:bookmarkStart w:id="36" w:name="oml-30-a-within-asset-operator-change"/>
    <w:p>
      <w:pPr>
        <w:pStyle w:val="Heading3"/>
      </w:pPr>
      <w:r>
        <w:t xml:space="preserve">4.5.2 OML 30: A Within-Asset Operator Change</w:t>
      </w:r>
    </w:p>
    <w:p>
      <w:pPr>
        <w:pStyle w:val="FirstParagraph"/>
      </w:pPr>
      <w:r>
        <w:t xml:space="preserve">OML 30 offers the strongest control available in this study. The asset, its owners, the regulatory regime, and the fiscal terms all held constant while operatorship changed, first the state company and then an indigenous operator with technical capability, and the outcome changed with it. The comparison isolates operator capability more sharply than any comparison across different leases can, and it is the second theoretical replication. Within the asset’s sociotechnical system, the change holds the technical subsystem constant and varies the social subsystem that operated it, so the recovery isolates the contribution of the operating organization (Section 2.2).</w:t>
      </w:r>
    </w:p>
    <w:p>
      <w:pPr>
        <w:pStyle w:val="BodyText"/>
      </w:pPr>
      <w:r>
        <w:t xml:space="preserve">Shoreline Natural Resources, a consortium of the Nigerian company Shoreline Power and Heritage Oil, acquired the 45 percent interest held by Shell, Total, and Eni in OML 30 in 2012 for about $850 million. NNPC’s subsidiary, the Nigerian Petroleum Development Company (NPDC), held the remaining 55 percent and operated the asset (Africa Oil and Gas Report, 2014; Heritage Oil, 2020). Under NPDC the lease underperformed: the Department of Petroleum Resources judged the operator’s performance unsatisfactory in 2015 and recommended replacing it. The modeled series shows production falling to a trough near 3,800 barrels per day in 2016 amid a Trans Forcados Pipeline shutdown (ThisDay, 2015; Wood Mackenzie, 2026). In 2017 the government approved transfer of operatorship to Heritage Energy Operational Services Limited, hereafter HEOSL, the indigenous Nigerian operating company, whose parent Heritage Oil Limited is UK-listed. Salvic Petroleum Resources served as third-party technical operator under a technical services agreement (Heritage Oil, 2020; Orient Energy Review, 2018).</w:t>
      </w:r>
    </w:p>
    <w:p>
      <w:pPr>
        <w:pStyle w:val="BodyText"/>
      </w:pPr>
      <w:r>
        <w:t xml:space="preserve">The outcome reversed. NEITI audited the field’s metered production at about 24,000 barrels per day in 2021 and 30,000 in 2022, and the operator reports production reached a peak near 67,000 by 2025, a level last reached in the 1980s (NEITI, 2021; The Energy Year, 2026). The recovery was achieved without new drilling: independent reporting records production held above 45,000 barrels per day across three years without new wells. The operator’s first exploration drilling on the lease in more than three decades began only in 2025 (Africa Oil and Gas Report, 2025; The Energy Year, 2026). The operator’s earlier claim of about 80,000 barrels per day gross runs ahead of the audited and modeled record and is set aside here. The documentary record surveyed stays silent on any major safety or environmental incident, though that silence counts as weak evidence, well below proof of integrity performance.</w:t>
      </w:r>
    </w:p>
    <w:p>
      <w:pPr>
        <w:pStyle w:val="BodyText"/>
      </w:pPr>
      <w:r>
        <w:t xml:space="preserve">The within-asset design carries most of the analytical weight. The lease, the owners, the regulatory regime, and the fiscal terms were identical before and after; the principal change in the record was operatorship, although governance, incentives, and the technical-service arrangement changed with it. The recovery without new drilling removes new-drilling capital as the differentiator and weakens a pure capital explanation; it leaves in place the rehabilitation, pipeline-restoration, and well-optimization spending the turnaround required, so the remaining contrast turns on how the existing asset and that spending were managed. The capability arrived through specific people. The Salvic team included an engineer with twenty-seven years at Shell’s Nigerian operating company and a second with thirty-nine years spanning NNPC’s upstream division and project work across the major joint ventures, who had managed earlier Shell-to-NPDC operatorship transfers (Salvic Petroleum Resources, n.d.). The contrast with the prior operator therefore runs along capability, with nationality common to both. NPDC and the HEOSL and Salvic team were both Nigerian; what separated them was upstream technical capability embedded in the operating organization. The case shows that an indigenous operator succeeds when that capability is present and the same asset underperforms when that capability is absent.</w:t>
      </w:r>
    </w:p>
    <w:p>
      <w:pPr>
        <w:pStyle w:val="BodyText"/>
      </w:pPr>
      <w:r>
        <w:t xml:space="preserve">The comparison tests the capability prediction in its sharpest form and rejects regulatory inadequacy as the differentiating cause, since the regime held constant across the operator transition. The comparison controls for much while leaving governance and funding differences between a state company and a commercial operator, which changed alongside operatorship, so the within-asset isolation is strong while incomplete. With the hardware and the regulatory regime unchanged across the transition, the case shows that the operating organization’s embedded capability drove the outcome.</w:t>
      </w:r>
    </w:p>
    <w:p>
      <w:pPr>
        <w:pStyle w:val="BodyText"/>
      </w:pPr>
      <w:r>
        <w:t xml:space="preserve">OML 30 demonstrates the capability account on a single asset. The same lease, under the same regime and owners, underperformed under a state operator and recovered under an operator carrying embedded upstream capability, with new-drilling capital held constant by the absence of new wells.</w:t>
      </w:r>
    </w:p>
    <w:p>
      <w:pPr>
        <w:pStyle w:val="BodyText"/>
      </w:pPr>
      <w:r>
        <w:t xml:space="preserve">The verdict matrix for the case, with the evidence and the condition that would overturn each verdict, is in Appendix E.</w:t>
      </w:r>
    </w:p>
    <w:bookmarkEnd w:id="36"/>
    <w:bookmarkStart w:id="37" w:name="X7b885a7c6d4d9f7c267acfb6272fbf46971542c"/>
    <w:p>
      <w:pPr>
        <w:pStyle w:val="Heading3"/>
      </w:pPr>
      <w:r>
        <w:t xml:space="preserve">4.5.3 NPDC: A State Operator and the Limits of Political Access</w:t>
      </w:r>
    </w:p>
    <w:p>
      <w:pPr>
        <w:pStyle w:val="FirstParagraph"/>
      </w:pPr>
      <w:r>
        <w:t xml:space="preserve">NPDC underperformed operationally while surviving commercially, and the case tests political economy in its positive form. State backing sustains commercial viability without supplying operational capability, and the case separates the dimension the political-economy account speaks to from the dimension the capability account speaks to. It is the third theoretical replication, and it supplies the positive evidence on political economy that the critical experiment left open (Section 4.3.4).</w:t>
      </w:r>
    </w:p>
    <w:p>
      <w:pPr>
        <w:pStyle w:val="BodyText"/>
      </w:pPr>
      <w:r>
        <w:t xml:space="preserve">NPDC operates as the upstream production subsidiary of the national oil company and holds its acreage through the state company’s participating interests, the acreage coming to it as state equity. Its operational record is the weakest of the operator categories. It set a target of 500,000 barrels per day for 2020, from about 180,000 in 2017, and fell short of it, on a company-wide basis that differs from the lease-level series (Vanguard, 2017). Its technical efficiency stood at 23 percent on the Adekunle and colleagues measure, against about 75 percent for joint-venture operators and 67 percent for marginal-field operators measured the same way (Adekunle et al., 2019). And the within-asset comparison gives the deficit a case-level anchor: on OML 30, NPDC’s operatorship ran the lease into a formal finding of unsatisfactory performance and a trough near 3,800 barrels per day before the recovery under HEOSL (Section 4.5.2; ThisDay, 2015). A second NPDC-operated lease points the same way on the audited record. On OML 26, the lease where the First Hydrocarbon acquisition failed the governance screen and which NPDC operated thereafter (Section 4.4.2), NEITI audited metered production at about 8,800 barrels per day in 2021 and 3,700 in 2022, with 2022 fiscalized volume about 3,200. Because both the field-metered and the terminal-fiscalized figures are low, the 2022 shortfall reflects production itself, whereas Eroton’s fiscalized volume was depressed by evacuation stranding. On the same evacuation route, in the same year, the HEOSL-operated OML 30 rose, which points the contrast back to operatorship (NEITI, 2021, 2022).</w:t>
      </w:r>
    </w:p>
    <w:p>
      <w:pPr>
        <w:pStyle w:val="BodyText"/>
      </w:pPr>
      <w:r>
        <w:t xml:space="preserve">NPDC nonetheless continues to operate across multiple licenses. A private operator with this record would, by inference, on a point the documentary record leaves open, face stronger market, lender, partner, or regulatory discipline; state ownership sustains NPDC where such discipline would otherwise bite. This is the positive form of the test the critical experiment left open. At Aiteo, preventing or containing the blowout turned on well-control capability beyond political access, so political economy was rejected as sufficient for operational quality while left open as an account of commercial survival. The NPDC case supplies the positive side: state backing sustains commercial viability without producing operational quality. The two accounts operate on different dimensions, with some overlap between them. Political and state factors can sustain commercial survival and may also weaken the discipline, incentives, and accountability that bear on performance, while the technical and organizational routines that determine operational quality answer to capability instead. That distinction is the substitutability question the cross-case synthesis develops (Section 4.7), and NPDC supplies its clearest single-case illustration.</w:t>
      </w:r>
    </w:p>
    <w:p>
      <w:pPr>
        <w:pStyle w:val="BodyText"/>
      </w:pPr>
      <w:r>
        <w:t xml:space="preserve">NPDC tests political economy in its positive form and tests capability as a state-entity deficit. The closest the evidence comes to a matched comparison is the within-asset OML 30 test; NPDC’s multi-license, state-equity structure and company-level reporting differ too far from the lease-level acquisitions for a full match. The case establishes the direction of the two effects while leaving their precise magnitude open.</w:t>
      </w:r>
    </w:p>
    <w:p>
      <w:pPr>
        <w:pStyle w:val="BodyText"/>
      </w:pPr>
      <w:r>
        <w:t xml:space="preserve">The verdicts for this case are recorded in Appendix E. The case carries two findings on different dimensions, which the matrix records separately.</w:t>
      </w:r>
    </w:p>
    <w:p>
      <w:pPr>
        <w:pStyle w:val="BodyText"/>
      </w:pPr>
      <w:r>
        <w:t xml:space="preserve">In NPDC the two dimensions appear separately, where the other cases show them jointly. A state operator survives commercially on backing beyond a private firm’s reach, while underperforming operationally in the dimension capability governs.</w:t>
      </w:r>
    </w:p>
    <w:p>
      <w:pPr>
        <w:pStyle w:val="BodyText"/>
      </w:pPr>
      <w:r>
        <w:t xml:space="preserve">The three theoretical replications strengthen the pattern the critical experiment identified, working through contrast. Seplat carried capability through its founding team and sustained its assets. OML 30 recovered when an operator with embedded capability replaced the state company on the same lease, with new-drilling capital held constant. NPDC, a state operator without that capability, underperformed operationally even as state backing kept it in business. Capability tracks operational quality across the cases; capital, fiscal timing, and the regulatory regime were common to operators whose outcomes diverged, and political economy bears on commercial survival, while operational quality tracks capability. The marginal field program tests the same pattern through an earlier and independent transfer mechanism (Section 4.6), and the cross-case synthesis then renders the consolidated verdict and weighs the substitutability and externality conditions that bear on the third research question (Section 4.7).</w:t>
      </w:r>
    </w:p>
    <w:bookmarkEnd w:id="37"/>
    <w:bookmarkEnd w:id="38"/>
    <w:bookmarkStart w:id="39" w:name="Xb7cf50bebd6a1a9cd8a47206a212046f9b1c051"/>
    <w:p>
      <w:pPr>
        <w:pStyle w:val="Heading2"/>
      </w:pPr>
      <w:r>
        <w:t xml:space="preserve">4.6 The Marginal Field Program: A Structural Precedent</w:t>
      </w:r>
    </w:p>
    <w:p>
      <w:pPr>
        <w:pStyle w:val="FirstParagraph"/>
      </w:pPr>
      <w:r>
        <w:t xml:space="preserve">Every primary case originated from the same seller. The Aiteo, Eroton, First Hydrocarbon, Seplat, and Shoreline transactions, and the NPDC equity holdings, all came out of the Shell-operated joint venture in which Total and Eni were the other international partners. The pattern those cases show could in principle be specific to how that venture prepared and handed over its assets, leaving open whether the pattern is a general feature of indigenous-operator capability. The cross-case synthesis tests this directly through three non-Shell transactions, examined as seller-independence checks (Section 4.7). The marginal field program adds a structural precedent on a different axis. It moved assets to indigenous operators through a government licensing round in place of a bilateral sale, under different fiscal and regulatory rules, a decade before the divestment wave. The fields were carved from the acreage of several majors, Shell, Chevron, and Total, with Shell only one among them (Wood Mackenzie, 2026). If a similar pattern of capability-unassessed transfer followed by underperformance appears there as well, it is less likely to be an artifact of any single seller’s divestment practice. The program carries corroborating, secondary weight: individual marginal-field operator trajectories are less documented than the divestment cases, so it supports the chapter’s pattern at the cohort level, short of supplying another decisive case.</w:t>
      </w:r>
    </w:p>
    <w:p>
      <w:pPr>
        <w:pStyle w:val="BodyText"/>
      </w:pPr>
      <w:r>
        <w:t xml:space="preserve">In 2003 the Department of Petroleum Resources awarded 24 marginal fields, small accumulations the majors had left undeveloped, to 31 indigenous companies, with the stated objective of building indigenous technical capacity (Sweet Crude Reports, 2020). The allocation turned on signature bonuses, work-program commitments, and farm-out arrangements with the majors, while leaving the recipients’ capability unscreened, short of the technical-capacity criteria the NUPRC introduced in 2024, as the development record and the regulator’s later criticism both indicate. The round was also litigation-prone, with disputes between awardees and their partners stalling development for years (Sweet Crude Reports, 2020).</w:t>
      </w:r>
    </w:p>
    <w:p>
      <w:pPr>
        <w:pStyle w:val="BodyText"/>
      </w:pPr>
      <w:r>
        <w:t xml:space="preserve">The development record was poor and slow. Ten years after the awards, only about seven of the 24 fields were producing, together contributing roughly 30,000 barrels per day (Africa Oil and Gas Report, 2013). The regulator revoked eleven operators’ licenses for non-performance over the program’s life, in several cases after more than sixteen years of holding an asset without submitting a field-development plan or reaching production, and reassigned some of the fields to new operators (ThisDay, 2021). Development came slowly and unevenly. Wood Mackenzie’s field-level record for the cohort shows 17 fields onstream, 8 idle, and 3 revoked, a split consistent with the regulator’s own tally of 17 of 30 producing by 2022 (Wood Mackenzie, 2026; NUPRC, 2022). The denominator varies across sources, since the 2003 round awarded 24 fields, the regulator’s count of 30 spans all awards from 1999 to 2010, and Wood Mackenzie tracks 28 with a current status. The figures are used directionally, with the source-specific denominator stated in each instance. Many fields therefore reached production eventually, but only after fifteen years or more and repeated regulatory intervention, and the cohort’s realized contribution stayed near 2 percent of national reserves. The regulator’s own director stated that the 2003 round brought Nigeria little benefit (Sweet Crude Reports, 2020). The 2020 round of 57 fields then repeated the pattern: many awardees, described by the regulator as newcomers with limited operational and financial capabilities, struggled to move to development, and a number of the assets lapsed by 2025 (NUPRC, 2022).</w:t>
      </w:r>
    </w:p>
    <w:p>
      <w:pPr>
        <w:pStyle w:val="BodyText"/>
      </w:pPr>
      <w:r>
        <w:t xml:space="preserve">Marginal fields are smaller, less proven, and economically more marginal than the producing OMLs, so a high failure rate among them could reflect asset quality as much as any absence of capability. Two features bound that confound. The fields were undepleted. Wood Mackenzie’s reserves accounting shows the cohort’s undeveloped fields holding their initial reserves in full, 78 million barrels of oil and 584 billion cubic feet of gas still in the ground. The 2020 round carries roughly 1.6 billion barrels of largely undeveloped oil across its 57 fields (Wood Mackenzie, 2026). The reserves evidence weakens a depletion explanation; it leaves open that field size, economics, infrastructure access, or technical complexity contributed to non-development. And the difficulty concentrated at the development stage, in operators that took many years to reach production, or stalled short of it, which is a capability-and-commitment outcome more than an asset-grade one. The confound stays in place to some degree, and the claim is correspondingly bounded: the marginal-field record is consistent with the institutional-design interpretation, short of proof on the part asset quality played.</w:t>
      </w:r>
    </w:p>
    <w:p>
      <w:pPr>
        <w:pStyle w:val="BodyText"/>
      </w:pPr>
      <w:r>
        <w:t xml:space="preserve">The two mechanisms also pose different tests. A divestment hands over a producing asset with an embedded operating system, where the question is whether capability transfers with the hardware; a marginal-field award hands over an undeveloped accumulation, where the question is whether the recipient can build capability from the start. The marginal field program therefore corroborates the broader proposition, that transferring assets to operators whose capability goes unassessed produces failure, short of replicating the specific inheritance mechanism of the divestment cases. On that broader proposition the two mechanisms converge, as Table 4.4 sets out.</w:t>
      </w:r>
    </w:p>
    <w:p>
      <w:pPr>
        <w:pStyle w:val="BodyText"/>
      </w:pPr>
      <w:r>
        <w:rPr>
          <w:bCs/>
          <w:b/>
        </w:rPr>
        <w:t xml:space="preserve">Table 4.4. Two transfer mechanisms, one shared gap. Although the IOC divestment wave and the 2003 marginal field round differ in almost every term, both handed assets to indigenous operators whose capability went unscreened, and both produced widespread underperformance; across two programs otherwise unalike, what they share is the absence of a capability assessment.</w:t>
      </w:r>
    </w:p>
    <w:tbl>
      <w:tblPr>
        <w:tblW w:type="auto" w:w="0"/>
        <w:tblLook w:firstColumn="1" w:firstRow="1" w:lastColumn="0" w:lastRow="0" w:noHBand="0" w:noVBand="1" w:val="04A0"/>
        <w:tblLayout w:type="fixed"/>
        <w:tblW w:type="dxa" w:w="8640"/>
      </w:tblPr>
      <w:tblGrid>
        <w:gridCol w:w="2053"/>
        <w:gridCol w:w="3158"/>
        <w:gridCol w:w="3429"/>
      </w:tblGrid>
      <w:tr>
        <w:tc>
          <w:tcPr>
            <w:tcW w:type="dxa" w:w="2880"/>
            <w:tcW w:type="dxa" w:w="2053"/>
            <w:tcBorders>
              <w:left w:val="nil"/>
              <w:right w:val="nil"/>
              <w:top w:val="single" w:sz="8" w:space="0" w:color="000000"/>
              <w:bottom w:val="single" w:sz="4" w:space="0" w:color="000000"/>
            </w:tcBorders>
          </w:tcPr>
          <w:p>
            <w:pPr>
              <w:spacing w:before="40" w:after="40" w:line="240" w:lineRule="auto"/>
            </w:pPr>
            <w:r>
              <w:rPr>
                <w:b/>
                <w:sz w:val="18"/>
              </w:rPr>
              <w:t>Feature</w:t>
            </w:r>
          </w:p>
        </w:tc>
        <w:tc>
          <w:tcPr>
            <w:tcW w:type="dxa" w:w="2880"/>
            <w:tcW w:type="dxa" w:w="3158"/>
            <w:tcBorders>
              <w:left w:val="nil"/>
              <w:right w:val="nil"/>
              <w:top w:val="single" w:sz="8" w:space="0" w:color="000000"/>
              <w:bottom w:val="single" w:sz="4" w:space="0" w:color="000000"/>
            </w:tcBorders>
          </w:tcPr>
          <w:p>
            <w:pPr>
              <w:spacing w:before="40" w:after="40" w:line="240" w:lineRule="auto"/>
            </w:pPr>
            <w:r>
              <w:rPr>
                <w:b/>
                <w:sz w:val="18"/>
              </w:rPr>
              <w:t>IOC divestment (2010-2024)</w:t>
            </w:r>
          </w:p>
        </w:tc>
        <w:tc>
          <w:tcPr>
            <w:tcW w:type="dxa" w:w="2880"/>
            <w:tcW w:type="dxa" w:w="3429"/>
            <w:tcBorders>
              <w:left w:val="nil"/>
              <w:right w:val="nil"/>
              <w:top w:val="single" w:sz="8" w:space="0" w:color="000000"/>
              <w:bottom w:val="single" w:sz="4" w:space="0" w:color="000000"/>
            </w:tcBorders>
          </w:tcPr>
          <w:p>
            <w:pPr>
              <w:spacing w:before="40" w:after="40" w:line="240" w:lineRule="auto"/>
            </w:pPr>
            <w:r>
              <w:rPr>
                <w:b/>
                <w:sz w:val="18"/>
              </w:rPr>
              <w:t>Marginal field allocation (2003)</w:t>
            </w:r>
          </w:p>
        </w:tc>
      </w:tr>
      <w:tr>
        <w:tc>
          <w:tcPr>
            <w:tcW w:type="dxa" w:w="2880"/>
            <w:tcW w:type="dxa" w:w="2053"/>
            <w:tcBorders>
              <w:left w:val="nil"/>
              <w:right w:val="nil"/>
              <w:top w:val="nil"/>
              <w:bottom w:val="nil"/>
            </w:tcBorders>
          </w:tcPr>
          <w:p>
            <w:pPr>
              <w:spacing w:before="40" w:after="40" w:line="240" w:lineRule="auto"/>
            </w:pPr>
            <w:r>
              <w:rPr>
                <w:sz w:val="18"/>
              </w:rPr>
              <w:t>Transfer mechanism</w:t>
            </w:r>
          </w:p>
        </w:tc>
        <w:tc>
          <w:tcPr>
            <w:tcW w:type="dxa" w:w="2880"/>
            <w:tcW w:type="dxa" w:w="3158"/>
            <w:tcBorders>
              <w:left w:val="nil"/>
              <w:right w:val="nil"/>
              <w:top w:val="nil"/>
              <w:bottom w:val="nil"/>
            </w:tcBorders>
          </w:tcPr>
          <w:p>
            <w:pPr>
              <w:spacing w:before="40" w:after="40" w:line="240" w:lineRule="auto"/>
            </w:pPr>
            <w:r>
              <w:rPr>
                <w:sz w:val="18"/>
              </w:rPr>
              <w:t>Bilateral negotiated sale</w:t>
            </w:r>
          </w:p>
        </w:tc>
        <w:tc>
          <w:tcPr>
            <w:tcW w:type="dxa" w:w="2880"/>
            <w:tcW w:type="dxa" w:w="3429"/>
            <w:tcBorders>
              <w:left w:val="nil"/>
              <w:right w:val="nil"/>
              <w:top w:val="nil"/>
              <w:bottom w:val="nil"/>
            </w:tcBorders>
          </w:tcPr>
          <w:p>
            <w:pPr>
              <w:spacing w:before="40" w:after="40" w:line="240" w:lineRule="auto"/>
            </w:pPr>
            <w:r>
              <w:rPr>
                <w:sz w:val="18"/>
              </w:rPr>
              <w:t>Government licensing round</w:t>
            </w:r>
          </w:p>
        </w:tc>
      </w:tr>
      <w:tr>
        <w:tc>
          <w:tcPr>
            <w:tcW w:type="dxa" w:w="2880"/>
            <w:tcW w:type="dxa" w:w="2053"/>
            <w:tcBorders>
              <w:left w:val="nil"/>
              <w:right w:val="nil"/>
              <w:top w:val="nil"/>
              <w:bottom w:val="nil"/>
            </w:tcBorders>
          </w:tcPr>
          <w:p>
            <w:pPr>
              <w:spacing w:before="40" w:after="40" w:line="240" w:lineRule="auto"/>
            </w:pPr>
            <w:r>
              <w:rPr>
                <w:sz w:val="18"/>
              </w:rPr>
              <w:t>Asset originator</w:t>
            </w:r>
          </w:p>
        </w:tc>
        <w:tc>
          <w:tcPr>
            <w:tcW w:type="dxa" w:w="2880"/>
            <w:tcW w:type="dxa" w:w="3158"/>
            <w:tcBorders>
              <w:left w:val="nil"/>
              <w:right w:val="nil"/>
              <w:top w:val="nil"/>
              <w:bottom w:val="nil"/>
            </w:tcBorders>
          </w:tcPr>
          <w:p>
            <w:pPr>
              <w:spacing w:before="40" w:after="40" w:line="240" w:lineRule="auto"/>
            </w:pPr>
            <w:r>
              <w:rPr>
                <w:sz w:val="18"/>
              </w:rPr>
              <w:t>Shell, Total, Eni</w:t>
            </w:r>
          </w:p>
        </w:tc>
        <w:tc>
          <w:tcPr>
            <w:tcW w:type="dxa" w:w="2880"/>
            <w:tcW w:type="dxa" w:w="3429"/>
            <w:tcBorders>
              <w:left w:val="nil"/>
              <w:right w:val="nil"/>
              <w:top w:val="nil"/>
              <w:bottom w:val="nil"/>
            </w:tcBorders>
          </w:tcPr>
          <w:p>
            <w:pPr>
              <w:spacing w:before="40" w:after="40" w:line="240" w:lineRule="auto"/>
            </w:pPr>
            <w:r>
              <w:rPr>
                <w:sz w:val="18"/>
              </w:rPr>
              <w:t>Federal government, from fields the majors relinquished</w:t>
            </w:r>
          </w:p>
        </w:tc>
      </w:tr>
      <w:tr>
        <w:tc>
          <w:tcPr>
            <w:tcW w:type="dxa" w:w="2880"/>
            <w:tcW w:type="dxa" w:w="2053"/>
            <w:tcBorders>
              <w:left w:val="nil"/>
              <w:right w:val="nil"/>
              <w:top w:val="nil"/>
              <w:bottom w:val="nil"/>
            </w:tcBorders>
          </w:tcPr>
          <w:p>
            <w:pPr>
              <w:spacing w:before="40" w:after="40" w:line="240" w:lineRule="auto"/>
            </w:pPr>
            <w:r>
              <w:rPr>
                <w:sz w:val="18"/>
              </w:rPr>
              <w:t>Asset condition at transfer</w:t>
            </w:r>
          </w:p>
        </w:tc>
        <w:tc>
          <w:tcPr>
            <w:tcW w:type="dxa" w:w="2880"/>
            <w:tcW w:type="dxa" w:w="3158"/>
            <w:tcBorders>
              <w:left w:val="nil"/>
              <w:right w:val="nil"/>
              <w:top w:val="nil"/>
              <w:bottom w:val="nil"/>
            </w:tcBorders>
          </w:tcPr>
          <w:p>
            <w:pPr>
              <w:spacing w:before="40" w:after="40" w:line="240" w:lineRule="auto"/>
            </w:pPr>
            <w:r>
              <w:rPr>
                <w:sz w:val="18"/>
              </w:rPr>
              <w:t>Producing OMLs with an embedded operating system</w:t>
            </w:r>
          </w:p>
        </w:tc>
        <w:tc>
          <w:tcPr>
            <w:tcW w:type="dxa" w:w="2880"/>
            <w:tcW w:type="dxa" w:w="3429"/>
            <w:tcBorders>
              <w:left w:val="nil"/>
              <w:right w:val="nil"/>
              <w:top w:val="nil"/>
              <w:bottom w:val="nil"/>
            </w:tcBorders>
          </w:tcPr>
          <w:p>
            <w:pPr>
              <w:spacing w:before="40" w:after="40" w:line="240" w:lineRule="auto"/>
            </w:pPr>
            <w:r>
              <w:rPr>
                <w:sz w:val="18"/>
              </w:rPr>
              <w:t>Undeveloped marginal accumulations</w:t>
            </w:r>
          </w:p>
        </w:tc>
      </w:tr>
      <w:tr>
        <w:tc>
          <w:tcPr>
            <w:tcW w:type="dxa" w:w="2880"/>
            <w:tcW w:type="dxa" w:w="2053"/>
            <w:tcBorders>
              <w:left w:val="nil"/>
              <w:right w:val="nil"/>
              <w:top w:val="nil"/>
              <w:bottom w:val="nil"/>
            </w:tcBorders>
          </w:tcPr>
          <w:p>
            <w:pPr>
              <w:spacing w:before="40" w:after="40" w:line="240" w:lineRule="auto"/>
            </w:pPr>
            <w:r>
              <w:rPr>
                <w:sz w:val="18"/>
              </w:rPr>
              <w:t>Capability assessment of recipient</w:t>
            </w:r>
          </w:p>
        </w:tc>
        <w:tc>
          <w:tcPr>
            <w:tcW w:type="dxa" w:w="2880"/>
            <w:tcW w:type="dxa" w:w="3158"/>
            <w:tcBorders>
              <w:left w:val="nil"/>
              <w:right w:val="nil"/>
              <w:top w:val="nil"/>
              <w:bottom w:val="nil"/>
            </w:tcBorders>
          </w:tcPr>
          <w:p>
            <w:pPr>
              <w:spacing w:before="40" w:after="40" w:line="240" w:lineRule="auto"/>
            </w:pPr>
            <w:r>
              <w:rPr>
                <w:sz w:val="18"/>
              </w:rPr>
              <w:t>None</w:t>
            </w:r>
          </w:p>
        </w:tc>
        <w:tc>
          <w:tcPr>
            <w:tcW w:type="dxa" w:w="2880"/>
            <w:tcW w:type="dxa" w:w="3429"/>
            <w:tcBorders>
              <w:left w:val="nil"/>
              <w:right w:val="nil"/>
              <w:top w:val="nil"/>
              <w:bottom w:val="nil"/>
            </w:tcBorders>
          </w:tcPr>
          <w:p>
            <w:pPr>
              <w:spacing w:before="40" w:after="40" w:line="240" w:lineRule="auto"/>
            </w:pPr>
            <w:r>
              <w:rPr>
                <w:sz w:val="18"/>
              </w:rPr>
              <w:t>None</w:t>
            </w:r>
          </w:p>
        </w:tc>
      </w:tr>
      <w:tr>
        <w:tc>
          <w:tcPr>
            <w:tcW w:type="dxa" w:w="2880"/>
            <w:tcW w:type="dxa" w:w="2053"/>
            <w:tcBorders>
              <w:left w:val="nil"/>
              <w:right w:val="nil"/>
              <w:top w:val="nil"/>
              <w:bottom w:val="nil"/>
            </w:tcBorders>
          </w:tcPr>
          <w:p>
            <w:pPr>
              <w:spacing w:before="40" w:after="40" w:line="240" w:lineRule="auto"/>
            </w:pPr>
            <w:r>
              <w:rPr>
                <w:sz w:val="18"/>
              </w:rPr>
              <w:t>Documented outcome</w:t>
            </w:r>
          </w:p>
        </w:tc>
        <w:tc>
          <w:tcPr>
            <w:tcW w:type="dxa" w:w="2880"/>
            <w:tcW w:type="dxa" w:w="3158"/>
            <w:tcBorders>
              <w:left w:val="nil"/>
              <w:right w:val="nil"/>
              <w:top w:val="nil"/>
              <w:bottom w:val="nil"/>
            </w:tcBorders>
          </w:tcPr>
          <w:p>
            <w:pPr>
              <w:spacing w:before="40" w:after="40" w:line="240" w:lineRule="auto"/>
            </w:pPr>
            <w:r>
              <w:rPr>
                <w:sz w:val="18"/>
              </w:rPr>
              <w:t>Differentiated; most operators examined here underperformed on at least one dimension</w:t>
            </w:r>
          </w:p>
        </w:tc>
        <w:tc>
          <w:tcPr>
            <w:tcW w:type="dxa" w:w="2880"/>
            <w:tcW w:type="dxa" w:w="3429"/>
            <w:tcBorders>
              <w:left w:val="nil"/>
              <w:right w:val="nil"/>
              <w:top w:val="nil"/>
              <w:bottom w:val="nil"/>
            </w:tcBorders>
          </w:tcPr>
          <w:p>
            <w:pPr>
              <w:spacing w:before="40" w:after="40" w:line="240" w:lineRule="auto"/>
            </w:pPr>
            <w:r>
              <w:rPr>
                <w:sz w:val="18"/>
              </w:rPr>
              <w:t>Slow, intervention-heavy development: 7 of 24 producing at ten years, 11 licenses revoked, 17 onstream by 2022 against near 2 percent of reserves; regulator judged the benefit to Nigeria minimal</w:t>
            </w:r>
          </w:p>
        </w:tc>
      </w:tr>
      <w:tr>
        <w:tc>
          <w:tcPr>
            <w:tcW w:type="dxa" w:w="2880"/>
            <w:tcW w:type="dxa" w:w="2053"/>
            <w:tcBorders>
              <w:left w:val="nil"/>
              <w:right w:val="nil"/>
              <w:top w:val="nil"/>
              <w:bottom w:val="single" w:sz="8" w:space="0" w:color="000000"/>
            </w:tcBorders>
          </w:tcPr>
          <w:p>
            <w:pPr>
              <w:spacing w:before="40" w:after="40" w:line="240" w:lineRule="auto"/>
            </w:pPr>
            <w:r>
              <w:rPr>
                <w:sz w:val="18"/>
              </w:rPr>
              <w:t>Shared institutional feature</w:t>
            </w:r>
          </w:p>
        </w:tc>
        <w:tc>
          <w:tcPr>
            <w:tcW w:type="dxa" w:w="2880"/>
            <w:tcW w:type="dxa" w:w="3158"/>
            <w:tcBorders>
              <w:left w:val="nil"/>
              <w:right w:val="nil"/>
              <w:top w:val="nil"/>
              <w:bottom w:val="single" w:sz="8" w:space="0" w:color="000000"/>
            </w:tcBorders>
          </w:tcPr>
          <w:p>
            <w:pPr>
              <w:spacing w:before="40" w:after="40" w:line="240" w:lineRule="auto"/>
            </w:pPr>
            <w:r>
              <w:rPr>
                <w:sz w:val="18"/>
              </w:rPr>
              <w:t>Absence of capability assessment</w:t>
            </w:r>
          </w:p>
        </w:tc>
        <w:tc>
          <w:tcPr>
            <w:tcW w:type="dxa" w:w="2880"/>
            <w:tcW w:type="dxa" w:w="3429"/>
            <w:tcBorders>
              <w:left w:val="nil"/>
              <w:right w:val="nil"/>
              <w:top w:val="nil"/>
              <w:bottom w:val="single" w:sz="8" w:space="0" w:color="000000"/>
            </w:tcBorders>
          </w:tcPr>
          <w:p>
            <w:pPr>
              <w:spacing w:before="40" w:after="40" w:line="240" w:lineRule="auto"/>
            </w:pPr>
            <w:r>
              <w:rPr>
                <w:sz w:val="18"/>
              </w:rPr>
              <w:t>Absence of capability assessment</w:t>
            </w:r>
          </w:p>
        </w:tc>
      </w:tr>
    </w:tbl>
    <w:p>
      <w:pPr>
        <w:pStyle w:val="BodyText"/>
      </w:pPr>
      <w:r>
        <w:t xml:space="preserve">The two mechanisms differ on nearly everything the alternative explanations turn on. The seller differs, a private major in one and the government in the other; the fiscal terms differ; the regulatory rules differ; and the asset condition differs. What they share is the absence of any assessment of the recipient’s capability to operate the asset, and both produced widespread underperformance among the operators who received assets under that gap. The shared institutional feature across two otherwise-dissimilar mechanisms is the absence of a capability assessment, the regulatory design gap identified here, the one feature common to both programs whatever else divides them.</w:t>
      </w:r>
    </w:p>
    <w:p>
      <w:pPr>
        <w:pStyle w:val="BodyText"/>
      </w:pPr>
      <w:r>
        <w:t xml:space="preserve">The marginal field cohort is also the one context in this chapter where capital constraints have genuine purchase. The 2003 awardees were small companies, and the regulator attributed the 2020 round’s stalled development in part to the awardees’ limited financial capacity (NUPRC, 2022). For these operators, underfunding and a capability gap are confounded: a company too small to fund a development program is typically also a company without the technical organization to run one, so the cohort leaves capital and capability entangled. What it does do is locate where capital constraints bite. Where operators were genuinely underfunded, as here, capital contributed; where operators were well funded, as Aiteo and Eroton were, their failures fall outside a funding story, and capability is what separated them from Seplat. The marginal-field record places capital’s effect at the small, underfunded end, away from the well-funded divestment failures.</w:t>
      </w:r>
    </w:p>
    <w:p>
      <w:pPr>
        <w:pStyle w:val="BodyText"/>
      </w:pPr>
      <w:r>
        <w:t xml:space="preserve">The cohort contains a within-population signal as well. Two of the figures central to the divestment cases came through the marginal field program first. Austin Avuru’s Platform Petroleum operated a marginal field at about 2,100 barrels per day before he founded Seplat, and Onajite Okoloko’s Midwestern Oil and Gas operated one at about 13,000 barrels per day before he co-founded Eroton (Africa Oil and Gas Report, 2013). Both cleared the marginal-field bar, and at the major-OML scale their outcomes diverged sharply, Seplat sustaining its assets and Eroton declining. Okoloko’s marginal field was the larger of the two, yet his consortium’s OML 18 collapsed while Seplat’s assets held. The divergence is consistent with the argument that marginal-field success alone fell short at scale: domain-specific petroleum-engineering depth mattered once the operating challenge moved to major-OML complexity, a reach Avuru’s background had and business development lacked.</w:t>
      </w:r>
    </w:p>
    <w:p>
      <w:pPr>
        <w:pStyle w:val="BodyText"/>
      </w:pPr>
      <w:r>
        <w:t xml:space="preserve">The program bears on the explanations as structural corroboration. The marginal-field outcomes all predate the PIA, so fiscal regime effects are rejected for this cohort as for the others. The allocation framework omitted a capability test, the regulatory design gap in its most direct form, so regulatory inadequacy stands here too as an enabling condition that permitted the failures while leaving open which operators would fail. Capital constraints contributed for this underfunded cohort, the one place they do, without explaining the well-funded divestment failures. And the cohort is consistent with the capability account. Operators who received assets without an assessed capability to run them underperformed at the cohort level under a licensing mechanism wholly unlike IOC divestment. Development that took fifteen years or more for many of the fields, with eleven licenses revoked along the way, is consistent with capability resisting reconstitution by time alone. The contemporaneous record agrees, tracing the high failure rate among marginal-field licensees to inadequate technical and commercial due diligence at the point of award (Idigbe et al., 2013; Danmadami et al., 2021). At the cohort level, the marginal-field record is consistent but not decisive for the capability account, and it shows capital constraints contributing for genuinely underfunded operators.</w:t>
      </w:r>
    </w:p>
    <w:p>
      <w:pPr>
        <w:pStyle w:val="BodyText"/>
      </w:pPr>
      <w:r>
        <w:t xml:space="preserve">The marginal field program shows that the pattern the divestment cases display, asset transfer to capability-unassessed indigenous operators followed by widespread underperformance, appears under a second mechanism that stands apart from the Shell seller. The cross-case synthesis now consolidates the verdicts across the critical experiment, the replications, and this precedent, and turns to the substitutability and externality conditions that bear on the third research question (Section 4.7).</w:t>
      </w:r>
    </w:p>
    <w:bookmarkEnd w:id="39"/>
    <w:bookmarkStart w:id="43" w:name="cross-case-synthesis-and-discrimination"/>
    <w:p>
      <w:pPr>
        <w:pStyle w:val="Heading2"/>
      </w:pPr>
      <w:r>
        <w:t xml:space="preserve">4.7 Cross-Case Synthesis and Discrimination</w:t>
      </w:r>
    </w:p>
    <w:p>
      <w:pPr>
        <w:pStyle w:val="FirstParagraph"/>
      </w:pPr>
      <w:r>
        <w:t xml:space="preserve">Across the critical experiment (Aiteo), the partial replication (Eroton), the regulatory-screening case (First Hydrocarbon), the three theoretical replications (Seplat, the OML 30 operatorship, and NPDC), and the structural precedent (the marginal field program), the five explanations have been tested case by case. Together, the cases support a single verdict on each explanation, and three of the five survive in a form that requires discrimination. The core divestment cases share broadly comparable pre-PIA institutional conditions and asset type, so comparison across those operators isolates knowledge inheritance, while the marginal-field and non-Shell cases test whether the pattern travels across different transfer mechanisms and sellers.</w:t>
      </w:r>
    </w:p>
    <w:bookmarkStart w:id="40" w:name="consolidated-verdicts"/>
    <w:p>
      <w:pPr>
        <w:pStyle w:val="Heading3"/>
      </w:pPr>
      <w:r>
        <w:t xml:space="preserve">4.7.1 Consolidated Verdicts</w:t>
      </w:r>
    </w:p>
    <w:p>
      <w:pPr>
        <w:pStyle w:val="FirstParagraph"/>
      </w:pPr>
      <w:r>
        <w:t xml:space="preserve">Capital availability and outcome move independently: every failed operator commanded substantial capital and funded production growth, while Seplat sustained its assets on the most modest outlay of the group, and the sector-wide cost premium falls on every operator alike (Table 4.1; Sections 4.3 to 4.5). Capital constraints are therefore rejected as sufficient for the differentiated outcomes among the adequately funded operators, and consistent but not decisive for the underfunded marginal-field cohort, where they confound with capability (Section 4.6). At Aiteo, capital was adequate but allocated away from crisis readiness when the funds were available (Table 4.5).</w:t>
      </w:r>
    </w:p>
    <w:p>
      <w:pPr>
        <w:pStyle w:val="BodyText"/>
      </w:pPr>
      <w:r>
        <w:t xml:space="preserve">Every primary transaction and the marginal-field awards closed before the Petroleum Industry Act of August 2021, so fiscal regime effects, which cannot postdate the outcomes they are said to cause, are rejected for the cases examined, reinforced by the sharp divergence among operators under identical pre-PIA terms; whether the Act shapes future transactions is left open (Table 4.1; Table 4.5).</w:t>
      </w:r>
    </w:p>
    <w:p>
      <w:pPr>
        <w:pStyle w:val="BodyText"/>
      </w:pPr>
      <w:r>
        <w:t xml:space="preserve">The identical permissive pre-2024 framework governed every operator and so cannot explain the divergence among them, leaving regulatory inadequacy as the common system-level enabling condition that permitted capability-deficient transfers at scale but is insufficient on its own to differentiate operators (Section 4.3.3). The gap is one of content rather than enforcement, which bears on the form any intervention should take; how it nests with the operator-level capability finding is developed in Section 4.7.2 (Table 4.5).</w:t>
      </w:r>
    </w:p>
    <w:p>
      <w:pPr>
        <w:pStyle w:val="BodyText"/>
      </w:pPr>
      <w:r>
        <w:t xml:space="preserve">Political connection tracks commercial survival and leaves operational integrity untouched: NPDC, connected by definition, sustained survival while posting the lowest technical efficiency of any category and a fatal integrity failure, and Rexer’s population study shows the same split of connected operators raising output even as quality declines (Section 4.5.3; Rexer, 2025). Political economy is therefore most consistent for commercial survival and insufficient on its own for operational integrity; its boundary with capability, the line between the substitutable and the non-substitutable, is drawn in Section 4.7.2 (Table 4.5).</w:t>
      </w:r>
    </w:p>
    <w:p>
      <w:pPr>
        <w:pStyle w:val="BodyText"/>
      </w:pPr>
      <w:r>
        <w:t xml:space="preserve">The positive signature for capability appears in the critical experiment and recurs across the replications: Aiteo’s selective failure in a single knowledge-intensive domain while funded production grew (the pattern capability predicts and capital leaves unexplained), the OML 30 within-asset recovery when an operator carrying inherited upstream expertise replaced the state entity, and the correlation across cases between inherited upstream depth and sustained integrity, with Eroton’s attribution bounded by the inherited evacuation constraint (Sections 4.3, 4.5.2). Every operator that handled a comparable knowledge-intensive challenge successfully carried inherited upstream capability, so capability-related factors are most consistent with the evidence for operational-integrity outcomes, on positive evidence matching capability’s own predictions and identified before any alternative was eliminated; the claim is pattern consistency under pre-specified discrimination, below experimental proof of cause, and the domain-specific character of that capability is developed in Section 4.7.2 (Table 4.5).</w:t>
      </w:r>
    </w:p>
    <w:p>
      <w:pPr>
        <w:pStyle w:val="BodyText"/>
      </w:pPr>
      <w:r>
        <w:t xml:space="preserve">The practitioner survey (Appendix F), small and drawn only from sellers, is consistent with the capability emphasis but carries little independent weight and departs from the documentary ranking. All three respondents judged that stronger capability transfer would have improved the outcome they observed and that it should condition divestment approval, two calling it mandatory, yet each ranked a different factor first, a qualification Section 4.8 takes up with the survey’s other limits.</w:t>
      </w:r>
    </w:p>
    <w:p>
      <w:pPr>
        <w:pStyle w:val="BodyText"/>
      </w:pPr>
      <w:r>
        <w:t xml:space="preserve">Coordination problems are visible in the failed cases but fall short of an independent cause: failure persisted for years, far beyond the transition gap that attends any handover, and concentrated in knowledge-intensive functions while routine ones continued, which points to coordination failing because the knowledge to coordinate was absent (Section 4.3.5). Coordination failure is thus an observable feature of the unsuccessful cases, accounted for at a deeper level by the capability gap; the persistence test does not reach the successful cases (Table 4.5).</w:t>
      </w:r>
    </w:p>
    <w:p>
      <w:pPr>
        <w:pStyle w:val="BodyText"/>
      </w:pPr>
      <w:r>
        <w:rPr>
          <w:bCs/>
          <w:b/>
        </w:rPr>
        <w:t xml:space="preserve">Table 4.5. Consolidated verdicts across the cases. After synthesis across the critical experiment, the replications, and the structural precedent, only capability-related factors are most consistent with the evidence on the operational-integrity dimension; regulatory inadequacy is the common system-level enabling condition, political economy explains the separate commercial-survival dimension, and capital, fiscal, and coordination explanations fall away as differentiating causes. Each verdict traces to its supporting evidence in the verdict traceability matrix (Appendix E).</w:t>
      </w:r>
    </w:p>
    <w:tbl>
      <w:tblPr>
        <w:tblW w:type="auto" w:w="0"/>
        <w:tblLook w:firstColumn="1" w:firstRow="1" w:lastColumn="0" w:lastRow="0" w:noHBand="0" w:noVBand="1" w:val="04A0"/>
        <w:tblLayout w:type="fixed"/>
        <w:tblW w:type="dxa" w:w="8640"/>
      </w:tblPr>
      <w:tblGrid>
        <w:gridCol w:w="2189"/>
        <w:gridCol w:w="3225"/>
        <w:gridCol w:w="3226"/>
      </w:tblGrid>
      <w:tr>
        <w:tc>
          <w:tcPr>
            <w:tcW w:type="dxa" w:w="2880"/>
            <w:tcW w:type="dxa" w:w="2189"/>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880"/>
            <w:tcW w:type="dxa" w:w="3225"/>
            <w:tcBorders>
              <w:left w:val="nil"/>
              <w:right w:val="nil"/>
              <w:top w:val="single" w:sz="8" w:space="0" w:color="000000"/>
              <w:bottom w:val="single" w:sz="4" w:space="0" w:color="000000"/>
            </w:tcBorders>
          </w:tcPr>
          <w:p>
            <w:pPr>
              <w:spacing w:before="40" w:after="40" w:line="240" w:lineRule="auto"/>
            </w:pPr>
            <w:r>
              <w:rPr>
                <w:b/>
                <w:sz w:val="18"/>
              </w:rPr>
              <w:t>Cross-case verdict</w:t>
            </w:r>
          </w:p>
        </w:tc>
        <w:tc>
          <w:tcPr>
            <w:tcW w:type="dxa" w:w="2880"/>
            <w:tcW w:type="dxa" w:w="3226"/>
            <w:tcBorders>
              <w:left w:val="nil"/>
              <w:right w:val="nil"/>
              <w:top w:val="single" w:sz="8" w:space="0" w:color="000000"/>
              <w:bottom w:val="single" w:sz="4" w:space="0" w:color="000000"/>
            </w:tcBorders>
          </w:tcPr>
          <w:p>
            <w:pPr>
              <w:spacing w:before="40" w:after="40" w:line="240" w:lineRule="auto"/>
            </w:pPr>
            <w:r>
              <w:rPr>
                <w:b/>
                <w:sz w:val="18"/>
              </w:rPr>
              <w:t>Principal basis</w:t>
            </w:r>
          </w:p>
        </w:tc>
      </w:tr>
      <w:tr>
        <w:tc>
          <w:tcPr>
            <w:tcW w:type="dxa" w:w="2880"/>
            <w:tcW w:type="dxa" w:w="2189"/>
            <w:tcBorders>
              <w:left w:val="nil"/>
              <w:right w:val="nil"/>
              <w:top w:val="nil"/>
              <w:bottom w:val="nil"/>
            </w:tcBorders>
          </w:tcPr>
          <w:p>
            <w:pPr>
              <w:spacing w:before="40" w:after="40" w:line="240" w:lineRule="auto"/>
            </w:pPr>
            <w:r>
              <w:rPr>
                <w:sz w:val="18"/>
              </w:rPr>
              <w:t>Capital constraints</w:t>
            </w:r>
          </w:p>
        </w:tc>
        <w:tc>
          <w:tcPr>
            <w:tcW w:type="dxa" w:w="2880"/>
            <w:tcW w:type="dxa" w:w="3225"/>
            <w:tcBorders>
              <w:left w:val="nil"/>
              <w:right w:val="nil"/>
              <w:top w:val="nil"/>
              <w:bottom w:val="nil"/>
            </w:tcBorders>
          </w:tcPr>
          <w:p>
            <w:pPr>
              <w:spacing w:before="40" w:after="40" w:line="240" w:lineRule="auto"/>
            </w:pPr>
            <w:r>
              <w:rPr>
                <w:sz w:val="18"/>
              </w:rPr>
              <w:t>Rejected as sufficient for the funded operators; contributes for the underfunded marginal-field cohort</w:t>
            </w:r>
          </w:p>
        </w:tc>
        <w:tc>
          <w:tcPr>
            <w:tcW w:type="dxa" w:w="2880"/>
            <w:tcW w:type="dxa" w:w="3226"/>
            <w:tcBorders>
              <w:left w:val="nil"/>
              <w:right w:val="nil"/>
              <w:top w:val="nil"/>
              <w:bottom w:val="nil"/>
            </w:tcBorders>
          </w:tcPr>
          <w:p>
            <w:pPr>
              <w:spacing w:before="40" w:after="40" w:line="240" w:lineRule="auto"/>
            </w:pPr>
            <w:r>
              <w:rPr>
                <w:sz w:val="18"/>
              </w:rPr>
              <w:t>Funded growth then failure (Aiteo, Eroton); Afren collapse by fraud; Seplat success without a funding advantage; system-level cost premium</w:t>
            </w:r>
          </w:p>
        </w:tc>
      </w:tr>
      <w:tr>
        <w:tc>
          <w:tcPr>
            <w:tcW w:type="dxa" w:w="2880"/>
            <w:tcW w:type="dxa" w:w="2189"/>
            <w:tcBorders>
              <w:left w:val="nil"/>
              <w:right w:val="nil"/>
              <w:top w:val="nil"/>
              <w:bottom w:val="nil"/>
            </w:tcBorders>
          </w:tcPr>
          <w:p>
            <w:pPr>
              <w:spacing w:before="40" w:after="40" w:line="240" w:lineRule="auto"/>
            </w:pPr>
            <w:r>
              <w:rPr>
                <w:sz w:val="18"/>
              </w:rPr>
              <w:t>Fiscal regime effects</w:t>
            </w:r>
          </w:p>
        </w:tc>
        <w:tc>
          <w:tcPr>
            <w:tcW w:type="dxa" w:w="2880"/>
            <w:tcW w:type="dxa" w:w="3225"/>
            <w:tcBorders>
              <w:left w:val="nil"/>
              <w:right w:val="nil"/>
              <w:top w:val="nil"/>
              <w:bottom w:val="nil"/>
            </w:tcBorders>
          </w:tcPr>
          <w:p>
            <w:pPr>
              <w:spacing w:before="40" w:after="40" w:line="240" w:lineRule="auto"/>
            </w:pPr>
            <w:r>
              <w:rPr>
                <w:sz w:val="18"/>
              </w:rPr>
              <w:t>Rejected for the cases examined</w:t>
            </w:r>
          </w:p>
        </w:tc>
        <w:tc>
          <w:tcPr>
            <w:tcW w:type="dxa" w:w="2880"/>
            <w:tcW w:type="dxa" w:w="3226"/>
            <w:tcBorders>
              <w:left w:val="nil"/>
              <w:right w:val="nil"/>
              <w:top w:val="nil"/>
              <w:bottom w:val="nil"/>
            </w:tcBorders>
          </w:tcPr>
          <w:p>
            <w:pPr>
              <w:spacing w:before="40" w:after="40" w:line="240" w:lineRule="auto"/>
            </w:pPr>
            <w:r>
              <w:rPr>
                <w:sz w:val="18"/>
              </w:rPr>
              <w:t>All transactions predate the PIA; sharp divergence under identical pre-PIA terms</w:t>
            </w:r>
          </w:p>
        </w:tc>
      </w:tr>
      <w:tr>
        <w:tc>
          <w:tcPr>
            <w:tcW w:type="dxa" w:w="2880"/>
            <w:tcW w:type="dxa" w:w="2189"/>
            <w:tcBorders>
              <w:left w:val="nil"/>
              <w:right w:val="nil"/>
              <w:top w:val="nil"/>
              <w:bottom w:val="nil"/>
            </w:tcBorders>
          </w:tcPr>
          <w:p>
            <w:pPr>
              <w:spacing w:before="40" w:after="40" w:line="240" w:lineRule="auto"/>
            </w:pPr>
            <w:r>
              <w:rPr>
                <w:sz w:val="18"/>
              </w:rPr>
              <w:t>Regulatory inadequacy</w:t>
            </w:r>
          </w:p>
        </w:tc>
        <w:tc>
          <w:tcPr>
            <w:tcW w:type="dxa" w:w="2880"/>
            <w:tcW w:type="dxa" w:w="3225"/>
            <w:tcBorders>
              <w:left w:val="nil"/>
              <w:right w:val="nil"/>
              <w:top w:val="nil"/>
              <w:bottom w:val="nil"/>
            </w:tcBorders>
          </w:tcPr>
          <w:p>
            <w:pPr>
              <w:spacing w:before="40" w:after="40" w:line="240" w:lineRule="auto"/>
            </w:pPr>
            <w:r>
              <w:rPr>
                <w:sz w:val="18"/>
              </w:rPr>
              <w:t>The common system-level enabling condition; insufficient on its own to differentiate operators</w:t>
            </w:r>
          </w:p>
        </w:tc>
        <w:tc>
          <w:tcPr>
            <w:tcW w:type="dxa" w:w="2880"/>
            <w:tcW w:type="dxa" w:w="3226"/>
            <w:tcBorders>
              <w:left w:val="nil"/>
              <w:right w:val="nil"/>
              <w:top w:val="nil"/>
              <w:bottom w:val="nil"/>
            </w:tcBorders>
          </w:tcPr>
          <w:p>
            <w:pPr>
              <w:spacing w:before="40" w:after="40" w:line="240" w:lineRule="auto"/>
            </w:pPr>
            <w:r>
              <w:rPr>
                <w:sz w:val="18"/>
              </w:rPr>
              <w:t>Capability unscreened before 2024; identical framework for all operators; the 2024 criterion was new</w:t>
            </w:r>
          </w:p>
        </w:tc>
      </w:tr>
      <w:tr>
        <w:tc>
          <w:tcPr>
            <w:tcW w:type="dxa" w:w="2880"/>
            <w:tcW w:type="dxa" w:w="2189"/>
            <w:tcBorders>
              <w:left w:val="nil"/>
              <w:right w:val="nil"/>
              <w:top w:val="nil"/>
              <w:bottom w:val="nil"/>
            </w:tcBorders>
          </w:tcPr>
          <w:p>
            <w:pPr>
              <w:spacing w:before="40" w:after="40" w:line="240" w:lineRule="auto"/>
            </w:pPr>
            <w:r>
              <w:rPr>
                <w:sz w:val="18"/>
              </w:rPr>
              <w:t>Political economy</w:t>
            </w:r>
          </w:p>
        </w:tc>
        <w:tc>
          <w:tcPr>
            <w:tcW w:type="dxa" w:w="2880"/>
            <w:tcW w:type="dxa" w:w="3225"/>
            <w:tcBorders>
              <w:left w:val="nil"/>
              <w:right w:val="nil"/>
              <w:top w:val="nil"/>
              <w:bottom w:val="nil"/>
            </w:tcBorders>
          </w:tcPr>
          <w:p>
            <w:pPr>
              <w:spacing w:before="40" w:after="40" w:line="240" w:lineRule="auto"/>
            </w:pPr>
            <w:r>
              <w:rPr>
                <w:sz w:val="18"/>
              </w:rPr>
              <w:t>Most consistent for commercial survival and continued participation; insufficient on its own for operational-integrity outcomes</w:t>
            </w:r>
          </w:p>
        </w:tc>
        <w:tc>
          <w:tcPr>
            <w:tcW w:type="dxa" w:w="2880"/>
            <w:tcW w:type="dxa" w:w="3226"/>
            <w:tcBorders>
              <w:left w:val="nil"/>
              <w:right w:val="nil"/>
              <w:top w:val="nil"/>
              <w:bottom w:val="nil"/>
            </w:tcBorders>
          </w:tcPr>
          <w:p>
            <w:pPr>
              <w:spacing w:before="40" w:after="40" w:line="240" w:lineRule="auto"/>
            </w:pPr>
            <w:r>
              <w:rPr>
                <w:sz w:val="18"/>
              </w:rPr>
              <w:t>NPDC connection without quality; Rexer population pattern; the non-substitutability boundary; complementary to capability on operational integrity</w:t>
            </w:r>
          </w:p>
        </w:tc>
      </w:tr>
      <w:tr>
        <w:tc>
          <w:tcPr>
            <w:tcW w:type="dxa" w:w="2880"/>
            <w:tcW w:type="dxa" w:w="2189"/>
            <w:tcBorders>
              <w:left w:val="nil"/>
              <w:right w:val="nil"/>
              <w:top w:val="nil"/>
              <w:bottom w:val="nil"/>
            </w:tcBorders>
          </w:tcPr>
          <w:p>
            <w:pPr>
              <w:spacing w:before="40" w:after="40" w:line="240" w:lineRule="auto"/>
            </w:pPr>
            <w:r>
              <w:rPr>
                <w:sz w:val="18"/>
              </w:rPr>
              <w:t>Capability-related factors</w:t>
            </w:r>
          </w:p>
        </w:tc>
        <w:tc>
          <w:tcPr>
            <w:tcW w:type="dxa" w:w="2880"/>
            <w:tcW w:type="dxa" w:w="3225"/>
            <w:tcBorders>
              <w:left w:val="nil"/>
              <w:right w:val="nil"/>
              <w:top w:val="nil"/>
              <w:bottom w:val="nil"/>
            </w:tcBorders>
          </w:tcPr>
          <w:p>
            <w:pPr>
              <w:spacing w:before="40" w:after="40" w:line="240" w:lineRule="auto"/>
            </w:pPr>
            <w:r>
              <w:rPr>
                <w:sz w:val="18"/>
              </w:rPr>
              <w:t>Most consistent with the evidence for operational-integrity outcomes</w:t>
            </w:r>
          </w:p>
        </w:tc>
        <w:tc>
          <w:tcPr>
            <w:tcW w:type="dxa" w:w="2880"/>
            <w:tcW w:type="dxa" w:w="3226"/>
            <w:tcBorders>
              <w:left w:val="nil"/>
              <w:right w:val="nil"/>
              <w:top w:val="nil"/>
              <w:bottom w:val="nil"/>
            </w:tcBorders>
          </w:tcPr>
          <w:p>
            <w:pPr>
              <w:spacing w:before="40" w:after="40" w:line="240" w:lineRule="auto"/>
            </w:pPr>
            <w:r>
              <w:rPr>
                <w:sz w:val="18"/>
              </w:rPr>
              <w:t>Selective failure (Aiteo); the OML 30 within-asset comparison; knowledge-inheritance correlation; positive evidence before elimination</w:t>
            </w:r>
          </w:p>
        </w:tc>
      </w:tr>
      <w:tr>
        <w:tc>
          <w:tcPr>
            <w:tcW w:type="dxa" w:w="2880"/>
            <w:tcW w:type="dxa" w:w="2189"/>
            <w:tcBorders>
              <w:left w:val="nil"/>
              <w:right w:val="nil"/>
              <w:top w:val="nil"/>
              <w:bottom w:val="single" w:sz="8" w:space="0" w:color="000000"/>
            </w:tcBorders>
          </w:tcPr>
          <w:p>
            <w:pPr>
              <w:spacing w:before="40" w:after="40" w:line="240" w:lineRule="auto"/>
            </w:pPr>
            <w:r>
              <w:rPr>
                <w:sz w:val="18"/>
              </w:rPr>
              <w:t>Coordination failure</w:t>
            </w:r>
          </w:p>
        </w:tc>
        <w:tc>
          <w:tcPr>
            <w:tcW w:type="dxa" w:w="2880"/>
            <w:tcW w:type="dxa" w:w="3225"/>
            <w:tcBorders>
              <w:left w:val="nil"/>
              <w:right w:val="nil"/>
              <w:top w:val="nil"/>
              <w:bottom w:val="single" w:sz="8" w:space="0" w:color="000000"/>
            </w:tcBorders>
          </w:tcPr>
          <w:p>
            <w:pPr>
              <w:spacing w:before="40" w:after="40" w:line="240" w:lineRule="auto"/>
            </w:pPr>
            <w:r>
              <w:rPr>
                <w:sz w:val="18"/>
              </w:rPr>
              <w:t>Rejected as independently caused; an observable feature of the unsuccessful cases</w:t>
            </w:r>
          </w:p>
        </w:tc>
        <w:tc>
          <w:tcPr>
            <w:tcW w:type="dxa" w:w="2880"/>
            <w:tcW w:type="dxa" w:w="3226"/>
            <w:tcBorders>
              <w:left w:val="nil"/>
              <w:right w:val="nil"/>
              <w:top w:val="nil"/>
              <w:bottom w:val="single" w:sz="8" w:space="0" w:color="000000"/>
            </w:tcBorders>
          </w:tcPr>
          <w:p>
            <w:pPr>
              <w:spacing w:before="40" w:after="40" w:line="240" w:lineRule="auto"/>
            </w:pPr>
            <w:r>
              <w:rPr>
                <w:sz w:val="18"/>
              </w:rPr>
              <w:t>Persistence of six to fifteen years with domain-specific failures; the successful cases fall outside the test</w:t>
            </w:r>
          </w:p>
        </w:tc>
      </w:tr>
    </w:tbl>
    <w:bookmarkEnd w:id="40"/>
    <w:bookmarkStart w:id="41" w:name="X1c528c98093b40154021a674fb9ce8bb3eeada0"/>
    <w:p>
      <w:pPr>
        <w:pStyle w:val="Heading3"/>
      </w:pPr>
      <w:r>
        <w:t xml:space="preserve">4.7.2 Discrimination Among the Surviving Explanations</w:t>
      </w:r>
    </w:p>
    <w:p>
      <w:pPr>
        <w:pStyle w:val="FirstParagraph"/>
      </w:pPr>
      <w:r>
        <w:t xml:space="preserve">Three explanations survive the falsification sequence: regulatory inadequacy, political economy, and capability-related factors. Across the formal cases, sustained production and integrity outcomes align more closely with demonstrated upstream operating capability than with capital, fiscal regime, or regulatory exposure alone. Each surviving explanation addresses a different outcome, and discriminating among them is a matter of identifying which dimension each governs.</w:t>
      </w:r>
    </w:p>
    <w:p>
      <w:pPr>
        <w:pStyle w:val="BodyText"/>
      </w:pPr>
      <w:r>
        <w:t xml:space="preserve">Regulatory inadequacy and capability-related factors are nested, the one inside the other. The regulatory gap operates at the system level: by leaving capability unassessed, the framework permitted capability-deficient transfers to proceed, which is the condition under which an operator-level capability gap can produce a failure. Capability operates at the operator level: it explains which operators failed and which succeeded under that permissive condition. One explanation accounts for why the pattern was possible at scale; the other accounts for its distribution across operators. The system-level gap enables the operator-level outcome.</w:t>
      </w:r>
    </w:p>
    <w:p>
      <w:pPr>
        <w:pStyle w:val="BodyText"/>
      </w:pPr>
      <w:r>
        <w:t xml:space="preserve">Political economy and capability-related factors survive on different outcome dimensions. The two dimensions move independently, commercial and production viability on one side and operational and sociotechnical integrity on the other. Political connection explains why an operator with access stays commercially viable despite poor quality; capability explains why an operator without upstream knowledge fails in the crisis domains. The boundary between the two explanations is the boundary between the substitutable and the non-substitutable. In the potentially substitutable domains, such as exposure to organized theft, community relations, and commercial standing, connection has real purchase. In the non-substitutable domains, well control, crisis response, and equipment-specific operational practice, only capability explains the outcome. The verdict that capability is most consistent is therefore specific to the operational-integrity dimension, narrower than a single-winner claim across every dimension of performance.</w:t>
      </w:r>
    </w:p>
    <w:p>
      <w:pPr>
        <w:pStyle w:val="BodyText"/>
      </w:pPr>
      <w:r>
        <w:t xml:space="preserve">The capability that correlates with outcome is domain-specific upstream operational knowledge, narrower than general organizational competence. The operators that held integrity were led by figures who had spent careers in upstream exploration and production. They included Austin Avuru at Seplat, a wellsite geologist and reservoir engineer with three decades in the field, and the Salvic team that operated OML 30, built around a former Shell production engineer and an NNPC upstream veteran. The operators that failed on integrity were led by figures whose careers were in downstream distribution, trading, or finance. They included Benedict Peters at Aiteo, whose background was in fuel storage and petroleum trading, and Onajite Okoloko at Eroton, whose background was in business development and energy services. The pattern holds across the two dimensions, as Table 4.6 sets out. The background is read here as a mechanism-consistency indicator: it explains why a knowledge gap existed. The causal link in each case is operational and documented. At Aiteo, a well was left undecommissioned and unmonitored, the blowout contingency plan was absent, and prior spills went unremediated, against the well-integrity readiness expected for a suspended well.</w:t>
      </w:r>
    </w:p>
    <w:p>
      <w:pPr>
        <w:pStyle w:val="BodyText"/>
      </w:pPr>
      <w:r>
        <w:rPr>
          <w:bCs/>
          <w:b/>
        </w:rPr>
        <w:t xml:space="preserve">Table 4.6. Buyer background and the two outcome dimensions. Operators led by figures with upstream technical backgrounds held operational integrity, while operators led by figures with downstream or finance backgrounds maintained commercial production but failed on integrity, which locates the relevant capability as domain-specific, narrower than general.</w:t>
      </w:r>
    </w:p>
    <w:tbl>
      <w:tblPr>
        <w:tblW w:type="auto" w:w="0"/>
        <w:tblLook w:firstColumn="1" w:firstRow="1" w:lastColumn="0" w:lastRow="0" w:noHBand="0" w:noVBand="1" w:val="04A0"/>
        <w:tblLayout w:type="fixed"/>
        <w:tblW w:type="dxa" w:w="8640"/>
      </w:tblPr>
      <w:tblGrid>
        <w:gridCol w:w="1474"/>
        <w:gridCol w:w="3132"/>
        <w:gridCol w:w="1805"/>
        <w:gridCol w:w="2229"/>
      </w:tblGrid>
      <w:tr>
        <w:tc>
          <w:tcPr>
            <w:tcW w:type="dxa" w:w="2160"/>
            <w:tcW w:type="dxa" w:w="1474"/>
            <w:tcBorders>
              <w:left w:val="nil"/>
              <w:right w:val="nil"/>
              <w:top w:val="single" w:sz="8" w:space="0" w:color="000000"/>
              <w:bottom w:val="single" w:sz="4" w:space="0" w:color="000000"/>
            </w:tcBorders>
          </w:tcPr>
          <w:p>
            <w:pPr>
              <w:spacing w:before="40" w:after="40" w:line="240" w:lineRule="auto"/>
            </w:pPr>
            <w:r>
              <w:rPr>
                <w:b/>
                <w:sz w:val="18"/>
              </w:rPr>
              <w:t>Operator (lead figure)</w:t>
            </w:r>
          </w:p>
        </w:tc>
        <w:tc>
          <w:tcPr>
            <w:tcW w:type="dxa" w:w="2160"/>
            <w:tcW w:type="dxa" w:w="3132"/>
            <w:tcBorders>
              <w:left w:val="nil"/>
              <w:right w:val="nil"/>
              <w:top w:val="single" w:sz="8" w:space="0" w:color="000000"/>
              <w:bottom w:val="single" w:sz="4" w:space="0" w:color="000000"/>
            </w:tcBorders>
          </w:tcPr>
          <w:p>
            <w:pPr>
              <w:spacing w:before="40" w:after="40" w:line="240" w:lineRule="auto"/>
            </w:pPr>
            <w:r>
              <w:rPr>
                <w:b/>
                <w:sz w:val="18"/>
              </w:rPr>
              <w:t>Pre-acquisition background</w:t>
            </w:r>
          </w:p>
        </w:tc>
        <w:tc>
          <w:tcPr>
            <w:tcW w:type="dxa" w:w="2160"/>
            <w:tcW w:type="dxa" w:w="1805"/>
            <w:tcBorders>
              <w:left w:val="nil"/>
              <w:right w:val="nil"/>
              <w:top w:val="single" w:sz="8" w:space="0" w:color="000000"/>
              <w:bottom w:val="single" w:sz="4" w:space="0" w:color="000000"/>
            </w:tcBorders>
          </w:tcPr>
          <w:p>
            <w:pPr>
              <w:spacing w:before="40" w:after="40" w:line="240" w:lineRule="auto"/>
            </w:pPr>
            <w:r>
              <w:rPr>
                <w:b/>
                <w:sz w:val="18"/>
              </w:rPr>
              <w:t>Commercial viability</w:t>
            </w:r>
          </w:p>
        </w:tc>
        <w:tc>
          <w:tcPr>
            <w:tcW w:type="dxa" w:w="2160"/>
            <w:tcW w:type="dxa" w:w="2229"/>
            <w:tcBorders>
              <w:left w:val="nil"/>
              <w:right w:val="nil"/>
              <w:top w:val="single" w:sz="8" w:space="0" w:color="000000"/>
              <w:bottom w:val="single" w:sz="4" w:space="0" w:color="000000"/>
            </w:tcBorders>
          </w:tcPr>
          <w:p>
            <w:pPr>
              <w:spacing w:before="40" w:after="40" w:line="240" w:lineRule="auto"/>
            </w:pPr>
            <w:r>
              <w:rPr>
                <w:b/>
                <w:sz w:val="18"/>
              </w:rPr>
              <w:t>Operational integrity</w:t>
            </w:r>
          </w:p>
        </w:tc>
      </w:tr>
      <w:tr>
        <w:tc>
          <w:tcPr>
            <w:tcW w:type="dxa" w:w="2160"/>
            <w:tcW w:type="dxa" w:w="1474"/>
            <w:tcBorders>
              <w:left w:val="nil"/>
              <w:right w:val="nil"/>
              <w:top w:val="nil"/>
              <w:bottom w:val="nil"/>
            </w:tcBorders>
          </w:tcPr>
          <w:p>
            <w:pPr>
              <w:spacing w:before="40" w:after="40" w:line="240" w:lineRule="auto"/>
            </w:pPr>
            <w:r>
              <w:rPr>
                <w:sz w:val="18"/>
              </w:rPr>
              <w:t>Seplat (Avuru)</w:t>
            </w:r>
          </w:p>
        </w:tc>
        <w:tc>
          <w:tcPr>
            <w:tcW w:type="dxa" w:w="2160"/>
            <w:tcW w:type="dxa" w:w="3132"/>
            <w:tcBorders>
              <w:left w:val="nil"/>
              <w:right w:val="nil"/>
              <w:top w:val="nil"/>
              <w:bottom w:val="nil"/>
            </w:tcBorders>
          </w:tcPr>
          <w:p>
            <w:pPr>
              <w:spacing w:before="40" w:after="40" w:line="240" w:lineRule="auto"/>
            </w:pPr>
            <w:r>
              <w:rPr>
                <w:sz w:val="18"/>
              </w:rPr>
              <w:t>Upstream: wellsite geologist and reservoir engineer, three decades in E&amp;P</w:t>
            </w:r>
          </w:p>
        </w:tc>
        <w:tc>
          <w:tcPr>
            <w:tcW w:type="dxa" w:w="2160"/>
            <w:tcW w:type="dxa" w:w="1805"/>
            <w:tcBorders>
              <w:left w:val="nil"/>
              <w:right w:val="nil"/>
              <w:top w:val="nil"/>
              <w:bottom w:val="nil"/>
            </w:tcBorders>
          </w:tcPr>
          <w:p>
            <w:pPr>
              <w:spacing w:before="40" w:after="40" w:line="240" w:lineRule="auto"/>
            </w:pPr>
            <w:r>
              <w:rPr>
                <w:sz w:val="18"/>
              </w:rPr>
              <w:t>Sustained</w:t>
            </w:r>
          </w:p>
        </w:tc>
        <w:tc>
          <w:tcPr>
            <w:tcW w:type="dxa" w:w="2160"/>
            <w:tcW w:type="dxa" w:w="2229"/>
            <w:tcBorders>
              <w:left w:val="nil"/>
              <w:right w:val="nil"/>
              <w:top w:val="nil"/>
              <w:bottom w:val="nil"/>
            </w:tcBorders>
          </w:tcPr>
          <w:p>
            <w:pPr>
              <w:spacing w:before="40" w:after="40" w:line="240" w:lineRule="auto"/>
            </w:pPr>
            <w:r>
              <w:rPr>
                <w:sz w:val="18"/>
              </w:rPr>
              <w:t>Held; strong safety record</w:t>
            </w:r>
          </w:p>
        </w:tc>
      </w:tr>
      <w:tr>
        <w:tc>
          <w:tcPr>
            <w:tcW w:type="dxa" w:w="2160"/>
            <w:tcW w:type="dxa" w:w="1474"/>
            <w:tcBorders>
              <w:left w:val="nil"/>
              <w:right w:val="nil"/>
              <w:top w:val="nil"/>
              <w:bottom w:val="nil"/>
            </w:tcBorders>
          </w:tcPr>
          <w:p>
            <w:pPr>
              <w:spacing w:before="40" w:after="40" w:line="240" w:lineRule="auto"/>
            </w:pPr>
            <w:r>
              <w:rPr>
                <w:sz w:val="18"/>
              </w:rPr>
              <w:t>Shoreline / HEOSL, OML 30 (Salvic team)</w:t>
            </w:r>
          </w:p>
        </w:tc>
        <w:tc>
          <w:tcPr>
            <w:tcW w:type="dxa" w:w="2160"/>
            <w:tcW w:type="dxa" w:w="3132"/>
            <w:tcBorders>
              <w:left w:val="nil"/>
              <w:right w:val="nil"/>
              <w:top w:val="nil"/>
              <w:bottom w:val="nil"/>
            </w:tcBorders>
          </w:tcPr>
          <w:p>
            <w:pPr>
              <w:spacing w:before="40" w:after="40" w:line="240" w:lineRule="auto"/>
            </w:pPr>
            <w:r>
              <w:rPr>
                <w:sz w:val="18"/>
              </w:rPr>
              <w:t>Upstream: former Shell production engineer, NNPC upstream veteran</w:t>
            </w:r>
          </w:p>
        </w:tc>
        <w:tc>
          <w:tcPr>
            <w:tcW w:type="dxa" w:w="2160"/>
            <w:tcW w:type="dxa" w:w="1805"/>
            <w:tcBorders>
              <w:left w:val="nil"/>
              <w:right w:val="nil"/>
              <w:top w:val="nil"/>
              <w:bottom w:val="nil"/>
            </w:tcBorders>
          </w:tcPr>
          <w:p>
            <w:pPr>
              <w:spacing w:before="40" w:after="40" w:line="240" w:lineRule="auto"/>
            </w:pPr>
            <w:r>
              <w:rPr>
                <w:sz w:val="18"/>
              </w:rPr>
              <w:t>Recovered from a trough</w:t>
            </w:r>
          </w:p>
        </w:tc>
        <w:tc>
          <w:tcPr>
            <w:tcW w:type="dxa" w:w="2160"/>
            <w:tcW w:type="dxa" w:w="2229"/>
            <w:tcBorders>
              <w:left w:val="nil"/>
              <w:right w:val="nil"/>
              <w:top w:val="nil"/>
              <w:bottom w:val="nil"/>
            </w:tcBorders>
          </w:tcPr>
          <w:p>
            <w:pPr>
              <w:spacing w:before="40" w:after="40" w:line="240" w:lineRule="auto"/>
            </w:pPr>
            <w:r>
              <w:rPr>
                <w:sz w:val="18"/>
              </w:rPr>
              <w:t>Clear of major incidents in the record surveyed (weak positive evidence)</w:t>
            </w:r>
          </w:p>
        </w:tc>
      </w:tr>
      <w:tr>
        <w:tc>
          <w:tcPr>
            <w:tcW w:type="dxa" w:w="2160"/>
            <w:tcW w:type="dxa" w:w="1474"/>
            <w:tcBorders>
              <w:left w:val="nil"/>
              <w:right w:val="nil"/>
              <w:top w:val="nil"/>
              <w:bottom w:val="nil"/>
            </w:tcBorders>
          </w:tcPr>
          <w:p>
            <w:pPr>
              <w:spacing w:before="40" w:after="40" w:line="240" w:lineRule="auto"/>
            </w:pPr>
            <w:r>
              <w:rPr>
                <w:sz w:val="18"/>
              </w:rPr>
              <w:t>Aiteo (Peters)</w:t>
            </w:r>
          </w:p>
        </w:tc>
        <w:tc>
          <w:tcPr>
            <w:tcW w:type="dxa" w:w="2160"/>
            <w:tcW w:type="dxa" w:w="3132"/>
            <w:tcBorders>
              <w:left w:val="nil"/>
              <w:right w:val="nil"/>
              <w:top w:val="nil"/>
              <w:bottom w:val="nil"/>
            </w:tcBorders>
          </w:tcPr>
          <w:p>
            <w:pPr>
              <w:spacing w:before="40" w:after="40" w:line="240" w:lineRule="auto"/>
            </w:pPr>
            <w:r>
              <w:rPr>
                <w:sz w:val="18"/>
              </w:rPr>
              <w:t>Downstream: fuel storage and petroleum trading</w:t>
            </w:r>
          </w:p>
        </w:tc>
        <w:tc>
          <w:tcPr>
            <w:tcW w:type="dxa" w:w="2160"/>
            <w:tcW w:type="dxa" w:w="1805"/>
            <w:tcBorders>
              <w:left w:val="nil"/>
              <w:right w:val="nil"/>
              <w:top w:val="nil"/>
              <w:bottom w:val="nil"/>
            </w:tcBorders>
          </w:tcPr>
          <w:p>
            <w:pPr>
              <w:spacing w:before="40" w:after="40" w:line="240" w:lineRule="auto"/>
            </w:pPr>
            <w:r>
              <w:rPr>
                <w:sz w:val="18"/>
              </w:rPr>
              <w:t>Grew, then declined</w:t>
            </w:r>
          </w:p>
        </w:tc>
        <w:tc>
          <w:tcPr>
            <w:tcW w:type="dxa" w:w="2160"/>
            <w:tcW w:type="dxa" w:w="2229"/>
            <w:tcBorders>
              <w:left w:val="nil"/>
              <w:right w:val="nil"/>
              <w:top w:val="nil"/>
              <w:bottom w:val="nil"/>
            </w:tcBorders>
          </w:tcPr>
          <w:p>
            <w:pPr>
              <w:spacing w:before="40" w:after="40" w:line="240" w:lineRule="auto"/>
            </w:pPr>
            <w:r>
              <w:rPr>
                <w:sz w:val="18"/>
              </w:rPr>
              <w:t>Failed; blowout and unremediated spills</w:t>
            </w:r>
          </w:p>
        </w:tc>
      </w:tr>
      <w:tr>
        <w:tc>
          <w:tcPr>
            <w:tcW w:type="dxa" w:w="2160"/>
            <w:tcW w:type="dxa" w:w="1474"/>
            <w:tcBorders>
              <w:left w:val="nil"/>
              <w:right w:val="nil"/>
              <w:top w:val="nil"/>
              <w:bottom w:val="nil"/>
            </w:tcBorders>
          </w:tcPr>
          <w:p>
            <w:pPr>
              <w:spacing w:before="40" w:after="40" w:line="240" w:lineRule="auto"/>
            </w:pPr>
            <w:r>
              <w:rPr>
                <w:sz w:val="18"/>
              </w:rPr>
              <w:t>Eroton (Okoloko)</w:t>
            </w:r>
          </w:p>
        </w:tc>
        <w:tc>
          <w:tcPr>
            <w:tcW w:type="dxa" w:w="2160"/>
            <w:tcW w:type="dxa" w:w="3132"/>
            <w:tcBorders>
              <w:left w:val="nil"/>
              <w:right w:val="nil"/>
              <w:top w:val="nil"/>
              <w:bottom w:val="nil"/>
            </w:tcBorders>
          </w:tcPr>
          <w:p>
            <w:pPr>
              <w:spacing w:before="40" w:after="40" w:line="240" w:lineRule="auto"/>
            </w:pPr>
            <w:r>
              <w:rPr>
                <w:sz w:val="18"/>
              </w:rPr>
              <w:t>Finance and business development; energy services</w:t>
            </w:r>
          </w:p>
        </w:tc>
        <w:tc>
          <w:tcPr>
            <w:tcW w:type="dxa" w:w="2160"/>
            <w:tcW w:type="dxa" w:w="1805"/>
            <w:tcBorders>
              <w:left w:val="nil"/>
              <w:right w:val="nil"/>
              <w:top w:val="nil"/>
              <w:bottom w:val="nil"/>
            </w:tcBorders>
          </w:tcPr>
          <w:p>
            <w:pPr>
              <w:spacing w:before="40" w:after="40" w:line="240" w:lineRule="auto"/>
            </w:pPr>
            <w:r>
              <w:rPr>
                <w:sz w:val="18"/>
              </w:rPr>
              <w:t>Grew, then collapsed</w:t>
            </w:r>
          </w:p>
        </w:tc>
        <w:tc>
          <w:tcPr>
            <w:tcW w:type="dxa" w:w="2160"/>
            <w:tcW w:type="dxa" w:w="2229"/>
            <w:tcBorders>
              <w:left w:val="nil"/>
              <w:right w:val="nil"/>
              <w:top w:val="nil"/>
              <w:bottom w:val="nil"/>
            </w:tcBorders>
          </w:tcPr>
          <w:p>
            <w:pPr>
              <w:spacing w:before="40" w:after="40" w:line="240" w:lineRule="auto"/>
            </w:pPr>
            <w:r>
              <w:rPr>
                <w:sz w:val="18"/>
              </w:rPr>
              <w:t>Weak; governance and delivery failure</w:t>
            </w:r>
          </w:p>
        </w:tc>
      </w:tr>
      <w:tr>
        <w:tc>
          <w:tcPr>
            <w:tcW w:type="dxa" w:w="2160"/>
            <w:tcW w:type="dxa" w:w="1474"/>
            <w:tcBorders>
              <w:left w:val="nil"/>
              <w:right w:val="nil"/>
              <w:top w:val="nil"/>
              <w:bottom w:val="single" w:sz="8" w:space="0" w:color="000000"/>
            </w:tcBorders>
          </w:tcPr>
          <w:p>
            <w:pPr>
              <w:spacing w:before="40" w:after="40" w:line="240" w:lineRule="auto"/>
            </w:pPr>
            <w:r>
              <w:rPr>
                <w:sz w:val="18"/>
              </w:rPr>
              <w:t>NPDC (state entity)</w:t>
            </w:r>
          </w:p>
        </w:tc>
        <w:tc>
          <w:tcPr>
            <w:tcW w:type="dxa" w:w="2160"/>
            <w:tcW w:type="dxa" w:w="3132"/>
            <w:tcBorders>
              <w:left w:val="nil"/>
              <w:right w:val="nil"/>
              <w:top w:val="nil"/>
              <w:bottom w:val="single" w:sz="8" w:space="0" w:color="000000"/>
            </w:tcBorders>
          </w:tcPr>
          <w:p>
            <w:pPr>
              <w:spacing w:before="40" w:after="40" w:line="240" w:lineRule="auto"/>
            </w:pPr>
            <w:r>
              <w:rPr>
                <w:sz w:val="18"/>
              </w:rPr>
              <w:t>Government E&amp;P; political access; institutional upstream history, short of an embedded capability-development pathway</w:t>
            </w:r>
          </w:p>
        </w:tc>
        <w:tc>
          <w:tcPr>
            <w:tcW w:type="dxa" w:w="2160"/>
            <w:tcW w:type="dxa" w:w="1805"/>
            <w:tcBorders>
              <w:left w:val="nil"/>
              <w:right w:val="nil"/>
              <w:top w:val="nil"/>
              <w:bottom w:val="single" w:sz="8" w:space="0" w:color="000000"/>
            </w:tcBorders>
          </w:tcPr>
          <w:p>
            <w:pPr>
              <w:spacing w:before="40" w:after="40" w:line="240" w:lineRule="auto"/>
            </w:pPr>
            <w:r>
              <w:rPr>
                <w:sz w:val="18"/>
              </w:rPr>
              <w:t>Underperformed against target</w:t>
            </w:r>
          </w:p>
        </w:tc>
        <w:tc>
          <w:tcPr>
            <w:tcW w:type="dxa" w:w="2160"/>
            <w:tcW w:type="dxa" w:w="2229"/>
            <w:tcBorders>
              <w:left w:val="nil"/>
              <w:right w:val="nil"/>
              <w:top w:val="nil"/>
              <w:bottom w:val="single" w:sz="8" w:space="0" w:color="000000"/>
            </w:tcBorders>
          </w:tcPr>
          <w:p>
            <w:pPr>
              <w:spacing w:before="40" w:after="40" w:line="240" w:lineRule="auto"/>
            </w:pPr>
            <w:r>
              <w:rPr>
                <w:sz w:val="18"/>
              </w:rPr>
              <w:t>Weak; valve-station fatalities, lowest efficiency</w:t>
            </w:r>
          </w:p>
        </w:tc>
      </w:tr>
    </w:tbl>
    <w:p>
      <w:pPr>
        <w:pStyle w:val="BodyText"/>
      </w:pPr>
      <w:r>
        <w:t xml:space="preserve">The pattern holds beyond Shell-divested assets. Three transactions with different sellers test whether it is an artifact of Shell’s divestment practice. Seplat’s 2024 acquisition of Mobil Producing Nigeria from ExxonMobil placed a producing asset from a different international seller in the hands of an operator with demonstrated upstream capability. The integration reported full-year 2025 output near 131,500 barrels of oil equivalent per day (Seplat Energy, 2026), consistent with the proposition that an upstream-capable buyer succeeds regardless of who sold the asset. Oando, led by a principal whose background lies in law and trading, acquired ConocoPhillips’ Nigerian interests in 2014 and Eni’s Nigerian Agip Oil Company a decade later, and encountered governance difficulties across that period, including a Nigerian securities investigation and a Deloitte forensic audit. The Oando interests were largely non-operating, with the joint-venture assets operated by others, so the case bears on seller identity and governance, and it enters as a seller-independence check, one the analysis does not carry through the full decision sequence. Seplat’s integration points the same way as the primary cases on the operational-capability dimension. The Oando experience is weaker on that dimension, because the interests were largely non-operating, but it is consistent with the broader point that post-transfer governance and performance turn on more than seller identity alone.</w:t>
      </w:r>
    </w:p>
    <w:bookmarkEnd w:id="41"/>
    <w:bookmarkStart w:id="42" w:name="Xe558a5a57116c18da3f24aae02dae102f746aac"/>
    <w:p>
      <w:pPr>
        <w:pStyle w:val="Heading3"/>
      </w:pPr>
      <w:r>
        <w:t xml:space="preserve">4.7.3 Substitutability and the Distribution of Failure Costs</w:t>
      </w:r>
    </w:p>
    <w:p>
      <w:pPr>
        <w:pStyle w:val="FirstParagraph"/>
      </w:pPr>
      <w:r>
        <w:t xml:space="preserve">The question the theoretical foundation left open is whether financial resources and better management can replicate embedded capability within the timeframes that matter operationally. The cases weigh against it. In the terms of Chapter 2 (Section 2.2), each transaction moved the technical subsystem, the wells and facilities, but not the social subsystem that ran it, and the cases show that the operating organization is not quickly reconstituted through capital and time alone. Aiteo had six years and demonstrable funding and still failed in the crisis domain. NPDC has operated with institutional backing for decades and posts the lowest technical efficiency of any operator category. Much of the marginal-field cohort held assets for fifteen years or more without developing them. Across all three, time and money proved unable to reconstitute operational capability. The successful cases leave the substitution claim untouched. Seplat and the HEOSL operatorship carried capability from the start, through an experienced founding team and an indigenous technical operator. The Renaissance transaction, which structured capability preservation into the deal, shows that such a design is commercially feasible and shows early signs of operational continuity, though with limited post-transfer history it is a design contrast, short of outcome evidence. The evidence across Aiteo, NPDC, and the marginal fields indicates that embedded capability remained an incomplete substitute within operationally relevant timeframes.</w:t>
      </w:r>
    </w:p>
    <w:p>
      <w:pPr>
        <w:pStyle w:val="BodyText"/>
      </w:pPr>
      <w:r>
        <w:rPr>
          <w:bCs/>
          <w:b/>
        </w:rPr>
        <w:t xml:space="preserve">Table 4.7. Where political access and capital can substitute for operating capability, and where the cases show they cannot. Connections and funding reduced theft exposure, eased community friction, and sustained commercial survival in the record, while well control, crisis response, and equipment-specific expertise were the domains in which the most serious failures fell.</w:t>
      </w:r>
    </w:p>
    <w:tbl>
      <w:tblPr>
        <w:tblW w:type="auto" w:w="0"/>
        <w:tblLook w:firstColumn="1" w:firstRow="1" w:lastColumn="0" w:lastRow="0" w:noHBand="0" w:noVBand="1" w:val="04A0"/>
        <w:tblLayout w:type="fixed"/>
        <w:tblW w:type="dxa" w:w="8640"/>
      </w:tblPr>
      <w:tblGrid>
        <w:gridCol w:w="2550"/>
        <w:gridCol w:w="2543"/>
        <w:gridCol w:w="3547"/>
      </w:tblGrid>
      <w:tr>
        <w:tc>
          <w:tcPr>
            <w:tcW w:type="dxa" w:w="2880"/>
            <w:tcW w:type="dxa" w:w="2550"/>
            <w:tcBorders>
              <w:left w:val="nil"/>
              <w:right w:val="nil"/>
              <w:top w:val="single" w:sz="8" w:space="0" w:color="000000"/>
              <w:bottom w:val="single" w:sz="4" w:space="0" w:color="000000"/>
            </w:tcBorders>
          </w:tcPr>
          <w:p>
            <w:pPr>
              <w:spacing w:before="40" w:after="40" w:line="240" w:lineRule="auto"/>
            </w:pPr>
            <w:r>
              <w:rPr>
                <w:b/>
                <w:sz w:val="18"/>
              </w:rPr>
              <w:t>Domain</w:t>
            </w:r>
          </w:p>
        </w:tc>
        <w:tc>
          <w:tcPr>
            <w:tcW w:type="dxa" w:w="2880"/>
            <w:tcW w:type="dxa" w:w="2543"/>
            <w:tcBorders>
              <w:left w:val="nil"/>
              <w:right w:val="nil"/>
              <w:top w:val="single" w:sz="8" w:space="0" w:color="000000"/>
              <w:bottom w:val="single" w:sz="4" w:space="0" w:color="000000"/>
            </w:tcBorders>
          </w:tcPr>
          <w:p>
            <w:pPr>
              <w:spacing w:before="40" w:after="40" w:line="240" w:lineRule="auto"/>
            </w:pPr>
            <w:r>
              <w:rPr>
                <w:b/>
                <w:sz w:val="18"/>
              </w:rPr>
              <w:t>Substitutable by political access or capital?</w:t>
            </w:r>
          </w:p>
        </w:tc>
        <w:tc>
          <w:tcPr>
            <w:tcW w:type="dxa" w:w="2880"/>
            <w:tcW w:type="dxa" w:w="3547"/>
            <w:tcBorders>
              <w:left w:val="nil"/>
              <w:right w:val="nil"/>
              <w:top w:val="single" w:sz="8" w:space="0" w:color="000000"/>
              <w:bottom w:val="single" w:sz="4" w:space="0" w:color="000000"/>
            </w:tcBorders>
          </w:tcPr>
          <w:p>
            <w:pPr>
              <w:spacing w:before="40" w:after="40" w:line="240" w:lineRule="auto"/>
            </w:pPr>
            <w:r>
              <w:rPr>
                <w:b/>
                <w:sz w:val="18"/>
              </w:rPr>
              <w:t>Evidence in the cases</w:t>
            </w:r>
          </w:p>
        </w:tc>
      </w:tr>
      <w:tr>
        <w:tc>
          <w:tcPr>
            <w:tcW w:type="dxa" w:w="2880"/>
            <w:tcW w:type="dxa" w:w="2550"/>
            <w:tcBorders>
              <w:left w:val="nil"/>
              <w:right w:val="nil"/>
              <w:top w:val="nil"/>
              <w:bottom w:val="nil"/>
            </w:tcBorders>
          </w:tcPr>
          <w:p>
            <w:pPr>
              <w:spacing w:before="40" w:after="40" w:line="240" w:lineRule="auto"/>
            </w:pPr>
            <w:r>
              <w:rPr>
                <w:sz w:val="18"/>
              </w:rPr>
              <w:t>Oil theft exposure</w:t>
            </w:r>
          </w:p>
        </w:tc>
        <w:tc>
          <w:tcPr>
            <w:tcW w:type="dxa" w:w="2880"/>
            <w:tcW w:type="dxa" w:w="2543"/>
            <w:tcBorders>
              <w:left w:val="nil"/>
              <w:right w:val="nil"/>
              <w:top w:val="nil"/>
              <w:bottom w:val="nil"/>
            </w:tcBorders>
          </w:tcPr>
          <w:p>
            <w:pPr>
              <w:spacing w:before="40" w:after="40" w:line="240" w:lineRule="auto"/>
            </w:pPr>
            <w:r>
              <w:rPr>
                <w:sz w:val="18"/>
              </w:rPr>
              <w:t>Yes</w:t>
            </w:r>
          </w:p>
        </w:tc>
        <w:tc>
          <w:tcPr>
            <w:tcW w:type="dxa" w:w="2880"/>
            <w:tcW w:type="dxa" w:w="3547"/>
            <w:tcBorders>
              <w:left w:val="nil"/>
              <w:right w:val="nil"/>
              <w:top w:val="nil"/>
              <w:bottom w:val="nil"/>
            </w:tcBorders>
          </w:tcPr>
          <w:p>
            <w:pPr>
              <w:spacing w:before="40" w:after="40" w:line="240" w:lineRule="auto"/>
            </w:pPr>
            <w:r>
              <w:rPr>
                <w:sz w:val="18"/>
              </w:rPr>
              <w:t>Rexer (2025): political connections reduce theft losses</w:t>
            </w:r>
          </w:p>
        </w:tc>
      </w:tr>
      <w:tr>
        <w:tc>
          <w:tcPr>
            <w:tcW w:type="dxa" w:w="2880"/>
            <w:tcW w:type="dxa" w:w="2550"/>
            <w:tcBorders>
              <w:left w:val="nil"/>
              <w:right w:val="nil"/>
              <w:top w:val="nil"/>
              <w:bottom w:val="nil"/>
            </w:tcBorders>
          </w:tcPr>
          <w:p>
            <w:pPr>
              <w:spacing w:before="40" w:after="40" w:line="240" w:lineRule="auto"/>
            </w:pPr>
            <w:r>
              <w:rPr>
                <w:sz w:val="18"/>
              </w:rPr>
              <w:t>Community relations</w:t>
            </w:r>
          </w:p>
        </w:tc>
        <w:tc>
          <w:tcPr>
            <w:tcW w:type="dxa" w:w="2880"/>
            <w:tcW w:type="dxa" w:w="2543"/>
            <w:tcBorders>
              <w:left w:val="nil"/>
              <w:right w:val="nil"/>
              <w:top w:val="nil"/>
              <w:bottom w:val="nil"/>
            </w:tcBorders>
          </w:tcPr>
          <w:p>
            <w:pPr>
              <w:spacing w:before="40" w:after="40" w:line="240" w:lineRule="auto"/>
            </w:pPr>
            <w:r>
              <w:rPr>
                <w:sz w:val="18"/>
              </w:rPr>
              <w:t>Partly</w:t>
            </w:r>
          </w:p>
        </w:tc>
        <w:tc>
          <w:tcPr>
            <w:tcW w:type="dxa" w:w="2880"/>
            <w:tcW w:type="dxa" w:w="3547"/>
            <w:tcBorders>
              <w:left w:val="nil"/>
              <w:right w:val="nil"/>
              <w:top w:val="nil"/>
              <w:bottom w:val="nil"/>
            </w:tcBorders>
          </w:tcPr>
          <w:p>
            <w:pPr>
              <w:spacing w:before="40" w:after="40" w:line="240" w:lineRule="auto"/>
            </w:pPr>
            <w:r>
              <w:rPr>
                <w:sz w:val="18"/>
              </w:rPr>
              <w:t>Elite mediation eased friction in several cases</w:t>
            </w:r>
          </w:p>
        </w:tc>
      </w:tr>
      <w:tr>
        <w:tc>
          <w:tcPr>
            <w:tcW w:type="dxa" w:w="2880"/>
            <w:tcW w:type="dxa" w:w="2550"/>
            <w:tcBorders>
              <w:left w:val="nil"/>
              <w:right w:val="nil"/>
              <w:top w:val="nil"/>
              <w:bottom w:val="nil"/>
            </w:tcBorders>
          </w:tcPr>
          <w:p>
            <w:pPr>
              <w:spacing w:before="40" w:after="40" w:line="240" w:lineRule="auto"/>
            </w:pPr>
            <w:r>
              <w:rPr>
                <w:sz w:val="18"/>
              </w:rPr>
              <w:t>Commercial survival</w:t>
            </w:r>
          </w:p>
        </w:tc>
        <w:tc>
          <w:tcPr>
            <w:tcW w:type="dxa" w:w="2880"/>
            <w:tcW w:type="dxa" w:w="2543"/>
            <w:tcBorders>
              <w:left w:val="nil"/>
              <w:right w:val="nil"/>
              <w:top w:val="nil"/>
              <w:bottom w:val="nil"/>
            </w:tcBorders>
          </w:tcPr>
          <w:p>
            <w:pPr>
              <w:spacing w:before="40" w:after="40" w:line="240" w:lineRule="auto"/>
            </w:pPr>
            <w:r>
              <w:rPr>
                <w:sz w:val="18"/>
              </w:rPr>
              <w:t>Yes</w:t>
            </w:r>
          </w:p>
        </w:tc>
        <w:tc>
          <w:tcPr>
            <w:tcW w:type="dxa" w:w="2880"/>
            <w:tcW w:type="dxa" w:w="3547"/>
            <w:tcBorders>
              <w:left w:val="nil"/>
              <w:right w:val="nil"/>
              <w:top w:val="nil"/>
              <w:bottom w:val="nil"/>
            </w:tcBorders>
          </w:tcPr>
          <w:p>
            <w:pPr>
              <w:spacing w:before="40" w:after="40" w:line="240" w:lineRule="auto"/>
            </w:pPr>
            <w:r>
              <w:rPr>
                <w:sz w:val="18"/>
              </w:rPr>
              <w:t>NPDC operated for decades at the lowest technical efficiency of any operator category</w:t>
            </w:r>
          </w:p>
        </w:tc>
      </w:tr>
      <w:tr>
        <w:tc>
          <w:tcPr>
            <w:tcW w:type="dxa" w:w="2880"/>
            <w:tcW w:type="dxa" w:w="2550"/>
            <w:tcBorders>
              <w:left w:val="nil"/>
              <w:right w:val="nil"/>
              <w:top w:val="nil"/>
              <w:bottom w:val="nil"/>
            </w:tcBorders>
          </w:tcPr>
          <w:p>
            <w:pPr>
              <w:spacing w:before="40" w:after="40" w:line="240" w:lineRule="auto"/>
            </w:pPr>
            <w:r>
              <w:rPr>
                <w:sz w:val="18"/>
              </w:rPr>
              <w:t>Well control</w:t>
            </w:r>
          </w:p>
        </w:tc>
        <w:tc>
          <w:tcPr>
            <w:tcW w:type="dxa" w:w="2880"/>
            <w:tcW w:type="dxa" w:w="2543"/>
            <w:tcBorders>
              <w:left w:val="nil"/>
              <w:right w:val="nil"/>
              <w:top w:val="nil"/>
              <w:bottom w:val="nil"/>
            </w:tcBorders>
          </w:tcPr>
          <w:p>
            <w:pPr>
              <w:spacing w:before="40" w:after="40" w:line="240" w:lineRule="auto"/>
            </w:pPr>
            <w:r>
              <w:rPr>
                <w:sz w:val="18"/>
              </w:rPr>
              <w:t>No</w:t>
            </w:r>
          </w:p>
        </w:tc>
        <w:tc>
          <w:tcPr>
            <w:tcW w:type="dxa" w:w="2880"/>
            <w:tcW w:type="dxa" w:w="3547"/>
            <w:tcBorders>
              <w:left w:val="nil"/>
              <w:right w:val="nil"/>
              <w:top w:val="nil"/>
              <w:bottom w:val="nil"/>
            </w:tcBorders>
          </w:tcPr>
          <w:p>
            <w:pPr>
              <w:spacing w:before="40" w:after="40" w:line="240" w:lineRule="auto"/>
            </w:pPr>
            <w:r>
              <w:rPr>
                <w:sz w:val="18"/>
              </w:rPr>
              <w:t>Santa Barbara blowout on OML 29, uncontrolled for 33 days</w:t>
            </w:r>
          </w:p>
        </w:tc>
      </w:tr>
      <w:tr>
        <w:tc>
          <w:tcPr>
            <w:tcW w:type="dxa" w:w="2880"/>
            <w:tcW w:type="dxa" w:w="2550"/>
            <w:tcBorders>
              <w:left w:val="nil"/>
              <w:right w:val="nil"/>
              <w:top w:val="nil"/>
              <w:bottom w:val="nil"/>
            </w:tcBorders>
          </w:tcPr>
          <w:p>
            <w:pPr>
              <w:spacing w:before="40" w:after="40" w:line="240" w:lineRule="auto"/>
            </w:pPr>
            <w:r>
              <w:rPr>
                <w:sz w:val="18"/>
              </w:rPr>
              <w:t>Crisis response</w:t>
            </w:r>
          </w:p>
        </w:tc>
        <w:tc>
          <w:tcPr>
            <w:tcW w:type="dxa" w:w="2880"/>
            <w:tcW w:type="dxa" w:w="2543"/>
            <w:tcBorders>
              <w:left w:val="nil"/>
              <w:right w:val="nil"/>
              <w:top w:val="nil"/>
              <w:bottom w:val="nil"/>
            </w:tcBorders>
          </w:tcPr>
          <w:p>
            <w:pPr>
              <w:spacing w:before="40" w:after="40" w:line="240" w:lineRule="auto"/>
            </w:pPr>
            <w:r>
              <w:rPr>
                <w:sz w:val="18"/>
              </w:rPr>
              <w:t>No</w:t>
            </w:r>
          </w:p>
        </w:tc>
        <w:tc>
          <w:tcPr>
            <w:tcW w:type="dxa" w:w="2880"/>
            <w:tcW w:type="dxa" w:w="3547"/>
            <w:tcBorders>
              <w:left w:val="nil"/>
              <w:right w:val="nil"/>
              <w:top w:val="nil"/>
              <w:bottom w:val="nil"/>
            </w:tcBorders>
          </w:tcPr>
          <w:p>
            <w:pPr>
              <w:spacing w:before="40" w:after="40" w:line="240" w:lineRule="auto"/>
            </w:pPr>
            <w:r>
              <w:rPr>
                <w:sz w:val="18"/>
              </w:rPr>
              <w:t>Specialist intervention engaged only after the blowout</w:t>
            </w:r>
          </w:p>
        </w:tc>
      </w:tr>
      <w:tr>
        <w:tc>
          <w:tcPr>
            <w:tcW w:type="dxa" w:w="2880"/>
            <w:tcW w:type="dxa" w:w="2550"/>
            <w:tcBorders>
              <w:left w:val="nil"/>
              <w:right w:val="nil"/>
              <w:top w:val="nil"/>
              <w:bottom w:val="single" w:sz="8" w:space="0" w:color="000000"/>
            </w:tcBorders>
          </w:tcPr>
          <w:p>
            <w:pPr>
              <w:spacing w:before="40" w:after="40" w:line="240" w:lineRule="auto"/>
            </w:pPr>
            <w:r>
              <w:rPr>
                <w:sz w:val="18"/>
              </w:rPr>
              <w:t>Equipment-specific expertise</w:t>
            </w:r>
          </w:p>
        </w:tc>
        <w:tc>
          <w:tcPr>
            <w:tcW w:type="dxa" w:w="2880"/>
            <w:tcW w:type="dxa" w:w="2543"/>
            <w:tcBorders>
              <w:left w:val="nil"/>
              <w:right w:val="nil"/>
              <w:top w:val="nil"/>
              <w:bottom w:val="single" w:sz="8" w:space="0" w:color="000000"/>
            </w:tcBorders>
          </w:tcPr>
          <w:p>
            <w:pPr>
              <w:spacing w:before="40" w:after="40" w:line="240" w:lineRule="auto"/>
            </w:pPr>
            <w:r>
              <w:rPr>
                <w:sz w:val="18"/>
              </w:rPr>
              <w:t>No</w:t>
            </w:r>
          </w:p>
        </w:tc>
        <w:tc>
          <w:tcPr>
            <w:tcW w:type="dxa" w:w="2880"/>
            <w:tcW w:type="dxa" w:w="3547"/>
            <w:tcBorders>
              <w:left w:val="nil"/>
              <w:right w:val="nil"/>
              <w:top w:val="nil"/>
              <w:bottom w:val="single" w:sz="8" w:space="0" w:color="000000"/>
            </w:tcBorders>
          </w:tcPr>
          <w:p>
            <w:pPr>
              <w:spacing w:before="40" w:after="40" w:line="240" w:lineRule="auto"/>
            </w:pPr>
            <w:r>
              <w:rPr>
                <w:sz w:val="18"/>
              </w:rPr>
              <w:t>After-the-fact engagement of well-control specialists</w:t>
            </w:r>
          </w:p>
        </w:tc>
      </w:tr>
    </w:tbl>
    <w:p>
      <w:pPr>
        <w:pStyle w:val="BodyText"/>
      </w:pPr>
      <w:r>
        <w:t xml:space="preserve">The costs of post-divestment failure fell largely outside the parties to the transaction. The seller takes some reputational cost and the buyer some financial loss, while the heaviest and least reversible costs fell on those outside the transaction. The Santa Barbara blowout on OML 29 affected dozens of communities across the surrounding area. Seven workers died in the valve-station explosion on OML 40. Other integrity failures in Nigeria’s post-transfer operating environment also imposed costs beyond the transacting parties, though they stay outside the primary case evidence here. Production shortfalls on the transferred assets contributed to revenue losses borne well beyond the transacting parties. Spill sites went unremediated and flaring rose. Because the transacting parties bear only a fraction of these costs, the transaction market leaves much of the cost of failure external: the seller and buyer bear too little of it to change their conduct. That distribution of costs, together with the information asymmetry between seller, buyer, and regulator established earlier, is the structural reason a transaction left to the parties alone will under-provide capability transfer.</w:t>
      </w:r>
    </w:p>
    <w:p>
      <w:pPr>
        <w:pStyle w:val="BodyText"/>
      </w:pPr>
      <w:r>
        <w:t xml:space="preserve">Two empirical conditions follow from the cross-case evidence: embedded capability proved an unreliable substitute within operationally relevant timeframes, and the costs of its absence fall disproportionately on parties outside the transaction. These are the conditions the third research question takes up. What intervention they warrant, and what the seller, the buyer, and the regulator must each be required to do, is the work of Chapter 5.</w:t>
      </w:r>
    </w:p>
    <w:bookmarkEnd w:id="42"/>
    <w:bookmarkEnd w:id="43"/>
    <w:bookmarkStart w:id="44" w:name="limitations-and-unresolved-ambiguities"/>
    <w:p>
      <w:pPr>
        <w:pStyle w:val="Heading2"/>
      </w:pPr>
      <w:r>
        <w:t xml:space="preserve">4.8 Limitations and Unresolved Ambiguities</w:t>
      </w:r>
    </w:p>
    <w:p>
      <w:pPr>
        <w:pStyle w:val="FirstParagraph"/>
      </w:pPr>
      <w:r>
        <w:t xml:space="preserve">The empirical claims established here are bounded by the limits of the documentary evidence and the discrimination apparatus.</w:t>
      </w:r>
    </w:p>
    <w:p>
      <w:pPr>
        <w:pStyle w:val="BodyText"/>
      </w:pPr>
      <w:r>
        <w:t xml:space="preserve">The first boundary is the confound between knowledge inheritance and general organizational quality (Section 2.3.5). Operators that inherited upstream capability tend also to be better funded and better managed, so inheritance may correlate with outcome partly as a proxy for organizational quality. The within-asset comparison on OML 30 is the strongest available control, though it leaves the confound in place, since the change of operator carried management, governance, and contractor arrangements along with the inherited expertise. For cases without a comparable within-operator or cross-case control, the attribution to capability is correspondingly weaker.</w:t>
      </w:r>
    </w:p>
    <w:p>
      <w:pPr>
        <w:pStyle w:val="BodyText"/>
      </w:pPr>
      <w:r>
        <w:t xml:space="preserve">The second boundary is documentary. Whether coordination failure was independently caused or followed from absent capability lies, in some cases, beyond what documents alone settle. The persistence test narrows the range, since a coordination gap enduring for years while routine functions continue is hard to read as transitional, though documents reach the internal conditions that would close the question only partly, which participant testimony would be needed to do.</w:t>
      </w:r>
    </w:p>
    <w:p>
      <w:pPr>
        <w:pStyle w:val="BodyText"/>
      </w:pPr>
      <w:r>
        <w:t xml:space="preserve">The quantitative evidence has limits of its own. Flare intensity and spill frequency are indicators from which capability is inferred, indirect measures, and asset age, terrain, and reservoir characteristics stay uncontrolled here, though the OML 30 within-asset comparison holds these constant by construction. The production evidence is similarly measurement-bounded: Wood Mackenzie modeled series, NEITI metered and fiscalized figures, and NUPRC annual production serve different purposes, so audited and regulatory figures are treated as decisive where available and each basis is labeled. The classification holds because the cases separate into wide bands, though the percentages stay approximate.</w:t>
      </w:r>
    </w:p>
    <w:p>
      <w:pPr>
        <w:pStyle w:val="BodyText"/>
      </w:pPr>
      <w:r>
        <w:t xml:space="preserve">A further boundary concerns security and external operating conditions. Theft, sabotage, vandalism, and community conflict affect several of the cases and can produce failures that originate outside any operator’s control. Such disruptions are treated as external where the record supports it, as with the pipeline-theft evacuation stranding at Eroton, and capability is implicated only where the evidence concerns preparedness, response, governance, or recoverability within the operator’s control. This bounds the capability claim and leaves in place the external pressures the operators faced.</w:t>
      </w:r>
    </w:p>
    <w:p>
      <w:pPr>
        <w:pStyle w:val="BodyText"/>
      </w:pPr>
      <w:r>
        <w:t xml:space="preserve">The Renaissance transaction is bounded differently. It is too recent to speak to the integrity outcomes that emerge over three-to-five-year cycles, so it enters as a design contrast, carrying less evidentiary weight than the historical cases.</w:t>
      </w:r>
    </w:p>
    <w:p>
      <w:pPr>
        <w:pStyle w:val="BodyText"/>
      </w:pPr>
      <w:r>
        <w:t xml:space="preserve">The central claim is calibrated to what the design supports. The result is pattern consistency, without causal identification, and it generalizes through analytic generalization to theoretical propositions, with statistical generalization to all IOC divestments set aside (Yin, 2009). A single set of cases stays below proof of a general theory; it can corroborate one and show it plausible under the conditions examined. The structural conditions that generate the pattern extend beyond the idiosyncrasies of these cases, though whether the findings reach other countries, industries, or institutional structures is left open. The apparatus tests five explanations and treats coordination failure as an observable feature; it can detect variance beyond what the five explanations account for while leaving its mechanism uncharacterized.</w:t>
      </w:r>
    </w:p>
    <w:p>
      <w:pPr>
        <w:pStyle w:val="BodyText"/>
      </w:pPr>
      <w:r>
        <w:t xml:space="preserve">The case selection also concentrates on a single seller. Every primary case involves Shell or SPDC, raising the possibility that the pattern reflects Shell’s divestment practice. The first and strongest answer is internal to the case set: the outcomes diverged sharply among operators that all acquired from the same Shell-operated joint venture. Whatever produced the divergence therefore operated at the level of the acquiring operator, which a single seller’s uniform practice cannot explain. Three further checks bound the concern from outside the set. The marginal field program transferred assets through a government licensing round, from acreage relinquished by several majors, with Shell only one among them, and showed a comparable failure pattern, with an asset-quality caveat bounded in Section 4.6 and treated as structural corroboration. Seplat’s integration of the ExxonMobil MPNU assets is an early seller-independence check consistent with the pattern, though too recent to carry the weight of the older cases. Oando’s non-Shell transactions bear on governance and seller identity, and because the interests were largely non-operating they make a weaker check than a direct test of operational capability would. The domain-specificity finding holds across sellers: a downstream-trading background would produce the same knowledge gap whichever company sold the asset. Seller concentration remains a structural feature, which the finding survives while acknowledging.</w:t>
      </w:r>
    </w:p>
    <w:p>
      <w:pPr>
        <w:pStyle w:val="BodyText"/>
      </w:pPr>
      <w:r>
        <w:t xml:space="preserve">Finally, the practitioner evidence is a small, seller-only, perception-tier sample. The three completed responses (Appendix F) all came from IOC sellers, two of them describing the Renaissance transaction, where they rated the capability transfer adequate. Each ranked a different factor as the single most important driver of the outcome they observed, ranking untransferred capability lower. Because two of the responses concern Renaissance, a transaction structured to preserve capability, they bear on a case of deliberate capability retention, so the perception evidence from one side of the transaction qualifies the documentary reading while leaving it standing. The survey is reported for transparency and treated as contextual corroboration, with the case-level verdicts resting on the documentary record.</w:t>
      </w:r>
    </w:p>
    <w:p>
      <w:pPr>
        <w:pStyle w:val="BodyText"/>
      </w:pPr>
      <w:r>
        <w:t xml:space="preserve">These boundaries define the scope within which the findings hold, and they are why the conclusions in Chapter 6 are calibrated to the cases examined, holding to those cases.</w:t>
      </w:r>
    </w:p>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2026-06-22T17:23:14Z</dcterms:created>
  <dcterms:modified xsi:type="dcterms:W3CDTF">2026-06-22T17:23:14Z</dcterms:modified>
</cp:coreProperties>
</file>

<file path=docProps/custom.xml><?xml version="1.0" encoding="utf-8"?>
<Properties xmlns="http://schemas.openxmlformats.org/officeDocument/2006/custom-properties" xmlns:vt="http://schemas.openxmlformats.org/officeDocument/2006/docPropsVTypes"/>
</file>