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30d3c1f812261df7d47a36a40d328a1c29b6c7"/>
    <w:p>
      <w:pPr>
        <w:pStyle w:val="Heading1"/>
      </w:pPr>
      <w:r>
        <w:t xml:space="preserve">Chapter 5: A Capability Assurance Framework for IOC Divestments</w:t>
      </w:r>
    </w:p>
    <w:bookmarkStart w:id="20" w:name="from-explanation-to-design"/>
    <w:p>
      <w:pPr>
        <w:pStyle w:val="Heading2"/>
      </w:pPr>
      <w:r>
        <w:t xml:space="preserve">5.1 From Explanation to Design</w:t>
      </w:r>
    </w:p>
    <w:p>
      <w:pPr>
        <w:pStyle w:val="FirstParagraph"/>
      </w:pPr>
      <w:r>
        <w:t xml:space="preserve">The empirical analysis answered a question of explanation: why broadly comparable upstream assets, transferred under the same sectoral regime, produced operators that held operational integrity and operators that did not. The explanation most consistent with the differentiated outcomes was capability-related: the operating capability each acquirer brought, retained, or contracted (Section 4.7). The operators that failed had not secured the domain-specific upstream operating knowledge their assets required, and the transaction that transferred the hardware did not transfer that knowledge with it. The question now becomes one of design: what transaction and institutional arrangement would make the capability an asset needs observable before the asset changes hands, testable against the particular asset, and enforceable afterward? Such a design would also protect the value placed at risk when operating capability does not survive the transfer.</w:t>
      </w:r>
    </w:p>
    <w:p>
      <w:pPr>
        <w:pStyle w:val="BodyText"/>
      </w:pPr>
      <w:r>
        <w:t xml:space="preserve">The governing idea is a re-specification of an existing rule, not a new regime. NUPRC’s 2024 reforms already require an acquirer to demonstrate technical capacity, but they assess it primarily at the corporate level, and corporate-level capacity can pass without any demonstration that the buyer can run and protect the specific asset it is acquiring. That variable is re-specified here as asset-specific operating capability, with the seller disclosure, the structured transfer, and the post-transfer verification the existing rules leave out added to it, and each obligation grounded in a hook the law already contains. The aim is to extend the direction NUPRC has already set, not to work against it.</w:t>
      </w:r>
    </w:p>
    <w:p>
      <w:pPr>
        <w:pStyle w:val="BodyText"/>
      </w:pPr>
      <w:r>
        <w:t xml:space="preserve">Why the intervention must be mandatory rather than left to the transacting parties is a matter of where the value sits. Most of what a producing asset is worth to the people around it is borne by parties outside the sale, which is why a price agreed between a willing seller and a willing buyer underprotects it. Those dimensions, in order of how far each falls outside the transaction, are set out in Table 5.1.</w:t>
      </w:r>
    </w:p>
    <w:p>
      <w:pPr>
        <w:pStyle w:val="BodyText"/>
      </w:pPr>
      <w:r>
        <w:rPr>
          <w:bCs/>
          <w:b/>
        </w:rPr>
        <w:t xml:space="preserve">Table 5.1. What operating-capability gaps put at risk: the value dimensions of a divested asset. The two dimensions measured in the empirical analysis begin inside the operator’s commercial case and are priced into the sale; operational integrity is the hinge, since its catastrophic failure externalizes costs onto the third parties and the state listed below. The remaining dimensions are borne mostly outside the transaction, which is why a voluntary sale underprotects them and why mandatory verification is warranted. The status column marks which dimensions were demonstrated in the empirical analysis and which are warranted under the framework.</w:t>
      </w:r>
    </w:p>
    <w:tbl>
      <w:tblPr>
        <w:tblW w:type="auto" w:w="0"/>
        <w:tblLook w:firstColumn="1" w:firstRow="1" w:lastColumn="0" w:lastRow="0" w:noHBand="0" w:noVBand="1" w:val="04A0"/>
        <w:tblLayout w:type="fixed"/>
        <w:tblW w:type="dxa" w:w="8640"/>
      </w:tblPr>
      <w:tblGrid>
        <w:gridCol w:w="574"/>
        <w:gridCol w:w="2525"/>
        <w:gridCol w:w="2725"/>
        <w:gridCol w:w="2816"/>
      </w:tblGrid>
      <w:tr>
        <w:tc>
          <w:tcPr>
            <w:tcW w:type="dxa" w:w="2160"/>
            <w:tcW w:type="dxa" w:w="574"/>
            <w:tcBorders>
              <w:left w:val="nil"/>
              <w:right w:val="nil"/>
              <w:top w:val="single" w:sz="8" w:space="0" w:color="000000"/>
              <w:bottom w:val="single" w:sz="4" w:space="0" w:color="000000"/>
            </w:tcBorders>
          </w:tcPr>
          <w:p>
            <w:pPr>
              <w:spacing w:before="40" w:after="40" w:line="240" w:lineRule="auto"/>
            </w:pPr>
            <w:r>
              <w:rPr>
                <w:b/>
                <w:sz w:val="18"/>
              </w:rPr>
            </w:r>
          </w:p>
        </w:tc>
        <w:tc>
          <w:tcPr>
            <w:tcW w:type="dxa" w:w="2160"/>
            <w:tcW w:type="dxa" w:w="2525"/>
            <w:tcBorders>
              <w:left w:val="nil"/>
              <w:right w:val="nil"/>
              <w:top w:val="single" w:sz="8" w:space="0" w:color="000000"/>
              <w:bottom w:val="single" w:sz="4" w:space="0" w:color="000000"/>
            </w:tcBorders>
          </w:tcPr>
          <w:p>
            <w:pPr>
              <w:spacing w:before="40" w:after="40" w:line="240" w:lineRule="auto"/>
            </w:pPr>
            <w:r>
              <w:rPr>
                <w:b/>
                <w:sz w:val="18"/>
              </w:rPr>
              <w:t>Value dimension</w:t>
            </w:r>
          </w:p>
        </w:tc>
        <w:tc>
          <w:tcPr>
            <w:tcW w:type="dxa" w:w="2160"/>
            <w:tcW w:type="dxa" w:w="2725"/>
            <w:tcBorders>
              <w:left w:val="nil"/>
              <w:right w:val="nil"/>
              <w:top w:val="single" w:sz="8" w:space="0" w:color="000000"/>
              <w:bottom w:val="single" w:sz="4" w:space="0" w:color="000000"/>
            </w:tcBorders>
          </w:tcPr>
          <w:p>
            <w:pPr>
              <w:spacing w:before="40" w:after="40" w:line="240" w:lineRule="auto"/>
            </w:pPr>
            <w:r>
              <w:rPr>
                <w:b/>
                <w:sz w:val="18"/>
              </w:rPr>
              <w:t>Borne by (incidence)</w:t>
            </w:r>
          </w:p>
        </w:tc>
        <w:tc>
          <w:tcPr>
            <w:tcW w:type="dxa" w:w="2160"/>
            <w:tcW w:type="dxa" w:w="2816"/>
            <w:tcBorders>
              <w:left w:val="nil"/>
              <w:right w:val="nil"/>
              <w:top w:val="single" w:sz="8" w:space="0" w:color="000000"/>
              <w:bottom w:val="single" w:sz="4" w:space="0" w:color="000000"/>
            </w:tcBorders>
          </w:tcPr>
          <w:p>
            <w:pPr>
              <w:spacing w:before="40" w:after="40" w:line="240" w:lineRule="auto"/>
            </w:pPr>
            <w:r>
              <w:rPr>
                <w:b/>
                <w:sz w:val="18"/>
              </w:rPr>
              <w:t>Status</w:t>
            </w:r>
          </w:p>
        </w:tc>
      </w:tr>
      <w:tr>
        <w:tc>
          <w:tcPr>
            <w:tcW w:type="dxa" w:w="2160"/>
            <w:tcW w:type="dxa" w:w="574"/>
            <w:tcBorders>
              <w:left w:val="nil"/>
              <w:right w:val="nil"/>
              <w:top w:val="nil"/>
              <w:bottom w:val="nil"/>
            </w:tcBorders>
          </w:tcPr>
          <w:p>
            <w:pPr>
              <w:spacing w:before="40" w:after="40" w:line="240" w:lineRule="auto"/>
            </w:pPr>
            <w:r>
              <w:rPr>
                <w:sz w:val="18"/>
              </w:rPr>
            </w:r>
          </w:p>
        </w:tc>
        <w:tc>
          <w:tcPr>
            <w:tcW w:type="dxa" w:w="2160"/>
            <w:tcW w:type="dxa" w:w="2525"/>
            <w:tcBorders>
              <w:left w:val="nil"/>
              <w:right w:val="nil"/>
              <w:top w:val="nil"/>
              <w:bottom w:val="nil"/>
            </w:tcBorders>
          </w:tcPr>
          <w:p>
            <w:pPr>
              <w:spacing w:before="40" w:after="40" w:line="240" w:lineRule="auto"/>
            </w:pPr>
            <w:r>
              <w:rPr>
                <w:sz w:val="18"/>
              </w:rPr>
              <w:t>Internalized by the operator, and priced by the market</w:t>
            </w:r>
          </w:p>
        </w:tc>
        <w:tc>
          <w:tcPr>
            <w:tcW w:type="dxa" w:w="2160"/>
            <w:tcW w:type="dxa" w:w="2725"/>
            <w:tcBorders>
              <w:left w:val="nil"/>
              <w:right w:val="nil"/>
              <w:top w:val="nil"/>
              <w:bottom w:val="nil"/>
            </w:tcBorders>
          </w:tcPr>
          <w:p>
            <w:pPr>
              <w:spacing w:before="40" w:after="40" w:line="240" w:lineRule="auto"/>
            </w:pPr>
            <w:r>
              <w:rPr>
                <w:sz w:val="18"/>
              </w:rPr>
            </w:r>
          </w:p>
        </w:tc>
        <w:tc>
          <w:tcPr>
            <w:tcW w:type="dxa" w:w="2160"/>
            <w:tcW w:type="dxa" w:w="2816"/>
            <w:tcBorders>
              <w:left w:val="nil"/>
              <w:right w:val="nil"/>
              <w:top w:val="nil"/>
              <w:bottom w:val="nil"/>
            </w:tcBorders>
          </w:tcPr>
          <w:p>
            <w:pPr>
              <w:spacing w:before="40" w:after="40" w:line="240" w:lineRule="auto"/>
            </w:pPr>
            <w:r>
              <w:rPr>
                <w:sz w:val="18"/>
              </w:rPr>
            </w:r>
          </w:p>
        </w:tc>
      </w:tr>
      <w:tr>
        <w:tc>
          <w:tcPr>
            <w:tcW w:type="dxa" w:w="2160"/>
            <w:tcW w:type="dxa" w:w="574"/>
            <w:tcBorders>
              <w:left w:val="nil"/>
              <w:right w:val="nil"/>
              <w:top w:val="nil"/>
              <w:bottom w:val="nil"/>
            </w:tcBorders>
          </w:tcPr>
          <w:p>
            <w:pPr>
              <w:spacing w:before="40" w:after="40" w:line="240" w:lineRule="auto"/>
            </w:pPr>
            <w:r>
              <w:rPr>
                <w:sz w:val="18"/>
              </w:rPr>
              <w:t>V1</w:t>
            </w:r>
          </w:p>
        </w:tc>
        <w:tc>
          <w:tcPr>
            <w:tcW w:type="dxa" w:w="2160"/>
            <w:tcW w:type="dxa" w:w="2525"/>
            <w:tcBorders>
              <w:left w:val="nil"/>
              <w:right w:val="nil"/>
              <w:top w:val="nil"/>
              <w:bottom w:val="nil"/>
            </w:tcBorders>
          </w:tcPr>
          <w:p>
            <w:pPr>
              <w:spacing w:before="40" w:after="40" w:line="240" w:lineRule="auto"/>
            </w:pPr>
            <w:r>
              <w:rPr>
                <w:sz w:val="18"/>
              </w:rPr>
              <w:t>Production performance</w:t>
            </w:r>
          </w:p>
        </w:tc>
        <w:tc>
          <w:tcPr>
            <w:tcW w:type="dxa" w:w="2160"/>
            <w:tcW w:type="dxa" w:w="2725"/>
            <w:tcBorders>
              <w:left w:val="nil"/>
              <w:right w:val="nil"/>
              <w:top w:val="nil"/>
              <w:bottom w:val="nil"/>
            </w:tcBorders>
          </w:tcPr>
          <w:p>
            <w:pPr>
              <w:spacing w:before="40" w:after="40" w:line="240" w:lineRule="auto"/>
            </w:pPr>
            <w:r>
              <w:rPr>
                <w:sz w:val="18"/>
              </w:rPr>
              <w:t>The operator, with a fiscal and national shadow</w:t>
            </w:r>
          </w:p>
        </w:tc>
        <w:tc>
          <w:tcPr>
            <w:tcW w:type="dxa" w:w="2160"/>
            <w:tcW w:type="dxa" w:w="2816"/>
            <w:tcBorders>
              <w:left w:val="nil"/>
              <w:right w:val="nil"/>
              <w:top w:val="nil"/>
              <w:bottom w:val="nil"/>
            </w:tcBorders>
          </w:tcPr>
          <w:p>
            <w:pPr>
              <w:spacing w:before="40" w:after="40" w:line="240" w:lineRule="auto"/>
            </w:pPr>
            <w:r>
              <w:rPr>
                <w:sz w:val="18"/>
              </w:rPr>
              <w:t>Demonstrated (DV1)</w:t>
            </w:r>
          </w:p>
        </w:tc>
      </w:tr>
      <w:tr>
        <w:tc>
          <w:tcPr>
            <w:tcW w:type="dxa" w:w="2160"/>
            <w:tcW w:type="dxa" w:w="574"/>
            <w:tcBorders>
              <w:left w:val="nil"/>
              <w:right w:val="nil"/>
              <w:top w:val="nil"/>
              <w:bottom w:val="nil"/>
            </w:tcBorders>
          </w:tcPr>
          <w:p>
            <w:pPr>
              <w:spacing w:before="40" w:after="40" w:line="240" w:lineRule="auto"/>
            </w:pPr>
            <w:r>
              <w:rPr>
                <w:sz w:val="18"/>
              </w:rPr>
              <w:t>V2</w:t>
            </w:r>
          </w:p>
        </w:tc>
        <w:tc>
          <w:tcPr>
            <w:tcW w:type="dxa" w:w="2160"/>
            <w:tcW w:type="dxa" w:w="2525"/>
            <w:tcBorders>
              <w:left w:val="nil"/>
              <w:right w:val="nil"/>
              <w:top w:val="nil"/>
              <w:bottom w:val="nil"/>
            </w:tcBorders>
          </w:tcPr>
          <w:p>
            <w:pPr>
              <w:spacing w:before="40" w:after="40" w:line="240" w:lineRule="auto"/>
            </w:pPr>
            <w:r>
              <w:rPr>
                <w:sz w:val="18"/>
              </w:rPr>
              <w:t>Operational integrity and reliability</w:t>
            </w:r>
          </w:p>
        </w:tc>
        <w:tc>
          <w:tcPr>
            <w:tcW w:type="dxa" w:w="2160"/>
            <w:tcW w:type="dxa" w:w="2725"/>
            <w:tcBorders>
              <w:left w:val="nil"/>
              <w:right w:val="nil"/>
              <w:top w:val="nil"/>
              <w:bottom w:val="nil"/>
            </w:tcBorders>
          </w:tcPr>
          <w:p>
            <w:pPr>
              <w:spacing w:before="40" w:after="40" w:line="240" w:lineRule="auto"/>
            </w:pPr>
            <w:r>
              <w:rPr>
                <w:sz w:val="18"/>
              </w:rPr>
              <w:t>The operator while running; third parties on catastrophic failure</w:t>
            </w:r>
          </w:p>
        </w:tc>
        <w:tc>
          <w:tcPr>
            <w:tcW w:type="dxa" w:w="2160"/>
            <w:tcW w:type="dxa" w:w="2816"/>
            <w:tcBorders>
              <w:left w:val="nil"/>
              <w:right w:val="nil"/>
              <w:top w:val="nil"/>
              <w:bottom w:val="nil"/>
            </w:tcBorders>
          </w:tcPr>
          <w:p>
            <w:pPr>
              <w:spacing w:before="40" w:after="40" w:line="240" w:lineRule="auto"/>
            </w:pPr>
            <w:r>
              <w:rPr>
                <w:sz w:val="18"/>
              </w:rPr>
              <w:t>Demonstrated (DV2)</w:t>
            </w:r>
          </w:p>
        </w:tc>
      </w:tr>
      <w:tr>
        <w:tc>
          <w:tcPr>
            <w:tcW w:type="dxa" w:w="2160"/>
            <w:tcW w:type="dxa" w:w="574"/>
            <w:tcBorders>
              <w:left w:val="nil"/>
              <w:right w:val="nil"/>
              <w:top w:val="nil"/>
              <w:bottom w:val="nil"/>
            </w:tcBorders>
          </w:tcPr>
          <w:p>
            <w:pPr>
              <w:spacing w:before="40" w:after="40" w:line="240" w:lineRule="auto"/>
            </w:pPr>
            <w:r>
              <w:rPr>
                <w:sz w:val="18"/>
              </w:rPr>
            </w:r>
          </w:p>
        </w:tc>
        <w:tc>
          <w:tcPr>
            <w:tcW w:type="dxa" w:w="2160"/>
            <w:tcW w:type="dxa" w:w="2525"/>
            <w:tcBorders>
              <w:left w:val="nil"/>
              <w:right w:val="nil"/>
              <w:top w:val="nil"/>
              <w:bottom w:val="nil"/>
            </w:tcBorders>
          </w:tcPr>
          <w:p>
            <w:pPr>
              <w:spacing w:before="40" w:after="40" w:line="240" w:lineRule="auto"/>
            </w:pPr>
            <w:r>
              <w:rPr>
                <w:sz w:val="18"/>
              </w:rPr>
              <w:t>Externalized, borne by others</w:t>
            </w:r>
          </w:p>
        </w:tc>
        <w:tc>
          <w:tcPr>
            <w:tcW w:type="dxa" w:w="2160"/>
            <w:tcW w:type="dxa" w:w="2725"/>
            <w:tcBorders>
              <w:left w:val="nil"/>
              <w:right w:val="nil"/>
              <w:top w:val="nil"/>
              <w:bottom w:val="nil"/>
            </w:tcBorders>
          </w:tcPr>
          <w:p>
            <w:pPr>
              <w:spacing w:before="40" w:after="40" w:line="240" w:lineRule="auto"/>
            </w:pPr>
            <w:r>
              <w:rPr>
                <w:sz w:val="18"/>
              </w:rPr>
            </w:r>
          </w:p>
        </w:tc>
        <w:tc>
          <w:tcPr>
            <w:tcW w:type="dxa" w:w="2160"/>
            <w:tcW w:type="dxa" w:w="2816"/>
            <w:tcBorders>
              <w:left w:val="nil"/>
              <w:right w:val="nil"/>
              <w:top w:val="nil"/>
              <w:bottom w:val="nil"/>
            </w:tcBorders>
          </w:tcPr>
          <w:p>
            <w:pPr>
              <w:spacing w:before="40" w:after="40" w:line="240" w:lineRule="auto"/>
            </w:pPr>
            <w:r>
              <w:rPr>
                <w:sz w:val="18"/>
              </w:rPr>
            </w:r>
          </w:p>
        </w:tc>
      </w:tr>
      <w:tr>
        <w:tc>
          <w:tcPr>
            <w:tcW w:type="dxa" w:w="2160"/>
            <w:tcW w:type="dxa" w:w="574"/>
            <w:tcBorders>
              <w:left w:val="nil"/>
              <w:right w:val="nil"/>
              <w:top w:val="nil"/>
              <w:bottom w:val="nil"/>
            </w:tcBorders>
          </w:tcPr>
          <w:p>
            <w:pPr>
              <w:spacing w:before="40" w:after="40" w:line="240" w:lineRule="auto"/>
            </w:pPr>
            <w:r>
              <w:rPr>
                <w:sz w:val="18"/>
              </w:rPr>
              <w:t>V3</w:t>
            </w:r>
          </w:p>
        </w:tc>
        <w:tc>
          <w:tcPr>
            <w:tcW w:type="dxa" w:w="2160"/>
            <w:tcW w:type="dxa" w:w="2525"/>
            <w:tcBorders>
              <w:left w:val="nil"/>
              <w:right w:val="nil"/>
              <w:top w:val="nil"/>
              <w:bottom w:val="nil"/>
            </w:tcBorders>
          </w:tcPr>
          <w:p>
            <w:pPr>
              <w:spacing w:before="40" w:after="40" w:line="240" w:lineRule="auto"/>
            </w:pPr>
            <w:r>
              <w:rPr>
                <w:sz w:val="18"/>
              </w:rPr>
              <w:t>Safety and environmental harm to third parties</w:t>
            </w:r>
          </w:p>
        </w:tc>
        <w:tc>
          <w:tcPr>
            <w:tcW w:type="dxa" w:w="2160"/>
            <w:tcW w:type="dxa" w:w="2725"/>
            <w:tcBorders>
              <w:left w:val="nil"/>
              <w:right w:val="nil"/>
              <w:top w:val="nil"/>
              <w:bottom w:val="nil"/>
            </w:tcBorders>
          </w:tcPr>
          <w:p>
            <w:pPr>
              <w:spacing w:before="40" w:after="40" w:line="240" w:lineRule="auto"/>
            </w:pPr>
            <w:r>
              <w:rPr>
                <w:sz w:val="18"/>
              </w:rPr>
              <w:t>Workers, contractors, communities, ecosystems, the state’s remediation liability</w:t>
            </w:r>
          </w:p>
        </w:tc>
        <w:tc>
          <w:tcPr>
            <w:tcW w:type="dxa" w:w="2160"/>
            <w:tcW w:type="dxa" w:w="2816"/>
            <w:tcBorders>
              <w:left w:val="nil"/>
              <w:right w:val="nil"/>
              <w:top w:val="nil"/>
              <w:bottom w:val="nil"/>
            </w:tcBorders>
          </w:tcPr>
          <w:p>
            <w:pPr>
              <w:spacing w:before="40" w:after="40" w:line="240" w:lineRule="auto"/>
            </w:pPr>
            <w:r>
              <w:rPr>
                <w:sz w:val="18"/>
              </w:rPr>
              <w:t>Warranted</w:t>
            </w:r>
          </w:p>
        </w:tc>
      </w:tr>
      <w:tr>
        <w:tc>
          <w:tcPr>
            <w:tcW w:type="dxa" w:w="2160"/>
            <w:tcW w:type="dxa" w:w="574"/>
            <w:tcBorders>
              <w:left w:val="nil"/>
              <w:right w:val="nil"/>
              <w:top w:val="nil"/>
              <w:bottom w:val="nil"/>
            </w:tcBorders>
          </w:tcPr>
          <w:p>
            <w:pPr>
              <w:spacing w:before="40" w:after="40" w:line="240" w:lineRule="auto"/>
            </w:pPr>
            <w:r>
              <w:rPr>
                <w:sz w:val="18"/>
              </w:rPr>
              <w:t>V4</w:t>
            </w:r>
          </w:p>
        </w:tc>
        <w:tc>
          <w:tcPr>
            <w:tcW w:type="dxa" w:w="2160"/>
            <w:tcW w:type="dxa" w:w="2525"/>
            <w:tcBorders>
              <w:left w:val="nil"/>
              <w:right w:val="nil"/>
              <w:top w:val="nil"/>
              <w:bottom w:val="nil"/>
            </w:tcBorders>
          </w:tcPr>
          <w:p>
            <w:pPr>
              <w:spacing w:before="40" w:after="40" w:line="240" w:lineRule="auto"/>
            </w:pPr>
            <w:r>
              <w:rPr>
                <w:sz w:val="18"/>
              </w:rPr>
              <w:t>Host-community welfare</w:t>
            </w:r>
          </w:p>
        </w:tc>
        <w:tc>
          <w:tcPr>
            <w:tcW w:type="dxa" w:w="2160"/>
            <w:tcW w:type="dxa" w:w="2725"/>
            <w:tcBorders>
              <w:left w:val="nil"/>
              <w:right w:val="nil"/>
              <w:top w:val="nil"/>
              <w:bottom w:val="nil"/>
            </w:tcBorders>
          </w:tcPr>
          <w:p>
            <w:pPr>
              <w:spacing w:before="40" w:after="40" w:line="240" w:lineRule="auto"/>
            </w:pPr>
            <w:r>
              <w:rPr>
                <w:sz w:val="18"/>
              </w:rPr>
              <w:t>Host communities</w:t>
            </w:r>
          </w:p>
        </w:tc>
        <w:tc>
          <w:tcPr>
            <w:tcW w:type="dxa" w:w="2160"/>
            <w:tcW w:type="dxa" w:w="2816"/>
            <w:tcBorders>
              <w:left w:val="nil"/>
              <w:right w:val="nil"/>
              <w:top w:val="nil"/>
              <w:bottom w:val="nil"/>
            </w:tcBorders>
          </w:tcPr>
          <w:p>
            <w:pPr>
              <w:spacing w:before="40" w:after="40" w:line="240" w:lineRule="auto"/>
            </w:pPr>
            <w:r>
              <w:rPr>
                <w:sz w:val="18"/>
              </w:rPr>
              <w:t>Warranted</w:t>
            </w:r>
          </w:p>
        </w:tc>
      </w:tr>
      <w:tr>
        <w:tc>
          <w:tcPr>
            <w:tcW w:type="dxa" w:w="2160"/>
            <w:tcW w:type="dxa" w:w="574"/>
            <w:tcBorders>
              <w:left w:val="nil"/>
              <w:right w:val="nil"/>
              <w:top w:val="nil"/>
              <w:bottom w:val="nil"/>
            </w:tcBorders>
          </w:tcPr>
          <w:p>
            <w:pPr>
              <w:spacing w:before="40" w:after="40" w:line="240" w:lineRule="auto"/>
            </w:pPr>
            <w:r>
              <w:rPr>
                <w:sz w:val="18"/>
              </w:rPr>
              <w:t>V5</w:t>
            </w:r>
          </w:p>
        </w:tc>
        <w:tc>
          <w:tcPr>
            <w:tcW w:type="dxa" w:w="2160"/>
            <w:tcW w:type="dxa" w:w="2525"/>
            <w:tcBorders>
              <w:left w:val="nil"/>
              <w:right w:val="nil"/>
              <w:top w:val="nil"/>
              <w:bottom w:val="nil"/>
            </w:tcBorders>
          </w:tcPr>
          <w:p>
            <w:pPr>
              <w:spacing w:before="40" w:after="40" w:line="240" w:lineRule="auto"/>
            </w:pPr>
            <w:r>
              <w:rPr>
                <w:sz w:val="18"/>
              </w:rPr>
              <w:t>National capability development</w:t>
            </w:r>
          </w:p>
        </w:tc>
        <w:tc>
          <w:tcPr>
            <w:tcW w:type="dxa" w:w="2160"/>
            <w:tcW w:type="dxa" w:w="2725"/>
            <w:tcBorders>
              <w:left w:val="nil"/>
              <w:right w:val="nil"/>
              <w:top w:val="nil"/>
              <w:bottom w:val="nil"/>
            </w:tcBorders>
          </w:tcPr>
          <w:p>
            <w:pPr>
              <w:spacing w:before="40" w:after="40" w:line="240" w:lineRule="auto"/>
            </w:pPr>
            <w:r>
              <w:rPr>
                <w:sz w:val="18"/>
              </w:rPr>
              <w:t>The Nigerian workforce and economy</w:t>
            </w:r>
          </w:p>
        </w:tc>
        <w:tc>
          <w:tcPr>
            <w:tcW w:type="dxa" w:w="2160"/>
            <w:tcW w:type="dxa" w:w="2816"/>
            <w:tcBorders>
              <w:left w:val="nil"/>
              <w:right w:val="nil"/>
              <w:top w:val="nil"/>
              <w:bottom w:val="nil"/>
            </w:tcBorders>
          </w:tcPr>
          <w:p>
            <w:pPr>
              <w:spacing w:before="40" w:after="40" w:line="240" w:lineRule="auto"/>
            </w:pPr>
            <w:r>
              <w:rPr>
                <w:sz w:val="18"/>
              </w:rPr>
              <w:t>Warranted</w:t>
            </w:r>
          </w:p>
        </w:tc>
      </w:tr>
      <w:tr>
        <w:tc>
          <w:tcPr>
            <w:tcW w:type="dxa" w:w="2160"/>
            <w:tcW w:type="dxa" w:w="574"/>
            <w:tcBorders>
              <w:left w:val="nil"/>
              <w:right w:val="nil"/>
              <w:top w:val="nil"/>
              <w:bottom w:val="nil"/>
            </w:tcBorders>
          </w:tcPr>
          <w:p>
            <w:pPr>
              <w:spacing w:before="40" w:after="40" w:line="240" w:lineRule="auto"/>
            </w:pPr>
            <w:r>
              <w:rPr>
                <w:sz w:val="18"/>
              </w:rPr>
              <w:t>V6</w:t>
            </w:r>
          </w:p>
        </w:tc>
        <w:tc>
          <w:tcPr>
            <w:tcW w:type="dxa" w:w="2160"/>
            <w:tcW w:type="dxa" w:w="2525"/>
            <w:tcBorders>
              <w:left w:val="nil"/>
              <w:right w:val="nil"/>
              <w:top w:val="nil"/>
              <w:bottom w:val="nil"/>
            </w:tcBorders>
          </w:tcPr>
          <w:p>
            <w:pPr>
              <w:spacing w:before="40" w:after="40" w:line="240" w:lineRule="auto"/>
            </w:pPr>
            <w:r>
              <w:rPr>
                <w:sz w:val="18"/>
              </w:rPr>
              <w:t>Fiscal and public-revenue protection</w:t>
            </w:r>
          </w:p>
        </w:tc>
        <w:tc>
          <w:tcPr>
            <w:tcW w:type="dxa" w:w="2160"/>
            <w:tcW w:type="dxa" w:w="2725"/>
            <w:tcBorders>
              <w:left w:val="nil"/>
              <w:right w:val="nil"/>
              <w:top w:val="nil"/>
              <w:bottom w:val="nil"/>
            </w:tcBorders>
          </w:tcPr>
          <w:p>
            <w:pPr>
              <w:spacing w:before="40" w:after="40" w:line="240" w:lineRule="auto"/>
            </w:pPr>
            <w:r>
              <w:rPr>
                <w:sz w:val="18"/>
              </w:rPr>
              <w:t>The state</w:t>
            </w:r>
          </w:p>
        </w:tc>
        <w:tc>
          <w:tcPr>
            <w:tcW w:type="dxa" w:w="2160"/>
            <w:tcW w:type="dxa" w:w="2816"/>
            <w:tcBorders>
              <w:left w:val="nil"/>
              <w:right w:val="nil"/>
              <w:top w:val="nil"/>
              <w:bottom w:val="nil"/>
            </w:tcBorders>
          </w:tcPr>
          <w:p>
            <w:pPr>
              <w:spacing w:before="40" w:after="40" w:line="240" w:lineRule="auto"/>
            </w:pPr>
            <w:r>
              <w:rPr>
                <w:sz w:val="18"/>
              </w:rPr>
              <w:t>Warranted</w:t>
            </w:r>
          </w:p>
        </w:tc>
      </w:tr>
      <w:tr>
        <w:tc>
          <w:tcPr>
            <w:tcW w:type="dxa" w:w="2160"/>
            <w:tcW w:type="dxa" w:w="574"/>
            <w:tcBorders>
              <w:left w:val="nil"/>
              <w:right w:val="nil"/>
              <w:top w:val="nil"/>
              <w:bottom w:val="nil"/>
            </w:tcBorders>
          </w:tcPr>
          <w:p>
            <w:pPr>
              <w:spacing w:before="40" w:after="40" w:line="240" w:lineRule="auto"/>
            </w:pPr>
            <w:r>
              <w:rPr>
                <w:sz w:val="18"/>
              </w:rPr>
              <w:t>V7</w:t>
            </w:r>
          </w:p>
        </w:tc>
        <w:tc>
          <w:tcPr>
            <w:tcW w:type="dxa" w:w="2160"/>
            <w:tcW w:type="dxa" w:w="2525"/>
            <w:tcBorders>
              <w:left w:val="nil"/>
              <w:right w:val="nil"/>
              <w:top w:val="nil"/>
              <w:bottom w:val="nil"/>
            </w:tcBorders>
          </w:tcPr>
          <w:p>
            <w:pPr>
              <w:spacing w:before="40" w:after="40" w:line="240" w:lineRule="auto"/>
            </w:pPr>
            <w:r>
              <w:rPr>
                <w:sz w:val="18"/>
              </w:rPr>
              <w:t>Energy security and production resilience</w:t>
            </w:r>
          </w:p>
        </w:tc>
        <w:tc>
          <w:tcPr>
            <w:tcW w:type="dxa" w:w="2160"/>
            <w:tcW w:type="dxa" w:w="2725"/>
            <w:tcBorders>
              <w:left w:val="nil"/>
              <w:right w:val="nil"/>
              <w:top w:val="nil"/>
              <w:bottom w:val="nil"/>
            </w:tcBorders>
          </w:tcPr>
          <w:p>
            <w:pPr>
              <w:spacing w:before="40" w:after="40" w:line="240" w:lineRule="auto"/>
            </w:pPr>
            <w:r>
              <w:rPr>
                <w:sz w:val="18"/>
              </w:rPr>
              <w:t>The nation</w:t>
            </w:r>
          </w:p>
        </w:tc>
        <w:tc>
          <w:tcPr>
            <w:tcW w:type="dxa" w:w="2160"/>
            <w:tcW w:type="dxa" w:w="2816"/>
            <w:tcBorders>
              <w:left w:val="nil"/>
              <w:right w:val="nil"/>
              <w:top w:val="nil"/>
              <w:bottom w:val="nil"/>
            </w:tcBorders>
          </w:tcPr>
          <w:p>
            <w:pPr>
              <w:spacing w:before="40" w:after="40" w:line="240" w:lineRule="auto"/>
            </w:pPr>
            <w:r>
              <w:rPr>
                <w:sz w:val="18"/>
              </w:rPr>
              <w:t>Warranted, with the theft, sabotage, and price confound</w:t>
            </w:r>
          </w:p>
        </w:tc>
      </w:tr>
      <w:tr>
        <w:tc>
          <w:tcPr>
            <w:tcW w:type="dxa" w:w="2160"/>
            <w:tcW w:type="dxa" w:w="574"/>
            <w:tcBorders>
              <w:left w:val="nil"/>
              <w:right w:val="nil"/>
              <w:top w:val="nil"/>
              <w:bottom w:val="single" w:sz="8" w:space="0" w:color="000000"/>
            </w:tcBorders>
          </w:tcPr>
          <w:p>
            <w:pPr>
              <w:spacing w:before="40" w:after="40" w:line="240" w:lineRule="auto"/>
            </w:pPr>
            <w:r>
              <w:rPr>
                <w:sz w:val="18"/>
              </w:rPr>
              <w:t>V8</w:t>
            </w:r>
          </w:p>
        </w:tc>
        <w:tc>
          <w:tcPr>
            <w:tcW w:type="dxa" w:w="2160"/>
            <w:tcW w:type="dxa" w:w="2525"/>
            <w:tcBorders>
              <w:left w:val="nil"/>
              <w:right w:val="nil"/>
              <w:top w:val="nil"/>
              <w:bottom w:val="single" w:sz="8" w:space="0" w:color="000000"/>
            </w:tcBorders>
          </w:tcPr>
          <w:p>
            <w:pPr>
              <w:spacing w:before="40" w:after="40" w:line="240" w:lineRule="auto"/>
            </w:pPr>
            <w:r>
              <w:rPr>
                <w:sz w:val="18"/>
              </w:rPr>
              <w:t>Decommissioning and abandonment responsibility</w:t>
            </w:r>
          </w:p>
        </w:tc>
        <w:tc>
          <w:tcPr>
            <w:tcW w:type="dxa" w:w="2160"/>
            <w:tcW w:type="dxa" w:w="2725"/>
            <w:tcBorders>
              <w:left w:val="nil"/>
              <w:right w:val="nil"/>
              <w:top w:val="nil"/>
              <w:bottom w:val="single" w:sz="8" w:space="0" w:color="000000"/>
            </w:tcBorders>
          </w:tcPr>
          <w:p>
            <w:pPr>
              <w:spacing w:before="40" w:after="40" w:line="240" w:lineRule="auto"/>
            </w:pPr>
            <w:r>
              <w:rPr>
                <w:sz w:val="18"/>
              </w:rPr>
              <w:t>The state and future generations</w:t>
            </w:r>
          </w:p>
        </w:tc>
        <w:tc>
          <w:tcPr>
            <w:tcW w:type="dxa" w:w="2160"/>
            <w:tcW w:type="dxa" w:w="2816"/>
            <w:tcBorders>
              <w:left w:val="nil"/>
              <w:right w:val="nil"/>
              <w:top w:val="nil"/>
              <w:bottom w:val="single" w:sz="8" w:space="0" w:color="000000"/>
            </w:tcBorders>
          </w:tcPr>
          <w:p>
            <w:pPr>
              <w:spacing w:before="40" w:after="40" w:line="240" w:lineRule="auto"/>
            </w:pPr>
            <w:r>
              <w:rPr>
                <w:sz w:val="18"/>
              </w:rPr>
              <w:t>Warranted, with a financial-security mandate</w:t>
            </w:r>
          </w:p>
        </w:tc>
      </w:tr>
    </w:tbl>
    <w:p>
      <w:pPr>
        <w:pStyle w:val="BodyText"/>
      </w:pPr>
      <w:r>
        <w:t xml:space="preserve">The hinge is in the second row. The upkeep of operational integrity is internalized, so an operator captures the savings from deferring it, but the catastrophic failure that deferral invites is externalized onto the dimensions below. The transaction market therefore does not reliably correct the problem on its own, and verification cannot be left to the parties. Production capability is protected alongside safety, since the same operating knowledge carries both; what is verified is readiness, not a guaranteed level of output.</w:t>
      </w:r>
    </w:p>
    <w:p>
      <w:pPr>
        <w:pStyle w:val="BodyText"/>
      </w:pPr>
      <w:r>
        <w:t xml:space="preserve">The dimensions below the hinge fall outside the transaction in distinct ways, and each names a reason the private bargain underprotects the public interest. Safety, environmental, and community harm (V3, V4) are the catastrophic-failure costs the hinge externalizes directly. The remaining four fall outside the sale for different reasons. National capability development (V5) is the workforce capacity that the local-content regime exists to build and that a hollowed-out transfer sets back. Fiscal protection (V6) is the royalty and tax base that erodes as production and integrity decline. Energy security (V7) is the national production resilience that weak operations put at risk, with theft and price as confounds. Decommissioning (V8) is the abandonment liability that outlives the operator and falls to the state and future generations. Each sits further from the sale than the last, and that distance is the measure of how little an agreed price protects it.</w:t>
      </w:r>
    </w:p>
    <w:p>
      <w:pPr>
        <w:pStyle w:val="BodyText"/>
      </w:pPr>
      <w:r>
        <w:t xml:space="preserve">The claim is bounded in two ways. The empirical regularities and the design logic warrant the framework, short of proof from a tested intervention, and what it assures is demonstrated capability and readiness, not a guaranteed outcome. It is also calibrated to a particular setting. That setting has aged Niger Delta assets carrying integrity backlogs and suspended wells, a security and theft environment that raises the cost of weak operations, and a community and public-revenue structure that bears the failures the transacting parties do not. It works within an existing architecture of NUPRC regulations, the Nigerian Oil and Gas Industry Content Development Act (NOGICD), and the Petroleum Industry Act (PIA) that the framework works through rather than replaces. A design built for these conditions would need re-fitting for others.</w:t>
      </w:r>
    </w:p>
    <w:p>
      <w:pPr>
        <w:pStyle w:val="BodyText"/>
      </w:pPr>
      <w:r>
        <w:t xml:space="preserve">What follows is a warranted design, not a costed implementation plan and not a claim that any single design guarantees success. What operating capability is, and why it does not reconstitute on its own, comes first (Section 5.2), followed by why the market and the existing rules do not deliver it (Section 5.3). The framework itself, three mutually constraining roles across the transaction lifecycle, is set out next (Section 5.4), then calibrated against Nigerian and comparator international practice (Section 5.5) and scaled to the risk a given transaction carries (Section 5.6). Finally, the jurisdictional and operational limits of the warrant are established (Section 5.7).</w:t>
      </w:r>
    </w:p>
    <w:bookmarkEnd w:id="20"/>
    <w:bookmarkStart w:id="21" w:name="X345249932ae6bc1812fce45e34c29d57c87ffe5"/>
    <w:p>
      <w:pPr>
        <w:pStyle w:val="Heading2"/>
      </w:pPr>
      <w:r>
        <w:t xml:space="preserve">5.2 The Embedded Nature of Operating Capability</w:t>
      </w:r>
    </w:p>
    <w:p>
      <w:pPr>
        <w:pStyle w:val="FirstParagraph"/>
      </w:pPr>
      <w:r>
        <w:t xml:space="preserve">The relevant capability is not generic managerial competence. It is domain-specific upstream operating knowledge embedded in people, routines, integrity and emergency systems, decision rights, and data, and when its carriers are not retained, the gap can surface as a safety failure. A divestment moves the license, the wells, the platforms, and the pipelines. It does not, on its own, move the knowledge of how that particular asset is run safely and productively, because most of that knowledge lives in the people who operate it and in the routines, records, and relationships they have built around it over years.</w:t>
      </w:r>
    </w:p>
    <w:p>
      <w:pPr>
        <w:pStyle w:val="BodyText"/>
      </w:pPr>
      <w:r>
        <w:t xml:space="preserve">That capability, defined in Section 2.2, can be described as a bundle of six families. The first is the operating workforce itself, the engineers, controllers, and supervisors who hold the tacit feel for how the asset behaves and what it tolerates (Kogut and Zander, 1992). The second is the body of operating routines, the procedures and practices that translate general engineering standards into the specific handling of this reservoir, this terminal, this set of aging wells. The third is the integrity and emergency systems, the inspection histories, the maintenance backlogs, the contingency plans, and the standing arrangements to respond when something fails. The fourth is the structure of decision rights and accountability, the question of who is authorized to act, and how fast, when a well begins to lose control. The fifth is the asset’s data and history, the record of what has been done, deferred, and discovered across decades of operation. The sixth is the contractor and technical-support architecture, the web of specialist firms a competent operator keeps on call before a crisis rather than after one. Taken together, these six families are the architecture of the operating enterprise, the organization, routines, knowledge, decision rights, data, and external relationships through which the physical assets are made to produce safely. Enterprise architecting treats this organizational architecture, not the physical plant alone, as the enterprise (Nightingale and Rhodes, 2015), so a divestment that conveys the plant without it transfers the hardware without the system that runs it.</w:t>
      </w:r>
    </w:p>
    <w:p>
      <w:pPr>
        <w:pStyle w:val="BodyText"/>
      </w:pPr>
      <w:r>
        <w:t xml:space="preserve">These families map the same ground that the process-safety literature organizes, at finer grain, into an established set of elements. The Center for Chemical Process Safety organizes operating capability into twenty elements across four pillars, under the heading of Risk-Based Process Safety, or RBPS (CCPS, 2007). The four pillars are a commitment to safety, an understanding of hazards and risk, the management of that risk in daily operation, and the discipline of learning from experience. That four-pillar structure is the backbone for operating integrity in the analysis that follows, chosen because it is independent of any single operator, widely used across the industry, and auditable. It was also chosen because mapping each obligation onto a recognized element keeps the design traceable rather than ad hoc. The condensed bundle appears as Table 5.3 (Section 5.4); the full element-by-element trace, from each RBPS element to Ferreira’s transfer factors, the empirical evidence, the legal hooks, and the value dimensions, is in Appendix G.</w:t>
      </w:r>
    </w:p>
    <w:p>
      <w:pPr>
        <w:pStyle w:val="BodyText"/>
      </w:pPr>
      <w:r>
        <w:t xml:space="preserve">Risk-Based Process Safety carries the integrity side of performance. It does not, by itself, capture production. Production performance and operational integrity are the two dimensions of value at risk in the cases examined (Sections 4.5 to 4.7). The capability that sustains output, the subsurface understanding and the production-operations discipline that keep a field flowing, is as embedded and as perishable as the capability that keeps it safe. A production and subsurface operating-capability element therefore sits alongside the four process-safety pillars and on the same footing, not beneath them. Production performance is monitored as a value dimension and linked to that subsurface and production-operations capability; what is verified is readiness, not guaranteed output.</w:t>
      </w:r>
    </w:p>
    <w:p>
      <w:pPr>
        <w:pStyle w:val="BodyText"/>
      </w:pPr>
      <w:r>
        <w:t xml:space="preserve">If the four pillars and the production element describe what capability is, a separate body of work describes what becomes of it during a handover. Ferreira et al. (2024) study the transfer of knowledge between operators during the sale of an aging offshore asset and identify twenty-two elements that determine whether knowledge actually moves from seller to buyer. The elements range from the structure of the contract and the availability of the seller’s professionals to the access the buyer is granted to databases and the time allowed for the transfer to happen. They are not the capability itself but the conditions under which it transfers or is lost, and they depend as much on the buyer’s capacity to receive and absorb knowledge as on the seller’s willingness to release it (Cohen and Levinthal, 1990).</w:t>
      </w:r>
    </w:p>
    <w:p>
      <w:pPr>
        <w:pStyle w:val="BodyText"/>
      </w:pPr>
      <w:r>
        <w:t xml:space="preserve">The link between the two, between a failed transfer condition and a degraded operating element, has been traced directly. In a content analysis of the same transfer, Ferreira et al. (2026) map these transfer conditions onto the process-safety elements each degrades when it fails, and report that process-safety incidents rose, in both frequency and severity, after an aging asset changed hands without retention of its operating team. That content analysis directly codes ten of the twenty process-safety elements; in Appendix G the mapping is extended to the remaining ten from the cases and the legal hooks, with the directly coded links flagged as coded and the inferred ones as inferred. The path is concrete. When the contract is silent on operational requirements, the elements that suffer are emergency management, asset integrity, and hazard analysis. When the transfer period is compressed and records arrive piecemeal, the management of process knowledge erodes first, and it is the element on which the largest number of these transfer failures converge. When the people and records that hold operating knowledge are not retained, the gap can stay latent for a time, but the evidence shows it tends to surface as higher incident frequency and severity.</w:t>
      </w:r>
    </w:p>
    <w:p>
      <w:pPr>
        <w:pStyle w:val="BodyText"/>
      </w:pPr>
      <w:r>
        <w:t xml:space="preserve">The six cases divide on exactly this point. The operators that sustained both output and integrity had absorbed the capability rather than merely acquired the assets. Seplat brought an experienced upstream organization under Austin Avuru and operated in partnership with Maurel et Prom; HEOSL operated OML 30 through Salvic as its technical operator, retaining the operating competence the license assumed (Sections 4.5.1 and 4.5.2). Neither rebuilt that capability after the fact; each had it in place at transfer or held it through the operator it brought. The operators whose performance diverged had taken on the hardware without the embedded system that made it work. Aiteo, whose founder and chief executive came from a downstream trading background, inherited the wells of OML 29 without the well-control capability they demanded. The Santa Barbara blowout of November 2021 is where that absence became visible: no contingency plan, no standing well-control contract, and a specialist response contractor engaged only once the well was already flowing uncontrolled (Sections 4.3.1 and 4.3.6). The license transfer moved the asset; what it did not do was make the missing well-control capability visible, testable, or enforceable before close.</w:t>
      </w:r>
    </w:p>
    <w:p>
      <w:pPr>
        <w:pStyle w:val="BodyText"/>
      </w:pPr>
      <w:r>
        <w:t xml:space="preserve">Operating capability, then, is embedded, perishable, and specific to the asset, and in the cases examined it did not reconstitute itself in the hands of a new owner within operationally relevant timeframes. Whether it survives a sale depends on conditions that are observable at the point of transfer, what the seller discloses, what the buyer can absorb, and what the regulator verifies, and on whether the buyer is built to receive what is offered. Nigeria’s 2024 divestment framework now creates a technical-capacity route at consent. Whether that route reaches what this asset needed, asset-specific crisis readiness, a structured transfer, demonstrated buyer absorption, and verification after close, is the open question.</w:t>
      </w:r>
    </w:p>
    <w:bookmarkEnd w:id="21"/>
    <w:bookmarkStart w:id="28" w:name="X51115ea9661b1e22f36748edfbb9efcb3f50113"/>
    <w:p>
      <w:pPr>
        <w:pStyle w:val="Heading2"/>
      </w:pPr>
      <w:r>
        <w:t xml:space="preserve">5.3 The Market and Regulatory Failure to Transfer Capability</w:t>
      </w:r>
    </w:p>
    <w:p>
      <w:pPr>
        <w:pStyle w:val="FirstParagraph"/>
      </w:pPr>
      <w:r>
        <w:t xml:space="preserve">In the case analysis, the embedded operating capability a buyer inherited, brought, or contracted before performance depended on it, rather than capital constraints or fiscal terms alone, best separated the operators that sustained performance from those that did not (Sections 4.5 and 4.7). If that capability is what a divested asset needs, why does a buyer not reliably acquire it, and why does the consent regime that governs the transfer not require it? The transaction structure makes that loss structurally likely rather than accidental, through four gaps that compound across the seller, the buyer, and the parties outside the deal. And the rules that gate the transfer measure corporate and compliance attributes instead of demonstrated operating capability, and confirm nothing once the asset has changed hands.</w:t>
      </w:r>
    </w:p>
    <w:bookmarkStart w:id="22" w:name="X120ac975589507f4c03da4945c65424382d83fe"/>
    <w:p>
      <w:pPr>
        <w:pStyle w:val="Heading3"/>
      </w:pPr>
      <w:r>
        <w:t xml:space="preserve">5.3.1 The Pre-Transfer Condition and Disclosure Gap</w:t>
      </w:r>
    </w:p>
    <w:p>
      <w:pPr>
        <w:pStyle w:val="FirstParagraph"/>
      </w:pPr>
      <w:r>
        <w:t xml:space="preserve">Operating capability is not a static inventory. Its tacit component erodes when it is not exercised, and the record of an asset’s embedded requirements, its integrity history, and its near-misses lives partly in documents and partly in the people who ran it (Kogut and Zander, 1992; Nonaka, 1994). A seller preparing to exit holds that record, and has incentives to limit transition exposure, protect proprietary operating knowledge, and avoid new spending whose benefit would accrue mainly after close. What was never written down cannot be recovered from a data room.</w:t>
      </w:r>
    </w:p>
    <w:p>
      <w:pPr>
        <w:pStyle w:val="BodyText"/>
      </w:pPr>
      <w:r>
        <w:t xml:space="preserve">The evidence is the condition of what Aiteo inherited: a well at Santa Barbara that was suspended and undecommissioned at transfer. The reviewed record does not show that the well’s condition became an approval condition, a readiness test, or a verified handover obligation (Section 4.3.1). The corpus contains no admission by a seller that it cut spending before a sale, and none is needed. The provable claim is narrower: the information needed to assess what is being inherited sits with the seller, and the reviewed rules do not yet compel its disclosure in asset-specific, verifiable form. Nigeria’s content law requires a Nigerian Content Plan and Certificate of Authorization before acquisition (NOGICD Sections 7-9), and the NUPRC divestment guidance calls for a facility catalog and asset register. A catalog lists what exists, not its condition or the operating knowledge the asset demands. Neither obliges the seller to disclose asset condition, integrity and incident history, and embedded operating requirements in a form a buyer and a regulator could use to judge the inheritance.</w:t>
      </w:r>
    </w:p>
    <w:bookmarkEnd w:id="22"/>
    <w:bookmarkStart w:id="23" w:name="X4d11abd43f9f88e6822974a8b13186c69e5529c"/>
    <w:p>
      <w:pPr>
        <w:pStyle w:val="Heading3"/>
      </w:pPr>
      <w:r>
        <w:t xml:space="preserve">5.3.2 Information Asymmetry and Adverse Selection</w:t>
      </w:r>
    </w:p>
    <w:p>
      <w:pPr>
        <w:pStyle w:val="FirstParagraph"/>
      </w:pPr>
      <w:r>
        <w:t xml:space="preserve">The condition gap becomes an economic problem once the seller’s incentives are added. The seller knows the embedded difficulty of the asset, the buyer does not, and disclosure of that difficulty lowers the price. The better-informed party therefore gains from limiting what becomes price-relevant. This is the adverse-selection structure developed earlier from Akerlof (1970): where quality is hidden and the informed side has reason not to reveal it, the market does not price it correctly, and the uninformed side overpays for what it cannot verify. Tacit operating knowledge is the hardest case, because it is not fully contractible even when the seller is willing. It cannot be reduced to a schedule and warranted.</w:t>
      </w:r>
    </w:p>
    <w:p>
      <w:pPr>
        <w:pStyle w:val="BodyText"/>
      </w:pPr>
      <w:r>
        <w:t xml:space="preserve">The asymmetry is visible directly in the cases. The seller knew the asset’s operating requirements, the buyer could not assess them from the data room, and the regulator lacked the tools to close the gap on either side (Section 4.3.3). The existing consent gate turns on ministerial approval and a technical-capacity test conducted mainly at the corporate level (PIA Section 95; NUPRC Reg. 7), with asset-specific demonstration and site inspection not mandatory in every case; neither obtains standardized disclosure from the seller nor independently verifies demonstrated operating capability in the buyer. The asymmetry is therefore left to voluntary seller disclosure, by the party with the least reason to volunteer.</w:t>
      </w:r>
    </w:p>
    <w:bookmarkEnd w:id="23"/>
    <w:bookmarkStart w:id="24" w:name="the-buyers-absorptive-capacity"/>
    <w:p>
      <w:pPr>
        <w:pStyle w:val="Heading3"/>
      </w:pPr>
      <w:r>
        <w:t xml:space="preserve">5.3.3 The Buyer’s Absorptive Capacity</w:t>
      </w:r>
    </w:p>
    <w:p>
      <w:pPr>
        <w:pStyle w:val="FirstParagraph"/>
      </w:pPr>
      <w:r>
        <w:t xml:space="preserve">Even full disclosure and a willing seller do not transfer capability if the buyer cannot receive it. Absorptive capacity, a firm’s ability to recognize the value of external knowledge, assimilate it, and apply it, is itself a function of prior related expertise (Cohen and Levinthal, 1990). A buyer without upstream operating depth lacks the foundation needed to receive and integrate what is transferred. This is a buyer-side constraint rather than a seller incentive, and the market cannot supply it on demand.</w:t>
      </w:r>
    </w:p>
    <w:p>
      <w:pPr>
        <w:pStyle w:val="BodyText"/>
      </w:pPr>
      <w:r>
        <w:t xml:space="preserve">The contrast across the cases is sharp. Seplat, built on a founding team of upstream operators and reinforced by Maurel et Prom, and the OML 30 operator, staffed through Salvic, retained or brought equivalent operating people and absorbed what they inherited. Aiteo, led from a downstream trading background, did not (Sections 4.5.1 and 4.5.2). The transfer-process evidence points the same way: incidents rose in frequency and severity after handover where the operating team was not retained and the transfer terms did not secure continued access to the people and data that held the asset’s knowledge (Ferreira et al., 2026). Nigeria’s content law holds the nearest statutory analogue, a four-year understudy succession and technology-transfer provisions (NOGICD Section 31; Sections 43-47). It was written to localize a single operator’s workforce over time, not to guarantee that a new operator can absorb an asset at the point of handover.</w:t>
      </w:r>
    </w:p>
    <w:bookmarkEnd w:id="24"/>
    <w:bookmarkStart w:id="25" w:name="the-externality"/>
    <w:p>
      <w:pPr>
        <w:pStyle w:val="Heading3"/>
      </w:pPr>
      <w:r>
        <w:t xml:space="preserve">5.3.4 The Externality</w:t>
      </w:r>
    </w:p>
    <w:p>
      <w:pPr>
        <w:pStyle w:val="FirstParagraph"/>
      </w:pPr>
      <w:r>
        <w:t xml:space="preserve">The first three gaps explain why a buyer may end up without the capability an asset needs. The fourth explains why the public, and not the contracting parties, must be the one to act. When operating capability fails, the largest costs do not fall on the buyer or the seller. They fall on the communities exposed to a spill or a blowout, on the state that loses production and revenue, and on a future public that will bear the abandonment liability. Welfare economics has named this divergence since Pigou: where private actions impose costs on third parties that market prices do not reflect, the private optimum sits below the social optimum, and correction calls for public intervention rather than private goodwill (Pigou, 1920).</w:t>
      </w:r>
    </w:p>
    <w:p>
      <w:pPr>
        <w:pStyle w:val="BodyText"/>
      </w:pPr>
      <w:r>
        <w:t xml:space="preserve">The obvious objection is Coase. If the affected parties could bargain with the transacting parties, they would reach an efficient outcome without a regulator, whatever the initial allocation of rights (Coase, 1960). That route is closed here. The parties who bear the cost of a capability failure run to tens of communities and extend to a general and future public that cannot be assembled at the table before consent is granted. Transaction costs are prohibitive, the Coasean solution is unavailable, and the Pigouvian case for mandatory public verification stands. The empirical analysis documented the more direct externalities: the 41 communities affected by the Santa Barbara blowout and the seven deaths in the separate Benin River explosion. The national production shortfall, near 1.5 against a target of roughly 2 million barrels per day, provides sector-level context rather than a case-specific causal estimate, since theft, sabotage, investment cycles, and price conditions also bear on it (Section 4.7.3). Nigeria already addresses parts of this externality after the fact, through Host Community Development Trusts and a decommissioning fund, and the 2024 framework secured more than US$400 million in decommissioning escrow (PIA Chapter 3; Sections 232-233; NUPRC pillars 4 and 5). Those mechanisms compensate for harm or fund eventual abandonment. None of them verifies the operating capability that would prevent the harm in the first place.</w:t>
      </w:r>
    </w:p>
    <w:p>
      <w:pPr>
        <w:pStyle w:val="BodyText"/>
      </w:pPr>
      <w:r>
        <w:t xml:space="preserve">The four gaps are set out together in Table 5.2, with the evidence for each and the requirement each implies.</w:t>
      </w:r>
    </w:p>
    <w:p>
      <w:pPr>
        <w:pStyle w:val="BodyText"/>
      </w:pPr>
      <w:r>
        <w:rPr>
          <w:bCs/>
          <w:b/>
        </w:rPr>
        <w:t xml:space="preserve">Table 5.2. The four structural gaps that make an operating-capability gap the likely outcome of an unassisted divestment. The gaps compound, from the asset condition and capability the seller does not disclose, through a buyer that may be unable to absorb what is transferred, to the failure costs that fall on parties outside the transaction, which is why correction cannot be left to the contracting parties. In each row, the existing consent rules verify a corporate or compliance attribute, short of the demonstrated operating capability the gap concerns.</w:t>
      </w:r>
    </w:p>
    <w:tbl>
      <w:tblPr>
        <w:tblW w:type="auto" w:w="0"/>
        <w:tblLook w:firstColumn="1" w:firstRow="1" w:lastColumn="0" w:lastRow="0" w:noHBand="0" w:noVBand="1" w:val="04A0"/>
        <w:tblLayout w:type="fixed"/>
        <w:tblW w:type="dxa" w:w="8640"/>
      </w:tblPr>
      <w:tblGrid>
        <w:gridCol w:w="1845"/>
        <w:gridCol w:w="2205"/>
        <w:gridCol w:w="2385"/>
        <w:gridCol w:w="2205"/>
      </w:tblGrid>
      <w:tr>
        <w:tc>
          <w:tcPr>
            <w:tcW w:type="dxa" w:w="2160"/>
            <w:tcW w:type="dxa" w:w="1845"/>
            <w:tcBorders>
              <w:left w:val="nil"/>
              <w:right w:val="nil"/>
              <w:top w:val="single" w:sz="8" w:space="0" w:color="000000"/>
              <w:bottom w:val="single" w:sz="4" w:space="0" w:color="000000"/>
            </w:tcBorders>
          </w:tcPr>
          <w:p>
            <w:pPr>
              <w:spacing w:before="40" w:after="40" w:line="240" w:lineRule="auto"/>
            </w:pPr>
            <w:r>
              <w:rPr>
                <w:b/>
                <w:sz w:val="18"/>
              </w:rPr>
              <w:t>The gap</w:t>
            </w:r>
          </w:p>
        </w:tc>
        <w:tc>
          <w:tcPr>
            <w:tcW w:type="dxa" w:w="2160"/>
            <w:tcW w:type="dxa" w:w="2205"/>
            <w:tcBorders>
              <w:left w:val="nil"/>
              <w:right w:val="nil"/>
              <w:top w:val="single" w:sz="8" w:space="0" w:color="000000"/>
              <w:bottom w:val="single" w:sz="4" w:space="0" w:color="000000"/>
            </w:tcBorders>
          </w:tcPr>
          <w:p>
            <w:pPr>
              <w:spacing w:before="40" w:after="40" w:line="240" w:lineRule="auto"/>
            </w:pPr>
            <w:r>
              <w:rPr>
                <w:b/>
                <w:sz w:val="18"/>
              </w:rPr>
              <w:t>Evidence (Chapter 4)</w:t>
            </w:r>
          </w:p>
        </w:tc>
        <w:tc>
          <w:tcPr>
            <w:tcW w:type="dxa" w:w="2160"/>
            <w:tcW w:type="dxa" w:w="2385"/>
            <w:tcBorders>
              <w:left w:val="nil"/>
              <w:right w:val="nil"/>
              <w:top w:val="single" w:sz="8" w:space="0" w:color="000000"/>
              <w:bottom w:val="single" w:sz="4" w:space="0" w:color="000000"/>
            </w:tcBorders>
          </w:tcPr>
          <w:p>
            <w:pPr>
              <w:spacing w:before="40" w:after="40" w:line="240" w:lineRule="auto"/>
            </w:pPr>
            <w:r>
              <w:rPr>
                <w:b/>
                <w:sz w:val="18"/>
              </w:rPr>
              <w:t>What the current rules verify</w:t>
            </w:r>
          </w:p>
        </w:tc>
        <w:tc>
          <w:tcPr>
            <w:tcW w:type="dxa" w:w="2160"/>
            <w:tcW w:type="dxa" w:w="2205"/>
            <w:tcBorders>
              <w:left w:val="nil"/>
              <w:right w:val="nil"/>
              <w:top w:val="single" w:sz="8" w:space="0" w:color="000000"/>
              <w:bottom w:val="single" w:sz="4" w:space="0" w:color="000000"/>
            </w:tcBorders>
          </w:tcPr>
          <w:p>
            <w:pPr>
              <w:spacing w:before="40" w:after="40" w:line="240" w:lineRule="auto"/>
            </w:pPr>
            <w:r>
              <w:rPr>
                <w:b/>
                <w:sz w:val="18"/>
              </w:rPr>
              <w:t>What the framework requires</w:t>
            </w:r>
          </w:p>
        </w:tc>
      </w:tr>
      <w:tr>
        <w:tc>
          <w:tcPr>
            <w:tcW w:type="dxa" w:w="2160"/>
            <w:tcW w:type="dxa" w:w="1845"/>
            <w:tcBorders>
              <w:left w:val="nil"/>
              <w:right w:val="nil"/>
              <w:top w:val="nil"/>
              <w:bottom w:val="nil"/>
            </w:tcBorders>
          </w:tcPr>
          <w:p>
            <w:pPr>
              <w:spacing w:before="40" w:after="40" w:line="240" w:lineRule="auto"/>
            </w:pPr>
            <w:r>
              <w:rPr>
                <w:sz w:val="18"/>
              </w:rPr>
              <w:t>1. Condition and disclosure. Tacit knowledge erodes when unexercised; the seller holds the asset’s condition and operating record (Kogut and Zander, 1992; Nonaka, 1994).</w:t>
            </w:r>
          </w:p>
        </w:tc>
        <w:tc>
          <w:tcPr>
            <w:tcW w:type="dxa" w:w="2160"/>
            <w:tcW w:type="dxa" w:w="2205"/>
            <w:tcBorders>
              <w:left w:val="nil"/>
              <w:right w:val="nil"/>
              <w:top w:val="nil"/>
              <w:bottom w:val="nil"/>
            </w:tcBorders>
          </w:tcPr>
          <w:p>
            <w:pPr>
              <w:spacing w:before="40" w:after="40" w:line="240" w:lineRule="auto"/>
            </w:pPr>
            <w:r>
              <w:rPr>
                <w:sz w:val="18"/>
              </w:rPr>
              <w:t>Aiteo inherited a suspended, undecommissioned well at Santa Barbara (Section 4.3.1).</w:t>
            </w:r>
          </w:p>
        </w:tc>
        <w:tc>
          <w:tcPr>
            <w:tcW w:type="dxa" w:w="2160"/>
            <w:tcW w:type="dxa" w:w="2385"/>
            <w:tcBorders>
              <w:left w:val="nil"/>
              <w:right w:val="nil"/>
              <w:top w:val="nil"/>
              <w:bottom w:val="nil"/>
            </w:tcBorders>
          </w:tcPr>
          <w:p>
            <w:pPr>
              <w:spacing w:before="40" w:after="40" w:line="240" w:lineRule="auto"/>
            </w:pPr>
            <w:r>
              <w:rPr>
                <w:sz w:val="18"/>
              </w:rPr>
              <w:t>A Nigerian Content Plan and a facility catalog: what exists, not its condition (NOGICD Sections 7-9; NUPRC guidance).</w:t>
            </w:r>
          </w:p>
        </w:tc>
        <w:tc>
          <w:tcPr>
            <w:tcW w:type="dxa" w:w="2160"/>
            <w:tcW w:type="dxa" w:w="2205"/>
            <w:tcBorders>
              <w:left w:val="nil"/>
              <w:right w:val="nil"/>
              <w:top w:val="nil"/>
              <w:bottom w:val="nil"/>
            </w:tcBorders>
          </w:tcPr>
          <w:p>
            <w:pPr>
              <w:spacing w:before="40" w:after="40" w:line="240" w:lineRule="auto"/>
            </w:pPr>
            <w:r>
              <w:rPr>
                <w:sz w:val="18"/>
              </w:rPr>
              <w:t>The seller discloses asset condition, integrity and incident history, and embedded operating requirements.</w:t>
            </w:r>
          </w:p>
        </w:tc>
      </w:tr>
      <w:tr>
        <w:tc>
          <w:tcPr>
            <w:tcW w:type="dxa" w:w="2160"/>
            <w:tcW w:type="dxa" w:w="1845"/>
            <w:tcBorders>
              <w:left w:val="nil"/>
              <w:right w:val="nil"/>
              <w:top w:val="nil"/>
              <w:bottom w:val="nil"/>
            </w:tcBorders>
          </w:tcPr>
          <w:p>
            <w:pPr>
              <w:spacing w:before="40" w:after="40" w:line="240" w:lineRule="auto"/>
            </w:pPr>
            <w:r>
              <w:rPr>
                <w:sz w:val="18"/>
              </w:rPr>
              <w:t>2. Adverse selection. The seller knows the embedded difficulty, the buyer cannot, and disclosure lowers the price (Akerlof, 1970).</w:t>
            </w:r>
          </w:p>
        </w:tc>
        <w:tc>
          <w:tcPr>
            <w:tcW w:type="dxa" w:w="2160"/>
            <w:tcW w:type="dxa" w:w="2205"/>
            <w:tcBorders>
              <w:left w:val="nil"/>
              <w:right w:val="nil"/>
              <w:top w:val="nil"/>
              <w:bottom w:val="nil"/>
            </w:tcBorders>
          </w:tcPr>
          <w:p>
            <w:pPr>
              <w:spacing w:before="40" w:after="40" w:line="240" w:lineRule="auto"/>
            </w:pPr>
            <w:r>
              <w:rPr>
                <w:sz w:val="18"/>
              </w:rPr>
              <w:t>The buyer could not assess operating requirements from the data room, and the regulator lacked the tools (Section 4.3.3).</w:t>
            </w:r>
          </w:p>
        </w:tc>
        <w:tc>
          <w:tcPr>
            <w:tcW w:type="dxa" w:w="2160"/>
            <w:tcW w:type="dxa" w:w="2385"/>
            <w:tcBorders>
              <w:left w:val="nil"/>
              <w:right w:val="nil"/>
              <w:top w:val="nil"/>
              <w:bottom w:val="nil"/>
            </w:tcBorders>
          </w:tcPr>
          <w:p>
            <w:pPr>
              <w:spacing w:before="40" w:after="40" w:line="240" w:lineRule="auto"/>
            </w:pPr>
            <w:r>
              <w:rPr>
                <w:sz w:val="18"/>
              </w:rPr>
              <w:t>Ministerial consent and a technical-capacity test conducted mainly at the corporate level (PIA Section 95; NUPRC Reg. 7).</w:t>
            </w:r>
          </w:p>
        </w:tc>
        <w:tc>
          <w:tcPr>
            <w:tcW w:type="dxa" w:w="2160"/>
            <w:tcW w:type="dxa" w:w="2205"/>
            <w:tcBorders>
              <w:left w:val="nil"/>
              <w:right w:val="nil"/>
              <w:top w:val="nil"/>
              <w:bottom w:val="nil"/>
            </w:tcBorders>
          </w:tcPr>
          <w:p>
            <w:pPr>
              <w:spacing w:before="40" w:after="40" w:line="240" w:lineRule="auto"/>
            </w:pPr>
            <w:r>
              <w:rPr>
                <w:sz w:val="18"/>
              </w:rPr>
              <w:t>Standardized disclosure and independent verification of demonstrated operating capability.</w:t>
            </w:r>
          </w:p>
        </w:tc>
      </w:tr>
      <w:tr>
        <w:tc>
          <w:tcPr>
            <w:tcW w:type="dxa" w:w="2160"/>
            <w:tcW w:type="dxa" w:w="1845"/>
            <w:tcBorders>
              <w:left w:val="nil"/>
              <w:right w:val="nil"/>
              <w:top w:val="nil"/>
              <w:bottom w:val="nil"/>
            </w:tcBorders>
          </w:tcPr>
          <w:p>
            <w:pPr>
              <w:spacing w:before="40" w:after="40" w:line="240" w:lineRule="auto"/>
            </w:pPr>
            <w:r>
              <w:rPr>
                <w:sz w:val="18"/>
              </w:rPr>
              <w:t>3. Absorptive capacity. A buyer without upstream depth cannot receive and integrate transferred knowledge (Cohen and Levinthal, 1990).</w:t>
            </w:r>
          </w:p>
        </w:tc>
        <w:tc>
          <w:tcPr>
            <w:tcW w:type="dxa" w:w="2160"/>
            <w:tcW w:type="dxa" w:w="2205"/>
            <w:tcBorders>
              <w:left w:val="nil"/>
              <w:right w:val="nil"/>
              <w:top w:val="nil"/>
              <w:bottom w:val="nil"/>
            </w:tcBorders>
          </w:tcPr>
          <w:p>
            <w:pPr>
              <w:spacing w:before="40" w:after="40" w:line="240" w:lineRule="auto"/>
            </w:pPr>
            <w:r>
              <w:rPr>
                <w:sz w:val="18"/>
              </w:rPr>
              <w:t>Seplat and the OML 30 operator absorbed; Aiteo, downstream-led, did not; incidents rose where teams were not retained (Sections 4.5.1-4.5.2; Ferreira et al., 2026).</w:t>
            </w:r>
          </w:p>
        </w:tc>
        <w:tc>
          <w:tcPr>
            <w:tcW w:type="dxa" w:w="2160"/>
            <w:tcW w:type="dxa" w:w="2385"/>
            <w:tcBorders>
              <w:left w:val="nil"/>
              <w:right w:val="nil"/>
              <w:top w:val="nil"/>
              <w:bottom w:val="nil"/>
            </w:tcBorders>
          </w:tcPr>
          <w:p>
            <w:pPr>
              <w:spacing w:before="40" w:after="40" w:line="240" w:lineRule="auto"/>
            </w:pPr>
            <w:r>
              <w:rPr>
                <w:sz w:val="18"/>
              </w:rPr>
              <w:t>A four-year understudy written for one operator over time, not for a handover (NOGICD Section 31; Sections 43-47).</w:t>
            </w:r>
          </w:p>
        </w:tc>
        <w:tc>
          <w:tcPr>
            <w:tcW w:type="dxa" w:w="2160"/>
            <w:tcW w:type="dxa" w:w="2205"/>
            <w:tcBorders>
              <w:left w:val="nil"/>
              <w:right w:val="nil"/>
              <w:top w:val="nil"/>
              <w:bottom w:val="nil"/>
            </w:tcBorders>
          </w:tcPr>
          <w:p>
            <w:pPr>
              <w:spacing w:before="40" w:after="40" w:line="240" w:lineRule="auto"/>
            </w:pPr>
            <w:r>
              <w:rPr>
                <w:sz w:val="18"/>
              </w:rPr>
              <w:t>The buyer demonstrates absorptive capacity; a technical operator or understudy and a team-retention plan for de novo buyers.</w:t>
            </w:r>
          </w:p>
        </w:tc>
      </w:tr>
      <w:tr>
        <w:tc>
          <w:tcPr>
            <w:tcW w:type="dxa" w:w="2160"/>
            <w:tcW w:type="dxa" w:w="1845"/>
            <w:tcBorders>
              <w:left w:val="nil"/>
              <w:right w:val="nil"/>
              <w:top w:val="nil"/>
              <w:bottom w:val="single" w:sz="8" w:space="0" w:color="000000"/>
            </w:tcBorders>
          </w:tcPr>
          <w:p>
            <w:pPr>
              <w:spacing w:before="40" w:after="40" w:line="240" w:lineRule="auto"/>
            </w:pPr>
            <w:r>
              <w:rPr>
                <w:sz w:val="18"/>
              </w:rPr>
              <w:t>4. Externality. The cost of a capability failure falls on third parties who cannot bargain before consent (Pigou, 1920; Coase, 1960).</w:t>
            </w:r>
          </w:p>
        </w:tc>
        <w:tc>
          <w:tcPr>
            <w:tcW w:type="dxa" w:w="2160"/>
            <w:tcW w:type="dxa" w:w="2205"/>
            <w:tcBorders>
              <w:left w:val="nil"/>
              <w:right w:val="nil"/>
              <w:top w:val="nil"/>
              <w:bottom w:val="single" w:sz="8" w:space="0" w:color="000000"/>
            </w:tcBorders>
          </w:tcPr>
          <w:p>
            <w:pPr>
              <w:spacing w:before="40" w:after="40" w:line="240" w:lineRule="auto"/>
            </w:pPr>
            <w:r>
              <w:rPr>
                <w:sz w:val="18"/>
              </w:rPr>
              <w:t>41 communities affected at Santa Barbara; seven deaths at Benin River; sector-level production shortfall (Section 4.7.3).</w:t>
            </w:r>
          </w:p>
        </w:tc>
        <w:tc>
          <w:tcPr>
            <w:tcW w:type="dxa" w:w="2160"/>
            <w:tcW w:type="dxa" w:w="2385"/>
            <w:tcBorders>
              <w:left w:val="nil"/>
              <w:right w:val="nil"/>
              <w:top w:val="nil"/>
              <w:bottom w:val="single" w:sz="8" w:space="0" w:color="000000"/>
            </w:tcBorders>
          </w:tcPr>
          <w:p>
            <w:pPr>
              <w:spacing w:before="40" w:after="40" w:line="240" w:lineRule="auto"/>
            </w:pPr>
            <w:r>
              <w:rPr>
                <w:sz w:val="18"/>
              </w:rPr>
              <w:t>Host-community trusts and a decommissioning fund: compensation and abandonment cover after the fact (PIA Chapter 3; Sections 232-233).</w:t>
            </w:r>
          </w:p>
        </w:tc>
        <w:tc>
          <w:tcPr>
            <w:tcW w:type="dxa" w:w="2160"/>
            <w:tcW w:type="dxa" w:w="2205"/>
            <w:tcBorders>
              <w:left w:val="nil"/>
              <w:right w:val="nil"/>
              <w:top w:val="nil"/>
              <w:bottom w:val="single" w:sz="8" w:space="0" w:color="000000"/>
            </w:tcBorders>
          </w:tcPr>
          <w:p>
            <w:pPr>
              <w:spacing w:before="40" w:after="40" w:line="240" w:lineRule="auto"/>
            </w:pPr>
            <w:r>
              <w:rPr>
                <w:sz w:val="18"/>
              </w:rPr>
              <w:t>Public, enforceable verification; financial security tied to decommissioning; community standing.</w:t>
            </w:r>
          </w:p>
        </w:tc>
      </w:tr>
    </w:tbl>
    <w:bookmarkEnd w:id="25"/>
    <w:bookmarkStart w:id="26" w:name="the-wrong-variable-diagnosis"/>
    <w:p>
      <w:pPr>
        <w:pStyle w:val="Heading3"/>
      </w:pPr>
      <w:r>
        <w:t xml:space="preserve">5.3.5 The Wrong-Variable Diagnosis</w:t>
      </w:r>
    </w:p>
    <w:p>
      <w:pPr>
        <w:pStyle w:val="FirstParagraph"/>
      </w:pPr>
      <w:r>
        <w:t xml:space="preserve">The four gaps make an operating-capability gap structurally likely in an unassisted transfer. The natural question is whether the existing consent regime catches it, and the regime is more thorough than it is often given credit for. NUPRC’s upstream asset divestment framework assesses seven pillars at consent through the Nigeria Upstream Petroleum (Assignment of Interest) Regulations 2024, and the content law adds pre-acquisition participation and succession requirements. The difficulty is not that the machinery is thin. It is that it measures the wrong variable.</w:t>
      </w:r>
    </w:p>
    <w:p>
      <w:pPr>
        <w:pStyle w:val="BodyText"/>
      </w:pPr>
      <w:r>
        <w:t xml:space="preserve">A single test makes the point. Walk the consent requirements, and after each one ask whether it obliges the operator to demonstrate that it can contain a well-control event of the kind that occurred at Santa Barbara. The seven-pillar technical-capacity assessment evaluates capacity mainly at the corporate level, with a site visit left to the regulator’s discretion (NUPRC Reg. 7); it does not. The Nigerian Content Plan and Certificate of Authorization establish local-content participation (NOGICD Sections 7-9); they do not. The understudy and technology-transfer provisions localize a workforce over years (NOGICD Section 31; Sections 43-47); they do not. Ministerial consent is a legal and fiscal gate (PIA Section 95); it does not. The Host Community Development Trusts provide for welfare once the asset is operating (PIA Chapter 3); they do not. The answer is the same down the list. None of these requirements compels a mandatory, asset-specific demonstration of crisis readiness before close, or verification after it. The diagnosis is therefore one of specification and closure, not absence: the technical-capacity route exists, but it reaches none of the asset-specific disclosure, transfer, absorption, and verification the four gaps require.</w:t>
      </w:r>
    </w:p>
    <w:p>
      <w:pPr>
        <w:pStyle w:val="BodyText"/>
      </w:pPr>
      <w:r>
        <w:t xml:space="preserve">This is a re-specification, not a condemnation. The rules are well-intentioned and have grown more demanding, and the 2024 reform, including the decommissioning escrow, narrows the gap without closing it. The First Hydrocarbon transfer of OML 26 illustrates the older gap rather than the current one. It passed under the prior regime to a buyer whose backers were later convicted of fraud (Section 4.4.2), and the 2024 Regulations have partly closed that particular opening by screening directors for prior convictions. The point is not that the later fraud could have been detected at the time of the transfer; it is that buyer fitness and governance integrity were not structured approval questions under the earlier framework. What the regime still does not do is require the operating-capability demonstration that the four gaps make necessary.</w:t>
      </w:r>
    </w:p>
    <w:bookmarkEnd w:id="26"/>
    <w:bookmarkStart w:id="27" w:name="the-same-gap-across-acquisition-pathways"/>
    <w:p>
      <w:pPr>
        <w:pStyle w:val="Heading3"/>
      </w:pPr>
      <w:r>
        <w:t xml:space="preserve">5.3.6 The Same Gap Across Acquisition Pathways</w:t>
      </w:r>
    </w:p>
    <w:p>
      <w:pPr>
        <w:pStyle w:val="FirstParagraph"/>
      </w:pPr>
      <w:r>
        <w:t xml:space="preserve">The gap is not peculiar to the bilateral IOC-to-indigenous sale, although that transaction is the textbook adverse-selection setup. It recurs wherever Nigeria has allocated operatorship without verifying operating capability. The marginal field program awarded acreage on signature bonuses, work-program commitments, and farm-out arrangements, with no effective operating-capability screen, a structural precedent for transferring operations to parties whose ability to run them was never tested (Section 4.6). The state route shows the same pattern. At NPDC, political standing sustained operatorship and commercial participation without the operational demonstration a capability test would require (Section 4.5.3). An NPDC-authored assessment of indigenous service companies found that table-top scoring passed firms that failed on facility inspection, with fewer than half meeting the benchmark once equipment and personnel were examined on site (Oriaku et al., 2016). Paper capability and demonstrated capability are not the same thing, and only a site-level test separates them.</w:t>
      </w:r>
    </w:p>
    <w:p>
      <w:pPr>
        <w:pStyle w:val="BodyText"/>
      </w:pPr>
      <w:r>
        <w:t xml:space="preserve">Voluntary standards cannot close the gap either. The industry’s process-safety and management-system guidance describes the right capability content. The guidance is voluntary, internal to a single operator, blind to the moment of transfer, and dependent on voluntary adoption by the buyer, including buyers whose capability is the issue in question, a point developed in Section 5.5.3. An independent civil-society proposal, the National Principles for Responsible Petroleum Industry Divestment, is consistent with much of the same logic. It calls for seller disclosure of liabilities, demonstrated technical and financial capacity assessed by an independent body, and an asset-integrity review with deficiencies remedied before approval (Steiner, 2023). The design set out in the next section is grounded in a capability theory and the critical-experiment evidence. It goes beyond those proposals by incorporating the buyer’s absorptive capacity and the structure of the transfer itself, extending assurance past close into verification, and working through existing statutory hooks in place of a new voluntary instrument.</w:t>
      </w:r>
    </w:p>
    <w:p>
      <w:pPr>
        <w:pStyle w:val="BodyText"/>
      </w:pPr>
      <w:r>
        <w:t xml:space="preserve">The case for intervention follows from these findings together. On its own, the transaction underprovides capability transfer: the structure leaves the gap unpriced, the existing rules verify corporate and compliance attributes and stop at consent, well short of demonstrated capability, and the cost of failure falls on parties never at the table (Table 5.2). The institutional design that resolves this, set out in Section 5.4, makes operating capability something a seller must disclose, a buyer must demonstrate, and a regulator must verify, before and after the asset changes hands.</w:t>
      </w:r>
    </w:p>
    <w:bookmarkEnd w:id="27"/>
    <w:bookmarkEnd w:id="28"/>
    <w:bookmarkStart w:id="38" w:name="the-capability-assurance-framework"/>
    <w:p>
      <w:pPr>
        <w:pStyle w:val="Heading2"/>
      </w:pPr>
      <w:r>
        <w:t xml:space="preserve">5.4 The Capability Assurance Framework</w:t>
      </w:r>
    </w:p>
    <w:p>
      <w:pPr>
        <w:pStyle w:val="FirstParagraph"/>
      </w:pPr>
      <w:r>
        <w:t xml:space="preserve">A specific institutional design follows from that diagnosis. Corporate-level technical capacity can clear consent without asset-specific operating capability being disclosed, absorbed, or verified. The remedy is to re-specify the existing hooks so that those three things happen, and to connect them, so that none is satisfied on paper while another is left undone. Three roles carry the design. The seller discloses, the buyer absorbs, and the regulator verifies, across the life of the transaction and within the consent, content, and labor provisions Nigeria already has. Together the three roles form a control structure, in the systems-theoretic sense of the control actions and feedback that hold a hazardous process within safe bounds (Leveson, 2011), organized around the asset as a sociotechnical system. The divestment moves the technical subsystem, the wells and the facilities, but not the social subsystem that operated it (Section 2.2). The design exists to make the disclosure, transfer, and verification of that social subsystem happen across the transaction instead of being left to the discretion of the transacting parties. It thereby installs the corrective function the market does not supply, the one severed because the costs of operational failure fall outside the sale (Section 2.6). The framework can be built primarily through existing consent, due-diligence, content, labor, and decommissioning hooks, although some elements would require regulations, consent conditions, or license terms.</w:t>
      </w:r>
    </w:p>
    <w:bookmarkStart w:id="35" w:name="three-roles-in-a-closed-loop"/>
    <w:p>
      <w:pPr>
        <w:pStyle w:val="Heading3"/>
      </w:pPr>
      <w:r>
        <w:t xml:space="preserve">5.4.1 Three Roles in a Closed Loop</w:t>
      </w:r>
    </w:p>
    <w:p>
      <w:pPr>
        <w:pStyle w:val="FirstParagraph"/>
      </w:pPr>
      <w:r>
        <w:t xml:space="preserve">The three roles are not a sequence of independent checks. Each depends on what the others produce. Disclosure gives the buyer and the regulator something concrete to work with, the asset’s condition and the operating-capability bundle defined in Section 5.2. Absorption is meaningful only when it is tested against what was disclosed, so that a buyer’s claim to competence is matched to the specific demands of this asset instead of asserted in general. Verification constrains both and rests on both, because the regulator can confirm only what the seller has surfaced and the buyer has shown. Each role enables and constrains the others, which is why the design closes into a loop rather than running down a checklist.</w:t>
      </w:r>
    </w:p>
    <w:p>
      <w:pPr>
        <w:pStyle w:val="BodyText"/>
      </w:pPr>
      <w:r>
        <w:t xml:space="preserve">The loop is built around a feature of the documented failures: they were not isolated to one party. At Aiteo, an inherited undecommissioned well, the buyer’s missing well-control capability, and the regulator’s lack of any tool to test for it were present at the same time (Sections 4.3.1 and 4.3.6). A checklist that cleared each party in isolation would have passed the transaction, because each gap was not visible, within the consent process, to the party that might have caught it. A loop checks each role against what the others produce, so that a gap left open in one place has somewhere to be caught.</w:t>
      </w:r>
    </w:p>
    <w:p>
      <w:pPr>
        <w:pStyle w:val="BodyText"/>
      </w:pPr>
      <w:r>
        <w:t xml:space="preserve">The regulator’s role is a verification overlay rather than a party to the transfer. The transfer-process literature describes a bilateral exchange between seller and buyer (Ferreira et al., 2024); the third role rests on a different basis. It draws on the consent and fit-and-proper powers the regulator already holds (PIA Section 95; NUPRC Reg. 7), on the externality that places the cost of failure on parties outside the transaction (Section 5.3.4). It also rests on the practice of mature petroleum regulators that assess capability by demonstration rather than declaration, Norway through prequalification before entry and Alberta through assessment of both transferor and transferee at transfer (both developed in Section 5.5). The loop is shown in Figure 5.1.</w:t>
      </w:r>
    </w:p>
    <w:p>
      <w:pPr>
        <w:pStyle w:val="CaptionedFigure"/>
      </w:pPr>
      <w:r>
        <w:drawing>
          <wp:inline>
            <wp:extent cx="5486400" cy="4267635"/>
            <wp:effectExtent b="0" l="0" r="0" t="0"/>
            <wp:docPr descr="The capability assurance loop" title="" id="30" name="Picture"/>
            <a:graphic>
              <a:graphicData uri="http://schemas.openxmlformats.org/drawingml/2006/picture">
                <pic:pic>
                  <pic:nvPicPr>
                    <pic:cNvPr descr="Figure_5_1_capability_assurance_loop.png" id="31" name="Picture"/>
                    <pic:cNvPicPr>
                      <a:picLocks noChangeArrowheads="1" noChangeAspect="1"/>
                    </pic:cNvPicPr>
                  </pic:nvPicPr>
                  <pic:blipFill>
                    <a:blip r:embed="rId29"/>
                    <a:stretch>
                      <a:fillRect/>
                    </a:stretch>
                  </pic:blipFill>
                  <pic:spPr bwMode="auto">
                    <a:xfrm>
                      <a:off x="0" y="0"/>
                      <a:ext cx="5486400" cy="4267635"/>
                    </a:xfrm>
                    <a:prstGeom prst="rect">
                      <a:avLst/>
                    </a:prstGeom>
                    <a:noFill/>
                    <a:ln w="9525">
                      <a:noFill/>
                      <a:headEnd/>
                      <a:tailEnd/>
                    </a:ln>
                  </pic:spPr>
                </pic:pic>
              </a:graphicData>
            </a:graphic>
          </wp:inline>
        </w:drawing>
      </w:r>
    </w:p>
    <w:p>
      <w:pPr>
        <w:pStyle w:val="ImageCaption"/>
      </w:pPr>
      <w:r>
        <w:t xml:space="preserve">The capability assurance loop</w:t>
      </w:r>
    </w:p>
    <w:p>
      <w:pPr>
        <w:pStyle w:val="BodyText"/>
      </w:pPr>
      <w:r>
        <w:rPr>
          <w:bCs/>
          <w:b/>
        </w:rPr>
        <w:t xml:space="preserve">Figure 5.1.</w:t>
      </w:r>
      <w:r>
        <w:t xml:space="preserve"> </w:t>
      </w:r>
      <w:r>
        <w:t xml:space="preserve">The capability assurance loop. Seller disclosure, buyer absorption, and regulator verification act as three mutually constraining roles around the transferred asset. Weakness in any one role breaks the assurance, because the next role is left with nothing to act on.</w:t>
      </w:r>
    </w:p>
    <w:p>
      <w:pPr>
        <w:pStyle w:val="BodyText"/>
      </w:pPr>
      <w:r>
        <w:t xml:space="preserve">That is the structure of the loop, which role acts on what. Its dynamics are the complement: the same three roles are three balancing interventions on the degrading cycle of Figure 2.1. Mandatory seller disclosure closes the information gap at the point of sale; buyer absorption verification confirms the capability before handover; and the regulator’s verification mandate, with rule-based triggers, installs the requirement and restores the corrective signal the market does not send. Each intervention cuts a different link, and the degrading cycle is broken only when all three act together: a single intervention is unlikely to close it, which is why disclosure without verification, or verification without a buyer able to absorb, does not hold. Figure 5.2 places the three interventions on the same loop. Across the thesis the three figures form one sequence: Figure 2.1 sets out the failure equilibrium, Figure 5.1 the capability assurance loop that would close it, and Figure 5.2 the points at which the framework cuts that loop.</w:t>
      </w:r>
    </w:p>
    <w:p>
      <w:pPr>
        <w:pStyle w:val="CaptionedFigure"/>
      </w:pPr>
      <w:r>
        <w:drawing>
          <wp:inline>
            <wp:extent cx="5486400" cy="3828723"/>
            <wp:effectExtent b="0" l="0" r="0" t="0"/>
            <wp:docPr descr="Breaking the failure equilibrium" title="" id="33" name="Picture"/>
            <a:graphic>
              <a:graphicData uri="http://schemas.openxmlformats.org/drawingml/2006/picture">
                <pic:pic>
                  <pic:nvPicPr>
                    <pic:cNvPr descr="Figure_5_2_breaking_the_failure_equilibrium.png" id="34" name="Picture"/>
                    <pic:cNvPicPr>
                      <a:picLocks noChangeArrowheads="1" noChangeAspect="1"/>
                    </pic:cNvPicPr>
                  </pic:nvPicPr>
                  <pic:blipFill>
                    <a:blip r:embed="rId32"/>
                    <a:stretch>
                      <a:fillRect/>
                    </a:stretch>
                  </pic:blipFill>
                  <pic:spPr bwMode="auto">
                    <a:xfrm>
                      <a:off x="0" y="0"/>
                      <a:ext cx="5486400" cy="3828723"/>
                    </a:xfrm>
                    <a:prstGeom prst="rect">
                      <a:avLst/>
                    </a:prstGeom>
                    <a:noFill/>
                    <a:ln w="9525">
                      <a:noFill/>
                      <a:headEnd/>
                      <a:tailEnd/>
                    </a:ln>
                  </pic:spPr>
                </pic:pic>
              </a:graphicData>
            </a:graphic>
          </wp:inline>
        </w:drawing>
      </w:r>
    </w:p>
    <w:p>
      <w:pPr>
        <w:pStyle w:val="ImageCaption"/>
      </w:pPr>
      <w:r>
        <w:t xml:space="preserve">Breaking the failure equilibrium</w:t>
      </w:r>
    </w:p>
    <w:p>
      <w:pPr>
        <w:pStyle w:val="BodyText"/>
      </w:pPr>
      <w:r>
        <w:rPr>
          <w:bCs/>
          <w:b/>
        </w:rPr>
        <w:t xml:space="preserve">Figure 5.2.</w:t>
      </w:r>
      <w:r>
        <w:t xml:space="preserve"> </w:t>
      </w:r>
      <w:r>
        <w:t xml:space="preserve">Breaking the failure equilibrium. The degrading cycle of Figure 2.1, with the framework’s three roles acting as balancing interventions on different links. The loop is broken only when all three act together; any single intervention leaves the cycle intact.</w:t>
      </w:r>
    </w:p>
    <w:bookmarkEnd w:id="35"/>
    <w:bookmarkStart w:id="36" w:name="X32dfdebae0048a01a3ed4228f863e600a146eff"/>
    <w:p>
      <w:pPr>
        <w:pStyle w:val="Heading3"/>
      </w:pPr>
      <w:r>
        <w:t xml:space="preserve">5.4.2 Where Each Obligation Attaches Across the Transaction</w:t>
      </w:r>
    </w:p>
    <w:p>
      <w:pPr>
        <w:pStyle w:val="FirstParagraph"/>
      </w:pPr>
      <w:r>
        <w:t xml:space="preserve">The three roles act at different points, and the points follow the order in which knowledge actually moves between operators: before the transfer, during it, and after close (Ferreira et al., 2024). Five phases organize the obligations, two before the transfer commits, two through the transition, and one after close.</w:t>
      </w:r>
    </w:p>
    <w:p>
      <w:pPr>
        <w:pStyle w:val="BodyText"/>
      </w:pPr>
      <w:r>
        <w:t xml:space="preserve">Diagnosis comes first, before a buyer is committed. The seller discloses the asset’s condition and its embedded operating requirements, the integrity and incident history, the status of wells including any that are suspended or undecommissioned, and the catalogue of facilities and their state. This extends the due diligence the Assignment of Interest Regulations already require (Reg. 7) and the asset register that should accompany it, and it reaches the information a buyer cannot recover from a data room on its own. The case for it is direct: Aiteo inherited a suspended well at Santa Barbara, and the reviewed record does not show that its condition became an approval condition, a readiness test, or a verified handover obligation (Section 4.3.1).</w:t>
      </w:r>
    </w:p>
    <w:p>
      <w:pPr>
        <w:pStyle w:val="BodyText"/>
      </w:pPr>
      <w:r>
        <w:t xml:space="preserve">Transfer design follows, and it carries the most weight. The assignment and transfer agreement sets out what moves with the asset and what support the seller provides through the handover. These cover the retention or secondment of operating staff, the transfer of data and process knowledge, and a defined understudy period in which the buyer’s people work alongside those who hold the asset’s operating knowledge. These terms are mandatory in the design and beyond negotiation, because they are the elements a buyer cannot supply for itself after close, and the transfer-process evidence places them in its most-critical tier (Appendix G, criticality tiers). Nigeria’s content law already contemplates this support in its succession and technology-transfer provisions (NOGICD Section 31; Sections 43-47), written for a single operator’s workforce; the design binds them to the operatorship handover itself. The contract is the instrument for two reasons. The transfer-process evidence places contractual terms at the center of whether knowledge moves, reaching more operating elements than any other single factor (Ferreira et al., 2026). The operators that sustained performance had retained, brought, or contracted equivalent operating capability before performance depended on it (Sections 4.5.1 and 4.5.2).</w:t>
      </w:r>
    </w:p>
    <w:p>
      <w:pPr>
        <w:pStyle w:val="BodyText"/>
      </w:pPr>
      <w:r>
        <w:t xml:space="preserve">Readiness is tested during the transition, before operatorship passes. The buyer demonstrates that it can run this asset, not that it is competent in the abstract: a working well-control response capability, a safety-critical integrity backlog brought to a defined state, and an understudy handover completed rather than promised. The competency assessment can include the site visit the Regulations already permit (Reg. 7). What justifies it is the gap between paper and practice: a study of indigenous operating capacity found that firms passing a table-top assessment failed when their facilities were inspected (Oriaku et al., 2016). Aiteo’s unreadiness was visible in the suspended well it had not addressed.</w:t>
      </w:r>
    </w:p>
    <w:p>
      <w:pPr>
        <w:pStyle w:val="BodyText"/>
      </w:pPr>
      <w:r>
        <w:t xml:space="preserve">Verification closes the transaction. The regulator confirms the disclosed condition against the demonstrated capability and attaches conditions to consent where a gap remains, including financial security for decommissioning and for suspended wells (PIA Section 95; Sections 232-233). The contrast between two consents shows why: the regulator withheld approval of the SPDC divestment to Renaissance until it was satisfied on capability. The earlier transfer of OML 26 to a buyer whose backers were later convicted of fraud passed under the prior regime (Section 4.4.2).</w:t>
      </w:r>
    </w:p>
    <w:p>
      <w:pPr>
        <w:pStyle w:val="BodyText"/>
      </w:pPr>
      <w:r>
        <w:t xml:space="preserve">Enforcement continues after close. The regulator monitors the indicators that show whether capability held, for a defined initial period and then on a trigger basis. It combines leading measures that signal readiness before harm, drill completion, integrity-backlog closure, suspended-well monitoring, and audit close-out, with the lagging process-safety event rates that confirm it only once an incident has occurred. Where readiness is incomplete at close, operatorship can be staged instead of transferred whole, for instance through a phased transfer of operational responsibilities across the transition, with the detailed options left to Section 5.6. The financial security that backs decommissioning liability follows the principle Alberta applies, held within the existing Nigerian powers (PIA Sections 232-233; Section 95) rather than imported as foreign law. Monitoring earns its place because differentiated outcomes are observable only if they are measured, and the cost of an unmeasured failure falls on the communities and the state (Section 5.3.4).</w:t>
      </w:r>
    </w:p>
    <w:p>
      <w:pPr>
        <w:pStyle w:val="BodyText"/>
      </w:pPr>
      <w:r>
        <w:t xml:space="preserve">The seller’s duty in this design is bounded. It is to disclose fully and to support the transition for a defined period, typically measured in months, bounded well inside the life of the asset. Beyond that window, the seller is not held liable for the buyer’s operation.</w:t>
      </w:r>
    </w:p>
    <w:p>
      <w:pPr>
        <w:pStyle w:val="BodyText"/>
      </w:pPr>
      <w:r>
        <w:t xml:space="preserve">The obligations are not uniform in weight. The disclosures and transfer terms that only the seller can provide, and that the buyer cannot remedy after close, sit in the most-critical tier of the transfer-process evidence (Appendix G, criticality tiers), and these the design makes mandatory. Obligations the buyer can manage are scaled to the risk of the asset and the buyer, as developed in Section 5.6.</w:t>
      </w:r>
    </w:p>
    <w:bookmarkEnd w:id="36"/>
    <w:bookmarkStart w:id="37" w:name="the-bundle-by-capability-domain"/>
    <w:p>
      <w:pPr>
        <w:pStyle w:val="Heading3"/>
      </w:pPr>
      <w:r>
        <w:t xml:space="preserve">5.4.3 The Bundle, by Capability Domain</w:t>
      </w:r>
    </w:p>
    <w:p>
      <w:pPr>
        <w:pStyle w:val="FirstParagraph"/>
      </w:pPr>
      <w:r>
        <w:t xml:space="preserve">The bundle is organized in Table 5.3 by the capability domains defined in Section 5.2: the production and subsurface capability that sustains output, and the four process-safety pillars that sustain integrity. Each domain is paired with the corresponding seller, buyer, and regulator obligations, with the empirical finding and the legal hook that warrant it.</w:t>
      </w:r>
    </w:p>
    <w:p>
      <w:pPr>
        <w:pStyle w:val="BodyText"/>
      </w:pPr>
      <w:r>
        <w:t xml:space="preserve">The cases populate the columns. On the seller side, the inherited undecommissioned well, the absent blowout contingency plan, and the facility catalogue the divestment did not produce are what a disclosure obligation would have surfaced. On the buyer side, the operators that absorbed capability show what the column asks for. They are Seplat under Austin Avuru with Maurel et Prom, OML 30 under HEOSL with Salvic as technical operator, and the SPDC divestment to Renaissance, designed to preserve the operating capabilities, management systems, and staff of the outgoing operator. Renaissance is evidence that capability-preserving design is feasible and already emerging in practice; it is not yet evidence of outcome, because the transfer is recent. On the regulator side, the contrast between the decision to withhold the Renaissance consent until capability was satisfied and the earlier consent to a buyer it had no tool to test is what the verification column is built from. The column also draws on the finding that the response to the Aiteo blowout exceeded the operator’s internal capacity.</w:t>
      </w:r>
    </w:p>
    <w:p>
      <w:pPr>
        <w:pStyle w:val="BodyText"/>
      </w:pPr>
      <w:r>
        <w:rPr>
          <w:bCs/>
          <w:b/>
        </w:rPr>
        <w:t xml:space="preserve">Table 5.3. The capability bundle: what the seller discloses, the buyer absorbs, and the regulator verifies, by capability domain. Each row carries the empirical finding and the legal hook that warrant it; the full element-by-element trace is in Appendix G.</w:t>
      </w:r>
    </w:p>
    <w:tbl>
      <w:tblPr>
        <w:tblW w:type="auto" w:w="0"/>
        <w:tblLook w:firstColumn="1" w:firstRow="1" w:lastColumn="0" w:lastRow="0" w:noHBand="0" w:noVBand="1" w:val="04A0"/>
        <w:tblLayout w:type="fixed"/>
        <w:tblW w:type="dxa" w:w="8640"/>
      </w:tblPr>
      <w:tblGrid>
        <w:gridCol w:w="1075"/>
        <w:gridCol w:w="1851"/>
        <w:gridCol w:w="2091"/>
        <w:gridCol w:w="2011"/>
        <w:gridCol w:w="1612"/>
      </w:tblGrid>
      <w:tr>
        <w:tc>
          <w:tcPr>
            <w:tcW w:type="dxa" w:w="1728"/>
            <w:tcW w:type="dxa" w:w="1075"/>
            <w:tcBorders>
              <w:left w:val="nil"/>
              <w:right w:val="nil"/>
              <w:top w:val="single" w:sz="8" w:space="0" w:color="000000"/>
              <w:bottom w:val="single" w:sz="4" w:space="0" w:color="000000"/>
            </w:tcBorders>
          </w:tcPr>
          <w:p>
            <w:pPr>
              <w:spacing w:before="40" w:after="40" w:line="240" w:lineRule="auto"/>
            </w:pPr>
            <w:r>
              <w:rPr>
                <w:b/>
                <w:sz w:val="16"/>
              </w:rPr>
              <w:t>Capability domain</w:t>
            </w:r>
          </w:p>
        </w:tc>
        <w:tc>
          <w:tcPr>
            <w:tcW w:type="dxa" w:w="1728"/>
            <w:tcW w:type="dxa" w:w="1851"/>
            <w:tcBorders>
              <w:left w:val="nil"/>
              <w:right w:val="nil"/>
              <w:top w:val="single" w:sz="8" w:space="0" w:color="000000"/>
              <w:bottom w:val="single" w:sz="4" w:space="0" w:color="000000"/>
            </w:tcBorders>
          </w:tcPr>
          <w:p>
            <w:pPr>
              <w:spacing w:before="40" w:after="40" w:line="240" w:lineRule="auto"/>
            </w:pPr>
            <w:r>
              <w:rPr>
                <w:b/>
                <w:sz w:val="16"/>
              </w:rPr>
              <w:t>Seller discloses</w:t>
            </w:r>
          </w:p>
        </w:tc>
        <w:tc>
          <w:tcPr>
            <w:tcW w:type="dxa" w:w="1728"/>
            <w:tcW w:type="dxa" w:w="2091"/>
            <w:tcBorders>
              <w:left w:val="nil"/>
              <w:right w:val="nil"/>
              <w:top w:val="single" w:sz="8" w:space="0" w:color="000000"/>
              <w:bottom w:val="single" w:sz="4" w:space="0" w:color="000000"/>
            </w:tcBorders>
          </w:tcPr>
          <w:p>
            <w:pPr>
              <w:spacing w:before="40" w:after="40" w:line="240" w:lineRule="auto"/>
            </w:pPr>
            <w:r>
              <w:rPr>
                <w:b/>
                <w:sz w:val="16"/>
              </w:rPr>
              <w:t>Buyer absorbs</w:t>
            </w:r>
          </w:p>
        </w:tc>
        <w:tc>
          <w:tcPr>
            <w:tcW w:type="dxa" w:w="1728"/>
            <w:tcW w:type="dxa" w:w="2011"/>
            <w:tcBorders>
              <w:left w:val="nil"/>
              <w:right w:val="nil"/>
              <w:top w:val="single" w:sz="8" w:space="0" w:color="000000"/>
              <w:bottom w:val="single" w:sz="4" w:space="0" w:color="000000"/>
            </w:tcBorders>
          </w:tcPr>
          <w:p>
            <w:pPr>
              <w:spacing w:before="40" w:after="40" w:line="240" w:lineRule="auto"/>
            </w:pPr>
            <w:r>
              <w:rPr>
                <w:b/>
                <w:sz w:val="16"/>
              </w:rPr>
              <w:t>Regulator verifies</w:t>
            </w:r>
          </w:p>
        </w:tc>
        <w:tc>
          <w:tcPr>
            <w:tcW w:type="dxa" w:w="1728"/>
            <w:tcW w:type="dxa" w:w="1612"/>
            <w:tcBorders>
              <w:left w:val="nil"/>
              <w:right w:val="nil"/>
              <w:top w:val="single" w:sz="8" w:space="0" w:color="000000"/>
              <w:bottom w:val="single" w:sz="4" w:space="0" w:color="000000"/>
            </w:tcBorders>
          </w:tcPr>
          <w:p>
            <w:pPr>
              <w:spacing w:before="40" w:after="40" w:line="240" w:lineRule="auto"/>
            </w:pPr>
            <w:r>
              <w:rPr>
                <w:b/>
                <w:sz w:val="16"/>
              </w:rPr>
              <w:t>Warrant: empirical finding and legal hook</w:t>
            </w:r>
          </w:p>
        </w:tc>
      </w:tr>
      <w:tr>
        <w:tc>
          <w:tcPr>
            <w:tcW w:type="dxa" w:w="1728"/>
            <w:tcW w:type="dxa" w:w="1075"/>
            <w:tcBorders>
              <w:left w:val="nil"/>
              <w:right w:val="nil"/>
              <w:top w:val="nil"/>
              <w:bottom w:val="nil"/>
            </w:tcBorders>
          </w:tcPr>
          <w:p>
            <w:pPr>
              <w:spacing w:before="40" w:after="40" w:line="240" w:lineRule="auto"/>
            </w:pPr>
            <w:r>
              <w:rPr>
                <w:sz w:val="16"/>
              </w:rPr>
              <w:t>Production and subsurface operating capability</w:t>
            </w:r>
          </w:p>
        </w:tc>
        <w:tc>
          <w:tcPr>
            <w:tcW w:type="dxa" w:w="1728"/>
            <w:tcW w:type="dxa" w:w="1851"/>
            <w:tcBorders>
              <w:left w:val="nil"/>
              <w:right w:val="nil"/>
              <w:top w:val="nil"/>
              <w:bottom w:val="nil"/>
            </w:tcBorders>
          </w:tcPr>
          <w:p>
            <w:pPr>
              <w:spacing w:before="40" w:after="40" w:line="240" w:lineRule="auto"/>
            </w:pPr>
            <w:r>
              <w:rPr>
                <w:sz w:val="16"/>
              </w:rPr>
              <w:t>Reservoir and production history, subsurface models, intervention and decline records</w:t>
            </w:r>
          </w:p>
        </w:tc>
        <w:tc>
          <w:tcPr>
            <w:tcW w:type="dxa" w:w="1728"/>
            <w:tcW w:type="dxa" w:w="2091"/>
            <w:tcBorders>
              <w:left w:val="nil"/>
              <w:right w:val="nil"/>
              <w:top w:val="nil"/>
              <w:bottom w:val="nil"/>
            </w:tcBorders>
          </w:tcPr>
          <w:p>
            <w:pPr>
              <w:spacing w:before="40" w:after="40" w:line="240" w:lineRule="auto"/>
            </w:pPr>
            <w:r>
              <w:rPr>
                <w:sz w:val="16"/>
              </w:rPr>
              <w:t>Subsurface and production-operations competence, through a retained or equivalent team</w:t>
            </w:r>
          </w:p>
        </w:tc>
        <w:tc>
          <w:tcPr>
            <w:tcW w:type="dxa" w:w="1728"/>
            <w:tcW w:type="dxa" w:w="2011"/>
            <w:tcBorders>
              <w:left w:val="nil"/>
              <w:right w:val="nil"/>
              <w:top w:val="nil"/>
              <w:bottom w:val="nil"/>
            </w:tcBorders>
          </w:tcPr>
          <w:p>
            <w:pPr>
              <w:spacing w:before="40" w:after="40" w:line="240" w:lineRule="auto"/>
            </w:pPr>
            <w:r>
              <w:rPr>
                <w:sz w:val="16"/>
              </w:rPr>
              <w:t>Demonstrated production-operations readiness, and post-transfer production stability against the pre-transfer baseline, with theft and sabotage distinguished from operator performance</w:t>
            </w:r>
          </w:p>
        </w:tc>
        <w:tc>
          <w:tcPr>
            <w:tcW w:type="dxa" w:w="1728"/>
            <w:tcW w:type="dxa" w:w="1612"/>
            <w:tcBorders>
              <w:left w:val="nil"/>
              <w:right w:val="nil"/>
              <w:top w:val="nil"/>
              <w:bottom w:val="nil"/>
            </w:tcBorders>
          </w:tcPr>
          <w:p>
            <w:pPr>
              <w:spacing w:before="40" w:after="40" w:line="240" w:lineRule="auto"/>
            </w:pPr>
            <w:r>
              <w:rPr>
                <w:sz w:val="16"/>
              </w:rPr>
              <w:t>Absorbed operators sustained output where de novo operators did not (Section 4.5); Reg. 7(a) and 7(g); pillar 7</w:t>
            </w:r>
          </w:p>
        </w:tc>
      </w:tr>
      <w:tr>
        <w:tc>
          <w:tcPr>
            <w:tcW w:type="dxa" w:w="1728"/>
            <w:tcW w:type="dxa" w:w="1075"/>
            <w:tcBorders>
              <w:left w:val="nil"/>
              <w:right w:val="nil"/>
              <w:top w:val="nil"/>
              <w:bottom w:val="nil"/>
            </w:tcBorders>
          </w:tcPr>
          <w:p>
            <w:pPr>
              <w:spacing w:before="40" w:after="40" w:line="240" w:lineRule="auto"/>
            </w:pPr>
            <w:r>
              <w:rPr>
                <w:sz w:val="16"/>
              </w:rPr>
              <w:t>Commit to Process Safety (Pillar 1)</w:t>
            </w:r>
          </w:p>
        </w:tc>
        <w:tc>
          <w:tcPr>
            <w:tcW w:type="dxa" w:w="1728"/>
            <w:tcW w:type="dxa" w:w="1851"/>
            <w:tcBorders>
              <w:left w:val="nil"/>
              <w:right w:val="nil"/>
              <w:top w:val="nil"/>
              <w:bottom w:val="nil"/>
            </w:tcBorders>
          </w:tcPr>
          <w:p>
            <w:pPr>
              <w:spacing w:before="40" w:after="40" w:line="240" w:lineRule="auto"/>
            </w:pPr>
            <w:r>
              <w:rPr>
                <w:sz w:val="16"/>
              </w:rPr>
              <w:t>Safety management system, competency records, workforce-retention plan</w:t>
            </w:r>
          </w:p>
        </w:tc>
        <w:tc>
          <w:tcPr>
            <w:tcW w:type="dxa" w:w="1728"/>
            <w:tcW w:type="dxa" w:w="2091"/>
            <w:tcBorders>
              <w:left w:val="nil"/>
              <w:right w:val="nil"/>
              <w:top w:val="nil"/>
              <w:bottom w:val="nil"/>
            </w:tcBorders>
          </w:tcPr>
          <w:p>
            <w:pPr>
              <w:spacing w:before="40" w:after="40" w:line="240" w:lineRule="auto"/>
            </w:pPr>
            <w:r>
              <w:rPr>
                <w:sz w:val="16"/>
              </w:rPr>
              <w:t>Safety culture and competency, through retained staff and an understudy period</w:t>
            </w:r>
          </w:p>
        </w:tc>
        <w:tc>
          <w:tcPr>
            <w:tcW w:type="dxa" w:w="1728"/>
            <w:tcW w:type="dxa" w:w="2011"/>
            <w:tcBorders>
              <w:left w:val="nil"/>
              <w:right w:val="nil"/>
              <w:top w:val="nil"/>
              <w:bottom w:val="nil"/>
            </w:tcBorders>
          </w:tcPr>
          <w:p>
            <w:pPr>
              <w:spacing w:before="40" w:after="40" w:line="240" w:lineRule="auto"/>
            </w:pPr>
            <w:r>
              <w:rPr>
                <w:sz w:val="16"/>
              </w:rPr>
              <w:t>Corporate competency and director fitness, and the team-retention plan</w:t>
            </w:r>
          </w:p>
        </w:tc>
        <w:tc>
          <w:tcPr>
            <w:tcW w:type="dxa" w:w="1728"/>
            <w:tcW w:type="dxa" w:w="1612"/>
            <w:tcBorders>
              <w:left w:val="nil"/>
              <w:right w:val="nil"/>
              <w:top w:val="nil"/>
              <w:bottom w:val="nil"/>
            </w:tcBorders>
          </w:tcPr>
          <w:p>
            <w:pPr>
              <w:spacing w:before="40" w:after="40" w:line="240" w:lineRule="auto"/>
            </w:pPr>
            <w:r>
              <w:rPr>
                <w:sz w:val="16"/>
              </w:rPr>
              <w:t>Aiteo’s downstream-only leadership against Avuru and Salvic’s upstream pedigree (Sections 4.5.1-4.5.2); NOGICD Sections 29-31; Reg. 7(5)</w:t>
            </w:r>
          </w:p>
        </w:tc>
      </w:tr>
      <w:tr>
        <w:tc>
          <w:tcPr>
            <w:tcW w:type="dxa" w:w="1728"/>
            <w:tcW w:type="dxa" w:w="1075"/>
            <w:tcBorders>
              <w:left w:val="nil"/>
              <w:right w:val="nil"/>
              <w:top w:val="nil"/>
              <w:bottom w:val="nil"/>
            </w:tcBorders>
          </w:tcPr>
          <w:p>
            <w:pPr>
              <w:spacing w:before="40" w:after="40" w:line="240" w:lineRule="auto"/>
            </w:pPr>
            <w:r>
              <w:rPr>
                <w:sz w:val="16"/>
              </w:rPr>
              <w:t>Understand Hazards and Risks (Pillar 2)</w:t>
            </w:r>
          </w:p>
        </w:tc>
        <w:tc>
          <w:tcPr>
            <w:tcW w:type="dxa" w:w="1728"/>
            <w:tcW w:type="dxa" w:w="1851"/>
            <w:tcBorders>
              <w:left w:val="nil"/>
              <w:right w:val="nil"/>
              <w:top w:val="nil"/>
              <w:bottom w:val="nil"/>
            </w:tcBorders>
          </w:tcPr>
          <w:p>
            <w:pPr>
              <w:spacing w:before="40" w:after="40" w:line="240" w:lineRule="auto"/>
            </w:pPr>
            <w:r>
              <w:rPr>
                <w:sz w:val="16"/>
              </w:rPr>
              <w:t>Process knowledge, hazard analyses, asset data and databases</w:t>
            </w:r>
          </w:p>
        </w:tc>
        <w:tc>
          <w:tcPr>
            <w:tcW w:type="dxa" w:w="1728"/>
            <w:tcW w:type="dxa" w:w="2091"/>
            <w:tcBorders>
              <w:left w:val="nil"/>
              <w:right w:val="nil"/>
              <w:top w:val="nil"/>
              <w:bottom w:val="nil"/>
            </w:tcBorders>
          </w:tcPr>
          <w:p>
            <w:pPr>
              <w:spacing w:before="40" w:after="40" w:line="240" w:lineRule="auto"/>
            </w:pPr>
            <w:r>
              <w:rPr>
                <w:sz w:val="16"/>
              </w:rPr>
              <w:t>Process-knowledge management, through retained data and the people who held it</w:t>
            </w:r>
          </w:p>
        </w:tc>
        <w:tc>
          <w:tcPr>
            <w:tcW w:type="dxa" w:w="1728"/>
            <w:tcW w:type="dxa" w:w="2011"/>
            <w:tcBorders>
              <w:left w:val="nil"/>
              <w:right w:val="nil"/>
              <w:top w:val="nil"/>
              <w:bottom w:val="nil"/>
            </w:tcBorders>
          </w:tcPr>
          <w:p>
            <w:pPr>
              <w:spacing w:before="40" w:after="40" w:line="240" w:lineRule="auto"/>
            </w:pPr>
            <w:r>
              <w:rPr>
                <w:sz w:val="16"/>
              </w:rPr>
              <w:t>Data repatriation complete, hazard analyses current, and the asset’s crisis scenarios analyzed</w:t>
            </w:r>
          </w:p>
        </w:tc>
        <w:tc>
          <w:tcPr>
            <w:tcW w:type="dxa" w:w="1728"/>
            <w:tcW w:type="dxa" w:w="1612"/>
            <w:tcBorders>
              <w:left w:val="nil"/>
              <w:right w:val="nil"/>
              <w:top w:val="nil"/>
              <w:bottom w:val="nil"/>
            </w:tcBorders>
          </w:tcPr>
          <w:p>
            <w:pPr>
              <w:spacing w:before="40" w:after="40" w:line="240" w:lineRule="auto"/>
            </w:pPr>
            <w:r>
              <w:rPr>
                <w:sz w:val="16"/>
              </w:rPr>
              <w:t>The buyer could not assess embedded requirements from the data room (Section 4.3.3); Reg. 7(g); NOGICD Sections 43-47</w:t>
            </w:r>
          </w:p>
        </w:tc>
      </w:tr>
      <w:tr>
        <w:tc>
          <w:tcPr>
            <w:tcW w:type="dxa" w:w="1728"/>
            <w:tcW w:type="dxa" w:w="1075"/>
            <w:tcBorders>
              <w:left w:val="nil"/>
              <w:right w:val="nil"/>
              <w:top w:val="nil"/>
              <w:bottom w:val="nil"/>
            </w:tcBorders>
          </w:tcPr>
          <w:p>
            <w:pPr>
              <w:spacing w:before="40" w:after="40" w:line="240" w:lineRule="auto"/>
            </w:pPr>
            <w:r>
              <w:rPr>
                <w:sz w:val="16"/>
              </w:rPr>
              <w:t>Manage Risk (Pillar 3)</w:t>
            </w:r>
          </w:p>
        </w:tc>
        <w:tc>
          <w:tcPr>
            <w:tcW w:type="dxa" w:w="1728"/>
            <w:tcW w:type="dxa" w:w="1851"/>
            <w:tcBorders>
              <w:left w:val="nil"/>
              <w:right w:val="nil"/>
              <w:top w:val="nil"/>
              <w:bottom w:val="nil"/>
            </w:tcBorders>
          </w:tcPr>
          <w:p>
            <w:pPr>
              <w:spacing w:before="40" w:after="40" w:line="240" w:lineRule="auto"/>
            </w:pPr>
            <w:r>
              <w:rPr>
                <w:sz w:val="16"/>
              </w:rPr>
              <w:t>Operating procedures, integrity and maintenance records and backlogs, emergency plans, well status, contractor arrangements</w:t>
            </w:r>
          </w:p>
        </w:tc>
        <w:tc>
          <w:tcPr>
            <w:tcW w:type="dxa" w:w="1728"/>
            <w:tcW w:type="dxa" w:w="2091"/>
            <w:tcBorders>
              <w:left w:val="nil"/>
              <w:right w:val="nil"/>
              <w:top w:val="nil"/>
              <w:bottom w:val="nil"/>
            </w:tcBorders>
          </w:tcPr>
          <w:p>
            <w:pPr>
              <w:spacing w:before="40" w:after="40" w:line="240" w:lineRule="auto"/>
            </w:pPr>
            <w:r>
              <w:rPr>
                <w:sz w:val="16"/>
              </w:rPr>
              <w:t>Operating procedures, integrity management, emergency-response capability, contractor architecture</w:t>
            </w:r>
          </w:p>
        </w:tc>
        <w:tc>
          <w:tcPr>
            <w:tcW w:type="dxa" w:w="1728"/>
            <w:tcW w:type="dxa" w:w="2011"/>
            <w:tcBorders>
              <w:left w:val="nil"/>
              <w:right w:val="nil"/>
              <w:top w:val="nil"/>
              <w:bottom w:val="nil"/>
            </w:tcBorders>
          </w:tcPr>
          <w:p>
            <w:pPr>
              <w:spacing w:before="40" w:after="40" w:line="240" w:lineRule="auto"/>
            </w:pPr>
            <w:r>
              <w:rPr>
                <w:sz w:val="16"/>
              </w:rPr>
              <w:t>Asset-specific crisis readiness, a standing well-control arrangement, the integrity backlog, and security for suspended wells</w:t>
            </w:r>
          </w:p>
        </w:tc>
        <w:tc>
          <w:tcPr>
            <w:tcW w:type="dxa" w:w="1728"/>
            <w:tcW w:type="dxa" w:w="1612"/>
            <w:tcBorders>
              <w:left w:val="nil"/>
              <w:right w:val="nil"/>
              <w:top w:val="nil"/>
              <w:bottom w:val="nil"/>
            </w:tcBorders>
          </w:tcPr>
          <w:p>
            <w:pPr>
              <w:spacing w:before="40" w:after="40" w:line="240" w:lineRule="auto"/>
            </w:pPr>
            <w:r>
              <w:rPr>
                <w:sz w:val="16"/>
              </w:rPr>
              <w:t>Aiteo well-control readiness evidence: no contingency plan, no standing well-control contract, after-the-fact specialist engagement, and an undecommissioned well (Section 4.3.1, Section 4.3.6); Reg. 7(d); PIA Sections 232-233; pillar 4</w:t>
            </w:r>
          </w:p>
        </w:tc>
      </w:tr>
      <w:tr>
        <w:tc>
          <w:tcPr>
            <w:tcW w:type="dxa" w:w="1728"/>
            <w:tcW w:type="dxa" w:w="1075"/>
            <w:tcBorders>
              <w:left w:val="nil"/>
              <w:right w:val="nil"/>
              <w:top w:val="nil"/>
              <w:bottom w:val="single" w:sz="8" w:space="0" w:color="000000"/>
            </w:tcBorders>
          </w:tcPr>
          <w:p>
            <w:pPr>
              <w:spacing w:before="40" w:after="40" w:line="240" w:lineRule="auto"/>
            </w:pPr>
            <w:r>
              <w:rPr>
                <w:sz w:val="16"/>
              </w:rPr>
              <w:t>Learn from Experience (Pillar 4)</w:t>
            </w:r>
          </w:p>
        </w:tc>
        <w:tc>
          <w:tcPr>
            <w:tcW w:type="dxa" w:w="1728"/>
            <w:tcW w:type="dxa" w:w="1851"/>
            <w:tcBorders>
              <w:left w:val="nil"/>
              <w:right w:val="nil"/>
              <w:top w:val="nil"/>
              <w:bottom w:val="single" w:sz="8" w:space="0" w:color="000000"/>
            </w:tcBorders>
          </w:tcPr>
          <w:p>
            <w:pPr>
              <w:spacing w:before="40" w:after="40" w:line="240" w:lineRule="auto"/>
            </w:pPr>
            <w:r>
              <w:rPr>
                <w:sz w:val="16"/>
              </w:rPr>
              <w:t>Incident history, prior investigations, lessons learned, metrics</w:t>
            </w:r>
          </w:p>
        </w:tc>
        <w:tc>
          <w:tcPr>
            <w:tcW w:type="dxa" w:w="1728"/>
            <w:tcW w:type="dxa" w:w="2091"/>
            <w:tcBorders>
              <w:left w:val="nil"/>
              <w:right w:val="nil"/>
              <w:top w:val="nil"/>
              <w:bottom w:val="single" w:sz="8" w:space="0" w:color="000000"/>
            </w:tcBorders>
          </w:tcPr>
          <w:p>
            <w:pPr>
              <w:spacing w:before="40" w:after="40" w:line="240" w:lineRule="auto"/>
            </w:pPr>
            <w:r>
              <w:rPr>
                <w:sz w:val="16"/>
              </w:rPr>
              <w:t>Incident-investigation capability against the inherited history, and the metrics</w:t>
            </w:r>
          </w:p>
        </w:tc>
        <w:tc>
          <w:tcPr>
            <w:tcW w:type="dxa" w:w="1728"/>
            <w:tcW w:type="dxa" w:w="2011"/>
            <w:tcBorders>
              <w:left w:val="nil"/>
              <w:right w:val="nil"/>
              <w:top w:val="nil"/>
              <w:bottom w:val="single" w:sz="8" w:space="0" w:color="000000"/>
            </w:tcBorders>
          </w:tcPr>
          <w:p>
            <w:pPr>
              <w:spacing w:before="40" w:after="40" w:line="240" w:lineRule="auto"/>
            </w:pPr>
            <w:r>
              <w:rPr>
                <w:sz w:val="16"/>
              </w:rPr>
              <w:t>Post-close verification, leading indicators (drills, backlog closure, suspended-well monitoring, audit close-out) and lagging process-safety event rates</w:t>
            </w:r>
          </w:p>
        </w:tc>
        <w:tc>
          <w:tcPr>
            <w:tcW w:type="dxa" w:w="1728"/>
            <w:tcW w:type="dxa" w:w="1612"/>
            <w:tcBorders>
              <w:left w:val="nil"/>
              <w:right w:val="nil"/>
              <w:top w:val="nil"/>
              <w:bottom w:val="single" w:sz="8" w:space="0" w:color="000000"/>
            </w:tcBorders>
          </w:tcPr>
          <w:p>
            <w:pPr>
              <w:spacing w:before="40" w:after="40" w:line="240" w:lineRule="auto"/>
            </w:pPr>
            <w:r>
              <w:rPr>
                <w:sz w:val="16"/>
              </w:rPr>
              <w:t>Capability is observable only if measured; table-top assessment passed firms that site inspection failed (Oriaku et al., 2016); Reg. 7(4); IOGP Report 456</w:t>
            </w:r>
          </w:p>
        </w:tc>
      </w:tr>
    </w:tbl>
    <w:p>
      <w:pPr>
        <w:pStyle w:val="BodyText"/>
      </w:pPr>
      <w:r>
        <w:t xml:space="preserve">Footnote (below the table): In each row, the seller-disclosure and transfer-agreement obligations are mandatory: they are the elements the buyer cannot remedy after close, and they fall in the most-critical tier of the transfer-process evidence (Appendix G, criticality tiers). The buyer-absorption obligations are scaled to the risk of the asset and the buyer (Section 5.6).</w:t>
      </w:r>
    </w:p>
    <w:bookmarkEnd w:id="37"/>
    <w:bookmarkEnd w:id="38"/>
    <w:bookmarkStart w:id="42" w:name="X4a44896276a824e193c1a8ee129d9f71890807c"/>
    <w:p>
      <w:pPr>
        <w:pStyle w:val="Heading2"/>
      </w:pPr>
      <w:r>
        <w:t xml:space="preserve">5.5 Calibration: Existing Nigerian Rules and International Models</w:t>
      </w:r>
    </w:p>
    <w:p>
      <w:pPr>
        <w:pStyle w:val="FirstParagraph"/>
      </w:pPr>
      <w:r>
        <w:t xml:space="preserve">The design has precedent on both sides. NUPRC’s 2024 reforms already move in its direction, and the comparator regimes reviewed below require a buyer to show capability, fitness, or organizational capacity before they permit entry or a transfer. Where it goes beyond them is in seller-to-buyer continuity of operating knowledge, and in verification after close. Both points are established below, and from them follows a specification of the buyer’s own technical organization, which the next section develops alongside the proportionality that scales it.</w:t>
      </w:r>
    </w:p>
    <w:bookmarkStart w:id="39" w:name="the-domestic-foundation"/>
    <w:p>
      <w:pPr>
        <w:pStyle w:val="Heading3"/>
      </w:pPr>
      <w:r>
        <w:t xml:space="preserve">5.5.1 The Domestic Foundation</w:t>
      </w:r>
    </w:p>
    <w:p>
      <w:pPr>
        <w:pStyle w:val="FirstParagraph"/>
      </w:pPr>
      <w:r>
        <w:t xml:space="preserve">NUPRC’s 2024 reforms moved in the right direction, and the design here extends them, building on those reforms. The Nigeria Upstream Petroleum (Assignment of Interest) Regulations 2024 already require due diligence across technical capacity, financial capacity, decommissioning, host-community and environmental funds, labor relations, and data repatriation, and they permit site visits for competency evaluation (NUPRC Reg. 7). The reviewed pre-2024 consent regime did not require the operating-capability demonstrations the cases turn on: no blowout contingency review, no well-control demonstration, no HSE management-system assessment, no crisis-response or knowledge-transfer requirement. The 2024 pillars reach adjacent concerns directly and some operating-capability concerns indirectly, and the decommissioning escrow secured under them, more than US$400 million in 2024, is real progress (NUPRC, 2024).</w:t>
      </w:r>
    </w:p>
    <w:p>
      <w:pPr>
        <w:pStyle w:val="BodyText"/>
      </w:pPr>
      <w:r>
        <w:t xml:space="preserve">Specification and closure are achieved at four points. Reg. 7’s technical capacity, assessed largely at the corporate level, becomes a demonstration of asset-specific operating capability tied to the particular asset transferred. The discretionary competency visit becomes mandatory and asset-specific for higher-risk transfers. Data repatriation extends from a transfer of records into a structured disclosure of asset condition and operating history. And a seller-to-buyer transfer obligation and post-transfer verification, absent from the pillars, are added, applying the logic of NOGICD’s succession and technology-transfer provisions, written for a single operator’s workforce, to the operatorship handover itself (NOGICD Sections 31, 43-47).</w:t>
      </w:r>
    </w:p>
    <w:bookmarkEnd w:id="39"/>
    <w:bookmarkStart w:id="40" w:name="X725e3886ae2ba81e1aaaa09b029aa23cc13e736"/>
    <w:p>
      <w:pPr>
        <w:pStyle w:val="Heading3"/>
      </w:pPr>
      <w:r>
        <w:t xml:space="preserve">5.5.2 Demonstrated Capability in International Practice</w:t>
      </w:r>
    </w:p>
    <w:p>
      <w:pPr>
        <w:pStyle w:val="FirstParagraph"/>
      </w:pPr>
      <w:r>
        <w:t xml:space="preserve">Three comparator petroleum regulators assess operating capability before they permit a transfer, and all three require evidence beyond self-declaration, though they differ in how directly they test operational capability. The claim is narrow and comparative: requiring a buyer to show it can run an asset is not a novel demand in petroleum regulation.</w:t>
      </w:r>
    </w:p>
    <w:p>
      <w:pPr>
        <w:pStyle w:val="BodyText"/>
      </w:pPr>
      <w:r>
        <w:t xml:space="preserve">The United Kingdom’s North Sea Transition Authority requires the buyer and seller to prepare a capability pack, setting out the buyer’s financial and technical capability, before it consents to a license assignment. It also assesses the fitness of a licensee and of those who control it, including the incoming directors, whenever a licensee takes on a new commitment. It holds a standing power to require a change of control, or to revoke a license, where control passes to an unfit holder (NSTA, 2023). Fitness, in the UK system, is a continuing criterion rather than a one-time check.</w:t>
      </w:r>
    </w:p>
    <w:p>
      <w:pPr>
        <w:pStyle w:val="BodyText"/>
      </w:pPr>
      <w:r>
        <w:t xml:space="preserve">Norway is more demanding on organization. A company cannot hold a license or operate on the Norwegian continental shelf until it is prequalified. Prequalification requires it to document technical petroleum competence, health and safety competence, and financial strength, assessed jointly by the Norwegian Offshore Directorate and Havtil through meetings and site visits (Havtil. Norwegian Offshore Directorate). The Petroleum Act requires a competent organization inside Norway: licensees must keep technical staff in the country able to follow the activity. Operators must maintain an in-country organization capable of discharging the operator’s duties, a materially higher bar than the one set for a licensee (Norwegian Petroleum Act). Capability is assessed at entry and supervised continuously after it.</w:t>
      </w:r>
    </w:p>
    <w:p>
      <w:pPr>
        <w:pStyle w:val="BodyText"/>
      </w:pPr>
      <w:r>
        <w:t xml:space="preserve">Alberta assesses both parties to a transfer before it approves one. Under the Licensee Life-Cycle Management framework introduced in 2021, the regulator runs a multifactor licensee capability assessment that weighs financial health, liability, and closure performance, and uses it to decide eligibility to hold a license and the security required on a transfer (AER, Directive 088). The framework ties the security a transferee must post to that assessment and sets mandatory closure-spend targets, keeping decommissioning capacity in step with the liability a licensee carries.</w:t>
      </w:r>
    </w:p>
    <w:p>
      <w:pPr>
        <w:pStyle w:val="BodyText"/>
      </w:pPr>
      <w:r>
        <w:t xml:space="preserve">These three regimes differ in emphasis, and each is built for its own setting. None, as reviewed here, combines asset-specific crisis-readiness verification for the particular asset, an obligation to provide for continuity of operating knowledge through retention, secondment, transition services, or equivalent technical support, and post-transfer verification, in the form the Nigerian cases require. They assess a buyer’s corporate and financial capability, and Norway and Alberta supervise it over time, but the combination Nigerian conditions call for is not found in any one of them. The comparison, and what the framework draws from each regime and adds beyond them, is set out in Table 5.4.</w:t>
      </w:r>
    </w:p>
    <w:p>
      <w:pPr>
        <w:pStyle w:val="BodyText"/>
      </w:pPr>
      <w:r>
        <w:rPr>
          <w:bCs/>
          <w:b/>
        </w:rPr>
        <w:t xml:space="preserve">Table 5.4. Capability assessment as a condition of transfer across four petroleum regimes, and what the proposed framework draws from them and adds. Every regime assesses a buyer’s capability before transfer; the framework extends that practice by requiring asset-specific operating and crisis readiness, seller-to-buyer continuity of operating knowledge, and verification after transfer, none of which the comparators require.</w:t>
      </w:r>
    </w:p>
    <w:tbl>
      <w:tblPr>
        <w:tblW w:type="auto" w:w="0"/>
        <w:tblLook w:firstColumn="1" w:firstRow="1" w:lastColumn="0" w:lastRow="0" w:noHBand="0" w:noVBand="1" w:val="04A0"/>
        <w:tblLayout w:type="fixed"/>
        <w:tblW w:type="dxa" w:w="8640"/>
      </w:tblPr>
      <w:tblGrid>
        <w:gridCol w:w="1274"/>
        <w:gridCol w:w="2395"/>
        <w:gridCol w:w="2215"/>
        <w:gridCol w:w="2756"/>
      </w:tblGrid>
      <w:tr>
        <w:tc>
          <w:tcPr>
            <w:tcW w:type="dxa" w:w="2160"/>
            <w:tcW w:type="dxa" w:w="1274"/>
            <w:tcBorders>
              <w:left w:val="nil"/>
              <w:right w:val="nil"/>
              <w:top w:val="single" w:sz="8" w:space="0" w:color="000000"/>
              <w:bottom w:val="single" w:sz="4" w:space="0" w:color="000000"/>
            </w:tcBorders>
          </w:tcPr>
          <w:p>
            <w:pPr>
              <w:spacing w:before="40" w:after="40" w:line="240" w:lineRule="auto"/>
            </w:pPr>
            <w:r>
              <w:rPr>
                <w:b/>
                <w:sz w:val="18"/>
              </w:rPr>
              <w:t>Regime</w:t>
            </w:r>
          </w:p>
        </w:tc>
        <w:tc>
          <w:tcPr>
            <w:tcW w:type="dxa" w:w="2160"/>
            <w:tcW w:type="dxa" w:w="2395"/>
            <w:tcBorders>
              <w:left w:val="nil"/>
              <w:right w:val="nil"/>
              <w:top w:val="single" w:sz="8" w:space="0" w:color="000000"/>
              <w:bottom w:val="single" w:sz="4" w:space="0" w:color="000000"/>
            </w:tcBorders>
          </w:tcPr>
          <w:p>
            <w:pPr>
              <w:spacing w:before="40" w:after="40" w:line="240" w:lineRule="auto"/>
            </w:pPr>
            <w:r>
              <w:rPr>
                <w:b/>
                <w:sz w:val="18"/>
              </w:rPr>
              <w:t>Capability assessed before transfer</w:t>
            </w:r>
          </w:p>
        </w:tc>
        <w:tc>
          <w:tcPr>
            <w:tcW w:type="dxa" w:w="2160"/>
            <w:tcW w:type="dxa" w:w="2215"/>
            <w:tcBorders>
              <w:left w:val="nil"/>
              <w:right w:val="nil"/>
              <w:top w:val="single" w:sz="8" w:space="0" w:color="000000"/>
              <w:bottom w:val="single" w:sz="4" w:space="0" w:color="000000"/>
            </w:tcBorders>
          </w:tcPr>
          <w:p>
            <w:pPr>
              <w:spacing w:before="40" w:after="40" w:line="240" w:lineRule="auto"/>
            </w:pPr>
            <w:r>
              <w:rPr>
                <w:b/>
                <w:sz w:val="18"/>
              </w:rPr>
              <w:t>Form of the assessment</w:t>
            </w:r>
          </w:p>
        </w:tc>
        <w:tc>
          <w:tcPr>
            <w:tcW w:type="dxa" w:w="2160"/>
            <w:tcW w:type="dxa" w:w="2756"/>
            <w:tcBorders>
              <w:left w:val="nil"/>
              <w:right w:val="nil"/>
              <w:top w:val="single" w:sz="8" w:space="0" w:color="000000"/>
              <w:bottom w:val="single" w:sz="4" w:space="0" w:color="000000"/>
            </w:tcBorders>
          </w:tcPr>
          <w:p>
            <w:pPr>
              <w:spacing w:before="40" w:after="40" w:line="240" w:lineRule="auto"/>
            </w:pPr>
            <w:r>
              <w:rPr>
                <w:b/>
                <w:sz w:val="18"/>
              </w:rPr>
              <w:t>Continuing after transfer</w:t>
            </w:r>
          </w:p>
        </w:tc>
      </w:tr>
      <w:tr>
        <w:tc>
          <w:tcPr>
            <w:tcW w:type="dxa" w:w="2160"/>
            <w:tcW w:type="dxa" w:w="1274"/>
            <w:tcBorders>
              <w:left w:val="nil"/>
              <w:right w:val="nil"/>
              <w:top w:val="nil"/>
              <w:bottom w:val="nil"/>
            </w:tcBorders>
          </w:tcPr>
          <w:p>
            <w:pPr>
              <w:spacing w:before="40" w:after="40" w:line="240" w:lineRule="auto"/>
            </w:pPr>
            <w:r>
              <w:rPr>
                <w:sz w:val="18"/>
              </w:rPr>
              <w:t>NUPRC, Nigeria (2024)</w:t>
            </w:r>
          </w:p>
        </w:tc>
        <w:tc>
          <w:tcPr>
            <w:tcW w:type="dxa" w:w="2160"/>
            <w:tcW w:type="dxa" w:w="2395"/>
            <w:tcBorders>
              <w:left w:val="nil"/>
              <w:right w:val="nil"/>
              <w:top w:val="nil"/>
              <w:bottom w:val="nil"/>
            </w:tcBorders>
          </w:tcPr>
          <w:p>
            <w:pPr>
              <w:spacing w:before="40" w:after="40" w:line="240" w:lineRule="auto"/>
            </w:pPr>
            <w:r>
              <w:rPr>
                <w:sz w:val="18"/>
              </w:rPr>
              <w:t>Seven-pillar due diligence: corporate technical capacity, financials, decommissioning, host-community and environmental funds, labor, data repatriation (Reg. 7)</w:t>
            </w:r>
          </w:p>
        </w:tc>
        <w:tc>
          <w:tcPr>
            <w:tcW w:type="dxa" w:w="2160"/>
            <w:tcW w:type="dxa" w:w="2215"/>
            <w:tcBorders>
              <w:left w:val="nil"/>
              <w:right w:val="nil"/>
              <w:top w:val="nil"/>
              <w:bottom w:val="nil"/>
            </w:tcBorders>
          </w:tcPr>
          <w:p>
            <w:pPr>
              <w:spacing w:before="40" w:after="40" w:line="240" w:lineRule="auto"/>
            </w:pPr>
            <w:r>
              <w:rPr>
                <w:sz w:val="18"/>
              </w:rPr>
              <w:t>Documentary; competency site visit permitted but discretionary</w:t>
            </w:r>
          </w:p>
        </w:tc>
        <w:tc>
          <w:tcPr>
            <w:tcW w:type="dxa" w:w="2160"/>
            <w:tcW w:type="dxa" w:w="2756"/>
            <w:tcBorders>
              <w:left w:val="nil"/>
              <w:right w:val="nil"/>
              <w:top w:val="nil"/>
              <w:bottom w:val="nil"/>
            </w:tcBorders>
          </w:tcPr>
          <w:p>
            <w:pPr>
              <w:spacing w:before="40" w:after="40" w:line="240" w:lineRule="auto"/>
            </w:pPr>
            <w:r>
              <w:rPr>
                <w:sz w:val="18"/>
              </w:rPr>
              <w:t>Decommissioning escrow; no mandatory post-transfer asset-specific operating-capability verification</w:t>
            </w:r>
          </w:p>
        </w:tc>
      </w:tr>
      <w:tr>
        <w:tc>
          <w:tcPr>
            <w:tcW w:type="dxa" w:w="2160"/>
            <w:tcW w:type="dxa" w:w="1274"/>
            <w:tcBorders>
              <w:left w:val="nil"/>
              <w:right w:val="nil"/>
              <w:top w:val="nil"/>
              <w:bottom w:val="nil"/>
            </w:tcBorders>
          </w:tcPr>
          <w:p>
            <w:pPr>
              <w:spacing w:before="40" w:after="40" w:line="240" w:lineRule="auto"/>
            </w:pPr>
            <w:r>
              <w:rPr>
                <w:sz w:val="18"/>
              </w:rPr>
              <w:t>United Kingdom (NSTA)</w:t>
            </w:r>
          </w:p>
        </w:tc>
        <w:tc>
          <w:tcPr>
            <w:tcW w:type="dxa" w:w="2160"/>
            <w:tcW w:type="dxa" w:w="2395"/>
            <w:tcBorders>
              <w:left w:val="nil"/>
              <w:right w:val="nil"/>
              <w:top w:val="nil"/>
              <w:bottom w:val="nil"/>
            </w:tcBorders>
          </w:tcPr>
          <w:p>
            <w:pPr>
              <w:spacing w:before="40" w:after="40" w:line="240" w:lineRule="auto"/>
            </w:pPr>
            <w:r>
              <w:rPr>
                <w:sz w:val="18"/>
              </w:rPr>
              <w:t>Buyer’s financial and technical capability via a capability pack; fitness of directors and controllers</w:t>
            </w:r>
          </w:p>
        </w:tc>
        <w:tc>
          <w:tcPr>
            <w:tcW w:type="dxa" w:w="2160"/>
            <w:tcW w:type="dxa" w:w="2215"/>
            <w:tcBorders>
              <w:left w:val="nil"/>
              <w:right w:val="nil"/>
              <w:top w:val="nil"/>
              <w:bottom w:val="nil"/>
            </w:tcBorders>
          </w:tcPr>
          <w:p>
            <w:pPr>
              <w:spacing w:before="40" w:after="40" w:line="240" w:lineRule="auto"/>
            </w:pPr>
            <w:r>
              <w:rPr>
                <w:sz w:val="18"/>
              </w:rPr>
              <w:t>Documentary capability pack plus a fitness assessment</w:t>
            </w:r>
          </w:p>
        </w:tc>
        <w:tc>
          <w:tcPr>
            <w:tcW w:type="dxa" w:w="2160"/>
            <w:tcW w:type="dxa" w:w="2756"/>
            <w:tcBorders>
              <w:left w:val="nil"/>
              <w:right w:val="nil"/>
              <w:top w:val="nil"/>
              <w:bottom w:val="nil"/>
            </w:tcBorders>
          </w:tcPr>
          <w:p>
            <w:pPr>
              <w:spacing w:before="40" w:after="40" w:line="240" w:lineRule="auto"/>
            </w:pPr>
            <w:r>
              <w:rPr>
                <w:sz w:val="18"/>
              </w:rPr>
              <w:t>Fitness a standing criterion; power to require a change of control or revoke</w:t>
            </w:r>
          </w:p>
        </w:tc>
      </w:tr>
      <w:tr>
        <w:tc>
          <w:tcPr>
            <w:tcW w:type="dxa" w:w="2160"/>
            <w:tcW w:type="dxa" w:w="1274"/>
            <w:tcBorders>
              <w:left w:val="nil"/>
              <w:right w:val="nil"/>
              <w:top w:val="nil"/>
              <w:bottom w:val="nil"/>
            </w:tcBorders>
          </w:tcPr>
          <w:p>
            <w:pPr>
              <w:spacing w:before="40" w:after="40" w:line="240" w:lineRule="auto"/>
            </w:pPr>
            <w:r>
              <w:rPr>
                <w:sz w:val="18"/>
              </w:rPr>
              <w:t>Norway (NOD and Havtil)</w:t>
            </w:r>
          </w:p>
        </w:tc>
        <w:tc>
          <w:tcPr>
            <w:tcW w:type="dxa" w:w="2160"/>
            <w:tcW w:type="dxa" w:w="2395"/>
            <w:tcBorders>
              <w:left w:val="nil"/>
              <w:right w:val="nil"/>
              <w:top w:val="nil"/>
              <w:bottom w:val="nil"/>
            </w:tcBorders>
          </w:tcPr>
          <w:p>
            <w:pPr>
              <w:spacing w:before="40" w:after="40" w:line="240" w:lineRule="auto"/>
            </w:pPr>
            <w:r>
              <w:rPr>
                <w:sz w:val="18"/>
              </w:rPr>
              <w:t>Prequalification for technical, HSE, and financial competence; a competent in-country organization</w:t>
            </w:r>
          </w:p>
        </w:tc>
        <w:tc>
          <w:tcPr>
            <w:tcW w:type="dxa" w:w="2160"/>
            <w:tcW w:type="dxa" w:w="2215"/>
            <w:tcBorders>
              <w:left w:val="nil"/>
              <w:right w:val="nil"/>
              <w:top w:val="nil"/>
              <w:bottom w:val="nil"/>
            </w:tcBorders>
          </w:tcPr>
          <w:p>
            <w:pPr>
              <w:spacing w:before="40" w:after="40" w:line="240" w:lineRule="auto"/>
            </w:pPr>
            <w:r>
              <w:rPr>
                <w:sz w:val="18"/>
              </w:rPr>
              <w:t>Joint meetings and site visits</w:t>
            </w:r>
          </w:p>
        </w:tc>
        <w:tc>
          <w:tcPr>
            <w:tcW w:type="dxa" w:w="2160"/>
            <w:tcW w:type="dxa" w:w="2756"/>
            <w:tcBorders>
              <w:left w:val="nil"/>
              <w:right w:val="nil"/>
              <w:top w:val="nil"/>
              <w:bottom w:val="nil"/>
            </w:tcBorders>
          </w:tcPr>
          <w:p>
            <w:pPr>
              <w:spacing w:before="40" w:after="40" w:line="240" w:lineRule="auto"/>
            </w:pPr>
            <w:r>
              <w:rPr>
                <w:sz w:val="18"/>
              </w:rPr>
              <w:t>Continuous supervision; in-country organization maintained</w:t>
            </w:r>
          </w:p>
        </w:tc>
      </w:tr>
      <w:tr>
        <w:tc>
          <w:tcPr>
            <w:tcW w:type="dxa" w:w="2160"/>
            <w:tcW w:type="dxa" w:w="1274"/>
            <w:tcBorders>
              <w:left w:val="nil"/>
              <w:right w:val="nil"/>
              <w:top w:val="nil"/>
              <w:bottom w:val="nil"/>
            </w:tcBorders>
          </w:tcPr>
          <w:p>
            <w:pPr>
              <w:spacing w:before="40" w:after="40" w:line="240" w:lineRule="auto"/>
            </w:pPr>
            <w:r>
              <w:rPr>
                <w:sz w:val="18"/>
              </w:rPr>
              <w:t>Alberta (AER)</w:t>
            </w:r>
          </w:p>
        </w:tc>
        <w:tc>
          <w:tcPr>
            <w:tcW w:type="dxa" w:w="2160"/>
            <w:tcW w:type="dxa" w:w="2395"/>
            <w:tcBorders>
              <w:left w:val="nil"/>
              <w:right w:val="nil"/>
              <w:top w:val="nil"/>
              <w:bottom w:val="nil"/>
            </w:tcBorders>
          </w:tcPr>
          <w:p>
            <w:pPr>
              <w:spacing w:before="40" w:after="40" w:line="240" w:lineRule="auto"/>
            </w:pPr>
            <w:r>
              <w:rPr>
                <w:sz w:val="18"/>
              </w:rPr>
              <w:t>Multifactor licensee capability assessment of financial health, liability, and closure performance (Directive 088)</w:t>
            </w:r>
          </w:p>
        </w:tc>
        <w:tc>
          <w:tcPr>
            <w:tcW w:type="dxa" w:w="2160"/>
            <w:tcW w:type="dxa" w:w="2215"/>
            <w:tcBorders>
              <w:left w:val="nil"/>
              <w:right w:val="nil"/>
              <w:top w:val="nil"/>
              <w:bottom w:val="nil"/>
            </w:tcBorders>
          </w:tcPr>
          <w:p>
            <w:pPr>
              <w:spacing w:before="40" w:after="40" w:line="240" w:lineRule="auto"/>
            </w:pPr>
            <w:r>
              <w:rPr>
                <w:sz w:val="18"/>
              </w:rPr>
              <w:t>Assessment of the transferee’s record and finances</w:t>
            </w:r>
          </w:p>
        </w:tc>
        <w:tc>
          <w:tcPr>
            <w:tcW w:type="dxa" w:w="2160"/>
            <w:tcW w:type="dxa" w:w="2756"/>
            <w:tcBorders>
              <w:left w:val="nil"/>
              <w:right w:val="nil"/>
              <w:top w:val="nil"/>
              <w:bottom w:val="nil"/>
            </w:tcBorders>
          </w:tcPr>
          <w:p>
            <w:pPr>
              <w:spacing w:before="40" w:after="40" w:line="240" w:lineRule="auto"/>
            </w:pPr>
            <w:r>
              <w:rPr>
                <w:sz w:val="18"/>
              </w:rPr>
              <w:t>Lifecycle monitoring; security tied to liability; mandatory closure-spend targets</w:t>
            </w:r>
          </w:p>
        </w:tc>
      </w:tr>
      <w:tr>
        <w:tc>
          <w:tcPr>
            <w:tcW w:type="dxa" w:w="2160"/>
            <w:tcW w:type="dxa" w:w="1274"/>
            <w:tcBorders>
              <w:left w:val="nil"/>
              <w:right w:val="nil"/>
              <w:top w:val="nil"/>
              <w:bottom w:val="single" w:sz="8" w:space="0" w:color="000000"/>
            </w:tcBorders>
          </w:tcPr>
          <w:p>
            <w:pPr>
              <w:spacing w:before="40" w:after="40" w:line="240" w:lineRule="auto"/>
            </w:pPr>
            <w:r>
              <w:rPr>
                <w:sz w:val="18"/>
              </w:rPr>
              <w:t>Proposed framework (Nigeria)</w:t>
            </w:r>
          </w:p>
        </w:tc>
        <w:tc>
          <w:tcPr>
            <w:tcW w:type="dxa" w:w="2160"/>
            <w:tcW w:type="dxa" w:w="2395"/>
            <w:tcBorders>
              <w:left w:val="nil"/>
              <w:right w:val="nil"/>
              <w:top w:val="nil"/>
              <w:bottom w:val="single" w:sz="8" w:space="0" w:color="000000"/>
            </w:tcBorders>
          </w:tcPr>
          <w:p>
            <w:pPr>
              <w:spacing w:before="40" w:after="40" w:line="240" w:lineRule="auto"/>
            </w:pPr>
            <w:r>
              <w:rPr>
                <w:sz w:val="18"/>
              </w:rPr>
              <w:t>Asset-specific operating and crisis readiness for the particular asset; seller-to-buyer continuity of operating knowledge; buyer absorptive capacity</w:t>
            </w:r>
          </w:p>
        </w:tc>
        <w:tc>
          <w:tcPr>
            <w:tcW w:type="dxa" w:w="2160"/>
            <w:tcW w:type="dxa" w:w="2215"/>
            <w:tcBorders>
              <w:left w:val="nil"/>
              <w:right w:val="nil"/>
              <w:top w:val="nil"/>
              <w:bottom w:val="single" w:sz="8" w:space="0" w:color="000000"/>
            </w:tcBorders>
          </w:tcPr>
          <w:p>
            <w:pPr>
              <w:spacing w:before="40" w:after="40" w:line="240" w:lineRule="auto"/>
            </w:pPr>
            <w:r>
              <w:rPr>
                <w:sz w:val="18"/>
              </w:rPr>
              <w:t>Mandatory asset-specific demonstration and site verification for higher-risk transfers</w:t>
            </w:r>
          </w:p>
        </w:tc>
        <w:tc>
          <w:tcPr>
            <w:tcW w:type="dxa" w:w="2160"/>
            <w:tcW w:type="dxa" w:w="2756"/>
            <w:tcBorders>
              <w:left w:val="nil"/>
              <w:right w:val="nil"/>
              <w:top w:val="nil"/>
              <w:bottom w:val="single" w:sz="8" w:space="0" w:color="000000"/>
            </w:tcBorders>
          </w:tcPr>
          <w:p>
            <w:pPr>
              <w:spacing w:before="40" w:after="40" w:line="240" w:lineRule="auto"/>
            </w:pPr>
            <w:r>
              <w:rPr>
                <w:sz w:val="18"/>
              </w:rPr>
              <w:t>Leading and lagging integrity verification after transfer</w:t>
            </w:r>
          </w:p>
        </w:tc>
      </w:tr>
    </w:tbl>
    <w:bookmarkEnd w:id="40"/>
    <w:bookmarkStart w:id="41" w:name="the-limits-of-voluntary-standards"/>
    <w:p>
      <w:pPr>
        <w:pStyle w:val="Heading3"/>
      </w:pPr>
      <w:r>
        <w:t xml:space="preserve">5.5.3 The Limits of Voluntary Standards</w:t>
      </w:r>
    </w:p>
    <w:p>
      <w:pPr>
        <w:pStyle w:val="FirstParagraph"/>
      </w:pPr>
      <w:r>
        <w:t xml:space="preserve">The technical content of operating capability is already codified. The International Association of Oil and Gas Producers and IPIECA publish an operating-management-system framework (IOGP Reports 510 and 511), asset-integrity guidance (IOGP Report 415), and process-safety performance indicators (IOGP Report 456) that describe, in detail, what a competent operator does. The gap is not the content; it is the delivery. These standards are voluntary, internal to a single operator, and silent on the moment of transfer, and their adoption depends on the buyer, including the buyers whose capability is the very thing in question. That gap is closed by mandating through existing hooks what the standards recommend, by naming them as the buyer’s integrity-management benchmark, and by using their process-safety event rates, the Tier 1 and Tier 2 indicators, as lagging post-transfer metrics. These are paired with leading indicators that signal readiness before harm: readiness-drill completion, well-control-contract status, integrity-backlog closure, suspended-well monitoring, management-of-change compliance, near-miss reporting quality, and audit close-out. A voluntary standard becomes an enforceable condition only when a regulator attaches it to consent.</w:t>
      </w:r>
    </w:p>
    <w:p>
      <w:pPr>
        <w:pStyle w:val="BodyText"/>
      </w:pPr>
      <w:r>
        <w:t xml:space="preserve">The calibration is therefore two-sided. The gate installed here has precedent in Nigerian law and in the comparator regimes, and where it reaches further, into seller-to-buyer transfer and post-transfer verification, it does so to close a gap those regimes leave open. The comparator models also specify what the buyer’s own organization must look like, an accountable operating entity, an inspectable in-country organization, fit controllers, and a qualified technical operator where in-house depth is absent. Those requirements are developed in Section 5.6, together with the proportionality that scales them to the asset and the buyer.</w:t>
      </w:r>
    </w:p>
    <w:bookmarkEnd w:id="41"/>
    <w:bookmarkEnd w:id="42"/>
    <w:bookmarkStart w:id="46" w:name="proportionality-and-structural-levers"/>
    <w:p>
      <w:pPr>
        <w:pStyle w:val="Heading2"/>
      </w:pPr>
      <w:r>
        <w:t xml:space="preserve">5.6 Proportionality and Structural Levers</w:t>
      </w:r>
    </w:p>
    <w:p>
      <w:pPr>
        <w:pStyle w:val="FirstParagraph"/>
      </w:pPr>
      <w:r>
        <w:t xml:space="preserve">A uniform requirement would be the wrong design. What is asked of a buyer scales with two variables: the hazard the asset presents and the operating capability the buyer brings to it. A buyer with demonstrated comparable capability acquiring a low-hazard asset needs little beyond confirmation of what it already holds; a de novo buyer acquiring an asset with suspended wells, an evacuation dependency, and dense community exposure needs the full apparatus. The cross-case evidence defines the variables, and the obligations fall most heavily where the process-safety criticality is greatest (Ferreira et al., 2026). The requirements enforced at the gate, the risk tiers that scale them, and the structural levers that carry them into a transaction are set out below.</w:t>
      </w:r>
    </w:p>
    <w:bookmarkStart w:id="43" w:name="requirements-for-the-buyers-organization"/>
    <w:p>
      <w:pPr>
        <w:pStyle w:val="Heading3"/>
      </w:pPr>
      <w:r>
        <w:t xml:space="preserve">5.6.1 Requirements for the Buyer’s Organization</w:t>
      </w:r>
    </w:p>
    <w:p>
      <w:pPr>
        <w:pStyle w:val="FirstParagraph"/>
      </w:pPr>
      <w:r>
        <w:t xml:space="preserve">The comparator regimes do more than assess capability elsewhere; they provide a template for an acquirer’s operating organization, and the case evidence populates it. Four requirements follow, and their intensity scales with the asset’s hazard and the buyer’s profile in the way the next subsection sets out.</w:t>
      </w:r>
    </w:p>
    <w:p>
      <w:pPr>
        <w:pStyle w:val="BodyText"/>
      </w:pPr>
      <w:r>
        <w:t xml:space="preserve">The first is demonstrated upstream operating competence. The accountable operating entity, whether through its own leadership or an approved technical operator, must hold subsurface, operations, and well-engineering experience on comparable assets, with named operational accountability and the authority to command a well-control crisis. This re-specifies Reg. 7(5)’s requirement of sufficient technical knowledge and experience as asset-relevant operating depth in the entity that runs the asset, not general managerial or commercial standing. The failure it targets is the Aiteo containment failure, where the leadership-background evidence pointed to downstream trading in place of comparable upstream operating depth for directing a well-control response (Sections 4.3.1, 4.5.1, and 4.5.2; Table 4.6). Leadership background is a mechanism-consistency indicator rather than a proof of cause, but the requirement follows from the absorptive-capacity argument in any case: a firm cannot absorb operating knowledge it has no prior expertise to receive (Cohen and Levinthal, 1990).</w:t>
      </w:r>
    </w:p>
    <w:p>
      <w:pPr>
        <w:pStyle w:val="BodyText"/>
      </w:pPr>
      <w:r>
        <w:t xml:space="preserve">The second is an inspectable, accountable operating organization. The buyer must run the asset through a real operating organization a regulator can inspect, rather than a thin holding structure whose operational depth cannot be independently demonstrated. The depth this requires scales with asset risk, on the Norwegian in-country-organization model at the high end, as the next subsection sets out. The failure it targets is First Hydrocarbon Nigeria, a holding vehicle that took an interest it never operated, leaving no operating organization a regulator could have inspected (Section 4.4.2).</w:t>
      </w:r>
    </w:p>
    <w:p>
      <w:pPr>
        <w:pStyle w:val="BodyText"/>
      </w:pPr>
      <w:r>
        <w:t xml:space="preserve">The third is controller fitness beyond a clean record. Reg. 7(5) screens directors for prior convictions, which closes the narrow opening a single prior conviction would present but not the wider one. The fitness test should reach whether those who control the licensee can provide, govern, and resource the technical and managerial capability the asset requires, on the North Sea Transition Authority’s model, drawing on the fit-and-proper and disqualification provisions the PIA already contains. The failure it targets is the governance collapse behind First Hydrocarbon, whose principals were convicted of fraud committed while leading the company. The point is not that the fraud would necessarily have been discovered at approval, but that the earlier framework made neither buyer fitness nor governance integrity a structured approval question (Section 4.4.2).</w:t>
      </w:r>
    </w:p>
    <w:p>
      <w:pPr>
        <w:pStyle w:val="BodyText"/>
      </w:pPr>
      <w:r>
        <w:t xml:space="preserve">The fourth is a technical operator or partner where in-house depth is absent. A de novo buyer without operating depth of its own must supply it through a qualified technical operator or a partnering arrangement, the route the OML 30 operator took through Salvic and Seplat reinforced through Maurel et Prom (Sections 4.5.1, 4.5.2). The failure it targets is the de novo operator that runs a high-risk asset with neither in-house depth nor a technical operator engaged, as at Aiteo. NOGICD’s technology-transfer and partnering provisions already contemplate the arrangement (NOGICD Sections 43-47); whether it is mandatory or optional is the proportionality question the next subsection answers.</w:t>
      </w:r>
    </w:p>
    <w:bookmarkEnd w:id="43"/>
    <w:bookmarkStart w:id="44" w:name="scaling-requirements-to-risk"/>
    <w:p>
      <w:pPr>
        <w:pStyle w:val="Heading3"/>
      </w:pPr>
      <w:r>
        <w:t xml:space="preserve">5.6.2 Scaling Requirements to Risk</w:t>
      </w:r>
    </w:p>
    <w:p>
      <w:pPr>
        <w:pStyle w:val="FirstParagraph"/>
      </w:pPr>
      <w:r>
        <w:t xml:space="preserve">The four requirements describe a ceiling, not a uniform floor, and three variables set where a given transaction falls beneath it. The first is the buyer’s profile, read as demonstrated capability over corporate age or size: a buyer that has run comparable assets carries capability into the transaction, while a de novo buyer carries none and must build or contract it. The second is the asset’s hazard. Suspended wells that require active integrity management, a single evacuation route whose failure strands production, and proximity to populated communities each raise the cost of an operating lapse, as the records of OML 29 and OML 18 show (Sections 4.3, 4.4). The third is the seller-transition structure: a handover that retains the operating team and transfers the management system presents a lower absorption risk than an abrupt exit that strips both.</w:t>
      </w:r>
    </w:p>
    <w:p>
      <w:pPr>
        <w:pStyle w:val="BodyText"/>
      </w:pPr>
      <w:r>
        <w:t xml:space="preserve">One part of the apparatus does not scale. The seller’s disclosure, the transfer of data and records, and a time-bounded mechanism for continuity of operating knowledge are mandatory at every tier, because they address failures a buyer cannot remedy on its own once the seller has gone. The criticality finding identifies them as the most safety-consequential of the transfer elements (Ferreira et al., 2026). The transfer agreement is the instrument that carries them, and it must specify the data and records to be transferred, the continuity mechanism, and the transition period. What scales is the buyer-facing burden: the depth of capability demonstration, whether a technical operator is mandatory, the form the continuity mechanism takes, and the intensity of post-transfer verification. The three tiers, and what each requires, are set out in Table 5.5; the mandatory floor in the final row applies in addition to every tier above it.</w:t>
      </w:r>
    </w:p>
    <w:p>
      <w:pPr>
        <w:pStyle w:val="BodyText"/>
      </w:pPr>
      <w:r>
        <w:rPr>
          <w:bCs/>
          <w:b/>
        </w:rPr>
        <w:t xml:space="preserve">Table 5.5. Risk-tiered divestment assurance. The apparatus required of a buyer scales with the capability it demonstrably brings, read independently of corporate age, and with the hazard the asset presents; the mandatory floor in the final row applies at every tier, since it addresses failures a buyer cannot remedy after transfer. In the retrospective examples, the cases examined are classified under the framework, which did not exist at the time of those transactions.</w:t>
      </w:r>
    </w:p>
    <w:tbl>
      <w:tblPr>
        <w:tblW w:type="auto" w:w="0"/>
        <w:tblLook w:firstColumn="1" w:firstRow="1" w:lastColumn="0" w:lastRow="0" w:noHBand="0" w:noVBand="1" w:val="04A0"/>
        <w:tblLayout w:type="fixed"/>
        <w:tblW w:type="dxa" w:w="8640"/>
      </w:tblPr>
      <w:tblGrid>
        <w:gridCol w:w="1390"/>
        <w:gridCol w:w="1300"/>
        <w:gridCol w:w="2249"/>
        <w:gridCol w:w="1449"/>
        <w:gridCol w:w="2252"/>
      </w:tblGrid>
      <w:tr>
        <w:tc>
          <w:tcPr>
            <w:tcW w:type="dxa" w:w="1728"/>
            <w:tcW w:type="dxa" w:w="1390"/>
            <w:tcBorders>
              <w:left w:val="nil"/>
              <w:right w:val="nil"/>
              <w:top w:val="single" w:sz="8" w:space="0" w:color="000000"/>
              <w:bottom w:val="single" w:sz="4" w:space="0" w:color="000000"/>
            </w:tcBorders>
          </w:tcPr>
          <w:p>
            <w:pPr>
              <w:spacing w:before="40" w:after="40" w:line="240" w:lineRule="auto"/>
            </w:pPr>
            <w:r>
              <w:rPr>
                <w:b/>
                <w:sz w:val="16"/>
              </w:rPr>
              <w:t>Tier</w:t>
            </w:r>
          </w:p>
        </w:tc>
        <w:tc>
          <w:tcPr>
            <w:tcW w:type="dxa" w:w="1728"/>
            <w:tcW w:type="dxa" w:w="1300"/>
            <w:tcBorders>
              <w:left w:val="nil"/>
              <w:right w:val="nil"/>
              <w:top w:val="single" w:sz="8" w:space="0" w:color="000000"/>
              <w:bottom w:val="single" w:sz="4" w:space="0" w:color="000000"/>
            </w:tcBorders>
          </w:tcPr>
          <w:p>
            <w:pPr>
              <w:spacing w:before="40" w:after="40" w:line="240" w:lineRule="auto"/>
            </w:pPr>
            <w:r>
              <w:rPr>
                <w:b/>
                <w:sz w:val="16"/>
              </w:rPr>
              <w:t>Retrospective example</w:t>
            </w:r>
          </w:p>
        </w:tc>
        <w:tc>
          <w:tcPr>
            <w:tcW w:type="dxa" w:w="1728"/>
            <w:tcW w:type="dxa" w:w="2249"/>
            <w:tcBorders>
              <w:left w:val="nil"/>
              <w:right w:val="nil"/>
              <w:top w:val="single" w:sz="8" w:space="0" w:color="000000"/>
              <w:bottom w:val="single" w:sz="4" w:space="0" w:color="000000"/>
            </w:tcBorders>
          </w:tcPr>
          <w:p>
            <w:pPr>
              <w:spacing w:before="40" w:after="40" w:line="240" w:lineRule="auto"/>
            </w:pPr>
            <w:r>
              <w:rPr>
                <w:b/>
                <w:sz w:val="16"/>
              </w:rPr>
              <w:t>When it applies</w:t>
            </w:r>
          </w:p>
        </w:tc>
        <w:tc>
          <w:tcPr>
            <w:tcW w:type="dxa" w:w="1728"/>
            <w:tcW w:type="dxa" w:w="1449"/>
            <w:tcBorders>
              <w:left w:val="nil"/>
              <w:right w:val="nil"/>
              <w:top w:val="single" w:sz="8" w:space="0" w:color="000000"/>
              <w:bottom w:val="single" w:sz="4" w:space="0" w:color="000000"/>
            </w:tcBorders>
          </w:tcPr>
          <w:p>
            <w:pPr>
              <w:spacing w:before="40" w:after="40" w:line="240" w:lineRule="auto"/>
            </w:pPr>
            <w:r>
              <w:rPr>
                <w:b/>
                <w:sz w:val="16"/>
              </w:rPr>
              <w:t>Required of the buyer</w:t>
            </w:r>
          </w:p>
        </w:tc>
        <w:tc>
          <w:tcPr>
            <w:tcW w:type="dxa" w:w="1728"/>
            <w:tcW w:type="dxa" w:w="2252"/>
            <w:tcBorders>
              <w:left w:val="nil"/>
              <w:right w:val="nil"/>
              <w:top w:val="single" w:sz="8" w:space="0" w:color="000000"/>
              <w:bottom w:val="single" w:sz="4" w:space="0" w:color="000000"/>
            </w:tcBorders>
          </w:tcPr>
          <w:p>
            <w:pPr>
              <w:spacing w:before="40" w:after="40" w:line="240" w:lineRule="auto"/>
            </w:pPr>
            <w:r>
              <w:rPr>
                <w:b/>
                <w:sz w:val="16"/>
              </w:rPr>
              <w:t>Transfer and verification apparatus</w:t>
            </w:r>
          </w:p>
        </w:tc>
      </w:tr>
      <w:tr>
        <w:tc>
          <w:tcPr>
            <w:tcW w:type="dxa" w:w="1728"/>
            <w:tcW w:type="dxa" w:w="1390"/>
            <w:tcBorders>
              <w:left w:val="nil"/>
              <w:right w:val="nil"/>
              <w:top w:val="nil"/>
              <w:bottom w:val="nil"/>
            </w:tcBorders>
          </w:tcPr>
          <w:p>
            <w:pPr>
              <w:spacing w:before="40" w:after="40" w:line="240" w:lineRule="auto"/>
            </w:pPr>
            <w:r>
              <w:rPr>
                <w:sz w:val="16"/>
              </w:rPr>
              <w:t>Tier 1 (full)</w:t>
            </w:r>
          </w:p>
        </w:tc>
        <w:tc>
          <w:tcPr>
            <w:tcW w:type="dxa" w:w="1728"/>
            <w:tcW w:type="dxa" w:w="1300"/>
            <w:tcBorders>
              <w:left w:val="nil"/>
              <w:right w:val="nil"/>
              <w:top w:val="nil"/>
              <w:bottom w:val="nil"/>
            </w:tcBorders>
          </w:tcPr>
          <w:p>
            <w:pPr>
              <w:spacing w:before="40" w:after="40" w:line="240" w:lineRule="auto"/>
            </w:pPr>
            <w:r>
              <w:rPr>
                <w:sz w:val="16"/>
              </w:rPr>
              <w:t>Aiteo (OML 29); OML 30</w:t>
            </w:r>
          </w:p>
        </w:tc>
        <w:tc>
          <w:tcPr>
            <w:tcW w:type="dxa" w:w="1728"/>
            <w:tcW w:type="dxa" w:w="2249"/>
            <w:tcBorders>
              <w:left w:val="nil"/>
              <w:right w:val="nil"/>
              <w:top w:val="nil"/>
              <w:bottom w:val="nil"/>
            </w:tcBorders>
          </w:tcPr>
          <w:p>
            <w:pPr>
              <w:spacing w:before="40" w:after="40" w:line="240" w:lineRule="auto"/>
            </w:pPr>
            <w:r>
              <w:rPr>
                <w:sz w:val="16"/>
              </w:rPr>
              <w:t>A de novo buyer, or a buyer without demonstrated comparable capability acquiring a high-hazard asset</w:t>
            </w:r>
          </w:p>
        </w:tc>
        <w:tc>
          <w:tcPr>
            <w:tcW w:type="dxa" w:w="1728"/>
            <w:tcW w:type="dxa" w:w="1449"/>
            <w:tcBorders>
              <w:left w:val="nil"/>
              <w:right w:val="nil"/>
              <w:top w:val="nil"/>
              <w:bottom w:val="nil"/>
            </w:tcBorders>
          </w:tcPr>
          <w:p>
            <w:pPr>
              <w:spacing w:before="40" w:after="40" w:line="240" w:lineRule="auto"/>
            </w:pPr>
            <w:r>
              <w:rPr>
                <w:sz w:val="16"/>
              </w:rPr>
              <w:t>All four requirements; a qualified technical operator or partner is mandatory</w:t>
            </w:r>
          </w:p>
        </w:tc>
        <w:tc>
          <w:tcPr>
            <w:tcW w:type="dxa" w:w="1728"/>
            <w:tcW w:type="dxa" w:w="2252"/>
            <w:tcBorders>
              <w:left w:val="nil"/>
              <w:right w:val="nil"/>
              <w:top w:val="nil"/>
              <w:bottom w:val="nil"/>
            </w:tcBorders>
          </w:tcPr>
          <w:p>
            <w:pPr>
              <w:spacing w:before="40" w:after="40" w:line="240" w:lineRule="auto"/>
            </w:pPr>
            <w:r>
              <w:rPr>
                <w:sz w:val="16"/>
              </w:rPr>
              <w:t>Full-form continuity mechanism; staged operatorship on demonstrated readiness; financial security tied to decommissioning; leading and lagging integrity triggers; community-readiness measures where exposure is dense</w:t>
            </w:r>
          </w:p>
        </w:tc>
      </w:tr>
      <w:tr>
        <w:tc>
          <w:tcPr>
            <w:tcW w:type="dxa" w:w="1728"/>
            <w:tcW w:type="dxa" w:w="1390"/>
            <w:tcBorders>
              <w:left w:val="nil"/>
              <w:right w:val="nil"/>
              <w:top w:val="nil"/>
              <w:bottom w:val="nil"/>
            </w:tcBorders>
          </w:tcPr>
          <w:p>
            <w:pPr>
              <w:spacing w:before="40" w:after="40" w:line="240" w:lineRule="auto"/>
            </w:pPr>
            <w:r>
              <w:rPr>
                <w:sz w:val="16"/>
              </w:rPr>
              <w:t>Tier 2 (intermediate)</w:t>
            </w:r>
          </w:p>
        </w:tc>
        <w:tc>
          <w:tcPr>
            <w:tcW w:type="dxa" w:w="1728"/>
            <w:tcW w:type="dxa" w:w="1300"/>
            <w:tcBorders>
              <w:left w:val="nil"/>
              <w:right w:val="nil"/>
              <w:top w:val="nil"/>
              <w:bottom w:val="nil"/>
            </w:tcBorders>
          </w:tcPr>
          <w:p>
            <w:pPr>
              <w:spacing w:before="40" w:after="40" w:line="240" w:lineRule="auto"/>
            </w:pPr>
            <w:r>
              <w:rPr>
                <w:sz w:val="16"/>
              </w:rPr>
              <w:t>Seplat (OMLs 4, 38, 41)</w:t>
            </w:r>
          </w:p>
        </w:tc>
        <w:tc>
          <w:tcPr>
            <w:tcW w:type="dxa" w:w="1728"/>
            <w:tcW w:type="dxa" w:w="2249"/>
            <w:tcBorders>
              <w:left w:val="nil"/>
              <w:right w:val="nil"/>
              <w:top w:val="nil"/>
              <w:bottom w:val="nil"/>
            </w:tcBorders>
          </w:tcPr>
          <w:p>
            <w:pPr>
              <w:spacing w:before="40" w:after="40" w:line="240" w:lineRule="auto"/>
            </w:pPr>
            <w:r>
              <w:rPr>
                <w:sz w:val="16"/>
              </w:rPr>
              <w:t>A buyer with demonstrated comparable capability acquiring a moderate-to-high-hazard asset</w:t>
            </w:r>
          </w:p>
        </w:tc>
        <w:tc>
          <w:tcPr>
            <w:tcW w:type="dxa" w:w="1728"/>
            <w:tcW w:type="dxa" w:w="1449"/>
            <w:tcBorders>
              <w:left w:val="nil"/>
              <w:right w:val="nil"/>
              <w:top w:val="nil"/>
              <w:bottom w:val="nil"/>
            </w:tcBorders>
          </w:tcPr>
          <w:p>
            <w:pPr>
              <w:spacing w:before="40" w:after="40" w:line="240" w:lineRule="auto"/>
            </w:pPr>
            <w:r>
              <w:rPr>
                <w:sz w:val="16"/>
              </w:rPr>
              <w:t>Operating competence, inspectable organization, and controller fitness demonstrated; technical operator at the regulator’s discretion</w:t>
            </w:r>
          </w:p>
        </w:tc>
        <w:tc>
          <w:tcPr>
            <w:tcW w:type="dxa" w:w="1728"/>
            <w:tcW w:type="dxa" w:w="2252"/>
            <w:tcBorders>
              <w:left w:val="nil"/>
              <w:right w:val="nil"/>
              <w:top w:val="nil"/>
              <w:bottom w:val="nil"/>
            </w:tcBorders>
          </w:tcPr>
          <w:p>
            <w:pPr>
              <w:spacing w:before="40" w:after="40" w:line="240" w:lineRule="auto"/>
            </w:pPr>
            <w:r>
              <w:rPr>
                <w:sz w:val="16"/>
              </w:rPr>
              <w:t>Continuity mechanism scaled to need; integrity triggers; staged operatorship at discretion</w:t>
            </w:r>
          </w:p>
        </w:tc>
      </w:tr>
      <w:tr>
        <w:tc>
          <w:tcPr>
            <w:tcW w:type="dxa" w:w="1728"/>
            <w:tcW w:type="dxa" w:w="1390"/>
            <w:tcBorders>
              <w:left w:val="nil"/>
              <w:right w:val="nil"/>
              <w:top w:val="nil"/>
              <w:bottom w:val="nil"/>
            </w:tcBorders>
          </w:tcPr>
          <w:p>
            <w:pPr>
              <w:spacing w:before="40" w:after="40" w:line="240" w:lineRule="auto"/>
            </w:pPr>
            <w:r>
              <w:rPr>
                <w:sz w:val="16"/>
              </w:rPr>
              <w:t>Tier 3 (baseline)</w:t>
            </w:r>
          </w:p>
        </w:tc>
        <w:tc>
          <w:tcPr>
            <w:tcW w:type="dxa" w:w="1728"/>
            <w:tcW w:type="dxa" w:w="1300"/>
            <w:tcBorders>
              <w:left w:val="nil"/>
              <w:right w:val="nil"/>
              <w:top w:val="nil"/>
              <w:bottom w:val="nil"/>
            </w:tcBorders>
          </w:tcPr>
          <w:p>
            <w:pPr>
              <w:spacing w:before="40" w:after="40" w:line="240" w:lineRule="auto"/>
            </w:pPr>
            <w:r>
              <w:rPr>
                <w:sz w:val="16"/>
              </w:rPr>
              <w:t>None in the present set</w:t>
            </w:r>
          </w:p>
        </w:tc>
        <w:tc>
          <w:tcPr>
            <w:tcW w:type="dxa" w:w="1728"/>
            <w:tcW w:type="dxa" w:w="2249"/>
            <w:tcBorders>
              <w:left w:val="nil"/>
              <w:right w:val="nil"/>
              <w:top w:val="nil"/>
              <w:bottom w:val="nil"/>
            </w:tcBorders>
          </w:tcPr>
          <w:p>
            <w:pPr>
              <w:spacing w:before="40" w:after="40" w:line="240" w:lineRule="auto"/>
            </w:pPr>
            <w:r>
              <w:rPr>
                <w:sz w:val="16"/>
              </w:rPr>
              <w:t>A buyer with demonstrated comparable capability acquiring a low-hazard asset</w:t>
            </w:r>
          </w:p>
        </w:tc>
        <w:tc>
          <w:tcPr>
            <w:tcW w:type="dxa" w:w="1728"/>
            <w:tcW w:type="dxa" w:w="1449"/>
            <w:tcBorders>
              <w:left w:val="nil"/>
              <w:right w:val="nil"/>
              <w:top w:val="nil"/>
              <w:bottom w:val="nil"/>
            </w:tcBorders>
          </w:tcPr>
          <w:p>
            <w:pPr>
              <w:spacing w:before="40" w:after="40" w:line="240" w:lineRule="auto"/>
            </w:pPr>
            <w:r>
              <w:rPr>
                <w:sz w:val="16"/>
              </w:rPr>
              <w:t>Operating competence and controller fitness confirmed</w:t>
            </w:r>
          </w:p>
        </w:tc>
        <w:tc>
          <w:tcPr>
            <w:tcW w:type="dxa" w:w="1728"/>
            <w:tcW w:type="dxa" w:w="2252"/>
            <w:tcBorders>
              <w:left w:val="nil"/>
              <w:right w:val="nil"/>
              <w:top w:val="nil"/>
              <w:bottom w:val="nil"/>
            </w:tcBorders>
          </w:tcPr>
          <w:p>
            <w:pPr>
              <w:spacing w:before="40" w:after="40" w:line="240" w:lineRule="auto"/>
            </w:pPr>
            <w:r>
              <w:rPr>
                <w:sz w:val="16"/>
              </w:rPr>
              <w:t>Documented handover; standard post-transfer reporting</w:t>
            </w:r>
          </w:p>
        </w:tc>
      </w:tr>
      <w:tr>
        <w:tc>
          <w:tcPr>
            <w:tcW w:type="dxa" w:w="1728"/>
            <w:tcW w:type="dxa" w:w="1390"/>
            <w:tcBorders>
              <w:left w:val="nil"/>
              <w:right w:val="nil"/>
              <w:top w:val="nil"/>
              <w:bottom w:val="single" w:sz="8" w:space="0" w:color="000000"/>
            </w:tcBorders>
          </w:tcPr>
          <w:p>
            <w:pPr>
              <w:spacing w:before="40" w:after="40" w:line="240" w:lineRule="auto"/>
            </w:pPr>
            <w:r>
              <w:rPr>
                <w:sz w:val="16"/>
              </w:rPr>
              <w:t>Mandatory floor (all tiers)</w:t>
            </w:r>
          </w:p>
        </w:tc>
        <w:tc>
          <w:tcPr>
            <w:tcW w:type="dxa" w:w="1728"/>
            <w:tcW w:type="dxa" w:w="1300"/>
            <w:tcBorders>
              <w:left w:val="nil"/>
              <w:right w:val="nil"/>
              <w:top w:val="nil"/>
              <w:bottom w:val="single" w:sz="8" w:space="0" w:color="000000"/>
            </w:tcBorders>
          </w:tcPr>
          <w:p>
            <w:pPr>
              <w:spacing w:before="40" w:after="40" w:line="240" w:lineRule="auto"/>
            </w:pPr>
            <w:r>
              <w:rPr>
                <w:sz w:val="16"/>
              </w:rPr>
              <w:t>All transactions</w:t>
            </w:r>
          </w:p>
        </w:tc>
        <w:tc>
          <w:tcPr>
            <w:tcW w:type="dxa" w:w="1728"/>
            <w:tcW w:type="dxa" w:w="2249"/>
            <w:tcBorders>
              <w:left w:val="nil"/>
              <w:right w:val="nil"/>
              <w:top w:val="nil"/>
              <w:bottom w:val="single" w:sz="8" w:space="0" w:color="000000"/>
            </w:tcBorders>
          </w:tcPr>
          <w:p>
            <w:pPr>
              <w:spacing w:before="40" w:after="40" w:line="240" w:lineRule="auto"/>
            </w:pPr>
            <w:r>
              <w:rPr>
                <w:sz w:val="16"/>
              </w:rPr>
              <w:t>Every transfer, in addition to the requirements above</w:t>
            </w:r>
          </w:p>
        </w:tc>
        <w:tc>
          <w:tcPr>
            <w:tcW w:type="dxa" w:w="1728"/>
            <w:tcW w:type="dxa" w:w="1449"/>
            <w:tcBorders>
              <w:left w:val="nil"/>
              <w:right w:val="nil"/>
              <w:top w:val="nil"/>
              <w:bottom w:val="single" w:sz="8" w:space="0" w:color="000000"/>
            </w:tcBorders>
          </w:tcPr>
          <w:p>
            <w:pPr>
              <w:spacing w:before="40" w:after="40" w:line="240" w:lineRule="auto"/>
            </w:pPr>
            <w:r>
              <w:rPr>
                <w:sz w:val="16"/>
              </w:rPr>
              <w:t>Receipt and integration of the disclosed knowledge</w:t>
            </w:r>
          </w:p>
        </w:tc>
        <w:tc>
          <w:tcPr>
            <w:tcW w:type="dxa" w:w="1728"/>
            <w:tcW w:type="dxa" w:w="2252"/>
            <w:tcBorders>
              <w:left w:val="nil"/>
              <w:right w:val="nil"/>
              <w:top w:val="nil"/>
              <w:bottom w:val="single" w:sz="8" w:space="0" w:color="000000"/>
            </w:tcBorders>
          </w:tcPr>
          <w:p>
            <w:pPr>
              <w:spacing w:before="40" w:after="40" w:line="240" w:lineRule="auto"/>
            </w:pPr>
            <w:r>
              <w:rPr>
                <w:sz w:val="16"/>
              </w:rPr>
              <w:t>Seller disclosure; data and records transfer; a time-bounded continuity-of-knowledge mechanism, all specified in the transfer agreement</w:t>
            </w:r>
          </w:p>
        </w:tc>
      </w:tr>
    </w:tbl>
    <w:p>
      <w:pPr>
        <w:pStyle w:val="BodyText"/>
      </w:pPr>
      <w:r>
        <w:t xml:space="preserve">The tiers track the cases in retrospect. Aiteo on OML 29 would classify as Tier 1, a de novo buyer on a high-hazard asset, and the apparatus it would have required, a mandatory technical operator and a demonstrated containment capability, is what the record shows absent (Section 4.3). The OML 30 transaction would classify as Tier 1 on the same reading, an indigenous buyer without its own operating depth. It cleared the bar the framework would set by supplying that depth through Salvic, which is why its outcome diverged from Aiteo’s under otherwise similar conditions (Section 4.5.2). Seplat illustrates why the tiering turns on demonstrated capability over corporate age: newly formed in 2010, it brought upstream operating capability through its founding team and its technical partnership with Maurel et Prom. It would fall within Tier 2 instead of carrying the full Tier 1 burden (Section 4.5.1).</w:t>
      </w:r>
    </w:p>
    <w:bookmarkEnd w:id="44"/>
    <w:bookmarkStart w:id="45" w:name="the-structural-levers"/>
    <w:p>
      <w:pPr>
        <w:pStyle w:val="Heading3"/>
      </w:pPr>
      <w:r>
        <w:t xml:space="preserve">5.6.3 The Structural Levers</w:t>
      </w:r>
    </w:p>
    <w:p>
      <w:pPr>
        <w:pStyle w:val="FirstParagraph"/>
      </w:pPr>
      <w:r>
        <w:t xml:space="preserve">Five levers carry the tiered requirements into the transaction, and each rests on a case in the record and an existing legal hook.</w:t>
      </w:r>
    </w:p>
    <w:p>
      <w:pPr>
        <w:pStyle w:val="BodyText"/>
      </w:pPr>
      <w:r>
        <w:t xml:space="preserve">The first is a mandated technical-operator or partnering arrangement for de novo buyers at Tier 1. Where the buyer’s own organization cannot demonstrate operating depth, an approved technical operator must supply it, the arrangement OML 30 used and Aiteo did not (Sections 4.3.1, 4.5.2). NOGICD’s technology-transfer and partnering provisions supply the statutory basis (NOGICD Sections 43-47).</w:t>
      </w:r>
    </w:p>
    <w:p>
      <w:pPr>
        <w:pStyle w:val="BodyText"/>
      </w:pPr>
      <w:r>
        <w:t xml:space="preserve">The second is a time-bounded mechanism for continuity of operating knowledge. Because people cannot be transferred like equipment, the transfer agreement must provide a defined route by which the knowledge that ran the asset reaches the buyer, through secondment, retention incentives, transition-service arrangements, or guaranteed access to named subject-matter experts. The arrangement must run for a period long enough to transfer working knowledge and short enough not to leave the seller indefinitely responsible for an asset it has sold. The process-safety record supplies the warrant: incidents rose after handovers that retained no operating team (Ferreira et al., 2026). The Renaissance transaction is a design contrast that shows the arrangement is structurable. Shell stated that the sale was designed to preserve SPDC’s operating capabilities, including its management systems, and that its staff would continue to be employed through the change of ownership (Shell, 2024). That transaction completed only in 2025, so it offers feasibility evidence rather than validation of outcomes. NOGICD’s succession and understudy provisions, written for a single operator’s workforce, supply the closest statutory analogue (NOGICD Section 31). The handover runs against a shared knowledge repository that both parties review before transfer, the transfer instrument the inter-organizational knowledge-transfer literature places at the center of whether operating knowledge moves (Ferreira et al., 2024).</w:t>
      </w:r>
    </w:p>
    <w:p>
      <w:pPr>
        <w:pStyle w:val="BodyText"/>
      </w:pPr>
      <w:r>
        <w:t xml:space="preserve">The third is staged operatorship, a phased assumption of operational responsibility in which critical functions pass only after readiness is demonstrated, instead of at a single administrative moment. This gives the absorptive-capacity requirement a point of verification before full responsibility passes (Cohen and Levinthal, 1990).</w:t>
      </w:r>
    </w:p>
    <w:p>
      <w:pPr>
        <w:pStyle w:val="BodyText"/>
      </w:pPr>
      <w:r>
        <w:t xml:space="preserve">The fourth is financial security tied to decommissioning liability. The buyer must post security scaled to the abandonment obligation it assumes, the mechanism Alberta operates through its licensee assessment, and the one the PIA and the 2024 escrow already begin to build in Nigeria (AER, Directive 088; PIA Sections 232-233; NUPRC, 2024).</w:t>
      </w:r>
    </w:p>
    <w:p>
      <w:pPr>
        <w:pStyle w:val="BodyText"/>
      </w:pPr>
      <w:r>
        <w:t xml:space="preserve">The fifth is a set of post-transfer integrity triggers, leading and lagging. Lagging indicators, the IOGP Tier 1 and Tier 2 process-safety event rates, register harm after it occurs. Leading indicators, readiness-drill completion, integrity-backlog closure, suspended-well monitoring, management-of-change compliance, near-miss reporting quality, and audit close-out, signal a developing capability gap before it produces an incident, which gives the closed loop a point of intervention ahead of failure rather than only after it.</w:t>
      </w:r>
    </w:p>
    <w:p>
      <w:pPr>
        <w:pStyle w:val="BodyText"/>
      </w:pPr>
      <w:r>
        <w:t xml:space="preserve">Indicators are only as strong as the consequences attached to them. The triggers should connect to graduated, rule-based consequences applied on defined thresholds, escalating conditions on operatorship and financial consequences scaled to the breach, rather than to consequences that depend solely on discretionary regulatory action. The NPDC case shows why the distinction matters: where enforcement turns on discretion, political access can deflect it (Section 4.5.3). Rule-based triggers reduce, though they do not eliminate, that vulnerability, and they tie the verification loop to the financial security the fourth lever establishes. Where the asset carries dense community exposure, the readiness test extends beyond the technical to a set of community-readiness measures: host-community notification protocols, spill-response interface arrangements, and linkage to the Host Community Development Trust the PIA requires (PIA Chapter 3).</w:t>
      </w:r>
    </w:p>
    <w:p>
      <w:pPr>
        <w:pStyle w:val="BodyText"/>
      </w:pPr>
      <w:r>
        <w:t xml:space="preserve">The obligations placed on the seller are those only the seller can initiate: disclosure of asset knowledge, access to records and subject-matter experts, and a time-bounded continuity mechanism. They attach to the transaction and expire at the end of a defined transition, short of extending the seller’s liability for the asset indefinitely.</w:t>
      </w:r>
    </w:p>
    <w:p>
      <w:pPr>
        <w:pStyle w:val="BodyText"/>
      </w:pPr>
      <w:r>
        <w:t xml:space="preserve">No framework can guarantee that a buyer which clears every tier will succeed. What it offers instead is assurance in the proper sense: it makes the capability an asset needs observable, testable, and enforceable before and after the asset changes hands. The boundaries of that assurance are the subject of Section 5.7.</w:t>
      </w:r>
    </w:p>
    <w:bookmarkEnd w:id="45"/>
    <w:bookmarkEnd w:id="46"/>
    <w:bookmarkStart w:id="47" w:name="X40574300cecc0502ec736e726dd00d65230ad39"/>
    <w:p>
      <w:pPr>
        <w:pStyle w:val="Heading2"/>
      </w:pPr>
      <w:r>
        <w:t xml:space="preserve">5.7 Design Risks and the Limits of the Warrant</w:t>
      </w:r>
    </w:p>
    <w:p>
      <w:pPr>
        <w:pStyle w:val="FirstParagraph"/>
      </w:pPr>
      <w:r>
        <w:t xml:space="preserve">The framework is warranted, not proven. It rests on the regularities established across the cases and on the logical completeness of the design that follows from them, not on a tested intervention; no implementation data yet exists. What the design assures is capability that can be observed, demonstrated, and verified; it does not reach the non-contractible tacit knowledge no instrument can compel a seller to surrender, and it does not guarantee outcomes. Its contribution is to make the capability an asset needs observable and testable at the point of transfer, not to ensure on its own that the capability is there. The seller’s obligations are deliberately time-bounded, a defined transition in place of indefinite liability; after that window, responsibility for operating the asset rests with the buyer, though the post-transfer verification and enforcement remain in force.</w:t>
      </w:r>
    </w:p>
    <w:p>
      <w:pPr>
        <w:pStyle w:val="BodyText"/>
      </w:pPr>
      <w:r>
        <w:t xml:space="preserve">The central confound is one the design tolerates rather than resolves. The evidence did not cleanly separate whether an operator’s difficulty traced to the specific capability it inherited or to its general organizational quality, and the two run together in the cases, as noted in Section 4.8. The design does not hinge on the distinction. The same assurance screen detects both, though the response it calls for differs: a structured transfer of the seller’s knowledge answers an asset-specific gap, while technical-operator support or, in the limit, refusal of consent answers a broader organizational one. The confound limits the precision of the causal account in the case analysis; it does not weaken the design, which detects a capability gap without needing to attribute it to one source over the other.</w:t>
      </w:r>
    </w:p>
    <w:p>
      <w:pPr>
        <w:pStyle w:val="BodyText"/>
      </w:pPr>
      <w:r>
        <w:t xml:space="preserve">Two further limits follow from the evidence base. The internal coordination through which a firm absorbs operating capability was inferred from outcomes and documents rather than observed directly. The absorptive-capacity mechanism the design relies on is warranted by theory and by the outcome pattern, not by direct observation of how each organization worked inside. And the primary cases concentrate on a single seller. The seller-independence checks bound the concern, since an acquirer’s capability gap can arise under any seller where buyer absorption and regulatory verification are weak. The empirical base, however, remains weighted toward one divesting company, and the generalization to other sellers rests on the logic of the capability argument more than on a balanced sample.</w:t>
      </w:r>
    </w:p>
    <w:p>
      <w:pPr>
        <w:pStyle w:val="BodyText"/>
      </w:pPr>
      <w:r>
        <w:t xml:space="preserve">The framework can also misfire in implementation, and the most likely way is the substitution of paper for practice. Its premise is demonstrated capability, not a certificate attesting to it, and a regulator that accepted documentary compliance in place of a site-verified demonstration would reproduce the failure the design exists to prevent. Norway’s reliance on meetings and site visits, and the finding that firms which passed a table-top assessment failed a subsequent facility inspection, both warn that the demonstration must be of the operating reality and not of the paperwork (Oriaku et al., 2016). A deeper implementation risk is institutional capacity. The design asks the regulator to verify capability on site, sustain post-transfer monitoring, set and enforce conditions, and share evidence across agencies, and it will not work where the regulator lacks the staff, the data access, the independence, or the political backing to do so. Regulatory inadequacy was an enabling condition of the failures (Chapter 4), so the framework presupposes a capacity whose weakness it must also withstand. A second misfire runs the other way: a bar set too high deters capable acquirers and narrows an already thin pool of credible operators. The tiering is the instrument meant to hold the burden in proportion to risk, but its boundaries are qualitative and left to regulatory judgment, and if set too conservatively, the framework would raise entry barriers without a commensurate gain in assurance. The design is calibrated against under-protection and over-deterrence both, and the balance between them falls to implementation rather than to design alone.</w:t>
      </w:r>
    </w:p>
    <w:p>
      <w:pPr>
        <w:pStyle w:val="BodyText"/>
      </w:pPr>
      <w:r>
        <w:t xml:space="preserve">The enforcement and verification mechanisms are specified in principle rather than as worked schemes. The integrity triggers connect to rule-based consequences, but who sets the thresholds, who administers them, and at what levels are questions of institutional design left open here. The rule-based direction addresses the political-economy vulnerability documented in the case analysis, but it is not a finished enforcement architecture. The same holds for the community-readiness measure, whose force depends on the linkage a regulator builds between it and the Trust structure the PIA already requires.</w:t>
      </w:r>
    </w:p>
    <w:p>
      <w:pPr>
        <w:pStyle w:val="BodyText"/>
      </w:pPr>
      <w:r>
        <w:t xml:space="preserve">These limits are bounded by jurisdiction, and the boundary is not uniform across the design, which operates at two levels. The general level, the capability-assurance logic, the seller-disclosure obligation, the absorptive-capacity requirement, and the regulator-verification role, is calibrated to the institutional conditions that characterize petroleum-producing developing countries. Those conditions are constrained regulatory capacity, high externality exposure, and the active transfer of producing assets from international to domestic operators. The framework would carry to any divestment regime that shares them. The specific level, the particular legal hooks and the indigenous-operator framing, is tied to Nigeria, to the PIA, the NUPRC regulations, and NOGICD, and to the operating environment of the Niger Delta. The demonstration here is on upstream producing-asset transfers, where integrity failures and their externalities are most acute. The same logic extends to midstream and downstream transfers, which proceed under Section 117 and the Authority instead of Section 95 and the Commission, though that extension is not demonstrated by the cases examined. Transfer to another setting or subsector would keep the logic and re-fit the hooks, subject to local validation. The broader implications and the directions for further research are taken up in the conclusions.</w:t>
      </w:r>
    </w:p>
    <w:bookmarkEnd w:id="47"/>
    <w:bookmarkEnd w:id="4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2026-06-22T17:23:15Z</dcterms:created>
  <dcterms:modified xsi:type="dcterms:W3CDTF">2026-06-22T17:23:15Z</dcterms:modified>
</cp:coreProperties>
</file>

<file path=docProps/custom.xml><?xml version="1.0" encoding="utf-8"?>
<Properties xmlns="http://schemas.openxmlformats.org/officeDocument/2006/custom-properties" xmlns:vt="http://schemas.openxmlformats.org/officeDocument/2006/docPropsVTypes"/>
</file>