
<file path=[Content_Types].xml><?xml version="1.0" encoding="utf-8"?>
<Types xmlns="http://schemas.openxmlformats.org/package/2006/content-types">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fontTable.xml" ContentType="application/vnd.openxmlformats-officedocument.wordprocessingml.fontTable+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4" Type="http://schemas.openxmlformats.org/officeDocument/2006/relationships/extended-properties" Target="docProps/app.xml"/><Relationship Id="rId3" Type="http://schemas.openxmlformats.org/package/2006/relationships/metadata/core-properties" Target="docProps/core.xml"/><Relationship Id="rId5" Type="http://schemas.openxmlformats.org/officeDocument/2006/relationships/custom-properties" Target="docProps/custom.xml"/></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26" w:name="X799af76178241fafe3f8364d0e7df5bf36a2d54"/>
    <w:p>
      <w:pPr>
        <w:pStyle w:val="Heading1"/>
      </w:pPr>
      <w:r>
        <w:t xml:space="preserve">Appendix A. Case Study Protocol (COUHES Protocol E-7658)</w:t>
      </w:r>
    </w:p>
    <w:p>
      <w:pPr>
        <w:pStyle w:val="FirstParagraph"/>
      </w:pPr>
      <w:r>
        <w:t xml:space="preserve">The full case study protocol is set out below. It received exemption from the MIT Committee on the Use of Humans as Experimental Subjects under COUHES Protocol E-7658.</w:t>
      </w:r>
    </w:p>
    <w:bookmarkStart w:id="20" w:name="a.1-study-overview"/>
    <w:p>
      <w:pPr>
        <w:pStyle w:val="Heading2"/>
      </w:pPr>
      <w:r>
        <w:t xml:space="preserve">A.1 Study Overview</w:t>
      </w:r>
    </w:p>
    <w:p>
      <w:pPr>
        <w:pStyle w:val="FirstParagraph"/>
      </w:pPr>
      <w:r>
        <w:t xml:space="preserve">Title: Inheriting Hardware Without the System: A Sociotechnical Knowledge and Capability Transfer Framework for IOC Asset Divestments</w:t>
      </w:r>
    </w:p>
    <w:p>
      <w:pPr>
        <w:pStyle w:val="BodyText"/>
      </w:pPr>
      <w:r>
        <w:t xml:space="preserve">Principal Investigator: Ikenna Ekekwe (ike1@mit.edu), MIT System Design and Management Program</w:t>
      </w:r>
    </w:p>
    <w:p>
      <w:pPr>
        <w:pStyle w:val="BodyText"/>
      </w:pPr>
      <w:r>
        <w:t xml:space="preserve">Faculty Sponsor: Dr. Donna Rhodes (rhodes@mit.edu)</w:t>
      </w:r>
    </w:p>
    <w:p>
      <w:pPr>
        <w:pStyle w:val="BodyText"/>
      </w:pPr>
      <w:r>
        <w:t xml:space="preserve">Thesis Supervisor: Dr. George Lordos (glordos@mit.edu)</w:t>
      </w:r>
    </w:p>
    <w:bookmarkEnd w:id="20"/>
    <w:bookmarkStart w:id="21" w:name="a.2-participant-groups-and-sample-design"/>
    <w:p>
      <w:pPr>
        <w:pStyle w:val="Heading2"/>
      </w:pPr>
      <w:r>
        <w:t xml:space="preserve">A.2 Participant Groups and Sample Design</w:t>
      </w:r>
    </w:p>
    <w:p>
      <w:pPr>
        <w:pStyle w:val="FirstParagraph"/>
      </w:pPr>
      <w:r>
        <w:t xml:space="preserve">The target sample is 20 participants distributed across three groups:</w:t>
      </w:r>
    </w:p>
    <w:p>
      <w:pPr>
        <w:pStyle w:val="BodyText"/>
      </w:pPr>
      <w:r>
        <w:t xml:space="preserve">Group A (IOC Technical Staff and Management): 6 participants (3 technical/operational, 3 management/strategic). Former or current employees of international oil companies who were involved in the operation or divestment of upstream assets in Nigeria. Group A provides evidence on what operational capability existed before divestment, how it was organized, what was included in or excluded from the transfer, and how the transition was coordinated from the seller’s side.</w:t>
      </w:r>
    </w:p>
    <w:p>
      <w:pPr>
        <w:pStyle w:val="BodyText"/>
      </w:pPr>
      <w:r>
        <w:t xml:space="preserve">Group B (Domestic Oil Company Operators and Managers): 8 participants (4 technical/operational, 4 management/strategic). Current or former employees of domestic oil companies that acquired assets from IOCs. Group B is the primary source on post-divestment capability gaps, staffing and organizational decisions, financial resources, fiscal regime effects, security and community dynamics, and coordination from the buyer’s side.</w:t>
      </w:r>
    </w:p>
    <w:p>
      <w:pPr>
        <w:pStyle w:val="BodyText"/>
      </w:pPr>
      <w:r>
        <w:t xml:space="preserve">Group C (Regulatory Officials and Industry Observers): 6 participants. Current or former officials of the Department of Petroleum Resources, the Nigerian Upstream Petroleum Regulatory Commission, the NNPC, or independent industry analysts and consultants with knowledge of the divestment process. Group C contributes evidence on what the regulator assessed at the point of divestment, the regulatory mandate, and cross-transaction patterns.</w:t>
      </w:r>
    </w:p>
    <w:p>
      <w:pPr>
        <w:pStyle w:val="BodyText"/>
      </w:pPr>
      <w:r>
        <w:t xml:space="preserve">The minimum sample for analytical viability is 16 (4 Group A, 6 Group B, 4 Group C, with at least 2 of each role subclass in Groups A and B). The maximum is 25 if theoretical saturation has not been reached.</w:t>
      </w:r>
    </w:p>
    <w:bookmarkEnd w:id="21"/>
    <w:bookmarkStart w:id="22" w:name="a.3-informed-consent-procedures"/>
    <w:p>
      <w:pPr>
        <w:pStyle w:val="Heading2"/>
      </w:pPr>
      <w:r>
        <w:t xml:space="preserve">A.3 Informed Consent Procedures</w:t>
      </w:r>
    </w:p>
    <w:p>
      <w:pPr>
        <w:pStyle w:val="FirstParagraph"/>
      </w:pPr>
      <w:r>
        <w:t xml:space="preserve">Informed consent is obtained verbally at the start of each interview and documented in the investigator’s notes. Before each interview, the investigator provides the participant with a description of the study’s purpose, what participation involves, and the recording procedures. The investigator explains confidentiality protections, the voluntary nature of participation, the right to decline any question or stop the interview at any time, the principal risk (professional discomfort if responses were attributed), and contact information for both the investigator and COUHES. The investigator’s Chevron affiliation is disclosed at the start of every interview, with an explicit statement that the thesis is not sponsored by, reviewed by, or subject to approval by Chevron or any other oil company.</w:t>
      </w:r>
    </w:p>
    <w:bookmarkEnd w:id="22"/>
    <w:bookmarkStart w:id="23" w:name="a.4-data-handling"/>
    <w:p>
      <w:pPr>
        <w:pStyle w:val="Heading2"/>
      </w:pPr>
      <w:r>
        <w:t xml:space="preserve">A.4 Data Handling</w:t>
      </w:r>
    </w:p>
    <w:p>
      <w:pPr>
        <w:pStyle w:val="FirstParagraph"/>
      </w:pPr>
      <w:r>
        <w:t xml:space="preserve">Interviews are audio-recorded with the participant’s explicit consent. If a participant declines recording, the investigator takes written notes. Recordings are deleted after transcription is verified. Transcripts are retained until the thesis is submitted and approved, after which they are destroyed. All data is stored on the investigator’s password-protected personal computer, with an encrypted backup maintained under the same access restrictions. No interview data is stored on shared drives, cloud services, or institutional servers. Participants are de-identified in all transcripts, notes, and thesis text. Names are replaced with alphanumeric codes (A1, A2, B1, B2, C1, C2). Organizational affiliations are generalized to prevent indirect identification.</w:t>
      </w:r>
    </w:p>
    <w:bookmarkEnd w:id="23"/>
    <w:bookmarkStart w:id="24" w:name="a.5-pre-specified-coding-categories"/>
    <w:p>
      <w:pPr>
        <w:pStyle w:val="Heading2"/>
      </w:pPr>
      <w:r>
        <w:t xml:space="preserve">A.5 Pre-specified Coding Categories</w:t>
      </w:r>
    </w:p>
    <w:p>
      <w:pPr>
        <w:pStyle w:val="FirstParagraph"/>
      </w:pPr>
      <w:r>
        <w:t xml:space="preserve">Interview transcripts are coded deductively against the following categories derived from the discrimination apparatus:</w:t>
      </w:r>
    </w:p>
    <w:p>
      <w:pPr>
        <w:pStyle w:val="BodyText"/>
      </w:pPr>
      <w:r>
        <w:t xml:space="preserve">Capital constraint indicators: financing structure, capital expenditure trends, cash call compliance, contractor payment patterns, prioritized deferral sequence.</w:t>
      </w:r>
    </w:p>
    <w:p>
      <w:pPr>
        <w:pStyle w:val="BodyText"/>
      </w:pPr>
      <w:r>
        <w:t xml:space="preserve">Fiscal regime indicators: PIA fiscal impact on investment, pre-PIA vs. post-PIA outcome comparison, operator-reported fiscal sensitivity.</w:t>
      </w:r>
    </w:p>
    <w:p>
      <w:pPr>
        <w:pStyle w:val="BodyText"/>
      </w:pPr>
      <w:r>
        <w:t xml:space="preserve">Regulatory execution indicators: regulatory mandate content, regulatory staffing and capacity, inspection frequency and compliance actions, evidence of awareness without follow-through.</w:t>
      </w:r>
    </w:p>
    <w:p>
      <w:pPr>
        <w:pStyle w:val="BodyText"/>
      </w:pPr>
      <w:r>
        <w:t xml:space="preserve">Regulatory design indicators: capability assessment criteria in approval framework, institutional self-diagnosis, framework reform content.</w:t>
      </w:r>
    </w:p>
    <w:p>
      <w:pPr>
        <w:pStyle w:val="BodyText"/>
      </w:pPr>
      <w:r>
        <w:t xml:space="preserve">Coordination failure indicators: transition plan existence and quality, handover duration and scope, specific coordination breakdowns, staff mobilization timing.</w:t>
      </w:r>
    </w:p>
    <w:p>
      <w:pPr>
        <w:pStyle w:val="BodyText"/>
      </w:pPr>
      <w:r>
        <w:t xml:space="preserve">Capability-related factor indicators: staff retention rates, knowledge transfer activities, pre-divestment deterioration, selective failure (routine vs. crisis), awareness (pre-failure procurement, organizational design, post-failure diagnosis), knowledge availability (handover, staff offer, documents, transition support), capability trajectory over time.</w:t>
      </w:r>
    </w:p>
    <w:p>
      <w:pPr>
        <w:pStyle w:val="BodyText"/>
      </w:pPr>
      <w:r>
        <w:t xml:space="preserve">Political economy indicators: political connections (board, shareholders), oil theft rates pre/post transfer, security arrangements.</w:t>
      </w:r>
    </w:p>
    <w:p>
      <w:pPr>
        <w:pStyle w:val="BodyText"/>
      </w:pPr>
      <w:r>
        <w:t xml:space="preserve">Emergent categories: new analytical categories that arise during coding are flagged as emergent and recorded separately from the pre-specified framework.</w:t>
      </w:r>
    </w:p>
    <w:bookmarkEnd w:id="24"/>
    <w:bookmarkStart w:id="25" w:name="a.6-pretest-design"/>
    <w:p>
      <w:pPr>
        <w:pStyle w:val="Heading2"/>
      </w:pPr>
      <w:r>
        <w:t xml:space="preserve">A.6 Pretest Design</w:t>
      </w:r>
    </w:p>
    <w:p>
      <w:pPr>
        <w:pStyle w:val="FirstParagraph"/>
      </w:pPr>
      <w:r>
        <w:t xml:space="preserve">The first two interviews serve as pretests (one from Group A or B, one from a different group). Pretests assess significance (whether questions produce action-based responses mapping to the discrimination apparatus), validity (whether role-specific probe tracks yield expected differentiation), and representativeness (whether questions elicit evidence across all five explanations). Core questions are not changed after the pretest; probe language may be refined. Pretest data enters the analytical dataset.</w:t>
      </w:r>
    </w:p>
    <w:bookmarkEnd w:id="25"/>
    <w:bookmarkEnd w:id="26"/>
    <w:sectPr w:rsidR="00FC693F" w:rsidRPr="0006063C" w:rsidSect="00034616">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embedSystemFonts/>
  <w:stylePaneFormatFilter w:val="0004"/>
  <w:footnotePr>
    <w:footnote w:id="-1"/>
    <w:footnote w:id="0"/>
  </w:footnotePr>
  <w:doNotTrackMoves/>
  <w:drawingGridHorizontalSpacing w:val="360"/>
  <w:drawingGridVerticalSpacing w:val="360"/>
  <w:displayHorizontalDrawingGridEvery w:val="0"/>
  <w:displayVerticalDrawingGridEvery w:val="0"/>
  <w:rsids>
  </w:rsids>
  <w:clrSchemeMapping w:accent1="accent1" w:accent2="accent2" w:accent3="accent3" w:accent4="accent4" w:accent5="accent5" w:accent6="accent6" w:bg1="light1" w:bg2="light2" w:followedHyperlink="followedHyperlink" w:hyperlink="hyperlink" w:t1="dark1" w:t2="dark2"/>
  <w:zoom w:val="bestFit"/>
  <w:proofState w:grammar="clean" w:spelling="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m:mathPr>
    <m:mathFont m:val="Cambria Math"/>
    <m:brkBin m:val="before"/>
    <m:brkBinSub m:val="--"/>
    <m:smallFrac m:val="0"/>
    <m:dispDef/>
    <m:lMargin m:val="0"/>
    <m:rMargin m:val="0"/>
    <m:defJc m:val="centerGroup"/>
    <m:wrapIndent m:val="1440"/>
    <m:intLim m:val="subSup"/>
    <m:naryLim m:val="undOvr"/>
  </m:mathPr>
  <w:themeFontLang w:eastAsia="ja-JP" w:val="en-U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rPr>
      <w:rFonts w:ascii="Times New Roman" w:hAnsi="Times New Roman"/>
      <w:sz w:val="24"/>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imes New Roman" w:asciiTheme="majorHAnsi" w:cstheme="majorBidi" w:eastAsiaTheme="majorEastAsia" w:hAnsi="Times New Roman"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imes New Roman" w:asciiTheme="majorHAnsi" w:cstheme="majorBidi" w:eastAsiaTheme="majorEastAsia" w:hAnsi="Times New Roman"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imes New Roman" w:asciiTheme="majorHAnsi" w:cstheme="majorBidi" w:eastAsiaTheme="majorEastAsia" w:hAnsi="Times New Roman"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imes New Roman" w:asciiTheme="majorHAnsi" w:cstheme="majorBidi" w:eastAsiaTheme="majorEastAsia" w:hAnsi="Times New Roman"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imes New Roman" w:asciiTheme="majorHAnsi" w:cstheme="majorBidi" w:eastAsiaTheme="majorEastAsia" w:hAnsi="Times New Roman"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color w:val="007020"/>
      <w:b/>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color w:val="008000"/>
      <w:b/>
    </w:rPr>
  </w:style>
  <w:style w:type="character" w:customStyle="1" w:styleId="CommentTok">
    <w:name w:val="CommentTok"/>
    <w:basedOn w:val="VerbatimChar"/>
    <w:rPr>
      <w:color w:val="60a0b0"/>
      <w:i/>
    </w:rPr>
  </w:style>
  <w:style w:type="character" w:customStyle="1" w:styleId="DocumentationTok">
    <w:name w:val="DocumentationTok"/>
    <w:basedOn w:val="VerbatimChar"/>
    <w:rPr>
      <w:color w:val="ba2121"/>
      <w:i/>
    </w:rPr>
  </w:style>
  <w:style w:type="character" w:customStyle="1" w:styleId="AnnotationTok">
    <w:name w:val="AnnotationTok"/>
    <w:basedOn w:val="VerbatimChar"/>
    <w:rPr>
      <w:color w:val="60a0b0"/>
      <w:b/>
      <w:i/>
    </w:rPr>
  </w:style>
  <w:style w:type="character" w:customStyle="1" w:styleId="CommentVarTok">
    <w:name w:val="CommentVarTok"/>
    <w:basedOn w:val="VerbatimChar"/>
    <w:rPr>
      <w:color w:val="60a0b0"/>
      <w:b/>
      <w:i/>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color w:val="007020"/>
      <w:b/>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color w:val="60a0b0"/>
      <w:b/>
      <w:i/>
    </w:rPr>
  </w:style>
  <w:style w:type="character" w:customStyle="1" w:styleId="WarningTok">
    <w:name w:val="WarningTok"/>
    <w:basedOn w:val="VerbatimChar"/>
    <w:rPr>
      <w:color w:val="60a0b0"/>
      <w:b/>
      <w:i/>
    </w:rPr>
  </w:style>
  <w:style w:type="character" w:customStyle="1" w:styleId="AlertTok">
    <w:name w:val="AlertTok"/>
    <w:basedOn w:val="VerbatimChar"/>
    <w:rPr>
      <w:color w:val="ff0000"/>
      <w:b/>
    </w:rPr>
  </w:style>
  <w:style w:type="character" w:customStyle="1" w:styleId="ErrorTok">
    <w:name w:val="ErrorTok"/>
    <w:basedOn w:val="VerbatimChar"/>
    <w:rPr>
      <w:color w:val="ff0000"/>
      <w:b/>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1" Type="http://schemas.openxmlformats.org/officeDocument/2006/relationships/numbering" Target="numbering.xml"/><Relationship Id="rId2" Type="http://schemas.openxmlformats.org/officeDocument/2006/relationships/styles" Target="styles.xml"/><Relationship Id="rId3" Type="http://schemas.openxmlformats.org/officeDocument/2006/relationships/settings" Target="settings.xml"/><Relationship Id="rId4" Type="http://schemas.openxmlformats.org/officeDocument/2006/relationships/webSettings" Target="webSettings.xml"/><Relationship Id="rId5" Type="http://schemas.openxmlformats.org/officeDocument/2006/relationships/fontTable" Target="fontTable.xml"/><Relationship Id="rId6" Type="http://schemas.openxmlformats.org/officeDocument/2006/relationships/theme" Target="theme/theme1.xml"/><Relationship Id="rId7" Type="http://schemas.openxmlformats.org/officeDocument/2006/relationships/footnotes" Target="footnotes.xml"/><Relationship Id="rId8" Type="http://schemas.openxmlformats.org/officeDocument/2006/relationships/comments" Target="comment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2026-06-22T17:23:15Z</dcterms:created>
  <dcterms:modified xsi:type="dcterms:W3CDTF">2026-06-22T17:23:15Z</dcterms:modified>
</cp:coreProperties>
</file>

<file path=docProps/custom.xml><?xml version="1.0" encoding="utf-8"?>
<Properties xmlns="http://schemas.openxmlformats.org/officeDocument/2006/custom-properties" xmlns:vt="http://schemas.openxmlformats.org/officeDocument/2006/docPropsVTypes"/>
</file>