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pendix-b.-discrimination-matrix"/>
    <w:p>
      <w:pPr>
        <w:pStyle w:val="Heading1"/>
      </w:pPr>
      <w:r>
        <w:t xml:space="preserve">Appendix B. Discrimination Matrix</w:t>
      </w:r>
    </w:p>
    <w:p>
      <w:pPr>
        <w:pStyle w:val="FirstParagraph"/>
      </w:pPr>
      <w:r>
        <w:t xml:space="preserve">The full discrimination matrix, referenced in Section 2.6, maps observable evidence patterns to their implications for each of the five competing explanations and specifies the strength of each implication (Decisive or Suggestive). The empirical analysis (Chapter 4) applies it to each case through the five-step decision sequence specified in Section 3.4.</w:t>
      </w:r>
    </w:p>
    <w:p>
      <w:pPr>
        <w:pStyle w:val="BodyText"/>
        <w:sectPr>
          <w:pgSz w:w="12240" w:h="15840"/>
          <w:pgMar w:top="1440" w:bottom="1440" w:left="1800" w:right="1800" w:header="720" w:footer="720" w:gutter="0"/>
        </w:sectPr>
      </w:pPr>
      <w:r>
        <w:t xml:space="preserve">Strength indicators: D = Decisive (would reject or strongly confirm for that case). S = Suggestive (would weaken or strengthen but not conclusive alone). SYS = System-level condition (applies uniformly to all operators; cannot discriminate between individual outcomes).</w:t>
      </w:r>
    </w:p>
    <w:p>
      <w:pPr>
        <w:pStyle w:val="BodyText"/>
      </w:pPr>
      <w:r>
        <w:rPr>
          <w:bCs/>
          <w:b/>
        </w:rPr>
        <w:t xml:space="preserve">Table B.1. The discrimination matrix: the strength-coded implication that each observable evidence pattern carries for the competing explanations.</w:t>
      </w:r>
    </w:p>
    <w:tbl>
      <w:tblPr>
        <w:tblW w:type="auto" w:w="0"/>
        <w:tblLook w:firstColumn="1" w:firstRow="1" w:lastColumn="0" w:lastRow="0" w:noHBand="0" w:noVBand="1" w:val="04A0"/>
        <w:tblLayout w:type="fixed"/>
        <w:tblW w:type="dxa" w:w="12240"/>
      </w:tblPr>
      <w:tblGrid>
        <w:gridCol w:w="2655"/>
        <w:gridCol w:w="1199"/>
        <w:gridCol w:w="1199"/>
        <w:gridCol w:w="1243"/>
        <w:gridCol w:w="1420"/>
        <w:gridCol w:w="1464"/>
        <w:gridCol w:w="1909"/>
        <w:gridCol w:w="1151"/>
      </w:tblGrid>
      <w:tr>
        <w:tc>
          <w:tcPr>
            <w:tcW w:type="dxa" w:w="1080"/>
            <w:tcW w:type="dxa" w:w="2655"/>
            <w:tcBorders>
              <w:left w:val="nil"/>
              <w:right w:val="nil"/>
              <w:top w:val="single" w:sz="8" w:space="0" w:color="000000"/>
              <w:bottom w:val="single" w:sz="4" w:space="0" w:color="000000"/>
            </w:tcBorders>
          </w:tcPr>
          <w:p>
            <w:pPr>
              <w:spacing w:before="40" w:after="40" w:line="240" w:lineRule="auto"/>
            </w:pPr>
            <w:r>
              <w:rPr>
                <w:b/>
                <w:sz w:val="16"/>
              </w:rPr>
              <w:t>Evidence Pattern</w:t>
            </w:r>
          </w:p>
        </w:tc>
        <w:tc>
          <w:tcPr>
            <w:tcW w:type="dxa" w:w="1080"/>
            <w:tcW w:type="dxa" w:w="1199"/>
            <w:tcBorders>
              <w:left w:val="nil"/>
              <w:right w:val="nil"/>
              <w:top w:val="single" w:sz="8" w:space="0" w:color="000000"/>
              <w:bottom w:val="single" w:sz="4" w:space="0" w:color="000000"/>
            </w:tcBorders>
          </w:tcPr>
          <w:p>
            <w:pPr>
              <w:spacing w:before="40" w:after="40" w:line="240" w:lineRule="auto"/>
            </w:pPr>
            <w:r>
              <w:rPr>
                <w:b/>
                <w:sz w:val="16"/>
              </w:rPr>
              <w:t>Capital Constraint</w:t>
            </w:r>
          </w:p>
        </w:tc>
        <w:tc>
          <w:tcPr>
            <w:tcW w:type="dxa" w:w="1080"/>
            <w:tcW w:type="dxa" w:w="1199"/>
            <w:tcBorders>
              <w:left w:val="nil"/>
              <w:right w:val="nil"/>
              <w:top w:val="single" w:sz="8" w:space="0" w:color="000000"/>
              <w:bottom w:val="single" w:sz="4" w:space="0" w:color="000000"/>
            </w:tcBorders>
          </w:tcPr>
          <w:p>
            <w:pPr>
              <w:spacing w:before="40" w:after="40" w:line="240" w:lineRule="auto"/>
            </w:pPr>
            <w:r>
              <w:rPr>
                <w:b/>
                <w:sz w:val="16"/>
              </w:rPr>
              <w:t>Fiscal Regime</w:t>
            </w:r>
          </w:p>
        </w:tc>
        <w:tc>
          <w:tcPr>
            <w:tcW w:type="dxa" w:w="1080"/>
            <w:tcW w:type="dxa" w:w="1243"/>
            <w:tcBorders>
              <w:left w:val="nil"/>
              <w:right w:val="nil"/>
              <w:top w:val="single" w:sz="8" w:space="0" w:color="000000"/>
              <w:bottom w:val="single" w:sz="4" w:space="0" w:color="000000"/>
            </w:tcBorders>
          </w:tcPr>
          <w:p>
            <w:pPr>
              <w:spacing w:before="40" w:after="40" w:line="240" w:lineRule="auto"/>
            </w:pPr>
            <w:r>
              <w:rPr>
                <w:b/>
                <w:sz w:val="16"/>
              </w:rPr>
              <w:t>Reg. Execution</w:t>
            </w:r>
          </w:p>
        </w:tc>
        <w:tc>
          <w:tcPr>
            <w:tcW w:type="dxa" w:w="1080"/>
            <w:tcW w:type="dxa" w:w="1420"/>
            <w:tcBorders>
              <w:left w:val="nil"/>
              <w:right w:val="nil"/>
              <w:top w:val="single" w:sz="8" w:space="0" w:color="000000"/>
              <w:bottom w:val="single" w:sz="4" w:space="0" w:color="000000"/>
            </w:tcBorders>
          </w:tcPr>
          <w:p>
            <w:pPr>
              <w:spacing w:before="40" w:after="40" w:line="240" w:lineRule="auto"/>
            </w:pPr>
            <w:r>
              <w:rPr>
                <w:b/>
                <w:sz w:val="16"/>
              </w:rPr>
              <w:t>Reg. Design (SYS)</w:t>
            </w:r>
          </w:p>
        </w:tc>
        <w:tc>
          <w:tcPr>
            <w:tcW w:type="dxa" w:w="1080"/>
            <w:tcW w:type="dxa" w:w="1464"/>
            <w:tcBorders>
              <w:left w:val="nil"/>
              <w:right w:val="nil"/>
              <w:top w:val="single" w:sz="8" w:space="0" w:color="000000"/>
              <w:bottom w:val="single" w:sz="4" w:space="0" w:color="000000"/>
            </w:tcBorders>
          </w:tcPr>
          <w:p>
            <w:pPr>
              <w:spacing w:before="40" w:after="40" w:line="240" w:lineRule="auto"/>
            </w:pPr>
            <w:r>
              <w:rPr>
                <w:b/>
                <w:sz w:val="16"/>
              </w:rPr>
              <w:t>Coordination</w:t>
            </w:r>
          </w:p>
        </w:tc>
        <w:tc>
          <w:tcPr>
            <w:tcW w:type="dxa" w:w="1080"/>
            <w:tcW w:type="dxa" w:w="1909"/>
            <w:tcBorders>
              <w:left w:val="nil"/>
              <w:right w:val="nil"/>
              <w:top w:val="single" w:sz="8" w:space="0" w:color="000000"/>
              <w:bottom w:val="single" w:sz="4" w:space="0" w:color="000000"/>
            </w:tcBorders>
          </w:tcPr>
          <w:p>
            <w:pPr>
              <w:spacing w:before="40" w:after="40" w:line="240" w:lineRule="auto"/>
            </w:pPr>
            <w:r>
              <w:rPr>
                <w:b/>
                <w:sz w:val="16"/>
              </w:rPr>
              <w:t>Capability-Related Factors</w:t>
            </w:r>
          </w:p>
        </w:tc>
        <w:tc>
          <w:tcPr>
            <w:tcW w:type="dxa" w:w="1080"/>
            <w:tcW w:type="dxa" w:w="1151"/>
            <w:tcBorders>
              <w:left w:val="nil"/>
              <w:right w:val="nil"/>
              <w:top w:val="single" w:sz="8" w:space="0" w:color="000000"/>
              <w:bottom w:val="single" w:sz="4" w:space="0" w:color="000000"/>
            </w:tcBorders>
          </w:tcPr>
          <w:p>
            <w:pPr>
              <w:spacing w:before="40" w:after="40" w:line="240" w:lineRule="auto"/>
            </w:pPr>
            <w:r>
              <w:rPr>
                <w:b/>
                <w:sz w:val="16"/>
              </w:rPr>
              <w:t>Political Economy</w:t>
            </w:r>
          </w:p>
        </w:tc>
      </w:tr>
      <w:tr>
        <w:tc>
          <w:tcPr>
            <w:tcW w:type="dxa" w:w="1080"/>
            <w:tcW w:type="dxa" w:w="2655"/>
            <w:tcBorders>
              <w:left w:val="nil"/>
              <w:right w:val="nil"/>
              <w:top w:val="nil"/>
              <w:bottom w:val="nil"/>
            </w:tcBorders>
          </w:tcPr>
          <w:p>
            <w:pPr>
              <w:spacing w:before="40" w:after="40" w:line="240" w:lineRule="auto"/>
            </w:pPr>
            <w:r>
              <w:rPr>
                <w:sz w:val="16"/>
              </w:rPr>
              <w:t>Well-funded operator with selective (not uniform) failure</w:t>
            </w:r>
          </w:p>
        </w:tc>
        <w:tc>
          <w:tcPr>
            <w:tcW w:type="dxa" w:w="1080"/>
            <w:tcW w:type="dxa" w:w="1199"/>
            <w:tcBorders>
              <w:left w:val="nil"/>
              <w:right w:val="nil"/>
              <w:top w:val="nil"/>
              <w:bottom w:val="nil"/>
            </w:tcBorders>
          </w:tcPr>
          <w:p>
            <w:pPr>
              <w:spacing w:before="40" w:after="40" w:line="240" w:lineRule="auto"/>
            </w:pPr>
            <w:r>
              <w:rPr>
                <w:sz w:val="16"/>
              </w:rPr>
              <w:t>D-REJECTS as sufficient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S-POSSIBLE</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Demonstrably underfunded operator with cumulative degradation following deferral sequence</w:t>
            </w:r>
          </w:p>
        </w:tc>
        <w:tc>
          <w:tcPr>
            <w:tcW w:type="dxa" w:w="1080"/>
            <w:tcW w:type="dxa" w:w="1199"/>
            <w:tcBorders>
              <w:left w:val="nil"/>
              <w:right w:val="nil"/>
              <w:top w:val="nil"/>
              <w:bottom w:val="nil"/>
            </w:tcBorders>
          </w:tcPr>
          <w:p>
            <w:pPr>
              <w:spacing w:before="40" w:after="40" w:line="240" w:lineRule="auto"/>
            </w:pPr>
            <w:r>
              <w:rPr>
                <w:sz w:val="16"/>
              </w:rPr>
              <w:t>D-SUPPORTS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S-WEAKENS as sole cause</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Failure predates PIA enactment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D-REJECTS for that case</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Operator investment decisions explicitly attributed to PIA fiscal terms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D-SUPPORTS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Same regime, sharply different outcomes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D-REJECTS exec as sufficient</w:t>
            </w:r>
          </w:p>
        </w:tc>
        <w:tc>
          <w:tcPr>
            <w:tcW w:type="dxa" w:w="1080"/>
            <w:tcW w:type="dxa" w:w="1420"/>
            <w:tcBorders>
              <w:left w:val="nil"/>
              <w:right w:val="nil"/>
              <w:top w:val="nil"/>
              <w:bottom w:val="nil"/>
            </w:tcBorders>
          </w:tcPr>
          <w:p>
            <w:pPr>
              <w:spacing w:before="40" w:after="40" w:line="240" w:lineRule="auto"/>
            </w:pPr>
            <w:r>
              <w:rPr>
                <w:sz w:val="16"/>
              </w:rPr>
              <w:t>Cannot discriminate (constant)</w:t>
            </w:r>
          </w:p>
        </w:tc>
        <w:tc>
          <w:tcPr>
            <w:tcW w:type="dxa" w:w="1080"/>
            <w:tcW w:type="dxa" w:w="1464"/>
            <w:tcBorders>
              <w:left w:val="nil"/>
              <w:right w:val="nil"/>
              <w:top w:val="nil"/>
              <w:bottom w:val="nil"/>
            </w:tcBorders>
          </w:tcPr>
          <w:p>
            <w:pPr>
              <w:spacing w:before="40" w:after="40" w:line="240" w:lineRule="auto"/>
            </w:pPr>
            <w:r>
              <w:rPr>
                <w:sz w:val="16"/>
              </w:rPr>
              <w:t>S-SUPPORTS</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Routine success + crisis failure + buyer UNAWARE of gap pre-crisis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 (buyer should have known)</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Routine success + crisis failure + buyer AWARE of gap pre-crisis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Pattern recurs across unrelated institutional contexts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SYS-SUPPORTS</w:t>
            </w:r>
          </w:p>
        </w:tc>
        <w:tc>
          <w:tcPr>
            <w:tcW w:type="dxa" w:w="1080"/>
            <w:tcW w:type="dxa" w:w="1464"/>
            <w:tcBorders>
              <w:left w:val="nil"/>
              <w:right w:val="nil"/>
              <w:top w:val="nil"/>
              <w:bottom w:val="nil"/>
            </w:tcBorders>
          </w:tcPr>
          <w:p>
            <w:pPr>
              <w:spacing w:before="40" w:after="40" w:line="240" w:lineRule="auto"/>
            </w:pPr>
            <w:r>
              <w:rPr>
                <w:sz w:val="16"/>
              </w:rPr>
              <w:t>S-WEAKENS independence</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inheritance correlates with outcome (confounding controlled)</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available (triangulated) but buyer fumbled reception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unavailable (triangulated) regardless of buyer quality</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Specific identifiable coordination gaps trace to failure</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Regulator creates NEW framework (not enforces old)</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D-REJECTS</w:t>
            </w:r>
          </w:p>
        </w:tc>
        <w:tc>
          <w:tcPr>
            <w:tcW w:type="dxa" w:w="1080"/>
            <w:tcW w:type="dxa" w:w="1420"/>
            <w:tcBorders>
              <w:left w:val="nil"/>
              <w:right w:val="nil"/>
              <w:top w:val="nil"/>
              <w:bottom w:val="nil"/>
            </w:tcBorders>
          </w:tcPr>
          <w:p>
            <w:pPr>
              <w:spacing w:before="40" w:after="40" w:line="240" w:lineRule="auto"/>
            </w:pPr>
            <w:r>
              <w:rPr>
                <w:sz w:val="16"/>
              </w:rPr>
              <w:t>SYS-SUPPORTS</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Pre-failure: operator did not procure capability, function absent from org design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w:t>
            </w:r>
          </w:p>
        </w:tc>
        <w:tc>
          <w:tcPr>
            <w:tcW w:type="dxa" w:w="1080"/>
            <w:tcW w:type="dxa" w:w="1909"/>
            <w:tcBorders>
              <w:left w:val="nil"/>
              <w:right w:val="nil"/>
              <w:top w:val="nil"/>
              <w:bottom w:val="nil"/>
            </w:tcBorders>
          </w:tcPr>
          <w:p>
            <w:pPr>
              <w:spacing w:before="40" w:after="40" w:line="240" w:lineRule="auto"/>
            </w:pPr>
            <w:r>
              <w:rPr>
                <w:sz w:val="16"/>
              </w:rPr>
              <w:t>S-SUPPORTS (unawareness)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Pre-failure: operator attempted to procure but failed</w:t>
            </w:r>
          </w:p>
        </w:tc>
        <w:tc>
          <w:tcPr>
            <w:tcW w:type="dxa" w:w="1080"/>
            <w:tcW w:type="dxa" w:w="1199"/>
            <w:tcBorders>
              <w:left w:val="nil"/>
              <w:right w:val="nil"/>
              <w:top w:val="nil"/>
              <w:bottom w:val="nil"/>
            </w:tcBorders>
          </w:tcPr>
          <w:p>
            <w:pPr>
              <w:spacing w:before="40" w:after="40" w:line="240" w:lineRule="auto"/>
            </w:pPr>
            <w:r>
              <w:rPr>
                <w:sz w:val="16"/>
              </w:rPr>
              <w:t>S-POSSIBLE</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Operator survives despite low quality via connections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D-SUPPORTS</w:t>
            </w:r>
          </w:p>
        </w:tc>
      </w:tr>
      <w:tr>
        <w:tc>
          <w:tcPr>
            <w:tcW w:type="dxa" w:w="1080"/>
            <w:tcW w:type="dxa" w:w="2655"/>
            <w:tcBorders>
              <w:left w:val="nil"/>
              <w:right w:val="nil"/>
              <w:top w:val="nil"/>
              <w:bottom w:val="nil"/>
            </w:tcBorders>
          </w:tcPr>
          <w:p>
            <w:pPr>
              <w:spacing w:before="40" w:after="40" w:line="240" w:lineRule="auto"/>
            </w:pPr>
            <w:r>
              <w:rPr>
                <w:sz w:val="16"/>
              </w:rPr>
              <w:t>Capability-transferred operator shows high quality + production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D-EXTENDS</w:t>
            </w:r>
          </w:p>
        </w:tc>
      </w:tr>
      <w:tr>
        <w:tc>
          <w:tcPr>
            <w:tcW w:type="dxa" w:w="1080"/>
            <w:tcW w:type="dxa" w:w="2655"/>
            <w:tcBorders>
              <w:left w:val="nil"/>
              <w:right w:val="nil"/>
              <w:top w:val="nil"/>
              <w:bottom w:val="nil"/>
            </w:tcBorders>
          </w:tcPr>
          <w:p>
            <w:pPr>
              <w:spacing w:before="40" w:after="40" w:line="240" w:lineRule="auto"/>
            </w:pPr>
            <w:r>
              <w:rPr>
                <w:sz w:val="16"/>
              </w:rPr>
              <w:t>No knowledge inheritance + success including crisis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D-KILLS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No correlation between knowledge inheritance and outcome across cases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D-KILLS (core prediction fails)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Pre-divestment deterioration selective in knowledge-bearing functions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S-SUPPORTS Gap 1</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single" w:sz="8" w:space="0" w:color="000000"/>
            </w:tcBorders>
          </w:tcPr>
          <w:p>
            <w:pPr>
              <w:spacing w:before="40" w:after="40" w:line="240" w:lineRule="auto"/>
            </w:pPr>
            <w:r>
              <w:rPr>
                <w:sz w:val="16"/>
              </w:rPr>
              <w:t>Operator without connections succeeds on capability alone</w:t>
            </w:r>
          </w:p>
        </w:tc>
        <w:tc>
          <w:tcPr>
            <w:tcW w:type="dxa" w:w="1080"/>
            <w:tcW w:type="dxa" w:w="1199"/>
            <w:tcBorders>
              <w:left w:val="nil"/>
              <w:right w:val="nil"/>
              <w:top w:val="nil"/>
              <w:bottom w:val="single" w:sz="8" w:space="0" w:color="000000"/>
            </w:tcBorders>
          </w:tcPr>
          <w:p>
            <w:pPr>
              <w:spacing w:before="40" w:after="40" w:line="240" w:lineRule="auto"/>
            </w:pPr>
            <w:r>
              <w:rPr>
                <w:sz w:val="16"/>
              </w:rPr>
              <w:t>-</w:t>
            </w:r>
          </w:p>
        </w:tc>
        <w:tc>
          <w:tcPr>
            <w:tcW w:type="dxa" w:w="1080"/>
            <w:tcW w:type="dxa" w:w="1199"/>
            <w:tcBorders>
              <w:left w:val="nil"/>
              <w:right w:val="nil"/>
              <w:top w:val="nil"/>
              <w:bottom w:val="single" w:sz="8" w:space="0" w:color="000000"/>
            </w:tcBorders>
          </w:tcPr>
          <w:p>
            <w:pPr>
              <w:spacing w:before="40" w:after="40" w:line="240" w:lineRule="auto"/>
            </w:pPr>
            <w:r>
              <w:rPr>
                <w:sz w:val="16"/>
              </w:rPr>
              <w:t>-</w:t>
            </w:r>
          </w:p>
        </w:tc>
        <w:tc>
          <w:tcPr>
            <w:tcW w:type="dxa" w:w="1080"/>
            <w:tcW w:type="dxa" w:w="1243"/>
            <w:tcBorders>
              <w:left w:val="nil"/>
              <w:right w:val="nil"/>
              <w:top w:val="nil"/>
              <w:bottom w:val="single" w:sz="8" w:space="0" w:color="000000"/>
            </w:tcBorders>
          </w:tcPr>
          <w:p>
            <w:pPr>
              <w:spacing w:before="40" w:after="40" w:line="240" w:lineRule="auto"/>
            </w:pPr>
            <w:r>
              <w:rPr>
                <w:sz w:val="16"/>
              </w:rPr>
              <w:t>-</w:t>
            </w:r>
          </w:p>
        </w:tc>
        <w:tc>
          <w:tcPr>
            <w:tcW w:type="dxa" w:w="1080"/>
            <w:tcW w:type="dxa" w:w="1420"/>
            <w:tcBorders>
              <w:left w:val="nil"/>
              <w:right w:val="nil"/>
              <w:top w:val="nil"/>
              <w:bottom w:val="single" w:sz="8" w:space="0" w:color="000000"/>
            </w:tcBorders>
          </w:tcPr>
          <w:p>
            <w:pPr>
              <w:spacing w:before="40" w:after="40" w:line="240" w:lineRule="auto"/>
            </w:pPr>
            <w:r>
              <w:rPr>
                <w:sz w:val="16"/>
              </w:rPr>
              <w:t>-</w:t>
            </w:r>
          </w:p>
        </w:tc>
        <w:tc>
          <w:tcPr>
            <w:tcW w:type="dxa" w:w="1080"/>
            <w:tcW w:type="dxa" w:w="1464"/>
            <w:tcBorders>
              <w:left w:val="nil"/>
              <w:right w:val="nil"/>
              <w:top w:val="nil"/>
              <w:bottom w:val="single" w:sz="8" w:space="0" w:color="000000"/>
            </w:tcBorders>
          </w:tcPr>
          <w:p>
            <w:pPr>
              <w:spacing w:before="40" w:after="40" w:line="240" w:lineRule="auto"/>
            </w:pPr>
            <w:r>
              <w:rPr>
                <w:sz w:val="16"/>
              </w:rPr>
              <w:t>-</w:t>
            </w:r>
          </w:p>
        </w:tc>
        <w:tc>
          <w:tcPr>
            <w:tcW w:type="dxa" w:w="1080"/>
            <w:tcW w:type="dxa" w:w="1909"/>
            <w:tcBorders>
              <w:left w:val="nil"/>
              <w:right w:val="nil"/>
              <w:top w:val="nil"/>
              <w:bottom w:val="single" w:sz="8" w:space="0" w:color="000000"/>
            </w:tcBorders>
          </w:tcPr>
          <w:p>
            <w:pPr>
              <w:spacing w:before="40" w:after="40" w:line="240" w:lineRule="auto"/>
            </w:pPr>
            <w:r>
              <w:rPr>
                <w:sz w:val="16"/>
              </w:rPr>
              <w:t>S-SUPPORTS</w:t>
            </w:r>
          </w:p>
        </w:tc>
        <w:tc>
          <w:tcPr>
            <w:tcW w:type="dxa" w:w="1080"/>
            <w:tcW w:type="dxa" w:w="1151"/>
            <w:tcBorders>
              <w:left w:val="nil"/>
              <w:right w:val="nil"/>
              <w:top w:val="nil"/>
              <w:bottom w:val="single" w:sz="8" w:space="0" w:color="000000"/>
            </w:tcBorders>
          </w:tcPr>
          <w:p>
            <w:pPr>
              <w:spacing w:before="40" w:after="40" w:line="240" w:lineRule="auto"/>
            </w:pPr>
            <w:r>
              <w:rPr>
                <w:sz w:val="16"/>
              </w:rPr>
              <w:t>S-WEAKENS</w:t>
            </w:r>
          </w:p>
        </w:tc>
      </w:tr>
    </w:tbl>
    <w:p>
      <w:pPr>
        <w:sectPr>
          <w:pgSz w:w="15840" w:h="12240" w:orient="landscape"/>
          <w:pgMar w:top="1440" w:bottom="1440" w:left="1800" w:right="1800" w:header="720" w:footer="720" w:gutter="0"/>
        </w:sectPr>
      </w:pPr>
    </w:p>
    <w:p>
      <w:pPr>
        <w:pStyle w:val="BodyText"/>
      </w:pPr>
      <w:r>
        <w:rPr>
          <w:bCs/>
          <w:b/>
        </w:rPr>
        <w:t xml:space="preserve">Table B.2. Decision protocol for Chapter 4: the five-step sequence for applying the discrimination matrix to each case.</w:t>
      </w:r>
    </w:p>
    <w:tbl>
      <w:tblPr>
        <w:tblW w:type="auto" w:w="0"/>
        <w:tblLook w:firstColumn="1" w:firstRow="1" w:lastColumn="0" w:lastRow="0" w:noHBand="0" w:noVBand="1" w:val="04A0"/>
        <w:tblLayout w:type="fixed"/>
        <w:tblW w:type="dxa" w:w="8640"/>
      </w:tblPr>
      <w:tblGrid>
        <w:gridCol w:w="806"/>
        <w:gridCol w:w="7834"/>
      </w:tblGrid>
      <w:tr>
        <w:tc>
          <w:tcPr>
            <w:tcW w:type="dxa" w:w="4320"/>
            <w:tcW w:type="dxa" w:w="806"/>
            <w:tcBorders>
              <w:left w:val="nil"/>
              <w:right w:val="nil"/>
              <w:top w:val="single" w:sz="8" w:space="0" w:color="000000"/>
              <w:bottom w:val="single" w:sz="4" w:space="0" w:color="000000"/>
            </w:tcBorders>
          </w:tcPr>
          <w:p>
            <w:pPr>
              <w:spacing w:before="40" w:after="40" w:line="240" w:lineRule="auto"/>
            </w:pPr>
            <w:r>
              <w:rPr>
                <w:b/>
                <w:sz w:val="18"/>
              </w:rPr>
              <w:t>Step</w:t>
            </w:r>
          </w:p>
        </w:tc>
        <w:tc>
          <w:tcPr>
            <w:tcW w:type="dxa" w:w="4320"/>
            <w:tcW w:type="dxa" w:w="7834"/>
            <w:tcBorders>
              <w:left w:val="nil"/>
              <w:right w:val="nil"/>
              <w:top w:val="single" w:sz="8" w:space="0" w:color="000000"/>
              <w:bottom w:val="single" w:sz="4" w:space="0" w:color="000000"/>
            </w:tcBorders>
          </w:tcPr>
          <w:p>
            <w:pPr>
              <w:spacing w:before="40" w:after="40" w:line="240" w:lineRule="auto"/>
            </w:pPr>
            <w:r>
              <w:rPr>
                <w:b/>
                <w:sz w:val="18"/>
              </w:rPr>
              <w:t>Procedure</w:t>
            </w:r>
          </w:p>
        </w:tc>
      </w:tr>
      <w:tr>
        <w:tc>
          <w:tcPr>
            <w:tcW w:type="dxa" w:w="4320"/>
            <w:tcW w:type="dxa" w:w="806"/>
            <w:tcBorders>
              <w:left w:val="nil"/>
              <w:right w:val="nil"/>
              <w:top w:val="nil"/>
              <w:bottom w:val="nil"/>
            </w:tcBorders>
          </w:tcPr>
          <w:p>
            <w:pPr>
              <w:spacing w:before="40" w:after="40" w:line="240" w:lineRule="auto"/>
            </w:pPr>
            <w:r>
              <w:rPr>
                <w:sz w:val="18"/>
              </w:rPr>
              <w:t>1</w:t>
            </w:r>
          </w:p>
        </w:tc>
        <w:tc>
          <w:tcPr>
            <w:tcW w:type="dxa" w:w="4320"/>
            <w:tcW w:type="dxa" w:w="7834"/>
            <w:tcBorders>
              <w:left w:val="nil"/>
              <w:right w:val="nil"/>
              <w:top w:val="nil"/>
              <w:bottom w:val="nil"/>
            </w:tcBorders>
          </w:tcPr>
          <w:p>
            <w:pPr>
              <w:spacing w:before="40" w:after="40" w:line="240" w:lineRule="auto"/>
            </w:pPr>
            <w:r>
              <w:rPr>
                <w:sz w:val="18"/>
              </w:rPr>
              <w:t>Assess temporal and structural preconditions: which explanations are applicable to this case? Fiscal regime effects are excluded for any case where the transaction closed before the PIA enactment in August 2021. Regulatory design failure applies uniformly to all cases and is assessed at the population level.</w:t>
            </w:r>
          </w:p>
        </w:tc>
      </w:tr>
      <w:tr>
        <w:tc>
          <w:tcPr>
            <w:tcW w:type="dxa" w:w="4320"/>
            <w:tcW w:type="dxa" w:w="806"/>
            <w:tcBorders>
              <w:left w:val="nil"/>
              <w:right w:val="nil"/>
              <w:top w:val="nil"/>
              <w:bottom w:val="nil"/>
            </w:tcBorders>
          </w:tcPr>
          <w:p>
            <w:pPr>
              <w:spacing w:before="40" w:after="40" w:line="240" w:lineRule="auto"/>
            </w:pPr>
            <w:r>
              <w:rPr>
                <w:sz w:val="18"/>
              </w:rPr>
              <w:t>2</w:t>
            </w:r>
          </w:p>
        </w:tc>
        <w:tc>
          <w:tcPr>
            <w:tcW w:type="dxa" w:w="4320"/>
            <w:tcW w:type="dxa" w:w="7834"/>
            <w:tcBorders>
              <w:left w:val="nil"/>
              <w:right w:val="nil"/>
              <w:top w:val="nil"/>
              <w:bottom w:val="nil"/>
            </w:tcBorders>
          </w:tcPr>
          <w:p>
            <w:pPr>
              <w:spacing w:before="40" w:after="40" w:line="240" w:lineRule="auto"/>
            </w:pPr>
            <w:r>
              <w:rPr>
                <w:sz w:val="18"/>
              </w:rPr>
              <w:t>Test falsification conditions: does the evidence contain any pattern that the matrix identifies as Decisive-REJECTS for an explanation in this case? Explanations that are decisively rejected are set aside with the rejecting evidence stated.</w:t>
            </w:r>
          </w:p>
        </w:tc>
      </w:tr>
      <w:tr>
        <w:tc>
          <w:tcPr>
            <w:tcW w:type="dxa" w:w="4320"/>
            <w:tcW w:type="dxa" w:w="806"/>
            <w:tcBorders>
              <w:left w:val="nil"/>
              <w:right w:val="nil"/>
              <w:top w:val="nil"/>
              <w:bottom w:val="nil"/>
            </w:tcBorders>
          </w:tcPr>
          <w:p>
            <w:pPr>
              <w:spacing w:before="40" w:after="40" w:line="240" w:lineRule="auto"/>
            </w:pPr>
            <w:r>
              <w:rPr>
                <w:sz w:val="18"/>
              </w:rPr>
              <w:t>3</w:t>
            </w:r>
          </w:p>
        </w:tc>
        <w:tc>
          <w:tcPr>
            <w:tcW w:type="dxa" w:w="4320"/>
            <w:tcW w:type="dxa" w:w="7834"/>
            <w:tcBorders>
              <w:left w:val="nil"/>
              <w:right w:val="nil"/>
              <w:top w:val="nil"/>
              <w:bottom w:val="nil"/>
            </w:tcBorders>
          </w:tcPr>
          <w:p>
            <w:pPr>
              <w:spacing w:before="40" w:after="40" w:line="240" w:lineRule="auto"/>
            </w:pPr>
            <w:r>
              <w:rPr>
                <w:sz w:val="18"/>
              </w:rPr>
              <w:t>Assess support strength for explanations that survive falsification: does the evidence pattern decisively support, suggestively support, or leave the explanation unresolved?</w:t>
            </w:r>
          </w:p>
        </w:tc>
      </w:tr>
      <w:tr>
        <w:tc>
          <w:tcPr>
            <w:tcW w:type="dxa" w:w="4320"/>
            <w:tcW w:type="dxa" w:w="806"/>
            <w:tcBorders>
              <w:left w:val="nil"/>
              <w:right w:val="nil"/>
              <w:top w:val="nil"/>
              <w:bottom w:val="nil"/>
            </w:tcBorders>
          </w:tcPr>
          <w:p>
            <w:pPr>
              <w:spacing w:before="40" w:after="40" w:line="240" w:lineRule="auto"/>
            </w:pPr>
            <w:r>
              <w:rPr>
                <w:sz w:val="18"/>
              </w:rPr>
              <w:t>4</w:t>
            </w:r>
          </w:p>
        </w:tc>
        <w:tc>
          <w:tcPr>
            <w:tcW w:type="dxa" w:w="4320"/>
            <w:tcW w:type="dxa" w:w="7834"/>
            <w:tcBorders>
              <w:left w:val="nil"/>
              <w:right w:val="nil"/>
              <w:top w:val="nil"/>
              <w:bottom w:val="nil"/>
            </w:tcBorders>
          </w:tcPr>
          <w:p>
            <w:pPr>
              <w:spacing w:before="40" w:after="40" w:line="240" w:lineRule="auto"/>
            </w:pPr>
            <w:r>
              <w:rPr>
                <w:sz w:val="18"/>
              </w:rPr>
              <w:t>Apply discrimination logic for jointly operative explanations: which mechanism accounts for a larger share of the observed evidence pattern, and what is the evidentiary basis for that judgment?</w:t>
            </w:r>
          </w:p>
        </w:tc>
      </w:tr>
      <w:tr>
        <w:tc>
          <w:tcPr>
            <w:tcW w:type="dxa" w:w="4320"/>
            <w:tcW w:type="dxa" w:w="806"/>
            <w:tcBorders>
              <w:left w:val="nil"/>
              <w:right w:val="nil"/>
              <w:top w:val="nil"/>
              <w:bottom w:val="single" w:sz="8" w:space="0" w:color="000000"/>
            </w:tcBorders>
          </w:tcPr>
          <w:p>
            <w:pPr>
              <w:spacing w:before="40" w:after="40" w:line="240" w:lineRule="auto"/>
            </w:pPr>
            <w:r>
              <w:rPr>
                <w:sz w:val="18"/>
              </w:rPr>
              <w:t>5</w:t>
            </w:r>
          </w:p>
        </w:tc>
        <w:tc>
          <w:tcPr>
            <w:tcW w:type="dxa" w:w="4320"/>
            <w:tcW w:type="dxa" w:w="7834"/>
            <w:tcBorders>
              <w:left w:val="nil"/>
              <w:right w:val="nil"/>
              <w:top w:val="nil"/>
              <w:bottom w:val="single" w:sz="8" w:space="0" w:color="000000"/>
            </w:tcBorders>
          </w:tcPr>
          <w:p>
            <w:pPr>
              <w:spacing w:before="40" w:after="40" w:line="240" w:lineRule="auto"/>
            </w:pPr>
            <w:r>
              <w:rPr>
                <w:sz w:val="18"/>
              </w:rPr>
              <w:t>Report ambiguity where discrimination cannot be resolved, particularly the coordination-versus-capability distinction, which depends on the partially latent variable of knowledge availability.</w:t>
            </w:r>
          </w:p>
        </w:tc>
      </w:tr>
    </w:tbl>
    <w:p>
      <w:pPr>
        <w:pStyle w:val="BodyText"/>
      </w:pPr>
      <w:r>
        <w:t xml:space="preserve">The political economy explanation enters at a different stage: evaluated against commercial survival outcomes, not operational quality outcomes.</w:t>
      </w:r>
    </w:p>
    <w:p>
      <w:pPr>
        <w:pStyle w:val="BodyText"/>
      </w:pPr>
      <w:r>
        <w:t xml:space="preserve">The governing evidential principle is that no single indicator is treated as decisive for attribution. Attribution rests on the convergence of multiple indicators consistent with one explanation and inconsistent with its competitors, drawn from at least two of four independent evidence source categories (seller testimony, buyer testimony, regulatory/observer testimony, observable operational outcomes).</w:t>
      </w:r>
    </w:p>
    <w:bookmarkEnd w:id="2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2026-06-22T17:23:16Z</dcterms:created>
  <dcterms:modified xsi:type="dcterms:W3CDTF">2026-06-22T17:23:16Z</dcterms:modified>
</cp:coreProperties>
</file>

<file path=docProps/custom.xml><?xml version="1.0" encoding="utf-8"?>
<Properties xmlns="http://schemas.openxmlformats.org/officeDocument/2006/custom-properties" xmlns:vt="http://schemas.openxmlformats.org/officeDocument/2006/docPropsVTypes"/>
</file>